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222D82" w14:textId="0A8C7EE6" w:rsidR="00F342E1" w:rsidRPr="009C43CD" w:rsidRDefault="00F342E1" w:rsidP="0027328B">
      <w:pPr>
        <w:shd w:val="clear" w:color="auto" w:fill="FFFFFF"/>
        <w:ind w:left="-108"/>
        <w:rPr>
          <w:bCs/>
          <w:sz w:val="17"/>
          <w:szCs w:val="17"/>
        </w:rPr>
      </w:pPr>
    </w:p>
    <w:p w14:paraId="78D4243B" w14:textId="4AD702F2" w:rsidR="0027328B" w:rsidRPr="009C43CD" w:rsidRDefault="0027328B" w:rsidP="00184C67">
      <w:pPr>
        <w:shd w:val="clear" w:color="auto" w:fill="FFFFFF"/>
        <w:spacing w:line="276" w:lineRule="auto"/>
        <w:ind w:left="-108"/>
        <w:rPr>
          <w:bCs/>
          <w:szCs w:val="18"/>
        </w:rPr>
      </w:pPr>
      <w:r w:rsidRPr="009C43CD">
        <w:rPr>
          <w:bCs/>
          <w:szCs w:val="18"/>
        </w:rPr>
        <w:t>The following document contains:</w:t>
      </w:r>
    </w:p>
    <w:p w14:paraId="1CB6A215" w14:textId="28C46976" w:rsidR="008719B5" w:rsidRPr="009C43CD" w:rsidRDefault="008719B5" w:rsidP="00184C67">
      <w:pPr>
        <w:pStyle w:val="Odsekzoznamu"/>
        <w:numPr>
          <w:ilvl w:val="0"/>
          <w:numId w:val="5"/>
        </w:numPr>
        <w:shd w:val="clear" w:color="auto" w:fill="FFFFFF"/>
        <w:spacing w:line="276" w:lineRule="auto"/>
        <w:ind w:left="567"/>
        <w:rPr>
          <w:rFonts w:ascii="Verdana" w:hAnsi="Verdana"/>
          <w:bCs/>
          <w:sz w:val="18"/>
          <w:szCs w:val="18"/>
        </w:rPr>
      </w:pPr>
      <w:r w:rsidRPr="009C43CD">
        <w:rPr>
          <w:rFonts w:ascii="Verdana" w:hAnsi="Verdana"/>
          <w:bCs/>
          <w:sz w:val="18"/>
          <w:szCs w:val="18"/>
        </w:rPr>
        <w:t>Section I: General comments on the EC’s draft Solvency II amendments – max 4000 characters to be finalised as per section I</w:t>
      </w:r>
      <w:r>
        <w:rPr>
          <w:rFonts w:ascii="Verdana" w:hAnsi="Verdana"/>
          <w:bCs/>
          <w:sz w:val="18"/>
          <w:szCs w:val="18"/>
        </w:rPr>
        <w:t>I</w:t>
      </w:r>
    </w:p>
    <w:p w14:paraId="7DBFE2CF" w14:textId="02C8C8A5" w:rsidR="0027328B" w:rsidRPr="009C43CD" w:rsidRDefault="0027328B" w:rsidP="00184C67">
      <w:pPr>
        <w:pStyle w:val="Odsekzoznamu"/>
        <w:numPr>
          <w:ilvl w:val="0"/>
          <w:numId w:val="5"/>
        </w:numPr>
        <w:shd w:val="clear" w:color="auto" w:fill="FFFFFF"/>
        <w:spacing w:line="276" w:lineRule="auto"/>
        <w:ind w:left="567"/>
        <w:rPr>
          <w:rFonts w:ascii="Verdana" w:hAnsi="Verdana"/>
          <w:bCs/>
          <w:sz w:val="18"/>
          <w:szCs w:val="18"/>
        </w:rPr>
      </w:pPr>
      <w:r w:rsidRPr="009C43CD">
        <w:rPr>
          <w:rFonts w:ascii="Verdana" w:hAnsi="Verdana"/>
          <w:bCs/>
          <w:sz w:val="18"/>
          <w:szCs w:val="18"/>
        </w:rPr>
        <w:t xml:space="preserve">Section </w:t>
      </w:r>
      <w:r w:rsidR="008719B5">
        <w:rPr>
          <w:rFonts w:ascii="Verdana" w:hAnsi="Verdana"/>
          <w:bCs/>
          <w:sz w:val="18"/>
          <w:szCs w:val="18"/>
        </w:rPr>
        <w:t>I</w:t>
      </w:r>
      <w:r w:rsidRPr="009C43CD">
        <w:rPr>
          <w:rFonts w:ascii="Verdana" w:hAnsi="Verdana"/>
          <w:bCs/>
          <w:sz w:val="18"/>
          <w:szCs w:val="18"/>
        </w:rPr>
        <w:t xml:space="preserve">I: Detailed comments on the EC’s draft Solvency II amendments – </w:t>
      </w:r>
      <w:r w:rsidRPr="009C43CD">
        <w:rPr>
          <w:rFonts w:ascii="Verdana" w:hAnsi="Verdana"/>
          <w:b/>
          <w:sz w:val="18"/>
          <w:szCs w:val="18"/>
        </w:rPr>
        <w:t>for members’ comments</w:t>
      </w:r>
    </w:p>
    <w:p w14:paraId="33CE0373" w14:textId="61A7AD9D" w:rsidR="00F342E1" w:rsidRDefault="00F342E1" w:rsidP="00184C67">
      <w:pPr>
        <w:shd w:val="clear" w:color="auto" w:fill="FFFFFF"/>
        <w:spacing w:line="276" w:lineRule="auto"/>
        <w:ind w:left="-108"/>
        <w:rPr>
          <w:b/>
          <w:color w:val="1F497D" w:themeColor="text2"/>
          <w:sz w:val="17"/>
          <w:szCs w:val="17"/>
        </w:rPr>
      </w:pPr>
    </w:p>
    <w:p w14:paraId="78BC537F" w14:textId="4FE85297" w:rsidR="008719B5" w:rsidRDefault="008719B5" w:rsidP="00184C67">
      <w:pPr>
        <w:shd w:val="clear" w:color="auto" w:fill="FFFFFF"/>
        <w:spacing w:line="276" w:lineRule="auto"/>
        <w:ind w:left="-108"/>
        <w:rPr>
          <w:b/>
          <w:color w:val="1F497D" w:themeColor="text2"/>
          <w:sz w:val="17"/>
          <w:szCs w:val="17"/>
        </w:rPr>
      </w:pPr>
    </w:p>
    <w:p w14:paraId="1EB55CD3" w14:textId="2A15845F" w:rsidR="008719B5" w:rsidRDefault="008719B5" w:rsidP="007632B7">
      <w:pPr>
        <w:shd w:val="clear" w:color="auto" w:fill="FFFFFF"/>
        <w:ind w:left="-108"/>
        <w:rPr>
          <w:b/>
          <w:color w:val="1F497D" w:themeColor="text2"/>
          <w:sz w:val="17"/>
          <w:szCs w:val="17"/>
        </w:rPr>
      </w:pPr>
    </w:p>
    <w:p w14:paraId="1683E6D6" w14:textId="5D3B6DAB" w:rsidR="008719B5" w:rsidRDefault="008719B5" w:rsidP="007632B7">
      <w:pPr>
        <w:shd w:val="clear" w:color="auto" w:fill="FFFFFF"/>
        <w:ind w:left="-108"/>
        <w:rPr>
          <w:b/>
          <w:color w:val="1F497D" w:themeColor="text2"/>
          <w:sz w:val="17"/>
          <w:szCs w:val="17"/>
        </w:rPr>
      </w:pPr>
    </w:p>
    <w:p w14:paraId="4BEB0F5D" w14:textId="13B93F40" w:rsidR="008719B5" w:rsidRDefault="008719B5" w:rsidP="007632B7">
      <w:pPr>
        <w:shd w:val="clear" w:color="auto" w:fill="FFFFFF"/>
        <w:ind w:left="-108"/>
        <w:rPr>
          <w:b/>
          <w:color w:val="1F497D" w:themeColor="text2"/>
          <w:sz w:val="17"/>
          <w:szCs w:val="17"/>
        </w:rPr>
      </w:pPr>
    </w:p>
    <w:p w14:paraId="44BC3345" w14:textId="0307C0AD" w:rsidR="008719B5" w:rsidRDefault="008719B5" w:rsidP="007632B7">
      <w:pPr>
        <w:shd w:val="clear" w:color="auto" w:fill="FFFFFF"/>
        <w:ind w:left="-108"/>
        <w:rPr>
          <w:b/>
          <w:color w:val="1F497D" w:themeColor="text2"/>
          <w:sz w:val="17"/>
          <w:szCs w:val="17"/>
        </w:rPr>
      </w:pPr>
    </w:p>
    <w:p w14:paraId="5B7761D2" w14:textId="0DF09F3E" w:rsidR="008719B5" w:rsidRDefault="008719B5" w:rsidP="007632B7">
      <w:pPr>
        <w:shd w:val="clear" w:color="auto" w:fill="FFFFFF"/>
        <w:ind w:left="-108"/>
        <w:rPr>
          <w:b/>
          <w:color w:val="1F497D" w:themeColor="text2"/>
          <w:sz w:val="17"/>
          <w:szCs w:val="17"/>
        </w:rPr>
      </w:pPr>
    </w:p>
    <w:p w14:paraId="6319D1DB" w14:textId="7094B192" w:rsidR="008719B5" w:rsidRDefault="008719B5" w:rsidP="007632B7">
      <w:pPr>
        <w:shd w:val="clear" w:color="auto" w:fill="FFFFFF"/>
        <w:ind w:left="-108"/>
        <w:rPr>
          <w:b/>
          <w:color w:val="1F497D" w:themeColor="text2"/>
          <w:sz w:val="17"/>
          <w:szCs w:val="17"/>
        </w:rPr>
      </w:pPr>
    </w:p>
    <w:p w14:paraId="136D2747" w14:textId="5D887E5F" w:rsidR="008719B5" w:rsidRDefault="008719B5" w:rsidP="007632B7">
      <w:pPr>
        <w:shd w:val="clear" w:color="auto" w:fill="FFFFFF"/>
        <w:ind w:left="-108"/>
        <w:rPr>
          <w:b/>
          <w:color w:val="1F497D" w:themeColor="text2"/>
          <w:sz w:val="17"/>
          <w:szCs w:val="17"/>
        </w:rPr>
      </w:pPr>
    </w:p>
    <w:p w14:paraId="5864E976" w14:textId="325D43BC" w:rsidR="008719B5" w:rsidRDefault="008719B5" w:rsidP="007632B7">
      <w:pPr>
        <w:shd w:val="clear" w:color="auto" w:fill="FFFFFF"/>
        <w:ind w:left="-108"/>
        <w:rPr>
          <w:b/>
          <w:color w:val="1F497D" w:themeColor="text2"/>
          <w:sz w:val="17"/>
          <w:szCs w:val="17"/>
        </w:rPr>
      </w:pPr>
    </w:p>
    <w:p w14:paraId="3EFC6468" w14:textId="73A4ACD7" w:rsidR="008719B5" w:rsidRDefault="008719B5" w:rsidP="007632B7">
      <w:pPr>
        <w:shd w:val="clear" w:color="auto" w:fill="FFFFFF"/>
        <w:ind w:left="-108"/>
        <w:rPr>
          <w:b/>
          <w:color w:val="1F497D" w:themeColor="text2"/>
          <w:sz w:val="17"/>
          <w:szCs w:val="17"/>
        </w:rPr>
      </w:pPr>
    </w:p>
    <w:p w14:paraId="0F87A3C0" w14:textId="61A1C91A" w:rsidR="008719B5" w:rsidRDefault="008719B5" w:rsidP="007632B7">
      <w:pPr>
        <w:shd w:val="clear" w:color="auto" w:fill="FFFFFF"/>
        <w:ind w:left="-108"/>
        <w:rPr>
          <w:b/>
          <w:color w:val="1F497D" w:themeColor="text2"/>
          <w:sz w:val="17"/>
          <w:szCs w:val="17"/>
        </w:rPr>
      </w:pPr>
    </w:p>
    <w:p w14:paraId="16ACC7CF" w14:textId="7D7A101C" w:rsidR="008719B5" w:rsidRDefault="008719B5" w:rsidP="007632B7">
      <w:pPr>
        <w:shd w:val="clear" w:color="auto" w:fill="FFFFFF"/>
        <w:ind w:left="-108"/>
        <w:rPr>
          <w:b/>
          <w:color w:val="1F497D" w:themeColor="text2"/>
          <w:sz w:val="17"/>
          <w:szCs w:val="17"/>
        </w:rPr>
      </w:pPr>
    </w:p>
    <w:p w14:paraId="4EC9000D" w14:textId="1013D28F" w:rsidR="008719B5" w:rsidRDefault="008719B5" w:rsidP="007632B7">
      <w:pPr>
        <w:shd w:val="clear" w:color="auto" w:fill="FFFFFF"/>
        <w:ind w:left="-108"/>
        <w:rPr>
          <w:b/>
          <w:color w:val="1F497D" w:themeColor="text2"/>
          <w:sz w:val="17"/>
          <w:szCs w:val="17"/>
        </w:rPr>
      </w:pPr>
    </w:p>
    <w:p w14:paraId="638177A3" w14:textId="78D79130" w:rsidR="008719B5" w:rsidRDefault="008719B5" w:rsidP="007632B7">
      <w:pPr>
        <w:shd w:val="clear" w:color="auto" w:fill="FFFFFF"/>
        <w:ind w:left="-108"/>
        <w:rPr>
          <w:b/>
          <w:color w:val="1F497D" w:themeColor="text2"/>
          <w:sz w:val="17"/>
          <w:szCs w:val="17"/>
        </w:rPr>
      </w:pPr>
    </w:p>
    <w:p w14:paraId="00E9CAA3" w14:textId="240F8DC8" w:rsidR="008719B5" w:rsidRDefault="008719B5" w:rsidP="007632B7">
      <w:pPr>
        <w:shd w:val="clear" w:color="auto" w:fill="FFFFFF"/>
        <w:ind w:left="-108"/>
        <w:rPr>
          <w:b/>
          <w:color w:val="1F497D" w:themeColor="text2"/>
          <w:sz w:val="17"/>
          <w:szCs w:val="17"/>
        </w:rPr>
      </w:pPr>
    </w:p>
    <w:p w14:paraId="03BEFED6" w14:textId="51431A2A" w:rsidR="008719B5" w:rsidRDefault="008719B5" w:rsidP="007632B7">
      <w:pPr>
        <w:shd w:val="clear" w:color="auto" w:fill="FFFFFF"/>
        <w:ind w:left="-108"/>
        <w:rPr>
          <w:b/>
          <w:color w:val="1F497D" w:themeColor="text2"/>
          <w:sz w:val="17"/>
          <w:szCs w:val="17"/>
        </w:rPr>
      </w:pPr>
    </w:p>
    <w:p w14:paraId="164FAB38" w14:textId="096838FF" w:rsidR="008719B5" w:rsidRDefault="008719B5" w:rsidP="007632B7">
      <w:pPr>
        <w:shd w:val="clear" w:color="auto" w:fill="FFFFFF"/>
        <w:ind w:left="-108"/>
        <w:rPr>
          <w:b/>
          <w:color w:val="1F497D" w:themeColor="text2"/>
          <w:sz w:val="17"/>
          <w:szCs w:val="17"/>
        </w:rPr>
      </w:pPr>
    </w:p>
    <w:p w14:paraId="7E5F4435" w14:textId="120EA2B2" w:rsidR="008719B5" w:rsidRDefault="008719B5" w:rsidP="007632B7">
      <w:pPr>
        <w:shd w:val="clear" w:color="auto" w:fill="FFFFFF"/>
        <w:ind w:left="-108"/>
        <w:rPr>
          <w:b/>
          <w:color w:val="1F497D" w:themeColor="text2"/>
          <w:sz w:val="17"/>
          <w:szCs w:val="17"/>
        </w:rPr>
      </w:pPr>
    </w:p>
    <w:p w14:paraId="56843D70" w14:textId="2A35C310" w:rsidR="008719B5" w:rsidRDefault="008719B5" w:rsidP="007632B7">
      <w:pPr>
        <w:shd w:val="clear" w:color="auto" w:fill="FFFFFF"/>
        <w:ind w:left="-108"/>
        <w:rPr>
          <w:b/>
          <w:color w:val="1F497D" w:themeColor="text2"/>
          <w:sz w:val="17"/>
          <w:szCs w:val="17"/>
        </w:rPr>
      </w:pPr>
    </w:p>
    <w:p w14:paraId="6B88FA54" w14:textId="00F8473B" w:rsidR="008719B5" w:rsidRDefault="008719B5" w:rsidP="007632B7">
      <w:pPr>
        <w:shd w:val="clear" w:color="auto" w:fill="FFFFFF"/>
        <w:ind w:left="-108"/>
        <w:rPr>
          <w:b/>
          <w:color w:val="1F497D" w:themeColor="text2"/>
          <w:sz w:val="17"/>
          <w:szCs w:val="17"/>
        </w:rPr>
      </w:pPr>
    </w:p>
    <w:p w14:paraId="4FD14653" w14:textId="2A83B838" w:rsidR="008719B5" w:rsidRDefault="008719B5" w:rsidP="007632B7">
      <w:pPr>
        <w:shd w:val="clear" w:color="auto" w:fill="FFFFFF"/>
        <w:ind w:left="-108"/>
        <w:rPr>
          <w:b/>
          <w:color w:val="1F497D" w:themeColor="text2"/>
          <w:sz w:val="17"/>
          <w:szCs w:val="17"/>
        </w:rPr>
      </w:pPr>
    </w:p>
    <w:p w14:paraId="1A3F0806" w14:textId="7F23932F" w:rsidR="008719B5" w:rsidRDefault="008719B5" w:rsidP="007632B7">
      <w:pPr>
        <w:shd w:val="clear" w:color="auto" w:fill="FFFFFF"/>
        <w:ind w:left="-108"/>
        <w:rPr>
          <w:b/>
          <w:color w:val="1F497D" w:themeColor="text2"/>
          <w:sz w:val="17"/>
          <w:szCs w:val="17"/>
        </w:rPr>
      </w:pPr>
    </w:p>
    <w:p w14:paraId="12D27D72" w14:textId="30232C32" w:rsidR="008719B5" w:rsidRDefault="008719B5" w:rsidP="007632B7">
      <w:pPr>
        <w:shd w:val="clear" w:color="auto" w:fill="FFFFFF"/>
        <w:ind w:left="-108"/>
        <w:rPr>
          <w:b/>
          <w:color w:val="1F497D" w:themeColor="text2"/>
          <w:sz w:val="17"/>
          <w:szCs w:val="17"/>
        </w:rPr>
      </w:pPr>
    </w:p>
    <w:p w14:paraId="50635354" w14:textId="0D809D34" w:rsidR="008719B5" w:rsidRDefault="008719B5" w:rsidP="007632B7">
      <w:pPr>
        <w:shd w:val="clear" w:color="auto" w:fill="FFFFFF"/>
        <w:ind w:left="-108"/>
        <w:rPr>
          <w:b/>
          <w:color w:val="1F497D" w:themeColor="text2"/>
          <w:sz w:val="17"/>
          <w:szCs w:val="17"/>
        </w:rPr>
      </w:pPr>
    </w:p>
    <w:p w14:paraId="1A1B85A5" w14:textId="2CE2D5CC" w:rsidR="008719B5" w:rsidRDefault="008719B5" w:rsidP="007632B7">
      <w:pPr>
        <w:shd w:val="clear" w:color="auto" w:fill="FFFFFF"/>
        <w:ind w:left="-108"/>
        <w:rPr>
          <w:b/>
          <w:color w:val="1F497D" w:themeColor="text2"/>
          <w:sz w:val="17"/>
          <w:szCs w:val="17"/>
        </w:rPr>
      </w:pPr>
    </w:p>
    <w:p w14:paraId="1530B832" w14:textId="77777777" w:rsidR="008719B5" w:rsidRDefault="008719B5" w:rsidP="007632B7">
      <w:pPr>
        <w:shd w:val="clear" w:color="auto" w:fill="FFFFFF"/>
        <w:ind w:left="-108"/>
        <w:rPr>
          <w:b/>
          <w:color w:val="1F497D" w:themeColor="text2"/>
          <w:sz w:val="17"/>
          <w:szCs w:val="17"/>
        </w:rPr>
      </w:pPr>
    </w:p>
    <w:p w14:paraId="56C573BB" w14:textId="6FF5B395" w:rsidR="008719B5" w:rsidRDefault="008719B5" w:rsidP="007632B7">
      <w:pPr>
        <w:shd w:val="clear" w:color="auto" w:fill="FFFFFF"/>
        <w:ind w:left="-108"/>
        <w:rPr>
          <w:b/>
          <w:color w:val="1F497D" w:themeColor="text2"/>
          <w:sz w:val="17"/>
          <w:szCs w:val="17"/>
        </w:rPr>
      </w:pPr>
    </w:p>
    <w:p w14:paraId="3FF7557D" w14:textId="0E9767B7" w:rsidR="008719B5" w:rsidRDefault="008719B5" w:rsidP="007632B7">
      <w:pPr>
        <w:shd w:val="clear" w:color="auto" w:fill="FFFFFF"/>
        <w:ind w:left="-108"/>
        <w:rPr>
          <w:b/>
          <w:color w:val="1F497D" w:themeColor="text2"/>
          <w:sz w:val="17"/>
          <w:szCs w:val="17"/>
        </w:rPr>
      </w:pPr>
    </w:p>
    <w:p w14:paraId="6172A002" w14:textId="05716657" w:rsidR="008719B5" w:rsidRDefault="008719B5" w:rsidP="007632B7">
      <w:pPr>
        <w:shd w:val="clear" w:color="auto" w:fill="FFFFFF"/>
        <w:ind w:left="-108"/>
        <w:rPr>
          <w:b/>
          <w:color w:val="1F497D" w:themeColor="text2"/>
          <w:sz w:val="17"/>
          <w:szCs w:val="17"/>
        </w:rPr>
      </w:pPr>
    </w:p>
    <w:p w14:paraId="6A6FC383" w14:textId="5CAC635C" w:rsidR="008719B5" w:rsidRDefault="008719B5" w:rsidP="007632B7">
      <w:pPr>
        <w:shd w:val="clear" w:color="auto" w:fill="FFFFFF"/>
        <w:ind w:left="-108"/>
        <w:rPr>
          <w:b/>
          <w:color w:val="1F497D" w:themeColor="text2"/>
          <w:sz w:val="17"/>
          <w:szCs w:val="17"/>
        </w:rPr>
      </w:pPr>
    </w:p>
    <w:p w14:paraId="5C6CBA67" w14:textId="5237F688" w:rsidR="008719B5" w:rsidRDefault="008719B5" w:rsidP="007632B7">
      <w:pPr>
        <w:shd w:val="clear" w:color="auto" w:fill="FFFFFF"/>
        <w:ind w:left="-108"/>
        <w:rPr>
          <w:b/>
          <w:color w:val="1F497D" w:themeColor="text2"/>
          <w:sz w:val="17"/>
          <w:szCs w:val="17"/>
        </w:rPr>
      </w:pPr>
    </w:p>
    <w:p w14:paraId="47F99593" w14:textId="4CEBFDE5" w:rsidR="008719B5" w:rsidRDefault="008719B5" w:rsidP="007632B7">
      <w:pPr>
        <w:shd w:val="clear" w:color="auto" w:fill="FFFFFF"/>
        <w:ind w:left="-108"/>
        <w:rPr>
          <w:b/>
          <w:color w:val="1F497D" w:themeColor="text2"/>
          <w:sz w:val="17"/>
          <w:szCs w:val="17"/>
        </w:rPr>
      </w:pPr>
    </w:p>
    <w:p w14:paraId="14781DB3" w14:textId="5F1817E5" w:rsidR="008719B5" w:rsidRDefault="008719B5" w:rsidP="007632B7">
      <w:pPr>
        <w:shd w:val="clear" w:color="auto" w:fill="FFFFFF"/>
        <w:ind w:left="-108"/>
        <w:rPr>
          <w:b/>
          <w:color w:val="1F497D" w:themeColor="text2"/>
          <w:sz w:val="17"/>
          <w:szCs w:val="17"/>
        </w:rPr>
      </w:pPr>
    </w:p>
    <w:p w14:paraId="3A598B0D" w14:textId="183849EA" w:rsidR="008719B5" w:rsidRDefault="008719B5" w:rsidP="007632B7">
      <w:pPr>
        <w:shd w:val="clear" w:color="auto" w:fill="FFFFFF"/>
        <w:ind w:left="-108"/>
        <w:rPr>
          <w:b/>
          <w:color w:val="1F497D" w:themeColor="text2"/>
          <w:sz w:val="17"/>
          <w:szCs w:val="17"/>
        </w:rPr>
      </w:pPr>
    </w:p>
    <w:p w14:paraId="427867D4" w14:textId="20341758" w:rsidR="008719B5" w:rsidRDefault="008719B5" w:rsidP="007632B7">
      <w:pPr>
        <w:shd w:val="clear" w:color="auto" w:fill="FFFFFF"/>
        <w:ind w:left="-108"/>
        <w:rPr>
          <w:b/>
          <w:color w:val="1F497D" w:themeColor="text2"/>
          <w:sz w:val="17"/>
          <w:szCs w:val="17"/>
        </w:rPr>
      </w:pPr>
    </w:p>
    <w:p w14:paraId="1A86F3EA" w14:textId="77777777" w:rsidR="008719B5" w:rsidRDefault="008719B5" w:rsidP="007632B7">
      <w:pPr>
        <w:shd w:val="clear" w:color="auto" w:fill="FFFFFF"/>
        <w:ind w:left="-108"/>
        <w:rPr>
          <w:b/>
          <w:color w:val="1F497D" w:themeColor="text2"/>
          <w:sz w:val="17"/>
          <w:szCs w:val="17"/>
        </w:rPr>
      </w:pPr>
    </w:p>
    <w:p w14:paraId="228E06FB" w14:textId="1EF54C2F" w:rsidR="008719B5" w:rsidRPr="009C43CD" w:rsidRDefault="008719B5" w:rsidP="008719B5">
      <w:pPr>
        <w:shd w:val="clear" w:color="auto" w:fill="C6D9F1" w:themeFill="text2" w:themeFillTint="33"/>
        <w:ind w:left="-108"/>
        <w:rPr>
          <w:b/>
          <w:color w:val="1F497D" w:themeColor="text2"/>
          <w:sz w:val="19"/>
          <w:szCs w:val="19"/>
        </w:rPr>
      </w:pPr>
      <w:commentRangeStart w:id="0"/>
      <w:r w:rsidRPr="009C43CD">
        <w:rPr>
          <w:b/>
          <w:color w:val="1F497D" w:themeColor="text2"/>
          <w:sz w:val="19"/>
          <w:szCs w:val="19"/>
        </w:rPr>
        <w:t>Section I</w:t>
      </w:r>
      <w:commentRangeEnd w:id="0"/>
      <w:r w:rsidRPr="009C43CD">
        <w:rPr>
          <w:rStyle w:val="Odkaznakomentr"/>
        </w:rPr>
        <w:commentReference w:id="0"/>
      </w:r>
      <w:r w:rsidRPr="009C43CD">
        <w:rPr>
          <w:b/>
          <w:color w:val="1F497D" w:themeColor="text2"/>
          <w:sz w:val="19"/>
          <w:szCs w:val="19"/>
        </w:rPr>
        <w:t xml:space="preserve">: General Comments on the EC’s draft Solvency II amendments </w:t>
      </w:r>
    </w:p>
    <w:p w14:paraId="3DAE973C" w14:textId="77777777" w:rsidR="008719B5" w:rsidRPr="009C43CD" w:rsidRDefault="008719B5" w:rsidP="008719B5">
      <w:pPr>
        <w:rPr>
          <w:b/>
          <w:bCs/>
          <w:color w:val="1F497D" w:themeColor="text2"/>
          <w:sz w:val="17"/>
          <w:szCs w:val="17"/>
          <w:highlight w:val="yellow"/>
        </w:rPr>
      </w:pPr>
    </w:p>
    <w:p w14:paraId="6DECC0A5" w14:textId="77777777" w:rsidR="008719B5" w:rsidRPr="009C43CD" w:rsidRDefault="008719B5" w:rsidP="008719B5">
      <w:pPr>
        <w:rPr>
          <w:b/>
          <w:bCs/>
          <w:color w:val="1F497D" w:themeColor="text2"/>
          <w:sz w:val="17"/>
          <w:szCs w:val="17"/>
        </w:rPr>
      </w:pPr>
      <w:r w:rsidRPr="009C43CD">
        <w:rPr>
          <w:b/>
          <w:bCs/>
          <w:color w:val="1F497D" w:themeColor="text2"/>
          <w:sz w:val="17"/>
          <w:szCs w:val="17"/>
        </w:rPr>
        <w:t>Article 1</w:t>
      </w:r>
    </w:p>
    <w:p w14:paraId="2EA770B4" w14:textId="77777777" w:rsidR="008719B5" w:rsidRPr="009C43CD" w:rsidRDefault="008719B5" w:rsidP="008719B5">
      <w:pPr>
        <w:pStyle w:val="CEABullet-Level1"/>
      </w:pPr>
      <w:r w:rsidRPr="009C43CD">
        <w:rPr>
          <w:b/>
          <w:bCs/>
        </w:rPr>
        <w:t>The proposed definition (article</w:t>
      </w:r>
      <w:r w:rsidRPr="009C43CD">
        <w:rPr>
          <w:rFonts w:eastAsiaTheme="minorHAnsi"/>
          <w:b/>
          <w:bCs/>
          <w:color w:val="C00000"/>
        </w:rPr>
        <w:t xml:space="preserve"> </w:t>
      </w:r>
      <w:r w:rsidRPr="009C43CD">
        <w:rPr>
          <w:b/>
          <w:bCs/>
        </w:rPr>
        <w:t>1, point 55e))</w:t>
      </w:r>
      <w:r w:rsidRPr="009C43CD">
        <w:t xml:space="preserve"> </w:t>
      </w:r>
      <w:r w:rsidRPr="009C43CD">
        <w:rPr>
          <w:b/>
          <w:bCs/>
        </w:rPr>
        <w:t xml:space="preserve">of </w:t>
      </w:r>
      <w:r w:rsidRPr="009C43CD">
        <w:rPr>
          <w:rFonts w:eastAsiaTheme="minorHAnsi"/>
          <w:b/>
          <w:bCs/>
        </w:rPr>
        <w:t xml:space="preserve">sustainability preferences is inconsistent and </w:t>
      </w:r>
      <w:r w:rsidRPr="009C43CD">
        <w:rPr>
          <w:b/>
          <w:bCs/>
        </w:rPr>
        <w:t>should be removed</w:t>
      </w:r>
      <w:r w:rsidRPr="009C43CD">
        <w:t xml:space="preserve"> or amended to avoid misalignment between regulations and other unintended effects. Clarification with respect to the Disclosure Regulation (SFDR) should be provided in the RTS of the SFDR, not in the definition of the sustainability preferences in the context of the IDD or Solvency II (see annex). </w:t>
      </w:r>
    </w:p>
    <w:p w14:paraId="689B7F7B" w14:textId="77777777" w:rsidR="008719B5" w:rsidRPr="009C43CD" w:rsidRDefault="008719B5" w:rsidP="008719B5">
      <w:pPr>
        <w:rPr>
          <w:b/>
          <w:bCs/>
          <w:color w:val="1F497D" w:themeColor="text2"/>
          <w:sz w:val="17"/>
          <w:szCs w:val="17"/>
        </w:rPr>
      </w:pPr>
      <w:r w:rsidRPr="009C43CD">
        <w:rPr>
          <w:b/>
          <w:bCs/>
          <w:color w:val="1F497D" w:themeColor="text2"/>
          <w:sz w:val="17"/>
          <w:szCs w:val="17"/>
        </w:rPr>
        <w:t>Article 260</w:t>
      </w:r>
    </w:p>
    <w:p w14:paraId="30768693" w14:textId="77777777" w:rsidR="008719B5" w:rsidRPr="009C43CD" w:rsidRDefault="008719B5" w:rsidP="008719B5">
      <w:pPr>
        <w:pStyle w:val="CEABullet-Level1"/>
        <w:numPr>
          <w:ilvl w:val="0"/>
          <w:numId w:val="0"/>
        </w:numPr>
      </w:pPr>
      <w:r w:rsidRPr="009C43CD">
        <w:t xml:space="preserve">The industry appreciates the EC amendments proposals for risk management areas </w:t>
      </w:r>
    </w:p>
    <w:p w14:paraId="4E1576AA" w14:textId="77777777" w:rsidR="008719B5" w:rsidRPr="009C43CD" w:rsidRDefault="008719B5" w:rsidP="008719B5">
      <w:pPr>
        <w:pStyle w:val="CEABullet-Level1"/>
      </w:pPr>
      <w:r w:rsidRPr="009C43CD">
        <w:t>With respect to article 260 (1)(a)(</w:t>
      </w:r>
      <w:proofErr w:type="spellStart"/>
      <w:r w:rsidRPr="009C43CD">
        <w:t>i</w:t>
      </w:r>
      <w:proofErr w:type="spellEnd"/>
      <w:r w:rsidRPr="009C43CD">
        <w:t>), the industry recognises that, on the liability side, inadequate pricing and provisioning assumptions can be the result of an inadequate assessment of risk</w:t>
      </w:r>
      <w:r>
        <w:t>s</w:t>
      </w:r>
      <w:r w:rsidRPr="009C43CD">
        <w:t xml:space="preserve"> — including sustainability risks — due to internal or external factors. To clarify this, Insurance Europe suggests the following addition to the amendment: </w:t>
      </w:r>
      <w:r w:rsidRPr="009C43CD">
        <w:rPr>
          <w:i/>
        </w:rPr>
        <w:t xml:space="preserve">“(…) due to internal or external factors, including sustainability risks </w:t>
      </w:r>
      <w:r w:rsidRPr="00B87E05">
        <w:rPr>
          <w:b/>
          <w:i/>
          <w:u w:val="single"/>
        </w:rPr>
        <w:t>where appropriate</w:t>
      </w:r>
      <w:r w:rsidRPr="009C43CD">
        <w:rPr>
          <w:i/>
        </w:rPr>
        <w:t>”</w:t>
      </w:r>
      <w:r w:rsidRPr="009C43CD">
        <w:t xml:space="preserve">. </w:t>
      </w:r>
    </w:p>
    <w:p w14:paraId="2876399E" w14:textId="77777777" w:rsidR="008719B5" w:rsidRPr="009C43CD" w:rsidRDefault="008719B5" w:rsidP="008719B5">
      <w:pPr>
        <w:pStyle w:val="CEABullet-Level1"/>
      </w:pPr>
      <w:r w:rsidRPr="009C43CD">
        <w:t>Regarding paragraph 1(c)(vi) of article 260, given the inclusion of sustainability risks in the prudent person principle (Article 275</w:t>
      </w:r>
      <w:proofErr w:type="gramStart"/>
      <w:r w:rsidRPr="009C43CD">
        <w:t>a(</w:t>
      </w:r>
      <w:proofErr w:type="gramEnd"/>
      <w:r w:rsidRPr="009C43CD">
        <w:t>2)), Insurance Europe deems this new paragraph redundant. Paragraph 1(c)(</w:t>
      </w:r>
      <w:proofErr w:type="spellStart"/>
      <w:r w:rsidRPr="009C43CD">
        <w:t>i</w:t>
      </w:r>
      <w:proofErr w:type="spellEnd"/>
      <w:r w:rsidRPr="009C43CD">
        <w:t xml:space="preserve">) already requires consideration of sustainability risks via the prudent person principle. </w:t>
      </w:r>
    </w:p>
    <w:p w14:paraId="5A8D1E6A" w14:textId="77777777" w:rsidR="008719B5" w:rsidRPr="009C43CD" w:rsidRDefault="008719B5" w:rsidP="008719B5">
      <w:pPr>
        <w:pStyle w:val="CEABullet-Level1"/>
      </w:pPr>
      <w:r w:rsidRPr="009C43CD">
        <w:rPr>
          <w:rFonts w:eastAsiaTheme="minorHAnsi"/>
        </w:rPr>
        <w:t>Regarding the wording of article 260 new paragraph 1a,</w:t>
      </w:r>
      <w:r w:rsidRPr="009C43CD">
        <w:t xml:space="preserve"> t</w:t>
      </w:r>
      <w:r w:rsidRPr="009C43CD">
        <w:rPr>
          <w:rFonts w:eastAsiaTheme="minorHAnsi"/>
        </w:rPr>
        <w:t>he industry encourages the EC to consider the following wording for improved clarity: “</w:t>
      </w:r>
      <w:r w:rsidRPr="00B87E05">
        <w:rPr>
          <w:rFonts w:eastAsiaTheme="minorHAnsi"/>
          <w:i/>
          <w:iCs/>
        </w:rPr>
        <w:t xml:space="preserve">The insurance and reinsurance undertakings shall integrate </w:t>
      </w:r>
      <w:r w:rsidRPr="00B87E05">
        <w:rPr>
          <w:rFonts w:eastAsiaTheme="minorHAnsi"/>
          <w:b/>
          <w:bCs/>
          <w:i/>
          <w:iCs/>
          <w:u w:val="single"/>
        </w:rPr>
        <w:t>sustainability risks</w:t>
      </w:r>
      <w:r w:rsidRPr="00B87E05">
        <w:rPr>
          <w:rFonts w:eastAsiaTheme="minorHAnsi"/>
          <w:i/>
          <w:iCs/>
        </w:rPr>
        <w:t xml:space="preserve"> in their policies referred to in points (a) and (c) of paragraph 1, and where relevant, </w:t>
      </w:r>
      <w:r w:rsidRPr="00B87E05">
        <w:rPr>
          <w:rFonts w:eastAsiaTheme="minorHAnsi"/>
          <w:b/>
          <w:bCs/>
          <w:i/>
          <w:iCs/>
          <w:color w:val="auto"/>
          <w:u w:val="single"/>
        </w:rPr>
        <w:t>in the</w:t>
      </w:r>
      <w:r w:rsidRPr="00B87E05">
        <w:rPr>
          <w:rFonts w:eastAsiaTheme="minorHAnsi"/>
          <w:b/>
          <w:bCs/>
          <w:i/>
          <w:iCs/>
          <w:color w:val="auto"/>
        </w:rPr>
        <w:t xml:space="preserve"> </w:t>
      </w:r>
      <w:r w:rsidRPr="00B87E05">
        <w:rPr>
          <w:rFonts w:eastAsiaTheme="minorHAnsi"/>
          <w:i/>
          <w:iCs/>
        </w:rPr>
        <w:t xml:space="preserve">policies on the other areas referred to in paragraph 1, </w:t>
      </w:r>
      <w:r w:rsidRPr="00B87E05">
        <w:rPr>
          <w:rFonts w:eastAsiaTheme="minorHAnsi"/>
          <w:i/>
          <w:iCs/>
          <w:strike/>
        </w:rPr>
        <w:t>sustainability risks</w:t>
      </w:r>
      <w:r w:rsidRPr="00B87E05">
        <w:rPr>
          <w:rFonts w:eastAsiaTheme="minorHAnsi"/>
          <w:i/>
          <w:iCs/>
        </w:rPr>
        <w:t>.</w:t>
      </w:r>
      <w:r w:rsidRPr="009C43CD">
        <w:rPr>
          <w:rFonts w:eastAsiaTheme="minorHAnsi"/>
        </w:rPr>
        <w:t>”</w:t>
      </w:r>
    </w:p>
    <w:p w14:paraId="72D4B54D" w14:textId="77777777" w:rsidR="008719B5" w:rsidRPr="009C43CD" w:rsidRDefault="008719B5" w:rsidP="008719B5">
      <w:pPr>
        <w:rPr>
          <w:b/>
          <w:bCs/>
          <w:color w:val="1F497D" w:themeColor="text2"/>
          <w:sz w:val="17"/>
          <w:szCs w:val="17"/>
        </w:rPr>
      </w:pPr>
      <w:r w:rsidRPr="009C43CD">
        <w:rPr>
          <w:b/>
          <w:bCs/>
          <w:color w:val="1F497D" w:themeColor="text2"/>
          <w:sz w:val="17"/>
          <w:szCs w:val="17"/>
        </w:rPr>
        <w:t>Article 269</w:t>
      </w:r>
    </w:p>
    <w:p w14:paraId="653C4148" w14:textId="77777777" w:rsidR="008719B5" w:rsidRPr="009C43CD" w:rsidRDefault="008719B5" w:rsidP="008719B5">
      <w:pPr>
        <w:pStyle w:val="CEABullet-Level1"/>
      </w:pPr>
      <w:r w:rsidRPr="009C43CD">
        <w:t xml:space="preserve">Regarding paragraph 1a) in article 269, the industry agrees that that the consideration of material sustainability risks should be included in </w:t>
      </w:r>
      <w:r w:rsidRPr="009C43CD">
        <w:rPr>
          <w:b/>
          <w:bCs/>
        </w:rPr>
        <w:t>the overall solvency needs assessment (ORSA)</w:t>
      </w:r>
      <w:r w:rsidRPr="009C43CD">
        <w:t>. In this respect, the analysis of sustainability risks is dependent on the company-specific strategy and risk assessment, based on financially material effects.</w:t>
      </w:r>
    </w:p>
    <w:p w14:paraId="53A1602A" w14:textId="77777777" w:rsidR="008719B5" w:rsidRPr="009C43CD" w:rsidRDefault="008719B5" w:rsidP="008719B5">
      <w:pPr>
        <w:rPr>
          <w:b/>
          <w:bCs/>
          <w:color w:val="1F497D" w:themeColor="text2"/>
          <w:sz w:val="17"/>
          <w:szCs w:val="17"/>
        </w:rPr>
      </w:pPr>
      <w:r w:rsidRPr="009C43CD">
        <w:rPr>
          <w:b/>
          <w:bCs/>
          <w:color w:val="1F497D" w:themeColor="text2"/>
          <w:sz w:val="17"/>
          <w:szCs w:val="17"/>
        </w:rPr>
        <w:t>Article 272</w:t>
      </w:r>
    </w:p>
    <w:p w14:paraId="70F31282" w14:textId="77777777" w:rsidR="008719B5" w:rsidRPr="009C43CD" w:rsidRDefault="008719B5" w:rsidP="008719B5">
      <w:pPr>
        <w:pStyle w:val="CEABullet-Level1"/>
      </w:pPr>
      <w:r w:rsidRPr="009C43CD">
        <w:t xml:space="preserve">The proposed amendments regarding the tasks of the </w:t>
      </w:r>
      <w:r w:rsidRPr="009C43CD">
        <w:rPr>
          <w:b/>
          <w:bCs/>
        </w:rPr>
        <w:t>actuarial function</w:t>
      </w:r>
      <w:r w:rsidRPr="009C43CD">
        <w:t xml:space="preserve"> are welcome. </w:t>
      </w:r>
    </w:p>
    <w:p w14:paraId="3819EA9B" w14:textId="77777777" w:rsidR="008719B5" w:rsidRPr="009C43CD" w:rsidRDefault="008719B5" w:rsidP="008719B5">
      <w:pPr>
        <w:rPr>
          <w:b/>
          <w:bCs/>
          <w:color w:val="1F497D" w:themeColor="text2"/>
          <w:sz w:val="17"/>
          <w:szCs w:val="17"/>
        </w:rPr>
      </w:pPr>
      <w:r w:rsidRPr="009C43CD">
        <w:rPr>
          <w:b/>
          <w:bCs/>
          <w:color w:val="1F497D" w:themeColor="text2"/>
          <w:sz w:val="17"/>
          <w:szCs w:val="17"/>
        </w:rPr>
        <w:t>Article 275</w:t>
      </w:r>
    </w:p>
    <w:p w14:paraId="554A0D01" w14:textId="77777777" w:rsidR="008719B5" w:rsidRPr="009C43CD" w:rsidRDefault="008719B5" w:rsidP="008719B5">
      <w:pPr>
        <w:pStyle w:val="CEABullet-Level1"/>
      </w:pPr>
      <w:r w:rsidRPr="009C43CD">
        <w:t xml:space="preserve">The amendment on the </w:t>
      </w:r>
      <w:r w:rsidRPr="009C43CD">
        <w:rPr>
          <w:b/>
          <w:bCs/>
        </w:rPr>
        <w:t>remuneration policy</w:t>
      </w:r>
      <w:r w:rsidRPr="009C43CD">
        <w:t xml:space="preserve"> is welcome. </w:t>
      </w:r>
    </w:p>
    <w:p w14:paraId="14E1D142" w14:textId="77777777" w:rsidR="008719B5" w:rsidRPr="009C43CD" w:rsidRDefault="008719B5" w:rsidP="008719B5">
      <w:pPr>
        <w:rPr>
          <w:b/>
          <w:bCs/>
          <w:color w:val="1F497D" w:themeColor="text2"/>
          <w:sz w:val="17"/>
          <w:szCs w:val="17"/>
        </w:rPr>
      </w:pPr>
      <w:r w:rsidRPr="009C43CD">
        <w:rPr>
          <w:b/>
          <w:bCs/>
          <w:color w:val="1F497D" w:themeColor="text2"/>
          <w:sz w:val="17"/>
          <w:szCs w:val="17"/>
        </w:rPr>
        <w:t>Article 275a</w:t>
      </w:r>
    </w:p>
    <w:p w14:paraId="3625880D" w14:textId="77777777" w:rsidR="008719B5" w:rsidRPr="009C43CD" w:rsidRDefault="008719B5" w:rsidP="008719B5">
      <w:pPr>
        <w:rPr>
          <w:sz w:val="17"/>
          <w:szCs w:val="17"/>
        </w:rPr>
      </w:pPr>
      <w:r w:rsidRPr="009C43CD">
        <w:rPr>
          <w:sz w:val="17"/>
          <w:szCs w:val="17"/>
        </w:rPr>
        <w:t>The insurance industry believes that article 275a should be improved for consistency and feasibility purposes. As Solvency II is designed for the policyholder’s protection, considerations on the policyholder’s preferences should not be introduced within this article.</w:t>
      </w:r>
    </w:p>
    <w:p w14:paraId="58E1219B" w14:textId="77777777" w:rsidR="008719B5" w:rsidRPr="009C43CD" w:rsidRDefault="008719B5" w:rsidP="008719B5">
      <w:pPr>
        <w:pStyle w:val="CEABullet-Level1"/>
      </w:pPr>
      <w:r w:rsidRPr="009C43CD">
        <w:t xml:space="preserve">To avoid an imbalance in regulatory requirements caused by highlighting only particular risks in an area under development, the following amendment is proposed to </w:t>
      </w:r>
      <w:r w:rsidRPr="00B87E05">
        <w:rPr>
          <w:b/>
        </w:rPr>
        <w:t>article 275a (1)</w:t>
      </w:r>
      <w:r w:rsidRPr="00B87E05">
        <w:t xml:space="preserve">: </w:t>
      </w:r>
      <w:r w:rsidRPr="00B87E05">
        <w:rPr>
          <w:rFonts w:eastAsiaTheme="minorHAnsi"/>
          <w:i/>
          <w:iCs/>
          <w:szCs w:val="17"/>
        </w:rPr>
        <w:t>“</w:t>
      </w:r>
      <w:r w:rsidRPr="009C43CD">
        <w:rPr>
          <w:rFonts w:eastAsiaTheme="minorHAnsi"/>
          <w:i/>
          <w:iCs/>
          <w:szCs w:val="17"/>
        </w:rPr>
        <w:t xml:space="preserve">When identifying, measuring, monitoring, managing, controlling, reporting and assessing risks arising from investments, as referred to in the first sub-paragraph of Article 132(2) of Directive 2009/138/EC, insurance and reinsurance undertakings shall take into </w:t>
      </w:r>
      <w:r w:rsidRPr="00B87E05">
        <w:rPr>
          <w:rFonts w:eastAsiaTheme="minorHAnsi"/>
          <w:i/>
          <w:iCs/>
          <w:szCs w:val="17"/>
        </w:rPr>
        <w:t>account</w:t>
      </w:r>
      <w:r w:rsidRPr="00B87E05">
        <w:rPr>
          <w:rFonts w:eastAsiaTheme="minorHAnsi"/>
          <w:b/>
          <w:bCs/>
          <w:i/>
          <w:iCs/>
          <w:szCs w:val="17"/>
        </w:rPr>
        <w:t xml:space="preserve"> </w:t>
      </w:r>
      <w:r w:rsidRPr="00B87E05">
        <w:rPr>
          <w:rFonts w:eastAsiaTheme="minorHAnsi"/>
          <w:b/>
          <w:bCs/>
          <w:i/>
          <w:iCs/>
          <w:color w:val="auto"/>
          <w:u w:val="single"/>
        </w:rPr>
        <w:t>all actual or a potential financially material risks, including</w:t>
      </w:r>
      <w:r w:rsidRPr="00B87E05">
        <w:rPr>
          <w:rFonts w:eastAsiaTheme="minorHAnsi"/>
          <w:i/>
          <w:iCs/>
          <w:szCs w:val="17"/>
        </w:rPr>
        <w:t xml:space="preserve"> sustainability risks.</w:t>
      </w:r>
      <w:r w:rsidRPr="009C43CD">
        <w:rPr>
          <w:rFonts w:eastAsiaTheme="minorHAnsi"/>
          <w:i/>
          <w:iCs/>
          <w:szCs w:val="17"/>
        </w:rPr>
        <w:t xml:space="preserve">” </w:t>
      </w:r>
      <w:r w:rsidRPr="009C43CD">
        <w:t>This clarification would also help insurers implement a more proportionate investment strategy in the interest of policyholders and shareholders.</w:t>
      </w:r>
    </w:p>
    <w:p w14:paraId="4FD30AB4" w14:textId="77777777" w:rsidR="008719B5" w:rsidRPr="009C43CD" w:rsidRDefault="008719B5" w:rsidP="008719B5">
      <w:pPr>
        <w:pStyle w:val="CEABullet-Level1"/>
      </w:pPr>
      <w:r w:rsidRPr="00B87E05">
        <w:rPr>
          <w:b/>
        </w:rPr>
        <w:t>Regarding article 275a (2)</w:t>
      </w:r>
      <w:r w:rsidRPr="00B87E05">
        <w:t>, the sector</w:t>
      </w:r>
      <w:r w:rsidRPr="009C43CD">
        <w:t xml:space="preserve"> highlights that the current wording should be amended to:</w:t>
      </w:r>
    </w:p>
    <w:p w14:paraId="6E4E7B99" w14:textId="77777777" w:rsidR="008719B5" w:rsidRPr="009C43CD" w:rsidRDefault="008719B5" w:rsidP="008719B5">
      <w:pPr>
        <w:pStyle w:val="CEABullet-Level2"/>
      </w:pPr>
      <w:r w:rsidRPr="009C43CD">
        <w:t xml:space="preserve">recognise the existing difficulties in terms of feasibility and proportionality. </w:t>
      </w:r>
    </w:p>
    <w:p w14:paraId="53E87F1D" w14:textId="77777777" w:rsidR="008719B5" w:rsidRPr="009C43CD" w:rsidRDefault="008719B5" w:rsidP="008719B5">
      <w:pPr>
        <w:pStyle w:val="CEABullet-Level2"/>
      </w:pPr>
      <w:r w:rsidRPr="009C43CD">
        <w:t>acknowledge that impact of investment decisions on sustainability factors (for example via engagement) can be very costly and that its effectiveness can be questionable depending on the portfolio types (</w:t>
      </w:r>
      <w:proofErr w:type="spellStart"/>
      <w:r w:rsidRPr="009C43CD">
        <w:t>eg</w:t>
      </w:r>
      <w:proofErr w:type="spellEnd"/>
      <w:r w:rsidRPr="009C43CD">
        <w:t xml:space="preserve"> equity versus bond) and the size of the investing undertaking.</w:t>
      </w:r>
    </w:p>
    <w:p w14:paraId="19614FFB" w14:textId="77777777" w:rsidR="008719B5" w:rsidRPr="009C43CD" w:rsidRDefault="008719B5" w:rsidP="008719B5">
      <w:pPr>
        <w:pStyle w:val="CEABullet-Level2"/>
      </w:pPr>
      <w:r w:rsidRPr="009C43CD">
        <w:t>not contradict the principle of freedom of investment.</w:t>
      </w:r>
    </w:p>
    <w:p w14:paraId="45461EDC" w14:textId="77777777" w:rsidR="008719B5" w:rsidRPr="009C43CD" w:rsidRDefault="008719B5" w:rsidP="008719B5">
      <w:pPr>
        <w:pStyle w:val="CEABullet-Level1"/>
        <w:numPr>
          <w:ilvl w:val="0"/>
          <w:numId w:val="0"/>
        </w:numPr>
        <w:ind w:left="720"/>
      </w:pPr>
      <w:r w:rsidRPr="009C43CD">
        <w:rPr>
          <w:b/>
          <w:bCs/>
        </w:rPr>
        <w:t xml:space="preserve">The reference </w:t>
      </w:r>
      <w:r w:rsidRPr="0058727B">
        <w:rPr>
          <w:b/>
          <w:bCs/>
        </w:rPr>
        <w:t>to ESG preferences of policyholders</w:t>
      </w:r>
      <w:r w:rsidRPr="009C43CD">
        <w:t xml:space="preserve"> in article 275</w:t>
      </w:r>
      <w:proofErr w:type="gramStart"/>
      <w:r w:rsidRPr="009C43CD">
        <w:t>a(</w:t>
      </w:r>
      <w:proofErr w:type="gramEnd"/>
      <w:r w:rsidRPr="009C43CD">
        <w:t xml:space="preserve">2) should be removed. The sector supports that ESG preferences of policyholders should be taken into account under IDD instead of Solvency II. This will prevent potential inconsistencies with the Solvency II objective of policyholders’ protection. </w:t>
      </w:r>
    </w:p>
    <w:p w14:paraId="2E1AAD1F" w14:textId="77777777" w:rsidR="008719B5" w:rsidRPr="009C43CD" w:rsidRDefault="008719B5" w:rsidP="008719B5">
      <w:pPr>
        <w:pStyle w:val="CEABullet-Level1"/>
        <w:numPr>
          <w:ilvl w:val="0"/>
          <w:numId w:val="0"/>
        </w:numPr>
        <w:ind w:left="720"/>
      </w:pPr>
    </w:p>
    <w:p w14:paraId="507057E0" w14:textId="77777777" w:rsidR="008719B5" w:rsidRPr="009C43CD" w:rsidRDefault="008719B5" w:rsidP="008719B5">
      <w:pPr>
        <w:pStyle w:val="CEABullet-Level1"/>
        <w:numPr>
          <w:ilvl w:val="0"/>
          <w:numId w:val="0"/>
        </w:numPr>
        <w:ind w:left="720" w:hanging="360"/>
      </w:pPr>
    </w:p>
    <w:p w14:paraId="7A273658" w14:textId="43785CDF" w:rsidR="00F04A17" w:rsidRPr="009C43CD" w:rsidRDefault="00F04A17" w:rsidP="00F04A17">
      <w:pPr>
        <w:shd w:val="clear" w:color="auto" w:fill="C6D9F1" w:themeFill="text2" w:themeFillTint="33"/>
        <w:ind w:left="-108"/>
        <w:rPr>
          <w:b/>
          <w:color w:val="1F497D" w:themeColor="text2"/>
          <w:sz w:val="19"/>
          <w:szCs w:val="19"/>
        </w:rPr>
      </w:pPr>
      <w:commentRangeStart w:id="1"/>
      <w:r w:rsidRPr="009C43CD">
        <w:rPr>
          <w:b/>
          <w:color w:val="1F497D" w:themeColor="text2"/>
          <w:sz w:val="19"/>
          <w:szCs w:val="19"/>
        </w:rPr>
        <w:t>Section I</w:t>
      </w:r>
      <w:r w:rsidR="008719B5">
        <w:rPr>
          <w:b/>
          <w:color w:val="1F497D" w:themeColor="text2"/>
          <w:sz w:val="19"/>
          <w:szCs w:val="19"/>
        </w:rPr>
        <w:t>I</w:t>
      </w:r>
      <w:commentRangeEnd w:id="1"/>
      <w:r w:rsidR="008719B5">
        <w:rPr>
          <w:rStyle w:val="Odkaznakomentr"/>
        </w:rPr>
        <w:commentReference w:id="1"/>
      </w:r>
      <w:r w:rsidRPr="009C43CD">
        <w:rPr>
          <w:b/>
          <w:color w:val="1F497D" w:themeColor="text2"/>
          <w:sz w:val="19"/>
          <w:szCs w:val="19"/>
        </w:rPr>
        <w:t xml:space="preserve">: </w:t>
      </w:r>
      <w:r w:rsidR="0027328B" w:rsidRPr="009C43CD">
        <w:rPr>
          <w:b/>
          <w:color w:val="1F497D" w:themeColor="text2"/>
          <w:sz w:val="19"/>
          <w:szCs w:val="19"/>
        </w:rPr>
        <w:t xml:space="preserve">Detailed </w:t>
      </w:r>
      <w:r w:rsidRPr="009C43CD">
        <w:rPr>
          <w:b/>
          <w:color w:val="1F497D" w:themeColor="text2"/>
          <w:sz w:val="19"/>
          <w:szCs w:val="19"/>
        </w:rPr>
        <w:t xml:space="preserve">Comments on the EC’s draft </w:t>
      </w:r>
      <w:r w:rsidR="002026D5" w:rsidRPr="009C43CD">
        <w:rPr>
          <w:b/>
          <w:color w:val="1F497D" w:themeColor="text2"/>
          <w:sz w:val="19"/>
          <w:szCs w:val="19"/>
        </w:rPr>
        <w:t xml:space="preserve">Solvency II </w:t>
      </w:r>
      <w:r w:rsidRPr="009C43CD">
        <w:rPr>
          <w:b/>
          <w:color w:val="1F497D" w:themeColor="text2"/>
          <w:sz w:val="19"/>
          <w:szCs w:val="19"/>
        </w:rPr>
        <w:t>amendments</w:t>
      </w:r>
    </w:p>
    <w:p w14:paraId="260317F6" w14:textId="77777777" w:rsidR="00573E99" w:rsidRPr="009C43CD" w:rsidRDefault="00573E99" w:rsidP="00225E32">
      <w:pPr>
        <w:rPr>
          <w:sz w:val="17"/>
          <w:szCs w:val="17"/>
        </w:rPr>
      </w:pPr>
    </w:p>
    <w:p w14:paraId="35F840BC" w14:textId="649141D1" w:rsidR="00BF4FF1" w:rsidRPr="009C43CD" w:rsidRDefault="00BF4FF1" w:rsidP="00225E32">
      <w:pPr>
        <w:rPr>
          <w:sz w:val="17"/>
          <w:szCs w:val="17"/>
        </w:rPr>
      </w:pPr>
      <w:r w:rsidRPr="009C43CD">
        <w:rPr>
          <w:sz w:val="17"/>
          <w:szCs w:val="17"/>
        </w:rPr>
        <w:t>The European insurance industry</w:t>
      </w:r>
      <w:r w:rsidR="00DD651F">
        <w:rPr>
          <w:sz w:val="17"/>
          <w:szCs w:val="17"/>
        </w:rPr>
        <w:t xml:space="preserve"> supports</w:t>
      </w:r>
      <w:r w:rsidRPr="009C43CD">
        <w:rPr>
          <w:sz w:val="17"/>
          <w:szCs w:val="17"/>
        </w:rPr>
        <w:t xml:space="preserve"> the EC sustainability objectives and is fully committed to integrate sustainability in its business model. The sector already does it in a number of ways, </w:t>
      </w:r>
      <w:proofErr w:type="spellStart"/>
      <w:r w:rsidRPr="009C43CD">
        <w:rPr>
          <w:sz w:val="17"/>
          <w:szCs w:val="17"/>
        </w:rPr>
        <w:t>eg</w:t>
      </w:r>
      <w:proofErr w:type="spellEnd"/>
      <w:r w:rsidRPr="009C43CD">
        <w:rPr>
          <w:sz w:val="17"/>
          <w:szCs w:val="17"/>
        </w:rPr>
        <w:t xml:space="preserve"> prevention and adaptation, loss protection/compensation and long-term</w:t>
      </w:r>
      <w:r w:rsidR="00DD651F">
        <w:rPr>
          <w:sz w:val="17"/>
          <w:szCs w:val="17"/>
        </w:rPr>
        <w:t xml:space="preserve">, sustainable </w:t>
      </w:r>
      <w:r w:rsidRPr="009C43CD">
        <w:rPr>
          <w:sz w:val="17"/>
          <w:szCs w:val="17"/>
        </w:rPr>
        <w:t xml:space="preserve">financing </w:t>
      </w:r>
      <w:r w:rsidR="00DD651F">
        <w:rPr>
          <w:sz w:val="17"/>
          <w:szCs w:val="17"/>
        </w:rPr>
        <w:t>of</w:t>
      </w:r>
      <w:r w:rsidR="00DD651F" w:rsidRPr="009C43CD">
        <w:rPr>
          <w:sz w:val="17"/>
          <w:szCs w:val="17"/>
        </w:rPr>
        <w:t xml:space="preserve"> </w:t>
      </w:r>
      <w:r w:rsidRPr="009C43CD">
        <w:rPr>
          <w:sz w:val="17"/>
          <w:szCs w:val="17"/>
        </w:rPr>
        <w:t xml:space="preserve">the economy. </w:t>
      </w:r>
    </w:p>
    <w:p w14:paraId="4D3FCB13" w14:textId="421ED68F" w:rsidR="005C51B2" w:rsidRPr="009C43CD" w:rsidRDefault="005C51B2" w:rsidP="00225E32">
      <w:pPr>
        <w:rPr>
          <w:sz w:val="17"/>
          <w:szCs w:val="17"/>
        </w:rPr>
      </w:pPr>
    </w:p>
    <w:p w14:paraId="0740E2D6" w14:textId="6FC6EDF6" w:rsidR="005C51B2" w:rsidRPr="009C43CD" w:rsidRDefault="005C51B2" w:rsidP="005C51B2">
      <w:pPr>
        <w:rPr>
          <w:sz w:val="17"/>
          <w:szCs w:val="17"/>
        </w:rPr>
      </w:pPr>
      <w:r w:rsidRPr="009C43CD">
        <w:rPr>
          <w:sz w:val="17"/>
          <w:szCs w:val="17"/>
        </w:rPr>
        <w:t xml:space="preserve">The sector welcomes the EC amendments to integrate sustainability risks in the insurers’ prudential framework and appreciates the chosen approach to </w:t>
      </w:r>
      <w:proofErr w:type="spellStart"/>
      <w:r w:rsidRPr="009C43CD">
        <w:rPr>
          <w:sz w:val="17"/>
          <w:szCs w:val="17"/>
        </w:rPr>
        <w:t>to</w:t>
      </w:r>
      <w:proofErr w:type="spellEnd"/>
      <w:r w:rsidRPr="009C43CD">
        <w:rPr>
          <w:sz w:val="17"/>
          <w:szCs w:val="17"/>
        </w:rPr>
        <w:t xml:space="preserve"> explicitly integrate sustainability risks in certain aspects of the regulation. </w:t>
      </w:r>
    </w:p>
    <w:p w14:paraId="3419F7DA" w14:textId="77777777" w:rsidR="005C51B2" w:rsidRPr="009C43CD" w:rsidRDefault="005C51B2" w:rsidP="00225E32">
      <w:pPr>
        <w:rPr>
          <w:sz w:val="17"/>
          <w:szCs w:val="17"/>
        </w:rPr>
      </w:pPr>
    </w:p>
    <w:p w14:paraId="760CA7D7" w14:textId="4872777A" w:rsidR="00225E32" w:rsidRPr="009C43CD" w:rsidRDefault="00DD651F" w:rsidP="00BF4FF1">
      <w:pPr>
        <w:rPr>
          <w:sz w:val="17"/>
          <w:szCs w:val="17"/>
        </w:rPr>
      </w:pPr>
      <w:r>
        <w:rPr>
          <w:sz w:val="17"/>
          <w:szCs w:val="17"/>
        </w:rPr>
        <w:t>T</w:t>
      </w:r>
      <w:r w:rsidR="00225E32" w:rsidRPr="009C43CD">
        <w:rPr>
          <w:sz w:val="17"/>
          <w:szCs w:val="17"/>
        </w:rPr>
        <w:t>he Solvency II framework</w:t>
      </w:r>
      <w:r>
        <w:rPr>
          <w:sz w:val="17"/>
          <w:szCs w:val="17"/>
        </w:rPr>
        <w:t>, as is,</w:t>
      </w:r>
      <w:r w:rsidR="00225E32" w:rsidRPr="009C43CD">
        <w:rPr>
          <w:sz w:val="17"/>
          <w:szCs w:val="17"/>
        </w:rPr>
        <w:t xml:space="preserve"> does not represent an obstacle to the integration </w:t>
      </w:r>
      <w:r>
        <w:rPr>
          <w:sz w:val="17"/>
          <w:szCs w:val="17"/>
        </w:rPr>
        <w:t xml:space="preserve">and measurement </w:t>
      </w:r>
      <w:r w:rsidR="00225E32" w:rsidRPr="009C43CD">
        <w:rPr>
          <w:sz w:val="17"/>
          <w:szCs w:val="17"/>
        </w:rPr>
        <w:t xml:space="preserve">of sustainability risks. In fact, financial material sustainability risks can be taken into account in risk management, ORSA and decision processes of AMSB. In this context, the explicit references to sustainability proposed by </w:t>
      </w:r>
      <w:r w:rsidR="00266100" w:rsidRPr="009C43CD">
        <w:rPr>
          <w:sz w:val="17"/>
          <w:szCs w:val="17"/>
        </w:rPr>
        <w:t xml:space="preserve">the EC </w:t>
      </w:r>
      <w:r w:rsidR="00225E32" w:rsidRPr="009C43CD">
        <w:rPr>
          <w:sz w:val="17"/>
          <w:szCs w:val="17"/>
        </w:rPr>
        <w:t xml:space="preserve">will help strengthen the integration of sustainability risks in the Solvency II framework in a consistent and efficient manner. </w:t>
      </w:r>
    </w:p>
    <w:p w14:paraId="6788610B" w14:textId="7001D321" w:rsidR="00266100" w:rsidRPr="009C43CD" w:rsidRDefault="00266100" w:rsidP="00BF4FF1"/>
    <w:p w14:paraId="48D272DF" w14:textId="389229B8" w:rsidR="006D775D" w:rsidRPr="009C43CD" w:rsidRDefault="006D775D" w:rsidP="00274E6B">
      <w:pPr>
        <w:rPr>
          <w:b/>
          <w:bCs/>
          <w:color w:val="1F497D" w:themeColor="text2"/>
          <w:sz w:val="17"/>
          <w:szCs w:val="17"/>
        </w:rPr>
      </w:pPr>
      <w:r w:rsidRPr="009C43CD">
        <w:rPr>
          <w:b/>
          <w:bCs/>
          <w:color w:val="1F497D" w:themeColor="text2"/>
          <w:sz w:val="17"/>
          <w:szCs w:val="17"/>
        </w:rPr>
        <w:t>Definitions</w:t>
      </w:r>
      <w:r w:rsidR="001C29B5" w:rsidRPr="009C43CD">
        <w:rPr>
          <w:b/>
          <w:bCs/>
          <w:color w:val="1F497D" w:themeColor="text2"/>
          <w:sz w:val="17"/>
          <w:szCs w:val="17"/>
        </w:rPr>
        <w:t xml:space="preserve"> (article 1)</w:t>
      </w:r>
    </w:p>
    <w:p w14:paraId="74368CB4" w14:textId="22FD25B2" w:rsidR="005C51B2" w:rsidRPr="009C43CD" w:rsidRDefault="005C51B2" w:rsidP="006D775D">
      <w:pPr>
        <w:pStyle w:val="CEABullet-Level1"/>
      </w:pPr>
      <w:r w:rsidRPr="009C43CD">
        <w:t xml:space="preserve">With respect to the </w:t>
      </w:r>
      <w:r w:rsidRPr="009C43CD">
        <w:rPr>
          <w:b/>
        </w:rPr>
        <w:t>proposed amendments to the Solvency II</w:t>
      </w:r>
      <w:r w:rsidRPr="009C43CD">
        <w:t xml:space="preserve"> Delegated Acts</w:t>
      </w:r>
      <w:r w:rsidR="00225E32" w:rsidRPr="009C43CD">
        <w:t xml:space="preserve">, the insurance industry </w:t>
      </w:r>
      <w:r w:rsidR="00DD651F">
        <w:t>welcomes</w:t>
      </w:r>
      <w:r w:rsidR="00DD651F" w:rsidRPr="009C43CD">
        <w:t xml:space="preserve"> </w:t>
      </w:r>
      <w:r w:rsidR="00225E32" w:rsidRPr="009C43CD">
        <w:t>that</w:t>
      </w:r>
      <w:r w:rsidR="006D775D" w:rsidRPr="009C43CD">
        <w:t xml:space="preserve"> t</w:t>
      </w:r>
      <w:r w:rsidR="00BF4FF1" w:rsidRPr="009C43CD">
        <w:t xml:space="preserve">he EC provides clarity on the definition of sustainability risks and factors, consistently with existing legislation. </w:t>
      </w:r>
    </w:p>
    <w:p w14:paraId="2F47153A" w14:textId="649BD901" w:rsidR="000D1CF3" w:rsidRPr="009C43CD" w:rsidRDefault="00D95D1E" w:rsidP="005C51B2">
      <w:pPr>
        <w:pStyle w:val="CEABullet-Level1"/>
      </w:pPr>
      <w:r w:rsidRPr="009C43CD">
        <w:t>The industry also welcomes that s</w:t>
      </w:r>
      <w:r w:rsidR="00225E32" w:rsidRPr="009C43CD">
        <w:t xml:space="preserve">ustainability risks are considered within the </w:t>
      </w:r>
      <w:r w:rsidR="00225E32" w:rsidRPr="009C43CD">
        <w:rPr>
          <w:b/>
          <w:bCs/>
        </w:rPr>
        <w:t>existing Solvency II requirements and</w:t>
      </w:r>
      <w:r w:rsidR="00225E32" w:rsidRPr="009C43CD">
        <w:t xml:space="preserve"> </w:t>
      </w:r>
      <w:r w:rsidR="005C51B2" w:rsidRPr="009C43CD">
        <w:rPr>
          <w:b/>
        </w:rPr>
        <w:t xml:space="preserve">in relation to the undertaking’s risk profile, </w:t>
      </w:r>
      <w:r w:rsidR="005C51B2" w:rsidRPr="009C43CD">
        <w:t xml:space="preserve">based on their financial materiality and coherent </w:t>
      </w:r>
      <w:r w:rsidR="00DD651F">
        <w:t xml:space="preserve">with </w:t>
      </w:r>
      <w:r w:rsidR="005C51B2" w:rsidRPr="009C43CD">
        <w:t xml:space="preserve">the specific undertaking’s organisational </w:t>
      </w:r>
      <w:r w:rsidRPr="009C43CD">
        <w:t xml:space="preserve">structure </w:t>
      </w:r>
      <w:r w:rsidR="005C51B2" w:rsidRPr="009C43CD">
        <w:t>and governance</w:t>
      </w:r>
      <w:r w:rsidR="005C51B2" w:rsidRPr="009C43CD">
        <w:rPr>
          <w:b/>
        </w:rPr>
        <w:t>.</w:t>
      </w:r>
    </w:p>
    <w:p w14:paraId="7C9F02D1" w14:textId="11B28A28" w:rsidR="005C51B2" w:rsidRPr="0058727B" w:rsidRDefault="000D1CF3" w:rsidP="005C51B2">
      <w:pPr>
        <w:pStyle w:val="CEABullet-Level1"/>
      </w:pPr>
      <w:r w:rsidRPr="009C43CD">
        <w:t xml:space="preserve">With respect to sustainability risks, the industry also notes that </w:t>
      </w:r>
      <w:r w:rsidR="005C51B2" w:rsidRPr="009C43CD">
        <w:t xml:space="preserve">Solvency II has been designed as a </w:t>
      </w:r>
      <w:r w:rsidR="005C51B2" w:rsidRPr="009C43CD">
        <w:rPr>
          <w:b/>
          <w:bCs/>
        </w:rPr>
        <w:t>risk-based framework with the objective of protecting policyholders</w:t>
      </w:r>
      <w:r w:rsidRPr="009C43CD">
        <w:t>. In this respect</w:t>
      </w:r>
      <w:r w:rsidR="005C51B2" w:rsidRPr="009C43CD">
        <w:t>, any proposal to change the framework should ensure that it remains risk-based</w:t>
      </w:r>
      <w:r w:rsidRPr="009C43CD">
        <w:t>. Therefore, sustainability risk</w:t>
      </w:r>
      <w:r w:rsidR="00DD651F">
        <w:t>s</w:t>
      </w:r>
      <w:r w:rsidRPr="009C43CD">
        <w:t xml:space="preserve"> should be considered at the same level as other risks, especially given that these risks can materialize through </w:t>
      </w:r>
      <w:r w:rsidR="00DD651F">
        <w:t xml:space="preserve">already </w:t>
      </w:r>
      <w:r w:rsidRPr="0058727B">
        <w:t>existing risk categories</w:t>
      </w:r>
      <w:r w:rsidR="00E23BF9" w:rsidRPr="0058727B">
        <w:t>.</w:t>
      </w:r>
    </w:p>
    <w:p w14:paraId="7E24F901" w14:textId="2FE4DE50" w:rsidR="0006071D" w:rsidRPr="0058727B" w:rsidRDefault="007D5FEF" w:rsidP="006A6BFC">
      <w:pPr>
        <w:pStyle w:val="CEABullet-Level1"/>
      </w:pPr>
      <w:r w:rsidRPr="0058727B">
        <w:t>On article</w:t>
      </w:r>
      <w:r w:rsidRPr="0058727B">
        <w:rPr>
          <w:rFonts w:eastAsiaTheme="minorHAnsi"/>
          <w:b/>
          <w:bCs/>
          <w:color w:val="C00000"/>
        </w:rPr>
        <w:t xml:space="preserve"> </w:t>
      </w:r>
      <w:r w:rsidRPr="0058727B">
        <w:t xml:space="preserve">1, point 55 e) regarding </w:t>
      </w:r>
      <w:r w:rsidRPr="0058727B">
        <w:rPr>
          <w:rFonts w:eastAsiaTheme="minorHAnsi"/>
          <w:b/>
          <w:bCs/>
        </w:rPr>
        <w:t>sustainability preferences</w:t>
      </w:r>
      <w:r w:rsidR="009F344B" w:rsidRPr="0058727B">
        <w:rPr>
          <w:rFonts w:eastAsiaTheme="minorHAnsi"/>
          <w:b/>
          <w:bCs/>
        </w:rPr>
        <w:t>, the insurance industry is concerned by the proposed wording</w:t>
      </w:r>
      <w:r w:rsidR="00A92217" w:rsidRPr="0058727B">
        <w:rPr>
          <w:rFonts w:eastAsiaTheme="minorHAnsi"/>
          <w:b/>
          <w:bCs/>
        </w:rPr>
        <w:t xml:space="preserve"> and </w:t>
      </w:r>
      <w:r w:rsidR="0006071D" w:rsidRPr="0058727B">
        <w:rPr>
          <w:rFonts w:eastAsiaTheme="minorHAnsi"/>
          <w:b/>
          <w:bCs/>
        </w:rPr>
        <w:t xml:space="preserve">strongly </w:t>
      </w:r>
      <w:r w:rsidR="00A92217" w:rsidRPr="0058727B">
        <w:rPr>
          <w:rFonts w:eastAsiaTheme="minorHAnsi"/>
          <w:b/>
          <w:bCs/>
        </w:rPr>
        <w:t xml:space="preserve">encourages the EC to </w:t>
      </w:r>
      <w:r w:rsidR="0006071D" w:rsidRPr="0058727B">
        <w:rPr>
          <w:rFonts w:eastAsiaTheme="minorHAnsi"/>
          <w:b/>
          <w:bCs/>
        </w:rPr>
        <w:t xml:space="preserve">re-examine </w:t>
      </w:r>
      <w:r w:rsidR="00A92217" w:rsidRPr="0058727B">
        <w:rPr>
          <w:rFonts w:eastAsiaTheme="minorHAnsi"/>
          <w:b/>
          <w:bCs/>
        </w:rPr>
        <w:t>the current definition</w:t>
      </w:r>
      <w:r w:rsidR="0006071D" w:rsidRPr="0058727B">
        <w:rPr>
          <w:rFonts w:eastAsiaTheme="minorHAnsi"/>
          <w:b/>
          <w:bCs/>
        </w:rPr>
        <w:t>. Specifically:</w:t>
      </w:r>
    </w:p>
    <w:p w14:paraId="66F8D9FC" w14:textId="3CD546A0" w:rsidR="0086176A" w:rsidRPr="009C43CD" w:rsidRDefault="009F344B" w:rsidP="0027654E">
      <w:pPr>
        <w:pStyle w:val="CEABullet-Level2"/>
      </w:pPr>
      <w:r w:rsidRPr="009C43CD">
        <w:t xml:space="preserve">the reference to sustainable investments (Article 1, 55e, point </w:t>
      </w:r>
      <w:proofErr w:type="spellStart"/>
      <w:r w:rsidRPr="009C43CD">
        <w:t>i</w:t>
      </w:r>
      <w:proofErr w:type="spellEnd"/>
      <w:r w:rsidRPr="009C43CD">
        <w:t>) and the consideration of principal adverse impacts (Article 1, 55e, point ii) for products promot</w:t>
      </w:r>
      <w:r w:rsidR="00CF4613" w:rsidRPr="009C43CD">
        <w:t>ing</w:t>
      </w:r>
      <w:r w:rsidRPr="009C43CD">
        <w:t xml:space="preserve"> environmental or social objectives is not relevant</w:t>
      </w:r>
      <w:r w:rsidR="00F40833" w:rsidRPr="009C43CD">
        <w:t xml:space="preserve"> and should be removed</w:t>
      </w:r>
      <w:r w:rsidR="0027654E" w:rsidRPr="009C43CD">
        <w:t xml:space="preserve"> to avoid confusion and inconsistencies. </w:t>
      </w:r>
    </w:p>
    <w:p w14:paraId="3346209F" w14:textId="0B5EDBDC" w:rsidR="0086176A" w:rsidRPr="009C43CD" w:rsidRDefault="0086176A" w:rsidP="00EF0FA7">
      <w:pPr>
        <w:pStyle w:val="CEABullet-Level2"/>
      </w:pPr>
      <w:r w:rsidRPr="009C43CD">
        <w:t xml:space="preserve">The industry appreciates the EC efforts to achieve legislative coherence across EU legislation and acknowledges the needs of clarifications on the difference between “article 8” and “article 9” products of the Sustainable Finance Disclosures Regulation (SFDR) and on the consideration of principal adverse impacts on sustainability factors. However, </w:t>
      </w:r>
      <w:r w:rsidRPr="009C43CD">
        <w:rPr>
          <w:b/>
          <w:bCs/>
        </w:rPr>
        <w:t xml:space="preserve">these clarifications should be given in the RTS of the SFDR and not in the definition of the sustainability preferences </w:t>
      </w:r>
      <w:r w:rsidR="0077509C" w:rsidRPr="009C43CD">
        <w:rPr>
          <w:b/>
          <w:bCs/>
        </w:rPr>
        <w:t xml:space="preserve">in the context of the </w:t>
      </w:r>
      <w:r w:rsidRPr="009C43CD">
        <w:rPr>
          <w:b/>
          <w:bCs/>
        </w:rPr>
        <w:t>IDD or Solvency II</w:t>
      </w:r>
      <w:r w:rsidRPr="009C43CD">
        <w:t>. If such references are introduced, there is a risk of misalignment between regulations and unintended effects.</w:t>
      </w:r>
      <w:r w:rsidR="00FC5EF9" w:rsidRPr="009C43CD">
        <w:t xml:space="preserve"> </w:t>
      </w:r>
    </w:p>
    <w:p w14:paraId="7A72B877" w14:textId="47066FE2" w:rsidR="007D5FEF" w:rsidRPr="009C43CD" w:rsidRDefault="001C074C" w:rsidP="00E54CC0">
      <w:pPr>
        <w:pStyle w:val="CEABullet-Level2"/>
      </w:pPr>
      <w:r w:rsidRPr="009C43CD">
        <w:t>To</w:t>
      </w:r>
      <w:r w:rsidRPr="009C43CD">
        <w:rPr>
          <w:color w:val="auto"/>
        </w:rPr>
        <w:t xml:space="preserve"> illustrate the above-mentioned issues, let us consider the following example of </w:t>
      </w:r>
      <w:r w:rsidR="009F344B" w:rsidRPr="009C43CD">
        <w:rPr>
          <w:color w:val="auto"/>
        </w:rPr>
        <w:t>French SRI label</w:t>
      </w:r>
      <w:r w:rsidR="0006071D" w:rsidRPr="009C43CD">
        <w:rPr>
          <w:color w:val="auto"/>
        </w:rPr>
        <w:t>led products</w:t>
      </w:r>
      <w:r w:rsidRPr="009C43CD">
        <w:rPr>
          <w:color w:val="auto"/>
        </w:rPr>
        <w:t xml:space="preserve">. These products </w:t>
      </w:r>
      <w:r w:rsidR="0006071D" w:rsidRPr="009C43CD">
        <w:rPr>
          <w:color w:val="auto"/>
        </w:rPr>
        <w:t xml:space="preserve">are eligible as an article 8 product under the SFDR, </w:t>
      </w:r>
      <w:r w:rsidR="009F344B" w:rsidRPr="009C43CD">
        <w:rPr>
          <w:color w:val="auto"/>
        </w:rPr>
        <w:t xml:space="preserve">do not have sustainable investments as objective </w:t>
      </w:r>
      <w:r w:rsidR="0006071D" w:rsidRPr="009C43CD">
        <w:rPr>
          <w:color w:val="auto"/>
        </w:rPr>
        <w:t xml:space="preserve">nor they </w:t>
      </w:r>
      <w:r w:rsidR="009F344B" w:rsidRPr="009C43CD">
        <w:rPr>
          <w:color w:val="auto"/>
        </w:rPr>
        <w:t>require</w:t>
      </w:r>
      <w:r w:rsidR="0006071D" w:rsidRPr="009C43CD">
        <w:rPr>
          <w:color w:val="auto"/>
        </w:rPr>
        <w:t xml:space="preserve"> </w:t>
      </w:r>
      <w:r w:rsidR="00A92217" w:rsidRPr="009C43CD">
        <w:rPr>
          <w:color w:val="auto"/>
        </w:rPr>
        <w:t>excluding</w:t>
      </w:r>
      <w:r w:rsidR="009F344B" w:rsidRPr="009C43CD">
        <w:rPr>
          <w:color w:val="auto"/>
        </w:rPr>
        <w:t xml:space="preserve"> underlying assets with significant adverse impacts. However, </w:t>
      </w:r>
      <w:r w:rsidR="0006071D" w:rsidRPr="009C43CD">
        <w:rPr>
          <w:color w:val="auto"/>
        </w:rPr>
        <w:t xml:space="preserve">these products would still </w:t>
      </w:r>
      <w:r w:rsidR="009F344B" w:rsidRPr="009C43CD">
        <w:rPr>
          <w:color w:val="auto"/>
        </w:rPr>
        <w:t>promote environmental and social characteristics as awarded funds select companies based on their ESG performance</w:t>
      </w:r>
      <w:r w:rsidR="0006071D" w:rsidRPr="009C43CD">
        <w:rPr>
          <w:color w:val="auto"/>
        </w:rPr>
        <w:t>. Therefore, they should not be excluded by the definition of sustainability preferences</w:t>
      </w:r>
      <w:r w:rsidR="009F344B" w:rsidRPr="009C43CD">
        <w:rPr>
          <w:color w:val="auto"/>
        </w:rPr>
        <w:t xml:space="preserve">. </w:t>
      </w:r>
      <w:r w:rsidR="0006071D" w:rsidRPr="009C43CD">
        <w:rPr>
          <w:color w:val="auto"/>
        </w:rPr>
        <w:t xml:space="preserve">This </w:t>
      </w:r>
      <w:r w:rsidRPr="009C43CD">
        <w:rPr>
          <w:color w:val="auto"/>
        </w:rPr>
        <w:t xml:space="preserve">practical example </w:t>
      </w:r>
      <w:r w:rsidR="0006071D" w:rsidRPr="009C43CD">
        <w:rPr>
          <w:color w:val="auto"/>
        </w:rPr>
        <w:t>shows how the current definition – by m</w:t>
      </w:r>
      <w:r w:rsidR="009F344B" w:rsidRPr="009C43CD">
        <w:rPr>
          <w:color w:val="auto"/>
        </w:rPr>
        <w:t xml:space="preserve">aking references to sustainable investments and consideration of principal adverse impacts </w:t>
      </w:r>
      <w:r w:rsidR="0006071D" w:rsidRPr="009C43CD">
        <w:rPr>
          <w:color w:val="auto"/>
        </w:rPr>
        <w:t xml:space="preserve">– would </w:t>
      </w:r>
      <w:r w:rsidR="009F344B" w:rsidRPr="009C43CD">
        <w:rPr>
          <w:color w:val="auto"/>
        </w:rPr>
        <w:t xml:space="preserve">consider such SRI </w:t>
      </w:r>
      <w:r w:rsidR="0006071D" w:rsidRPr="009C43CD">
        <w:rPr>
          <w:color w:val="auto"/>
        </w:rPr>
        <w:t xml:space="preserve">labelled products </w:t>
      </w:r>
      <w:r w:rsidRPr="009C43CD">
        <w:rPr>
          <w:color w:val="auto"/>
        </w:rPr>
        <w:t xml:space="preserve">as inadequate to </w:t>
      </w:r>
      <w:r w:rsidR="0006071D" w:rsidRPr="009C43CD">
        <w:rPr>
          <w:color w:val="auto"/>
        </w:rPr>
        <w:t xml:space="preserve">meet customers’ </w:t>
      </w:r>
      <w:r w:rsidR="009F344B" w:rsidRPr="009C43CD">
        <w:rPr>
          <w:color w:val="auto"/>
        </w:rPr>
        <w:t xml:space="preserve">ESG preferences even if they are eligible </w:t>
      </w:r>
      <w:r w:rsidR="0006071D" w:rsidRPr="009C43CD">
        <w:rPr>
          <w:color w:val="auto"/>
        </w:rPr>
        <w:t xml:space="preserve">as </w:t>
      </w:r>
      <w:r w:rsidR="009F344B" w:rsidRPr="009C43CD">
        <w:rPr>
          <w:color w:val="auto"/>
        </w:rPr>
        <w:t xml:space="preserve">article 8 products of the SFDR. To ensure consistency, </w:t>
      </w:r>
      <w:r w:rsidRPr="009C43CD">
        <w:rPr>
          <w:color w:val="auto"/>
        </w:rPr>
        <w:t xml:space="preserve">the industry stresses that </w:t>
      </w:r>
      <w:r w:rsidR="009F344B" w:rsidRPr="009C43CD">
        <w:rPr>
          <w:color w:val="auto"/>
        </w:rPr>
        <w:t>article 8 and article 9 products under the SFDR should be able to answer consumers’ sustainability preferences with no further requirements</w:t>
      </w:r>
      <w:r w:rsidR="002309C8" w:rsidRPr="009C43CD">
        <w:rPr>
          <w:color w:val="auto"/>
        </w:rPr>
        <w:t xml:space="preserve"> </w:t>
      </w:r>
      <w:r w:rsidR="002309C8" w:rsidRPr="009C43CD">
        <w:rPr>
          <w:color w:val="auto"/>
        </w:rPr>
        <w:lastRenderedPageBreak/>
        <w:t>proposed under the Solvency framework</w:t>
      </w:r>
      <w:r w:rsidR="009F344B" w:rsidRPr="009C43CD">
        <w:rPr>
          <w:color w:val="auto"/>
        </w:rPr>
        <w:t>.</w:t>
      </w:r>
      <w:r w:rsidR="00FC5EF9" w:rsidRPr="009C43CD">
        <w:rPr>
          <w:color w:val="auto"/>
        </w:rPr>
        <w:t xml:space="preserve"> The proposed definition </w:t>
      </w:r>
      <w:r w:rsidR="00FC5EF9" w:rsidRPr="009C43CD">
        <w:t xml:space="preserve">lacks flexibility to allow insurers to react to the needs of their customers. </w:t>
      </w:r>
    </w:p>
    <w:p w14:paraId="2CC33AA8" w14:textId="77777777" w:rsidR="003F046C" w:rsidRDefault="003F046C" w:rsidP="00274E6B">
      <w:pPr>
        <w:rPr>
          <w:b/>
          <w:bCs/>
          <w:color w:val="1F497D" w:themeColor="text2"/>
          <w:sz w:val="17"/>
          <w:szCs w:val="17"/>
        </w:rPr>
      </w:pPr>
    </w:p>
    <w:p w14:paraId="41A74058" w14:textId="2B0653A2" w:rsidR="00DE5FC8" w:rsidRPr="009C43CD" w:rsidRDefault="006D775D" w:rsidP="00274E6B">
      <w:pPr>
        <w:rPr>
          <w:b/>
          <w:bCs/>
          <w:color w:val="1F497D" w:themeColor="text2"/>
          <w:sz w:val="17"/>
          <w:szCs w:val="17"/>
        </w:rPr>
      </w:pPr>
      <w:r w:rsidRPr="009C43CD">
        <w:rPr>
          <w:b/>
          <w:bCs/>
          <w:color w:val="1F497D" w:themeColor="text2"/>
          <w:sz w:val="17"/>
          <w:szCs w:val="17"/>
        </w:rPr>
        <w:t>Risk Management</w:t>
      </w:r>
      <w:r w:rsidR="00C13B8A" w:rsidRPr="009C43CD">
        <w:rPr>
          <w:b/>
          <w:bCs/>
          <w:color w:val="1F497D" w:themeColor="text2"/>
          <w:sz w:val="17"/>
          <w:szCs w:val="17"/>
        </w:rPr>
        <w:t xml:space="preserve"> </w:t>
      </w:r>
      <w:r w:rsidR="0062684B" w:rsidRPr="009C43CD">
        <w:rPr>
          <w:b/>
          <w:bCs/>
          <w:color w:val="1F497D" w:themeColor="text2"/>
          <w:sz w:val="17"/>
          <w:szCs w:val="17"/>
        </w:rPr>
        <w:t xml:space="preserve">Areas </w:t>
      </w:r>
      <w:r w:rsidR="00C13B8A" w:rsidRPr="009C43CD">
        <w:rPr>
          <w:b/>
          <w:bCs/>
          <w:color w:val="1F497D" w:themeColor="text2"/>
          <w:sz w:val="17"/>
          <w:szCs w:val="17"/>
        </w:rPr>
        <w:t>(article 260)</w:t>
      </w:r>
    </w:p>
    <w:p w14:paraId="1033E615" w14:textId="6B9C7482" w:rsidR="00DE5FC8" w:rsidRPr="009C43CD" w:rsidRDefault="00DE5FC8" w:rsidP="00D95D1E">
      <w:pPr>
        <w:pStyle w:val="CEABullet-Level1"/>
        <w:numPr>
          <w:ilvl w:val="0"/>
          <w:numId w:val="0"/>
        </w:numPr>
      </w:pPr>
      <w:r w:rsidRPr="009C43CD">
        <w:t xml:space="preserve">Being supportive of the EC sustainability objectives, </w:t>
      </w:r>
      <w:r w:rsidR="00230BEC" w:rsidRPr="009C43CD">
        <w:t xml:space="preserve">the insurance industry </w:t>
      </w:r>
      <w:r w:rsidRPr="009C43CD">
        <w:t xml:space="preserve">appreciates the EC </w:t>
      </w:r>
      <w:r w:rsidR="00230BEC" w:rsidRPr="009C43CD">
        <w:t xml:space="preserve">amendments </w:t>
      </w:r>
      <w:r w:rsidRPr="009C43CD">
        <w:t>for risk management areas.</w:t>
      </w:r>
      <w:r w:rsidR="00606311" w:rsidRPr="009C43CD">
        <w:t xml:space="preserve"> </w:t>
      </w:r>
      <w:r w:rsidR="00230BEC" w:rsidRPr="009C43CD">
        <w:t>Even if the current Solvency II framework does not represent an obstacle to the integration of sustainability risks - including in the in the risk management function, t</w:t>
      </w:r>
      <w:r w:rsidR="00606311" w:rsidRPr="009C43CD">
        <w:t>he proposed explicit references might help integrate sustainability risks consistently and more efficiently in the risk management function. This is appreciated especially in consideration of the importance of this subject and its relevance in the years to come.</w:t>
      </w:r>
    </w:p>
    <w:p w14:paraId="79DCA77E" w14:textId="65F8C75F" w:rsidR="00D1116D" w:rsidRPr="009C43CD" w:rsidRDefault="00C96015" w:rsidP="00D1116D">
      <w:pPr>
        <w:pStyle w:val="CEABullet-Level1"/>
      </w:pPr>
      <w:r w:rsidRPr="009C43CD">
        <w:t xml:space="preserve">With respect to </w:t>
      </w:r>
      <w:r w:rsidR="00D1116D" w:rsidRPr="009C43CD">
        <w:t xml:space="preserve">article </w:t>
      </w:r>
      <w:r w:rsidRPr="009C43CD">
        <w:t>260 (1)(a)(</w:t>
      </w:r>
      <w:proofErr w:type="spellStart"/>
      <w:r w:rsidRPr="009C43CD">
        <w:t>i</w:t>
      </w:r>
      <w:proofErr w:type="spellEnd"/>
      <w:r w:rsidRPr="009C43CD">
        <w:t xml:space="preserve">) </w:t>
      </w:r>
      <w:r w:rsidR="00D1116D" w:rsidRPr="009C43CD">
        <w:t xml:space="preserve">on </w:t>
      </w:r>
      <w:r w:rsidRPr="009C43CD">
        <w:t xml:space="preserve">underwriting and reserving, the industry recognises that, on the liability side, inadequate pricing and provisioning assumptions can be the result of an inadequate assessment of a wide range of risks — including sustainability risks — due to internal or external factors. To clarify this, Insurance Europe suggests the following addition to the amendment: </w:t>
      </w:r>
      <w:r w:rsidRPr="009C43CD">
        <w:rPr>
          <w:i/>
        </w:rPr>
        <w:t xml:space="preserve">“(…) due to internal or external factors, including sustainability risks </w:t>
      </w:r>
      <w:r w:rsidRPr="007853BD">
        <w:rPr>
          <w:b/>
          <w:i/>
          <w:u w:val="single"/>
        </w:rPr>
        <w:t>where appropriate</w:t>
      </w:r>
      <w:r w:rsidRPr="009C43CD">
        <w:rPr>
          <w:i/>
        </w:rPr>
        <w:t>”</w:t>
      </w:r>
      <w:r w:rsidRPr="009C43CD">
        <w:t>.</w:t>
      </w:r>
      <w:r w:rsidR="00D1116D" w:rsidRPr="009C43CD">
        <w:t xml:space="preserve"> The need for this specification is even more relevant for the liabilities of non-life insurers, with the effects of climate change possibly becoming more evident over time. If time-series trends in the technical provisions show an increase in the </w:t>
      </w:r>
      <w:proofErr w:type="gramStart"/>
      <w:r w:rsidR="00D1116D" w:rsidRPr="009C43CD">
        <w:t>claims</w:t>
      </w:r>
      <w:proofErr w:type="gramEnd"/>
      <w:r w:rsidR="00D1116D" w:rsidRPr="009C43CD">
        <w:t xml:space="preserve"> expectations, insurers will normally react by means of premium adjustments – possible because of the short-term nature of insurance contracts - or by means of adjusting their reinsurance program</w:t>
      </w:r>
      <w:r w:rsidR="00DD651F">
        <w:t>me</w:t>
      </w:r>
      <w:r w:rsidR="00D1116D" w:rsidRPr="009C43CD">
        <w:t xml:space="preserve">s. </w:t>
      </w:r>
    </w:p>
    <w:p w14:paraId="3E0C5B4B" w14:textId="140569BF" w:rsidR="00230BEC" w:rsidRPr="009C43CD" w:rsidRDefault="00230BEC" w:rsidP="00230BEC">
      <w:pPr>
        <w:pStyle w:val="CEABullet-Level1"/>
      </w:pPr>
      <w:r w:rsidRPr="009C43CD">
        <w:t>Regarding paragraph 1(c)(vi) of article 260, given the inclusion of sustainability risks in the prudent person principle (Article 275</w:t>
      </w:r>
      <w:proofErr w:type="gramStart"/>
      <w:r w:rsidR="00C05C51" w:rsidRPr="009C43CD">
        <w:t>a</w:t>
      </w:r>
      <w:r w:rsidRPr="009C43CD">
        <w:t>(</w:t>
      </w:r>
      <w:proofErr w:type="gramEnd"/>
      <w:r w:rsidR="00C05C51" w:rsidRPr="009C43CD">
        <w:t>2</w:t>
      </w:r>
      <w:r w:rsidRPr="009C43CD">
        <w:t>)), Insurance Europe deems this new paragraph redundant. Paragraph 1(c)(</w:t>
      </w:r>
      <w:proofErr w:type="spellStart"/>
      <w:r w:rsidRPr="009C43CD">
        <w:t>i</w:t>
      </w:r>
      <w:proofErr w:type="spellEnd"/>
      <w:r w:rsidRPr="009C43CD">
        <w:t>) already requires the investment risk management policy to include “actions to be taken by the insurance or reinsurance undertaking to ensure that the undertaking's investments comply with the prudent person principle”. Therefore, sustainability risks are already considered. Should the EC maintain this amendment, it needs to be clear that the insurance undertaking should aim to identify, assess and manage these sustainability risk</w:t>
      </w:r>
      <w:r w:rsidR="00DD651F">
        <w:t>s</w:t>
      </w:r>
      <w:r w:rsidRPr="009C43CD">
        <w:t xml:space="preserve"> only when these risks can have material financial impacts on the insurance undertaking.</w:t>
      </w:r>
    </w:p>
    <w:p w14:paraId="121D6B18" w14:textId="1A74A155" w:rsidR="006D775D" w:rsidRPr="003F046C" w:rsidRDefault="006D775D" w:rsidP="00C96015">
      <w:pPr>
        <w:pStyle w:val="CEABullet-Level1"/>
      </w:pPr>
      <w:r w:rsidRPr="009C43CD">
        <w:rPr>
          <w:rFonts w:eastAsiaTheme="minorHAnsi"/>
        </w:rPr>
        <w:t xml:space="preserve">The wording in article 260 </w:t>
      </w:r>
      <w:r w:rsidR="00C96015" w:rsidRPr="009C43CD">
        <w:rPr>
          <w:rFonts w:eastAsiaTheme="minorHAnsi"/>
        </w:rPr>
        <w:t xml:space="preserve">(new paragraph 1a) </w:t>
      </w:r>
      <w:r w:rsidRPr="009C43CD">
        <w:rPr>
          <w:rFonts w:eastAsiaTheme="minorHAnsi"/>
        </w:rPr>
        <w:t xml:space="preserve">requires the integration of sustainability risks within appropriate policies. </w:t>
      </w:r>
      <w:r w:rsidR="003E6624" w:rsidRPr="009C43CD">
        <w:rPr>
          <w:rFonts w:eastAsiaTheme="minorHAnsi"/>
        </w:rPr>
        <w:t>In this respect, t</w:t>
      </w:r>
      <w:r w:rsidR="003E6624" w:rsidRPr="009C43CD">
        <w:t>he industry appreciates that insurers will be allowed to consider the inclusion of references to sustainability risks in other risk management policies based on financial materiality and relevance. Therefore, Insurance Europe welcomes the inclusion of “where relevant” in the wording of paragraph 1a.</w:t>
      </w:r>
      <w:r w:rsidR="008209F1" w:rsidRPr="009C43CD">
        <w:t xml:space="preserve"> In addition, t</w:t>
      </w:r>
      <w:r w:rsidRPr="009C43CD">
        <w:rPr>
          <w:rFonts w:eastAsiaTheme="minorHAnsi"/>
        </w:rPr>
        <w:t>he industry encourages the EC to consider the following wording in order to improve the clarity of the article: “</w:t>
      </w:r>
      <w:r w:rsidRPr="0058727B">
        <w:rPr>
          <w:rFonts w:eastAsiaTheme="minorHAnsi"/>
          <w:i/>
          <w:iCs/>
        </w:rPr>
        <w:t xml:space="preserve">The insurance and reinsurance undertakings shall integrate </w:t>
      </w:r>
      <w:r w:rsidRPr="0058727B">
        <w:rPr>
          <w:rFonts w:eastAsiaTheme="minorHAnsi"/>
          <w:b/>
          <w:bCs/>
          <w:i/>
          <w:iCs/>
        </w:rPr>
        <w:t>sustainability risks</w:t>
      </w:r>
      <w:r w:rsidRPr="0058727B">
        <w:rPr>
          <w:rFonts w:eastAsiaTheme="minorHAnsi"/>
          <w:i/>
          <w:iCs/>
        </w:rPr>
        <w:t xml:space="preserve"> in their policies referred to in points (a) and (c) of paragraph 1, and where relevant, </w:t>
      </w:r>
      <w:r w:rsidRPr="0058727B">
        <w:rPr>
          <w:rFonts w:eastAsiaTheme="minorHAnsi"/>
          <w:b/>
          <w:bCs/>
          <w:i/>
          <w:iCs/>
          <w:color w:val="auto"/>
        </w:rPr>
        <w:t xml:space="preserve">in the </w:t>
      </w:r>
      <w:r w:rsidRPr="0058727B">
        <w:rPr>
          <w:rFonts w:eastAsiaTheme="minorHAnsi"/>
          <w:i/>
          <w:iCs/>
        </w:rPr>
        <w:t xml:space="preserve">policies on the other areas referred to in paragraph 1, </w:t>
      </w:r>
      <w:r w:rsidRPr="0058727B">
        <w:rPr>
          <w:rFonts w:eastAsiaTheme="minorHAnsi"/>
          <w:i/>
          <w:iCs/>
          <w:strike/>
        </w:rPr>
        <w:t>sustainability risks</w:t>
      </w:r>
      <w:r w:rsidRPr="009C43CD">
        <w:rPr>
          <w:rFonts w:eastAsiaTheme="minorHAnsi"/>
        </w:rPr>
        <w:t>.”</w:t>
      </w:r>
    </w:p>
    <w:p w14:paraId="075E09E8" w14:textId="77777777" w:rsidR="003F046C" w:rsidRPr="009C43CD" w:rsidRDefault="003F046C" w:rsidP="003F046C">
      <w:pPr>
        <w:pStyle w:val="CEABullet-Level1"/>
        <w:numPr>
          <w:ilvl w:val="0"/>
          <w:numId w:val="0"/>
        </w:numPr>
        <w:ind w:left="720"/>
      </w:pPr>
    </w:p>
    <w:p w14:paraId="55C2F54E" w14:textId="0413FA06" w:rsidR="00D505EA" w:rsidRPr="009C43CD" w:rsidRDefault="009440A9" w:rsidP="00274E6B">
      <w:pPr>
        <w:rPr>
          <w:b/>
          <w:bCs/>
          <w:color w:val="1F497D" w:themeColor="text2"/>
          <w:sz w:val="17"/>
          <w:szCs w:val="17"/>
        </w:rPr>
      </w:pPr>
      <w:r w:rsidRPr="009C43CD">
        <w:rPr>
          <w:b/>
          <w:bCs/>
          <w:color w:val="1F497D" w:themeColor="text2"/>
          <w:sz w:val="17"/>
          <w:szCs w:val="17"/>
        </w:rPr>
        <w:t>Risk management function (</w:t>
      </w:r>
      <w:r w:rsidR="003A0B1C" w:rsidRPr="009C43CD">
        <w:rPr>
          <w:b/>
          <w:bCs/>
          <w:color w:val="1F497D" w:themeColor="text2"/>
          <w:sz w:val="17"/>
          <w:szCs w:val="17"/>
        </w:rPr>
        <w:t>article 269</w:t>
      </w:r>
      <w:r w:rsidRPr="009C43CD">
        <w:rPr>
          <w:b/>
          <w:bCs/>
          <w:color w:val="1F497D" w:themeColor="text2"/>
          <w:sz w:val="17"/>
          <w:szCs w:val="17"/>
        </w:rPr>
        <w:t>)</w:t>
      </w:r>
    </w:p>
    <w:p w14:paraId="4DDCD2AE" w14:textId="6FAB8E91" w:rsidR="00293B69" w:rsidRPr="009C43CD" w:rsidRDefault="00293B69" w:rsidP="00C14DDE">
      <w:pPr>
        <w:pStyle w:val="CEABullet-Level1"/>
      </w:pPr>
      <w:r w:rsidRPr="009C43CD">
        <w:t>The insurance industry understands the amendment regarding article 269</w:t>
      </w:r>
      <w:r w:rsidR="007E48AF" w:rsidRPr="009C43CD">
        <w:t>(1)</w:t>
      </w:r>
      <w:r w:rsidRPr="009C43CD">
        <w:t xml:space="preserve"> of the Solvency II Delegated Regulation as a way to ensure the effectiveness and adequacy of sustainability risk integration. </w:t>
      </w:r>
    </w:p>
    <w:p w14:paraId="33300493" w14:textId="0F303CF9" w:rsidR="009852AD" w:rsidRPr="009C43CD" w:rsidRDefault="009852AD" w:rsidP="009852AD">
      <w:pPr>
        <w:pStyle w:val="CEABullet-Level1"/>
      </w:pPr>
      <w:r w:rsidRPr="009C43CD">
        <w:t xml:space="preserve">Regarding the addition of paragraph 1a) in article 269, the industry agrees that the consideration of the effect of material sustainability risks should be included in </w:t>
      </w:r>
      <w:r w:rsidRPr="009C43CD">
        <w:rPr>
          <w:b/>
          <w:bCs/>
        </w:rPr>
        <w:t>the overall solvency needs assessment of the undertakings (ORSA)</w:t>
      </w:r>
      <w:r w:rsidRPr="009C43CD">
        <w:t>. In this respect, the industry notes that the link between sustainability risks and the ORSA is critical, but that the analysis of sustainability risks is dependent on the company-specific strategy and risk assessment. Therefore, the measurement and quantification of the effects of sustainability risks for the undertaking’s ORSA is necessary only for financially material effects.</w:t>
      </w:r>
    </w:p>
    <w:p w14:paraId="4E34702D" w14:textId="489FC824" w:rsidR="00052A2C" w:rsidRPr="009C43CD" w:rsidRDefault="00052A2C" w:rsidP="00052A2C">
      <w:pPr>
        <w:pStyle w:val="CEABullet-Level1"/>
      </w:pPr>
      <w:r w:rsidRPr="009C43CD">
        <w:t>In addition to the EC proposed changes, the industry notes that the current sparseness of</w:t>
      </w:r>
      <w:r w:rsidRPr="009C43CD">
        <w:rPr>
          <w:b/>
          <w:bCs/>
        </w:rPr>
        <w:t xml:space="preserve"> ESG data</w:t>
      </w:r>
      <w:r w:rsidRPr="009C43CD">
        <w:t xml:space="preserve"> represents an obstacle to monitor exposures from a sustainability viewpoint. Information and related data would need to be available and transparent across the whole financial sector and various market players to facilitate and improve the integration of sustainability risks in the insurers’ investment processes. Equally important, Insurance Europe emphasises the need for proportionality with respect to information requirements associated with the integration of sustainability risks. Excessive additional burden on small insurers with respect to any new information requirements should be avoided. </w:t>
      </w:r>
    </w:p>
    <w:p w14:paraId="5A14A042" w14:textId="6B0466C6" w:rsidR="00581CE5" w:rsidRDefault="00581CE5" w:rsidP="00581CE5">
      <w:pPr>
        <w:pStyle w:val="CEABullet-Level1"/>
        <w:numPr>
          <w:ilvl w:val="0"/>
          <w:numId w:val="0"/>
        </w:numPr>
        <w:ind w:left="360"/>
      </w:pPr>
    </w:p>
    <w:p w14:paraId="22E7AB00" w14:textId="77777777" w:rsidR="003F046C" w:rsidRPr="009C43CD" w:rsidRDefault="003F046C" w:rsidP="00581CE5">
      <w:pPr>
        <w:pStyle w:val="CEABullet-Level1"/>
        <w:numPr>
          <w:ilvl w:val="0"/>
          <w:numId w:val="0"/>
        </w:numPr>
        <w:ind w:left="360"/>
      </w:pPr>
    </w:p>
    <w:p w14:paraId="0867A191" w14:textId="77777777" w:rsidR="0061062A" w:rsidRPr="009C43CD" w:rsidRDefault="0061062A" w:rsidP="00274E6B">
      <w:pPr>
        <w:rPr>
          <w:b/>
          <w:bCs/>
          <w:color w:val="1F497D" w:themeColor="text2"/>
          <w:sz w:val="17"/>
          <w:szCs w:val="17"/>
        </w:rPr>
      </w:pPr>
      <w:r w:rsidRPr="009C43CD">
        <w:rPr>
          <w:b/>
          <w:bCs/>
          <w:color w:val="1F497D" w:themeColor="text2"/>
          <w:sz w:val="17"/>
          <w:szCs w:val="17"/>
        </w:rPr>
        <w:t>Actuarial function (article 272)</w:t>
      </w:r>
    </w:p>
    <w:p w14:paraId="0AADEE44" w14:textId="77777777" w:rsidR="0061062A" w:rsidRPr="009C43CD" w:rsidRDefault="0061062A" w:rsidP="0061062A">
      <w:pPr>
        <w:pStyle w:val="CEABullet-Level1"/>
      </w:pPr>
      <w:r w:rsidRPr="009C43CD">
        <w:t xml:space="preserve">The proposed amendments on sustainability risks regarding the tasks of the </w:t>
      </w:r>
      <w:r w:rsidRPr="009C43CD">
        <w:rPr>
          <w:b/>
          <w:bCs/>
        </w:rPr>
        <w:t>actuarial function</w:t>
      </w:r>
      <w:r w:rsidRPr="009C43CD">
        <w:t xml:space="preserve"> are welcome. Their inclusion at the same level of other considerations, such as inflation, legal risk, etc ensures that the consideration of sustainability risks will not prevail on other equally important risks/ consideration and vice versa.</w:t>
      </w:r>
    </w:p>
    <w:p w14:paraId="4D9A5379" w14:textId="5ABB6E2E" w:rsidR="0061062A" w:rsidRPr="009C43CD" w:rsidRDefault="0061062A" w:rsidP="0061062A">
      <w:pPr>
        <w:pStyle w:val="CEABullet-Level1"/>
      </w:pPr>
      <w:r w:rsidRPr="009C43CD">
        <w:t xml:space="preserve">Insurance Europe highlights that risks that are relevant to the risk return profile, including sustainability risks, already need to be considered by the undertaking under the existing regulatory provisions and that the tasks of the key functions in relation to ESG investment risks should be the same as those regarding any other risk. </w:t>
      </w:r>
    </w:p>
    <w:p w14:paraId="26A0749A" w14:textId="2D86B115" w:rsidR="0061062A" w:rsidRPr="009C43CD" w:rsidRDefault="0061062A" w:rsidP="0061062A">
      <w:pPr>
        <w:pStyle w:val="CEABullet-Level1"/>
        <w:numPr>
          <w:ilvl w:val="0"/>
          <w:numId w:val="0"/>
        </w:numPr>
        <w:ind w:left="720"/>
      </w:pPr>
    </w:p>
    <w:p w14:paraId="2F73B1DF" w14:textId="38EABBAD" w:rsidR="00581CE5" w:rsidRPr="009C43CD" w:rsidRDefault="00581CE5" w:rsidP="00274E6B">
      <w:pPr>
        <w:rPr>
          <w:b/>
          <w:bCs/>
          <w:color w:val="1F497D" w:themeColor="text2"/>
          <w:sz w:val="17"/>
          <w:szCs w:val="17"/>
        </w:rPr>
      </w:pPr>
      <w:r w:rsidRPr="009C43CD">
        <w:rPr>
          <w:b/>
          <w:bCs/>
          <w:color w:val="1F497D" w:themeColor="text2"/>
          <w:sz w:val="17"/>
          <w:szCs w:val="17"/>
        </w:rPr>
        <w:t xml:space="preserve">Remuneration policy </w:t>
      </w:r>
      <w:r w:rsidR="003A0B1C" w:rsidRPr="009C43CD">
        <w:rPr>
          <w:b/>
          <w:bCs/>
          <w:color w:val="1F497D" w:themeColor="text2"/>
          <w:sz w:val="17"/>
          <w:szCs w:val="17"/>
        </w:rPr>
        <w:t>(article 275)</w:t>
      </w:r>
    </w:p>
    <w:p w14:paraId="14CA06DF" w14:textId="0FD6B2F0" w:rsidR="006D775D" w:rsidRPr="009C43CD" w:rsidRDefault="006D775D" w:rsidP="006D775D">
      <w:pPr>
        <w:pStyle w:val="CEABullet-Level1"/>
      </w:pPr>
      <w:r w:rsidRPr="009C43CD">
        <w:t xml:space="preserve">The EC amendment on the </w:t>
      </w:r>
      <w:r w:rsidRPr="009C43CD">
        <w:rPr>
          <w:b/>
          <w:bCs/>
          <w:szCs w:val="17"/>
        </w:rPr>
        <w:t>remuneration policy</w:t>
      </w:r>
      <w:r w:rsidRPr="009C43CD">
        <w:rPr>
          <w:szCs w:val="17"/>
        </w:rPr>
        <w:t xml:space="preserve"> </w:t>
      </w:r>
      <w:r w:rsidR="00D505EA" w:rsidRPr="009C43CD">
        <w:rPr>
          <w:szCs w:val="17"/>
        </w:rPr>
        <w:t>in article 27</w:t>
      </w:r>
      <w:r w:rsidR="00902312" w:rsidRPr="009C43CD">
        <w:rPr>
          <w:szCs w:val="17"/>
        </w:rPr>
        <w:t xml:space="preserve">5 of the Solvency II Delegated Regulation </w:t>
      </w:r>
      <w:r w:rsidRPr="009C43CD">
        <w:rPr>
          <w:szCs w:val="17"/>
        </w:rPr>
        <w:t xml:space="preserve">is welcome. The </w:t>
      </w:r>
      <w:r w:rsidRPr="009C43CD">
        <w:t>insurance industry believes it is sufficiently flexible to allow insurers to embed sustainability risks within their specific organisations and risk areas.</w:t>
      </w:r>
    </w:p>
    <w:p w14:paraId="216FF416" w14:textId="55CF1F2D" w:rsidR="001D431B" w:rsidRPr="009C43CD" w:rsidRDefault="001D431B" w:rsidP="00816032">
      <w:pPr>
        <w:pStyle w:val="CEABullet-Level1"/>
        <w:numPr>
          <w:ilvl w:val="0"/>
          <w:numId w:val="0"/>
        </w:numPr>
        <w:ind w:left="720" w:hanging="360"/>
      </w:pPr>
    </w:p>
    <w:p w14:paraId="33AE8E8D" w14:textId="1112AA0E" w:rsidR="00AA75C5" w:rsidRPr="009C43CD" w:rsidRDefault="00AA75C5" w:rsidP="00274E6B">
      <w:pPr>
        <w:rPr>
          <w:b/>
          <w:bCs/>
          <w:color w:val="1F497D" w:themeColor="text2"/>
          <w:sz w:val="17"/>
          <w:szCs w:val="17"/>
        </w:rPr>
      </w:pPr>
      <w:r w:rsidRPr="009C43CD">
        <w:rPr>
          <w:b/>
          <w:bCs/>
          <w:color w:val="1F497D" w:themeColor="text2"/>
          <w:sz w:val="17"/>
          <w:szCs w:val="17"/>
        </w:rPr>
        <w:t>Sustainability in the prudent person principle (article 275a)</w:t>
      </w:r>
    </w:p>
    <w:p w14:paraId="3694E258" w14:textId="42BB4CC6" w:rsidR="009F3ED2" w:rsidRPr="009C43CD" w:rsidRDefault="009F3ED2" w:rsidP="009F3ED2">
      <w:pPr>
        <w:rPr>
          <w:sz w:val="17"/>
          <w:szCs w:val="17"/>
        </w:rPr>
      </w:pPr>
      <w:r w:rsidRPr="009C43CD">
        <w:rPr>
          <w:sz w:val="17"/>
          <w:szCs w:val="17"/>
        </w:rPr>
        <w:t>The insurance industry agrees with the rationale for including sustainable risk in the prudent person principle, but it believes that article 275a should be improved for consistency and feasibility purposes. As Solvency II is designed for</w:t>
      </w:r>
      <w:r w:rsidR="0058727B">
        <w:rPr>
          <w:sz w:val="17"/>
          <w:szCs w:val="17"/>
        </w:rPr>
        <w:t xml:space="preserve"> </w:t>
      </w:r>
      <w:r w:rsidRPr="009C43CD">
        <w:rPr>
          <w:sz w:val="17"/>
          <w:szCs w:val="17"/>
        </w:rPr>
        <w:t>policyholders</w:t>
      </w:r>
      <w:r w:rsidR="00DD651F">
        <w:rPr>
          <w:sz w:val="17"/>
          <w:szCs w:val="17"/>
        </w:rPr>
        <w:t>’</w:t>
      </w:r>
      <w:r w:rsidRPr="009C43CD">
        <w:rPr>
          <w:sz w:val="17"/>
          <w:szCs w:val="17"/>
        </w:rPr>
        <w:t xml:space="preserve"> protection, considerations on the policyholders</w:t>
      </w:r>
      <w:r w:rsidR="00DD651F">
        <w:rPr>
          <w:sz w:val="17"/>
          <w:szCs w:val="17"/>
        </w:rPr>
        <w:t>’</w:t>
      </w:r>
      <w:r w:rsidRPr="009C43CD">
        <w:rPr>
          <w:sz w:val="17"/>
          <w:szCs w:val="17"/>
        </w:rPr>
        <w:t xml:space="preserve"> preferences should not be introduced within this article.</w:t>
      </w:r>
    </w:p>
    <w:p w14:paraId="132BB874" w14:textId="243753E7" w:rsidR="00BB5B59" w:rsidRPr="009C43CD" w:rsidRDefault="009F3ED2" w:rsidP="006815C4">
      <w:pPr>
        <w:pStyle w:val="CEABullet-Level1"/>
      </w:pPr>
      <w:r w:rsidRPr="009C43CD">
        <w:rPr>
          <w:b/>
          <w:u w:val="single"/>
        </w:rPr>
        <w:t xml:space="preserve">Regarding </w:t>
      </w:r>
      <w:r w:rsidR="001E41C5" w:rsidRPr="009C43CD">
        <w:rPr>
          <w:b/>
          <w:u w:val="single"/>
        </w:rPr>
        <w:t>article</w:t>
      </w:r>
      <w:r w:rsidRPr="009C43CD">
        <w:rPr>
          <w:b/>
          <w:u w:val="single"/>
        </w:rPr>
        <w:t xml:space="preserve"> 275</w:t>
      </w:r>
      <w:r w:rsidR="00BB5B59" w:rsidRPr="009C43CD">
        <w:rPr>
          <w:b/>
          <w:u w:val="single"/>
        </w:rPr>
        <w:t>a</w:t>
      </w:r>
      <w:r w:rsidRPr="009C43CD">
        <w:rPr>
          <w:b/>
          <w:u w:val="single"/>
        </w:rPr>
        <w:t xml:space="preserve"> (1)</w:t>
      </w:r>
      <w:r w:rsidR="00BB5B59" w:rsidRPr="009C43CD">
        <w:t>, t</w:t>
      </w:r>
      <w:r w:rsidRPr="009C43CD">
        <w:t xml:space="preserve">he </w:t>
      </w:r>
      <w:r w:rsidR="00BB5B59" w:rsidRPr="009C43CD">
        <w:t xml:space="preserve">industry notes that the </w:t>
      </w:r>
      <w:r w:rsidRPr="009C43CD">
        <w:t xml:space="preserve">prudent person principle </w:t>
      </w:r>
      <w:r w:rsidR="00BB5B59" w:rsidRPr="009C43CD">
        <w:t xml:space="preserve">already </w:t>
      </w:r>
      <w:r w:rsidRPr="009C43CD">
        <w:t xml:space="preserve">allows for adequate integration of </w:t>
      </w:r>
      <w:r w:rsidR="00BB5B59" w:rsidRPr="009C43CD">
        <w:t xml:space="preserve">sustainability </w:t>
      </w:r>
      <w:r w:rsidRPr="009C43CD">
        <w:t>risks</w:t>
      </w:r>
      <w:r w:rsidR="00BB5B59" w:rsidRPr="009C43CD">
        <w:t xml:space="preserve"> as i</w:t>
      </w:r>
      <w:r w:rsidRPr="009C43CD">
        <w:t xml:space="preserve">nsurers are under the obligation to properly identify, measure, monitor, manage, control and report all types of risks that could have a potential material impact on investments, including sustainability risks. In this respect, Insurance Europe </w:t>
      </w:r>
      <w:r w:rsidR="00BB5B59" w:rsidRPr="009C43CD">
        <w:t>notes that:</w:t>
      </w:r>
    </w:p>
    <w:p w14:paraId="059B56FC" w14:textId="2895FA53" w:rsidR="009F3ED2" w:rsidRPr="009C43CD" w:rsidRDefault="009F3ED2" w:rsidP="00BB5B59">
      <w:pPr>
        <w:pStyle w:val="CEABullet-Level2"/>
      </w:pPr>
      <w:r w:rsidRPr="009C43CD">
        <w:t>sustainability risks should be recognised within the existing prudent person principle</w:t>
      </w:r>
      <w:r w:rsidR="00BB5B59" w:rsidRPr="009C43CD">
        <w:t xml:space="preserve">, </w:t>
      </w:r>
      <w:r w:rsidRPr="009C43CD">
        <w:t xml:space="preserve">not as another criterion alongside security, liquidity, profitability and quality. </w:t>
      </w:r>
    </w:p>
    <w:p w14:paraId="48F689E7" w14:textId="4331DA3A" w:rsidR="009F3ED2" w:rsidRPr="009C43CD" w:rsidRDefault="009F3ED2" w:rsidP="00FB57AB">
      <w:pPr>
        <w:pStyle w:val="CEABullet-Level2"/>
      </w:pPr>
      <w:r w:rsidRPr="009C43CD">
        <w:t xml:space="preserve">sustainability risks should be treated as other risks. </w:t>
      </w:r>
      <w:r w:rsidR="00BB5B59" w:rsidRPr="009C43CD">
        <w:t xml:space="preserve">To avoid an imbalance in regulatory requirements caused by highlighting only particular risks in an area which is still under development, the following amendment is proposed: </w:t>
      </w:r>
      <w:r w:rsidR="005C61C8" w:rsidRPr="009C43CD">
        <w:rPr>
          <w:rFonts w:eastAsiaTheme="minorHAnsi"/>
          <w:i/>
          <w:iCs/>
          <w:szCs w:val="17"/>
        </w:rPr>
        <w:t>“</w:t>
      </w:r>
      <w:r w:rsidR="00BB5B59" w:rsidRPr="009C43CD">
        <w:rPr>
          <w:rFonts w:eastAsiaTheme="minorHAnsi"/>
          <w:i/>
          <w:iCs/>
          <w:szCs w:val="17"/>
        </w:rPr>
        <w:t>When identifying, measuring, monitoring, managing, controlling, reporting and assessing risks arising from investments, as referred to in the first sub-paragraph of Article 132(2) of Directive 2009/138/EC, insurance and reinsurance undertakings shall take into account</w:t>
      </w:r>
      <w:r w:rsidR="00BB5B59" w:rsidRPr="009C43CD">
        <w:rPr>
          <w:rFonts w:eastAsiaTheme="minorHAnsi"/>
          <w:b/>
          <w:bCs/>
          <w:i/>
          <w:iCs/>
          <w:szCs w:val="17"/>
        </w:rPr>
        <w:t xml:space="preserve"> all </w:t>
      </w:r>
      <w:r w:rsidR="00BB5B59" w:rsidRPr="009C43CD">
        <w:rPr>
          <w:rFonts w:eastAsiaTheme="minorHAnsi" w:cs="Times New Roman"/>
          <w:b/>
          <w:bCs/>
          <w:i/>
          <w:iCs/>
          <w:szCs w:val="17"/>
        </w:rPr>
        <w:t xml:space="preserve">actual or a potential </w:t>
      </w:r>
      <w:r w:rsidR="00BB5B59" w:rsidRPr="009C43CD">
        <w:rPr>
          <w:rFonts w:eastAsiaTheme="minorHAnsi"/>
          <w:b/>
          <w:bCs/>
          <w:i/>
          <w:iCs/>
          <w:szCs w:val="17"/>
        </w:rPr>
        <w:t xml:space="preserve">financially </w:t>
      </w:r>
      <w:r w:rsidR="00BB5B59" w:rsidRPr="009C43CD">
        <w:rPr>
          <w:rFonts w:eastAsiaTheme="minorHAnsi" w:cs="Times New Roman"/>
          <w:b/>
          <w:bCs/>
          <w:i/>
          <w:iCs/>
          <w:szCs w:val="17"/>
        </w:rPr>
        <w:t xml:space="preserve">material </w:t>
      </w:r>
      <w:r w:rsidR="00BB5B59" w:rsidRPr="009C43CD">
        <w:rPr>
          <w:rFonts w:eastAsiaTheme="minorHAnsi"/>
          <w:b/>
          <w:bCs/>
          <w:i/>
          <w:iCs/>
          <w:szCs w:val="17"/>
        </w:rPr>
        <w:t>risks, including</w:t>
      </w:r>
      <w:r w:rsidR="00BB5B59" w:rsidRPr="009C43CD">
        <w:rPr>
          <w:rFonts w:eastAsiaTheme="minorHAnsi"/>
          <w:i/>
          <w:iCs/>
          <w:szCs w:val="17"/>
        </w:rPr>
        <w:t xml:space="preserve"> sustainability risks.</w:t>
      </w:r>
      <w:r w:rsidR="005C61C8" w:rsidRPr="009C43CD">
        <w:rPr>
          <w:rFonts w:eastAsiaTheme="minorHAnsi"/>
          <w:i/>
          <w:iCs/>
          <w:szCs w:val="17"/>
        </w:rPr>
        <w:t>”</w:t>
      </w:r>
      <w:r w:rsidR="00D50BC2" w:rsidRPr="009C43CD">
        <w:rPr>
          <w:rFonts w:eastAsiaTheme="minorHAnsi"/>
          <w:i/>
          <w:iCs/>
          <w:szCs w:val="17"/>
        </w:rPr>
        <w:t xml:space="preserve"> </w:t>
      </w:r>
      <w:r w:rsidRPr="009C43CD">
        <w:t xml:space="preserve">This clarification would </w:t>
      </w:r>
      <w:r w:rsidR="00D50BC2" w:rsidRPr="009C43CD">
        <w:t xml:space="preserve">also </w:t>
      </w:r>
      <w:r w:rsidRPr="009C43CD">
        <w:t>help insurers implement a more proportionate investment strategy in the interest of policyholders and shareholders.</w:t>
      </w:r>
    </w:p>
    <w:p w14:paraId="25E6FCF4" w14:textId="485CE589" w:rsidR="005B4F0E" w:rsidRPr="009C43CD" w:rsidRDefault="009F3ED2" w:rsidP="005B4F0E">
      <w:pPr>
        <w:pStyle w:val="CEABullet-Level1"/>
      </w:pPr>
      <w:r w:rsidRPr="009C43CD">
        <w:rPr>
          <w:b/>
          <w:u w:val="single"/>
        </w:rPr>
        <w:t xml:space="preserve">Regarding </w:t>
      </w:r>
      <w:r w:rsidR="001E41C5" w:rsidRPr="009C43CD">
        <w:rPr>
          <w:b/>
          <w:u w:val="single"/>
        </w:rPr>
        <w:t>article</w:t>
      </w:r>
      <w:r w:rsidRPr="009C43CD">
        <w:rPr>
          <w:b/>
          <w:u w:val="single"/>
        </w:rPr>
        <w:t xml:space="preserve"> 275</w:t>
      </w:r>
      <w:r w:rsidR="00BB5B59" w:rsidRPr="009C43CD">
        <w:rPr>
          <w:b/>
          <w:u w:val="single"/>
        </w:rPr>
        <w:t>a</w:t>
      </w:r>
      <w:r w:rsidRPr="009C43CD">
        <w:rPr>
          <w:b/>
          <w:u w:val="single"/>
        </w:rPr>
        <w:t xml:space="preserve"> (2)</w:t>
      </w:r>
      <w:r w:rsidR="00257D17" w:rsidRPr="009C43CD">
        <w:t>, t</w:t>
      </w:r>
      <w:r w:rsidRPr="009C43CD">
        <w:t xml:space="preserve">he sector acknowledges </w:t>
      </w:r>
      <w:r w:rsidR="00257D17" w:rsidRPr="009C43CD">
        <w:t xml:space="preserve">the </w:t>
      </w:r>
      <w:r w:rsidRPr="009C43CD">
        <w:t xml:space="preserve">objective to promote </w:t>
      </w:r>
      <w:r w:rsidR="00B062DC" w:rsidRPr="009C43CD">
        <w:t xml:space="preserve">better </w:t>
      </w:r>
      <w:r w:rsidRPr="009C43CD">
        <w:t>consider</w:t>
      </w:r>
      <w:r w:rsidR="00B062DC" w:rsidRPr="009C43CD">
        <w:t>ation of</w:t>
      </w:r>
      <w:r w:rsidRPr="009C43CD">
        <w:t xml:space="preserve"> the potential impact of investment decisions on sustainability factors</w:t>
      </w:r>
      <w:r w:rsidR="00E07607" w:rsidRPr="009C43CD">
        <w:t>, but highlights that</w:t>
      </w:r>
      <w:r w:rsidR="005B4F0E" w:rsidRPr="009C43CD">
        <w:t xml:space="preserve"> the current wording should be amended to:</w:t>
      </w:r>
    </w:p>
    <w:p w14:paraId="2982E2B3" w14:textId="77777777" w:rsidR="005B4F0E" w:rsidRPr="009C43CD" w:rsidRDefault="005B4F0E" w:rsidP="005B4F0E">
      <w:pPr>
        <w:pStyle w:val="CEABullet-Level2"/>
      </w:pPr>
      <w:r w:rsidRPr="009C43CD">
        <w:t xml:space="preserve">recognise the existing difficulties in terms of feasibility and proportionality. </w:t>
      </w:r>
    </w:p>
    <w:p w14:paraId="1D3FC080" w14:textId="04A8FC8F" w:rsidR="005B4F0E" w:rsidRPr="009C43CD" w:rsidRDefault="005B4F0E" w:rsidP="005B4F0E">
      <w:pPr>
        <w:pStyle w:val="CEABullet-Level2"/>
      </w:pPr>
      <w:r w:rsidRPr="009C43CD">
        <w:t>acknowledge that impact of investment decisions on sustainability factors (for example via engagement) can be very costly and that its effectiveness can be questionable depending on the portfolio types (</w:t>
      </w:r>
      <w:proofErr w:type="spellStart"/>
      <w:r w:rsidRPr="009C43CD">
        <w:t>eg</w:t>
      </w:r>
      <w:proofErr w:type="spellEnd"/>
      <w:r w:rsidRPr="009C43CD">
        <w:t xml:space="preserve"> equity versus bond</w:t>
      </w:r>
      <w:r w:rsidR="005D6111">
        <w:t>s</w:t>
      </w:r>
      <w:r w:rsidRPr="009C43CD">
        <w:t>) and the size of the investing undertaking.</w:t>
      </w:r>
    </w:p>
    <w:p w14:paraId="31C8AF50" w14:textId="77777777" w:rsidR="005B4F0E" w:rsidRPr="009C43CD" w:rsidRDefault="005B4F0E" w:rsidP="005B4F0E">
      <w:pPr>
        <w:pStyle w:val="CEABullet-Level2"/>
      </w:pPr>
      <w:r w:rsidRPr="009C43CD">
        <w:t>not contradict the principle of freedom of investment.</w:t>
      </w:r>
    </w:p>
    <w:p w14:paraId="3D8D4AFE" w14:textId="2D118091" w:rsidR="005B4F0E" w:rsidRPr="009C43CD" w:rsidRDefault="005B4F0E" w:rsidP="005B4F0E">
      <w:pPr>
        <w:pStyle w:val="CEABullet-Level1"/>
      </w:pPr>
      <w:r w:rsidRPr="009C43CD">
        <w:t>As it stands, the industry notes the following shortcomings of article 275a (2):</w:t>
      </w:r>
    </w:p>
    <w:p w14:paraId="7DB39341" w14:textId="48713A64" w:rsidR="00E07607" w:rsidRPr="009C43CD" w:rsidRDefault="00E07607" w:rsidP="00E07607">
      <w:pPr>
        <w:pStyle w:val="CEABullet-Level2"/>
      </w:pPr>
      <w:r w:rsidRPr="009C43CD">
        <w:t>T</w:t>
      </w:r>
      <w:r w:rsidR="009F3ED2" w:rsidRPr="009C43CD">
        <w:t xml:space="preserve">he </w:t>
      </w:r>
      <w:r w:rsidRPr="009C43CD">
        <w:t xml:space="preserve">current </w:t>
      </w:r>
      <w:r w:rsidR="009F3ED2" w:rsidRPr="009C43CD">
        <w:t xml:space="preserve">meaning of </w:t>
      </w:r>
      <w:r w:rsidR="00710D1C" w:rsidRPr="009C43CD">
        <w:t>a</w:t>
      </w:r>
      <w:r w:rsidR="009F3ED2" w:rsidRPr="009C43CD">
        <w:t>rticle 275</w:t>
      </w:r>
      <w:r w:rsidR="003701FD" w:rsidRPr="009C43CD">
        <w:t>a</w:t>
      </w:r>
      <w:r w:rsidR="009F3ED2" w:rsidRPr="009C43CD">
        <w:t xml:space="preserve"> (2) risks distorting the Solvency II framework in its current wording. </w:t>
      </w:r>
      <w:r w:rsidRPr="009C43CD">
        <w:t>I</w:t>
      </w:r>
      <w:r w:rsidR="009F3ED2" w:rsidRPr="009C43CD">
        <w:t xml:space="preserve">t is essential to clarify that the requirement </w:t>
      </w:r>
      <w:r w:rsidR="009F3ED2" w:rsidRPr="009C43CD">
        <w:rPr>
          <w:i/>
          <w:iCs/>
        </w:rPr>
        <w:t>“to take into account the potential long-term impact of investment decisions on sustainability factors</w:t>
      </w:r>
      <w:r w:rsidR="009F3ED2" w:rsidRPr="009C43CD">
        <w:t xml:space="preserve">” does not imply investment restrictions and/or limitations, which would contradict the principle of freedom of investment in </w:t>
      </w:r>
      <w:r w:rsidR="00710D1C" w:rsidRPr="009C43CD">
        <w:t>a</w:t>
      </w:r>
      <w:r w:rsidR="009F3ED2" w:rsidRPr="009C43CD">
        <w:t>rticle 133 of the Solvency II Directive.</w:t>
      </w:r>
    </w:p>
    <w:p w14:paraId="3DBDE7A4" w14:textId="4FB942B4" w:rsidR="002F23FB" w:rsidRPr="009C43CD" w:rsidRDefault="00092E01" w:rsidP="00360AAD">
      <w:pPr>
        <w:pStyle w:val="CEABullet-Level2"/>
      </w:pPr>
      <w:r w:rsidRPr="009C43CD">
        <w:t xml:space="preserve">While the </w:t>
      </w:r>
      <w:r w:rsidR="005D6111">
        <w:t xml:space="preserve">aim </w:t>
      </w:r>
      <w:r w:rsidRPr="009C43CD">
        <w:t>to encourage stewardship is well understood, t</w:t>
      </w:r>
      <w:r w:rsidR="002F23FB" w:rsidRPr="009C43CD">
        <w:t>he insurers’ measurement of the impact of investments on sustainability would be facilitated if</w:t>
      </w:r>
      <w:r w:rsidR="007853BD">
        <w:t xml:space="preserve"> relevant information on the sustainability profiles of </w:t>
      </w:r>
      <w:r w:rsidR="007853BD" w:rsidRPr="009C43CD">
        <w:t xml:space="preserve">investees </w:t>
      </w:r>
      <w:r w:rsidR="007853BD">
        <w:t xml:space="preserve">companies </w:t>
      </w:r>
      <w:r w:rsidR="007853BD" w:rsidRPr="009C43CD">
        <w:t xml:space="preserve">would </w:t>
      </w:r>
      <w:r w:rsidR="007853BD">
        <w:t>be readily available.</w:t>
      </w:r>
      <w:r w:rsidR="002F23FB" w:rsidRPr="009C43CD">
        <w:t xml:space="preserve"> Asking insurers to capture the impact of their investments on sustainability is generally very difficult in terms of available </w:t>
      </w:r>
      <w:r w:rsidR="002F23FB" w:rsidRPr="009C43CD">
        <w:lastRenderedPageBreak/>
        <w:t xml:space="preserve">information, data and measurement methods. In some cases, this assessment might only be qualitative. </w:t>
      </w:r>
    </w:p>
    <w:p w14:paraId="6D5F3A19" w14:textId="5389B271" w:rsidR="009F3ED2" w:rsidRPr="0058727B" w:rsidRDefault="00E07607" w:rsidP="002F23FB">
      <w:pPr>
        <w:pStyle w:val="CEABullet-Level2"/>
      </w:pPr>
      <w:r w:rsidRPr="009C43CD">
        <w:t>While t</w:t>
      </w:r>
      <w:r w:rsidR="009F3ED2" w:rsidRPr="009C43CD">
        <w:t>he industry considers that assessing the impact of investments on sustainability factors is desirable</w:t>
      </w:r>
      <w:r w:rsidRPr="009C43CD">
        <w:t xml:space="preserve">, there is not </w:t>
      </w:r>
      <w:r w:rsidR="009F3ED2" w:rsidRPr="009C43CD">
        <w:t xml:space="preserve">a commonly accepted approach </w:t>
      </w:r>
      <w:r w:rsidRPr="009C43CD">
        <w:t xml:space="preserve">in the financial sector </w:t>
      </w:r>
      <w:r w:rsidR="009F3ED2" w:rsidRPr="009C43CD">
        <w:t xml:space="preserve">on how to </w:t>
      </w:r>
      <w:r w:rsidRPr="009C43CD">
        <w:t xml:space="preserve">accurately </w:t>
      </w:r>
      <w:r w:rsidR="009F3ED2" w:rsidRPr="009C43CD">
        <w:t xml:space="preserve">capture the effects of investments on sustainability factors. In addition, </w:t>
      </w:r>
      <w:r w:rsidRPr="009C43CD">
        <w:t xml:space="preserve">as </w:t>
      </w:r>
      <w:r w:rsidR="009F3ED2" w:rsidRPr="009C43CD">
        <w:t xml:space="preserve">some financial players do not have </w:t>
      </w:r>
      <w:r w:rsidR="009F3ED2" w:rsidRPr="0058727B">
        <w:t>the resources to adequately build up the necessary tools</w:t>
      </w:r>
      <w:r w:rsidRPr="0058727B">
        <w:t>, proportionality needs to be duly considered</w:t>
      </w:r>
      <w:r w:rsidR="00092E01" w:rsidRPr="0058727B">
        <w:t xml:space="preserve"> in the implementation of the requirements.</w:t>
      </w:r>
    </w:p>
    <w:p w14:paraId="0332DDDE" w14:textId="4D816D4C" w:rsidR="009F3ED2" w:rsidRPr="009C43CD" w:rsidRDefault="009F3ED2" w:rsidP="008347DE">
      <w:pPr>
        <w:pStyle w:val="CEABullet-Level1"/>
      </w:pPr>
      <w:r w:rsidRPr="0058727B">
        <w:t>Regarding</w:t>
      </w:r>
      <w:r w:rsidRPr="0058727B">
        <w:rPr>
          <w:b/>
          <w:bCs/>
        </w:rPr>
        <w:t xml:space="preserve"> ESG preferences of policyholders</w:t>
      </w:r>
      <w:r w:rsidRPr="0058727B">
        <w:t xml:space="preserve"> (</w:t>
      </w:r>
      <w:r w:rsidR="008347DE" w:rsidRPr="0058727B">
        <w:t xml:space="preserve">in </w:t>
      </w:r>
      <w:r w:rsidR="00D71895" w:rsidRPr="0058727B">
        <w:t>a</w:t>
      </w:r>
      <w:r w:rsidRPr="0058727B">
        <w:t>rticle 275</w:t>
      </w:r>
      <w:proofErr w:type="gramStart"/>
      <w:r w:rsidR="00D71895" w:rsidRPr="0058727B">
        <w:t>a</w:t>
      </w:r>
      <w:r w:rsidRPr="0058727B">
        <w:t>(</w:t>
      </w:r>
      <w:proofErr w:type="gramEnd"/>
      <w:r w:rsidRPr="0058727B">
        <w:t>2))</w:t>
      </w:r>
      <w:r w:rsidR="008F6E6E" w:rsidRPr="0058727B">
        <w:t xml:space="preserve">, </w:t>
      </w:r>
      <w:r w:rsidR="008347DE" w:rsidRPr="0058727B">
        <w:t xml:space="preserve">the sector supports that ESG preferences of policyholders should be taken into account under IDD instead of Solvency II. This will prevent potential inconsistencies with the Solvency II objective of policyholders’ protection. Specifically, </w:t>
      </w:r>
      <w:r w:rsidRPr="0058727B">
        <w:t>the sentence in Article 275bis (2) (</w:t>
      </w:r>
      <w:proofErr w:type="spellStart"/>
      <w:r w:rsidRPr="0058727B">
        <w:t>ie</w:t>
      </w:r>
      <w:proofErr w:type="spellEnd"/>
      <w:r w:rsidRPr="0058727B">
        <w:t xml:space="preserve"> </w:t>
      </w:r>
      <w:r w:rsidRPr="0058727B">
        <w:rPr>
          <w:i/>
          <w:iCs/>
        </w:rPr>
        <w:t>“</w:t>
      </w:r>
      <w:r w:rsidR="00EC2D01" w:rsidRPr="0058727B">
        <w:rPr>
          <w:i/>
          <w:iCs/>
        </w:rPr>
        <w:t>and, where relevant, that strategy and those decisions shall reflect the sustainability preferences of its customers taken into</w:t>
      </w:r>
      <w:r w:rsidR="00EC2D01" w:rsidRPr="009C43CD">
        <w:rPr>
          <w:i/>
          <w:iCs/>
        </w:rPr>
        <w:t xml:space="preserve"> account in the product approval process as referred to in Article 4 of Commission Delegated Regulation (EU) 2017/2358</w:t>
      </w:r>
      <w:r w:rsidRPr="009C43CD">
        <w:t xml:space="preserve">”) should be deleted. </w:t>
      </w:r>
      <w:r w:rsidR="008347DE" w:rsidRPr="009C43CD">
        <w:t xml:space="preserve">Should the EC propose this amendment, it needs to be noted that the use of relevance is necessary as </w:t>
      </w:r>
      <w:r w:rsidR="00092E01" w:rsidRPr="009C43CD">
        <w:t xml:space="preserve">ESG preferences of policyholders and beneficiaries </w:t>
      </w:r>
      <w:r w:rsidR="008347DE" w:rsidRPr="009C43CD">
        <w:t xml:space="preserve">cannot be </w:t>
      </w:r>
      <w:r w:rsidR="00092E01" w:rsidRPr="009C43CD">
        <w:t>systematically collected for all insurance products</w:t>
      </w:r>
      <w:r w:rsidR="008347DE" w:rsidRPr="009C43CD">
        <w:t xml:space="preserve">. </w:t>
      </w:r>
    </w:p>
    <w:p w14:paraId="794ACD87" w14:textId="120E5167" w:rsidR="00FC5EF9" w:rsidRPr="009C43CD" w:rsidRDefault="00FC5EF9" w:rsidP="00E54CC0">
      <w:pPr>
        <w:pStyle w:val="CEABullet-Level1"/>
        <w:numPr>
          <w:ilvl w:val="0"/>
          <w:numId w:val="0"/>
        </w:numPr>
        <w:ind w:left="720"/>
      </w:pPr>
    </w:p>
    <w:p w14:paraId="33763E38" w14:textId="3187E8A8" w:rsidR="00FC5EF9" w:rsidRPr="009C43CD" w:rsidRDefault="00FC5EF9" w:rsidP="00E54CC0">
      <w:pPr>
        <w:rPr>
          <w:b/>
          <w:bCs/>
          <w:color w:val="1F497D" w:themeColor="text2"/>
          <w:sz w:val="17"/>
          <w:szCs w:val="17"/>
        </w:rPr>
      </w:pPr>
      <w:r w:rsidRPr="009C43CD">
        <w:rPr>
          <w:b/>
          <w:bCs/>
          <w:color w:val="1F497D" w:themeColor="text2"/>
          <w:sz w:val="17"/>
          <w:szCs w:val="17"/>
        </w:rPr>
        <w:t>Implementation timeframe</w:t>
      </w:r>
      <w:r w:rsidR="002C3B94" w:rsidRPr="009C43CD">
        <w:rPr>
          <w:b/>
          <w:bCs/>
          <w:color w:val="1F497D" w:themeColor="text2"/>
          <w:sz w:val="17"/>
          <w:szCs w:val="17"/>
        </w:rPr>
        <w:t xml:space="preserve"> (article 2)</w:t>
      </w:r>
    </w:p>
    <w:p w14:paraId="0BD8F090" w14:textId="08BFF53E" w:rsidR="00FC5EF9" w:rsidRPr="009C43CD" w:rsidRDefault="00FC5EF9" w:rsidP="00E54CC0">
      <w:pPr>
        <w:pStyle w:val="CEABullet-Level1"/>
      </w:pPr>
      <w:r w:rsidRPr="009C43CD">
        <w:t>Insurance Europe welcomes the implementation period of 12 months starting with the entry into force of the Act</w:t>
      </w:r>
      <w:r w:rsidR="002C3B94" w:rsidRPr="009C43CD">
        <w:t xml:space="preserve"> as this will facilitate i</w:t>
      </w:r>
      <w:r w:rsidRPr="009C43CD">
        <w:t>nsurers</w:t>
      </w:r>
      <w:r w:rsidR="002C3B94" w:rsidRPr="009C43CD">
        <w:t>’</w:t>
      </w:r>
      <w:r w:rsidRPr="009C43CD">
        <w:t xml:space="preserve"> implement</w:t>
      </w:r>
      <w:r w:rsidR="002C3B94" w:rsidRPr="009C43CD">
        <w:t>ation</w:t>
      </w:r>
      <w:r w:rsidRPr="009C43CD">
        <w:t>.</w:t>
      </w:r>
    </w:p>
    <w:p w14:paraId="724E2F1A" w14:textId="773C74A3" w:rsidR="001D0DDF" w:rsidRPr="009C43CD" w:rsidRDefault="001D0DDF" w:rsidP="00F342E1">
      <w:pPr>
        <w:pStyle w:val="CEABullet-Level1"/>
        <w:numPr>
          <w:ilvl w:val="0"/>
          <w:numId w:val="0"/>
        </w:numPr>
      </w:pPr>
    </w:p>
    <w:p w14:paraId="6553777D" w14:textId="2506AC15" w:rsidR="001D0DDF" w:rsidRDefault="001D0DDF" w:rsidP="001D0DDF">
      <w:pPr>
        <w:pStyle w:val="CEABullet-Level1"/>
        <w:numPr>
          <w:ilvl w:val="0"/>
          <w:numId w:val="0"/>
        </w:numPr>
        <w:ind w:left="720" w:hanging="360"/>
      </w:pPr>
    </w:p>
    <w:p w14:paraId="0C0474A7" w14:textId="4A80E27E" w:rsidR="0058727B" w:rsidRDefault="0058727B" w:rsidP="001D0DDF">
      <w:pPr>
        <w:pStyle w:val="CEABullet-Level1"/>
        <w:numPr>
          <w:ilvl w:val="0"/>
          <w:numId w:val="0"/>
        </w:numPr>
        <w:ind w:left="720" w:hanging="360"/>
      </w:pPr>
    </w:p>
    <w:p w14:paraId="4D7DD516" w14:textId="7DD5DE65" w:rsidR="0058727B" w:rsidRDefault="0058727B" w:rsidP="001D0DDF">
      <w:pPr>
        <w:pStyle w:val="CEABullet-Level1"/>
        <w:numPr>
          <w:ilvl w:val="0"/>
          <w:numId w:val="0"/>
        </w:numPr>
        <w:ind w:left="720" w:hanging="360"/>
      </w:pPr>
    </w:p>
    <w:p w14:paraId="10C1BB09" w14:textId="685925EC" w:rsidR="0058727B" w:rsidRDefault="0058727B" w:rsidP="001D0DDF">
      <w:pPr>
        <w:pStyle w:val="CEABullet-Level1"/>
        <w:numPr>
          <w:ilvl w:val="0"/>
          <w:numId w:val="0"/>
        </w:numPr>
        <w:ind w:left="720" w:hanging="360"/>
      </w:pPr>
    </w:p>
    <w:p w14:paraId="3F10BA1B" w14:textId="7E3D8B3D" w:rsidR="0058727B" w:rsidRDefault="0058727B" w:rsidP="001D0DDF">
      <w:pPr>
        <w:pStyle w:val="CEABullet-Level1"/>
        <w:numPr>
          <w:ilvl w:val="0"/>
          <w:numId w:val="0"/>
        </w:numPr>
        <w:ind w:left="720" w:hanging="360"/>
      </w:pPr>
    </w:p>
    <w:p w14:paraId="1A13A2B1" w14:textId="5948F234" w:rsidR="0058727B" w:rsidRDefault="0058727B" w:rsidP="001D0DDF">
      <w:pPr>
        <w:pStyle w:val="CEABullet-Level1"/>
        <w:numPr>
          <w:ilvl w:val="0"/>
          <w:numId w:val="0"/>
        </w:numPr>
        <w:ind w:left="720" w:hanging="360"/>
      </w:pPr>
    </w:p>
    <w:p w14:paraId="5E809B3E" w14:textId="06D07803" w:rsidR="0058727B" w:rsidRDefault="0058727B" w:rsidP="001D0DDF">
      <w:pPr>
        <w:pStyle w:val="CEABullet-Level1"/>
        <w:numPr>
          <w:ilvl w:val="0"/>
          <w:numId w:val="0"/>
        </w:numPr>
        <w:ind w:left="720" w:hanging="360"/>
      </w:pPr>
    </w:p>
    <w:p w14:paraId="0698C071" w14:textId="2D1B6F1E" w:rsidR="0058727B" w:rsidRDefault="0058727B" w:rsidP="001D0DDF">
      <w:pPr>
        <w:pStyle w:val="CEABullet-Level1"/>
        <w:numPr>
          <w:ilvl w:val="0"/>
          <w:numId w:val="0"/>
        </w:numPr>
        <w:ind w:left="720" w:hanging="360"/>
      </w:pPr>
    </w:p>
    <w:p w14:paraId="108290FE" w14:textId="7C01117F" w:rsidR="0058727B" w:rsidRDefault="0058727B" w:rsidP="001D0DDF">
      <w:pPr>
        <w:pStyle w:val="CEABullet-Level1"/>
        <w:numPr>
          <w:ilvl w:val="0"/>
          <w:numId w:val="0"/>
        </w:numPr>
        <w:ind w:left="720" w:hanging="360"/>
      </w:pPr>
    </w:p>
    <w:p w14:paraId="5009424D" w14:textId="0E4165E8" w:rsidR="0058727B" w:rsidRDefault="0058727B" w:rsidP="001D0DDF">
      <w:pPr>
        <w:pStyle w:val="CEABullet-Level1"/>
        <w:numPr>
          <w:ilvl w:val="0"/>
          <w:numId w:val="0"/>
        </w:numPr>
        <w:ind w:left="720" w:hanging="360"/>
      </w:pPr>
    </w:p>
    <w:p w14:paraId="7DEF3844" w14:textId="77777777" w:rsidR="0058727B" w:rsidRDefault="0058727B" w:rsidP="001D0DDF">
      <w:pPr>
        <w:pStyle w:val="CEABullet-Level1"/>
        <w:numPr>
          <w:ilvl w:val="0"/>
          <w:numId w:val="0"/>
        </w:numPr>
        <w:ind w:left="720" w:hanging="360"/>
      </w:pPr>
    </w:p>
    <w:p w14:paraId="6B7AB0F8" w14:textId="27B8D355" w:rsidR="0058727B" w:rsidRDefault="0058727B" w:rsidP="001D0DDF">
      <w:pPr>
        <w:pStyle w:val="CEABullet-Level1"/>
        <w:numPr>
          <w:ilvl w:val="0"/>
          <w:numId w:val="0"/>
        </w:numPr>
        <w:ind w:left="720" w:hanging="360"/>
      </w:pPr>
    </w:p>
    <w:p w14:paraId="78903AB8" w14:textId="49E6647F" w:rsidR="0058727B" w:rsidRDefault="0058727B" w:rsidP="001D0DDF">
      <w:pPr>
        <w:pStyle w:val="CEABullet-Level1"/>
        <w:numPr>
          <w:ilvl w:val="0"/>
          <w:numId w:val="0"/>
        </w:numPr>
        <w:ind w:left="720" w:hanging="360"/>
      </w:pPr>
    </w:p>
    <w:p w14:paraId="26AA37C7" w14:textId="0A5C3519" w:rsidR="0058727B" w:rsidRDefault="0058727B" w:rsidP="001D0DDF">
      <w:pPr>
        <w:pStyle w:val="CEABullet-Level1"/>
        <w:numPr>
          <w:ilvl w:val="0"/>
          <w:numId w:val="0"/>
        </w:numPr>
        <w:ind w:left="720" w:hanging="360"/>
      </w:pPr>
    </w:p>
    <w:p w14:paraId="0E6DC1A6" w14:textId="77777777" w:rsidR="0058727B" w:rsidRPr="009C43CD" w:rsidRDefault="0058727B" w:rsidP="001D0DDF">
      <w:pPr>
        <w:pStyle w:val="CEABullet-Level1"/>
        <w:numPr>
          <w:ilvl w:val="0"/>
          <w:numId w:val="0"/>
        </w:numPr>
        <w:ind w:left="720" w:hanging="360"/>
      </w:pPr>
    </w:p>
    <w:sectPr w:rsidR="0058727B" w:rsidRPr="009C43CD" w:rsidSect="009D70D2">
      <w:headerReference w:type="default" r:id="rId14"/>
      <w:footerReference w:type="even" r:id="rId15"/>
      <w:footerReference w:type="default" r:id="rId16"/>
      <w:headerReference w:type="first" r:id="rId17"/>
      <w:footerReference w:type="first" r:id="rId18"/>
      <w:type w:val="continuous"/>
      <w:pgSz w:w="11907" w:h="16839" w:code="9"/>
      <w:pgMar w:top="2336" w:right="902" w:bottom="1077" w:left="1474" w:header="709" w:footer="23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Insurance Europe" w:date="2020-06-16T11:48:00Z" w:initials="IE">
    <w:p w14:paraId="634C34AD" w14:textId="77777777" w:rsidR="00500170" w:rsidRDefault="008719B5" w:rsidP="008719B5">
      <w:pPr>
        <w:pStyle w:val="Textkomentra"/>
        <w:rPr>
          <w:color w:val="FF0000"/>
          <w:sz w:val="22"/>
          <w:szCs w:val="32"/>
        </w:rPr>
      </w:pPr>
      <w:r>
        <w:rPr>
          <w:rStyle w:val="Odkaznakomentr"/>
        </w:rPr>
        <w:annotationRef/>
      </w:r>
    </w:p>
    <w:p w14:paraId="7F26B184" w14:textId="77777777" w:rsidR="00500170" w:rsidRDefault="008719B5" w:rsidP="008719B5">
      <w:pPr>
        <w:pStyle w:val="Textkomentra"/>
        <w:rPr>
          <w:color w:val="FF0000"/>
          <w:sz w:val="22"/>
          <w:szCs w:val="32"/>
        </w:rPr>
      </w:pPr>
      <w:r w:rsidRPr="004467E4">
        <w:rPr>
          <w:color w:val="FF0000"/>
          <w:sz w:val="22"/>
          <w:szCs w:val="32"/>
        </w:rPr>
        <w:t xml:space="preserve">NOTE: </w:t>
      </w:r>
      <w:r w:rsidR="00500170">
        <w:rPr>
          <w:b/>
          <w:bCs/>
          <w:color w:val="FF0000"/>
          <w:sz w:val="22"/>
          <w:szCs w:val="32"/>
        </w:rPr>
        <w:t>Members are invited to provide feedback on Section II below</w:t>
      </w:r>
      <w:r w:rsidR="00500170">
        <w:rPr>
          <w:color w:val="FF0000"/>
          <w:sz w:val="22"/>
          <w:szCs w:val="32"/>
        </w:rPr>
        <w:t xml:space="preserve"> </w:t>
      </w:r>
    </w:p>
    <w:p w14:paraId="45835644" w14:textId="77777777" w:rsidR="00500170" w:rsidRDefault="00500170" w:rsidP="008719B5">
      <w:pPr>
        <w:pStyle w:val="Textkomentra"/>
        <w:rPr>
          <w:color w:val="FF0000"/>
          <w:sz w:val="22"/>
          <w:szCs w:val="32"/>
        </w:rPr>
      </w:pPr>
    </w:p>
    <w:p w14:paraId="7A34E298" w14:textId="65CBB3C4" w:rsidR="008719B5" w:rsidRDefault="008719B5" w:rsidP="008719B5">
      <w:pPr>
        <w:pStyle w:val="Textkomentra"/>
        <w:rPr>
          <w:b/>
          <w:bCs/>
          <w:color w:val="FF0000"/>
          <w:sz w:val="22"/>
          <w:szCs w:val="32"/>
        </w:rPr>
      </w:pPr>
      <w:r>
        <w:rPr>
          <w:color w:val="FF0000"/>
          <w:sz w:val="22"/>
          <w:szCs w:val="32"/>
        </w:rPr>
        <w:t xml:space="preserve">This section will be finalised based on feedback received on section </w:t>
      </w:r>
      <w:r w:rsidR="00500170">
        <w:rPr>
          <w:color w:val="FF0000"/>
          <w:sz w:val="22"/>
          <w:szCs w:val="32"/>
        </w:rPr>
        <w:t xml:space="preserve">II containing </w:t>
      </w:r>
      <w:r>
        <w:rPr>
          <w:color w:val="FF0000"/>
          <w:sz w:val="22"/>
          <w:szCs w:val="32"/>
        </w:rPr>
        <w:t xml:space="preserve">detailed comments. This section will be </w:t>
      </w:r>
      <w:r w:rsidRPr="004467E4">
        <w:rPr>
          <w:color w:val="FF0000"/>
          <w:sz w:val="22"/>
          <w:szCs w:val="32"/>
        </w:rPr>
        <w:t xml:space="preserve">limited to </w:t>
      </w:r>
      <w:r w:rsidRPr="004467E4">
        <w:rPr>
          <w:b/>
          <w:bCs/>
          <w:color w:val="FF0000"/>
          <w:sz w:val="22"/>
          <w:szCs w:val="32"/>
        </w:rPr>
        <w:t xml:space="preserve">max </w:t>
      </w:r>
      <w:r>
        <w:rPr>
          <w:b/>
          <w:bCs/>
          <w:color w:val="FF0000"/>
          <w:sz w:val="22"/>
          <w:szCs w:val="32"/>
        </w:rPr>
        <w:t>4</w:t>
      </w:r>
      <w:r w:rsidRPr="004467E4">
        <w:rPr>
          <w:b/>
          <w:bCs/>
          <w:color w:val="FF0000"/>
          <w:sz w:val="22"/>
          <w:szCs w:val="32"/>
        </w:rPr>
        <w:t>000 characters</w:t>
      </w:r>
      <w:r w:rsidR="00500170">
        <w:rPr>
          <w:b/>
          <w:bCs/>
          <w:color w:val="FF0000"/>
          <w:sz w:val="22"/>
          <w:szCs w:val="32"/>
        </w:rPr>
        <w:t>.</w:t>
      </w:r>
    </w:p>
    <w:p w14:paraId="0E0AF134" w14:textId="77777777" w:rsidR="00500170" w:rsidRDefault="00500170" w:rsidP="008719B5">
      <w:pPr>
        <w:pStyle w:val="Textkomentra"/>
        <w:rPr>
          <w:b/>
          <w:bCs/>
          <w:color w:val="FF0000"/>
          <w:sz w:val="22"/>
          <w:szCs w:val="32"/>
        </w:rPr>
      </w:pPr>
    </w:p>
    <w:p w14:paraId="00E80F82" w14:textId="2201AB5B" w:rsidR="00500170" w:rsidRDefault="00500170" w:rsidP="008719B5">
      <w:pPr>
        <w:pStyle w:val="Textkomentra"/>
      </w:pPr>
    </w:p>
  </w:comment>
  <w:comment w:id="1" w:author="Insurance Europe" w:date="2020-06-16T15:33:00Z" w:initials="IE">
    <w:p w14:paraId="3F9F0B40" w14:textId="62D65E6F" w:rsidR="008719B5" w:rsidRDefault="008719B5">
      <w:pPr>
        <w:pStyle w:val="Textkomentra"/>
      </w:pPr>
      <w:r w:rsidRPr="008719B5">
        <w:rPr>
          <w:rStyle w:val="Odkaznakomentr"/>
          <w:color w:val="FF0000"/>
        </w:rPr>
        <w:annotationRef/>
      </w:r>
      <w:r w:rsidRPr="008719B5">
        <w:rPr>
          <w:color w:val="FF0000"/>
        </w:rPr>
        <w:t>Members are invited to provide feedback on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0E80F82" w15:done="0"/>
  <w15:commentEx w15:paraId="3F9F0B4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0E80F82" w16cid:durableId="2293300D"/>
  <w16cid:commentId w16cid:paraId="3F9F0B40" w16cid:durableId="229364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02ED1" w14:textId="77777777" w:rsidR="00A93105" w:rsidRDefault="00A93105">
      <w:pPr>
        <w:spacing w:line="240" w:lineRule="auto"/>
      </w:pPr>
      <w:r>
        <w:separator/>
      </w:r>
    </w:p>
  </w:endnote>
  <w:endnote w:type="continuationSeparator" w:id="0">
    <w:p w14:paraId="25AB863F" w14:textId="77777777" w:rsidR="00A93105" w:rsidRDefault="00A93105">
      <w:pPr>
        <w:spacing w:line="240" w:lineRule="auto"/>
      </w:pPr>
      <w:r>
        <w:continuationSeparator/>
      </w:r>
    </w:p>
  </w:endnote>
  <w:endnote w:type="continuationNotice" w:id="1">
    <w:p w14:paraId="6ED54064" w14:textId="77777777" w:rsidR="00A93105" w:rsidRDefault="00A931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utiger LT Std 45 Light">
    <w:altName w:val="Leelawadee UI Semilight"/>
    <w:panose1 w:val="00000000000000000000"/>
    <w:charset w:val="00"/>
    <w:family w:val="swiss"/>
    <w:notTrueType/>
    <w:pitch w:val="variable"/>
    <w:sig w:usb0="800000AF" w:usb1="4000204A"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 w:name="Frutiger LT Com 45 Light">
    <w:altName w:val="Corbel"/>
    <w:charset w:val="00"/>
    <w:family w:val="swiss"/>
    <w:pitch w:val="variable"/>
    <w:sig w:usb0="00000001" w:usb1="5000204A" w:usb2="00000000" w:usb3="00000000" w:csb0="0000009B"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9E9B3C" w14:textId="77777777" w:rsidR="00C14DDE" w:rsidRDefault="00C14DDE" w:rsidP="009D70D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5B638EC" w14:textId="77777777" w:rsidR="00C14DDE" w:rsidRDefault="00C14DDE" w:rsidP="009D70D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9272D" w14:textId="57D9C0D6" w:rsidR="00C14DDE" w:rsidRPr="00723412" w:rsidRDefault="00C14DDE" w:rsidP="009D70D2">
    <w:pPr>
      <w:pStyle w:val="Pta"/>
      <w:framePr w:wrap="around" w:vAnchor="page" w:hAnchor="margin" w:xAlign="right" w:y="16161"/>
      <w:rPr>
        <w:rStyle w:val="slostrany"/>
        <w:color w:val="002957"/>
      </w:rPr>
    </w:pPr>
    <w:r>
      <w:rPr>
        <w:rStyle w:val="slostrany"/>
        <w:color w:val="002957"/>
        <w:szCs w:val="17"/>
      </w:rPr>
      <w:fldChar w:fldCharType="begin"/>
    </w:r>
    <w:r>
      <w:rPr>
        <w:rStyle w:val="slostrany"/>
        <w:color w:val="002957"/>
        <w:szCs w:val="17"/>
      </w:rPr>
      <w:instrText xml:space="preserve"> PAGE   \* MERGEFORMAT </w:instrText>
    </w:r>
    <w:r>
      <w:rPr>
        <w:rStyle w:val="slostrany"/>
        <w:color w:val="002957"/>
        <w:szCs w:val="17"/>
      </w:rPr>
      <w:fldChar w:fldCharType="separate"/>
    </w:r>
    <w:r>
      <w:rPr>
        <w:rStyle w:val="slostrany"/>
        <w:noProof/>
        <w:color w:val="002957"/>
        <w:szCs w:val="17"/>
      </w:rPr>
      <w:t>5</w:t>
    </w:r>
    <w:r>
      <w:rPr>
        <w:rStyle w:val="slostrany"/>
        <w:color w:val="002957"/>
        <w:szCs w:val="17"/>
      </w:rPr>
      <w:fldChar w:fldCharType="end"/>
    </w:r>
  </w:p>
  <w:p w14:paraId="6200C642" w14:textId="77777777" w:rsidR="00C14DDE" w:rsidRPr="0085650F" w:rsidRDefault="00C14DDE" w:rsidP="009D70D2">
    <w:pPr>
      <w:tabs>
        <w:tab w:val="right" w:pos="10260"/>
      </w:tabs>
      <w:autoSpaceDE w:val="0"/>
      <w:autoSpaceDN w:val="0"/>
      <w:adjustRightInd w:val="0"/>
      <w:ind w:right="360"/>
      <w:textAlignment w:val="center"/>
      <w:rPr>
        <w:rFonts w:ascii="Arial" w:hAnsi="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6F2FD" w14:textId="77777777" w:rsidR="00C14DDE" w:rsidRPr="006A3720" w:rsidRDefault="00C14DDE" w:rsidP="009D70D2">
    <w:pPr>
      <w:framePr w:w="3958" w:h="1015" w:hRule="exact" w:hSpace="181" w:wrap="around" w:vAnchor="page" w:hAnchor="page" w:x="7259" w:y="15423" w:anchorLock="1"/>
      <w:rPr>
        <w:rFonts w:cs="Tahoma"/>
        <w:color w:val="002957"/>
        <w:sz w:val="14"/>
        <w:szCs w:val="14"/>
      </w:rPr>
    </w:pPr>
    <w:r w:rsidRPr="006A3720">
      <w:rPr>
        <w:rFonts w:cs="Tahoma"/>
        <w:color w:val="002957"/>
        <w:sz w:val="14"/>
        <w:szCs w:val="14"/>
      </w:rPr>
      <w:t xml:space="preserve">© </w:t>
    </w:r>
    <w:r w:rsidRPr="006A3720">
      <w:rPr>
        <w:color w:val="002957"/>
        <w:sz w:val="14"/>
        <w:szCs w:val="14"/>
        <w:lang w:val="en-US"/>
      </w:rPr>
      <w:t>Reproduction in whole or in part of the content of this document and the communication thereof are made with the consent of Insurance Europe, must be clearly attributed to Insurance Europe and must include the date of the Insurance Europe document.</w:t>
    </w:r>
  </w:p>
  <w:p w14:paraId="1EF48E35" w14:textId="77777777" w:rsidR="00C14DDE" w:rsidRDefault="00C14DDE" w:rsidP="00BD3110">
    <w:pPr>
      <w:pStyle w:val="CEAFooterauthorinfo"/>
      <w:ind w:left="567"/>
      <w:jc w:val="left"/>
      <w:rPr>
        <w:b w:val="0"/>
        <w:color w:val="002957"/>
        <w:sz w:val="14"/>
        <w:szCs w:val="14"/>
        <w:lang w:val="pt-PT"/>
      </w:rPr>
    </w:pPr>
    <w:r w:rsidRPr="00A4463C">
      <w:rPr>
        <w:b w:val="0"/>
        <w:color w:val="002957"/>
        <w:sz w:val="14"/>
        <w:szCs w:val="14"/>
        <w:lang w:val="fr-BE"/>
      </w:rPr>
      <w:t>Insurance Europe aisbl</w:t>
    </w:r>
  </w:p>
  <w:p w14:paraId="270046DF" w14:textId="77777777" w:rsidR="00C14DDE" w:rsidRPr="00A4463C" w:rsidRDefault="00C14DDE" w:rsidP="00BD3110">
    <w:pPr>
      <w:pStyle w:val="CEAFooterauthorinfo"/>
      <w:ind w:left="567"/>
      <w:jc w:val="left"/>
      <w:rPr>
        <w:b w:val="0"/>
        <w:color w:val="002957"/>
        <w:sz w:val="14"/>
        <w:szCs w:val="14"/>
        <w:lang w:val="fr-BE"/>
      </w:rPr>
    </w:pPr>
    <w:r w:rsidRPr="00A4463C">
      <w:rPr>
        <w:b w:val="0"/>
        <w:color w:val="002957"/>
        <w:sz w:val="14"/>
        <w:szCs w:val="14"/>
        <w:lang w:val="fr-BE"/>
      </w:rPr>
      <w:t xml:space="preserve">Rue Montoyer 51, B-1000 Brussels </w:t>
    </w:r>
  </w:p>
  <w:p w14:paraId="50AB94A7" w14:textId="77777777" w:rsidR="00C14DDE" w:rsidRDefault="00C14DDE" w:rsidP="009D70D2">
    <w:pPr>
      <w:pStyle w:val="CEAFooterauthorinfo"/>
      <w:ind w:left="567"/>
      <w:jc w:val="left"/>
      <w:rPr>
        <w:b w:val="0"/>
        <w:color w:val="002957"/>
        <w:sz w:val="14"/>
        <w:szCs w:val="14"/>
        <w:lang w:val="pt-PT"/>
      </w:rPr>
    </w:pPr>
    <w:r w:rsidRPr="0085650F">
      <w:rPr>
        <w:b w:val="0"/>
        <w:color w:val="002957"/>
        <w:sz w:val="14"/>
        <w:szCs w:val="14"/>
        <w:lang w:val="pt-PT"/>
      </w:rPr>
      <w:t>Tel:</w:t>
    </w:r>
    <w:r>
      <w:rPr>
        <w:b w:val="0"/>
        <w:color w:val="002957"/>
        <w:sz w:val="14"/>
        <w:szCs w:val="14"/>
        <w:lang w:val="pt-PT"/>
      </w:rPr>
      <w:t xml:space="preserve"> +32 2 894 30 00 • Fax: +32 2 894 30 01</w:t>
    </w:r>
  </w:p>
  <w:p w14:paraId="6172BAFC" w14:textId="53062243" w:rsidR="00C14DDE" w:rsidRDefault="00C14DDE" w:rsidP="009D70D2">
    <w:pPr>
      <w:pStyle w:val="CEAFooterauthorinfo"/>
      <w:ind w:left="567"/>
      <w:jc w:val="left"/>
      <w:rPr>
        <w:b w:val="0"/>
        <w:color w:val="82C55B"/>
        <w:sz w:val="14"/>
        <w:szCs w:val="14"/>
        <w:lang w:val="pt-PT"/>
      </w:rPr>
    </w:pPr>
    <w:r>
      <w:rPr>
        <w:b w:val="0"/>
        <w:color w:val="002957"/>
        <w:sz w:val="14"/>
        <w:szCs w:val="14"/>
        <w:lang w:val="pt-PT"/>
      </w:rPr>
      <w:t>E-mail : ecofin@insuranceeurope.eu</w:t>
    </w:r>
  </w:p>
  <w:p w14:paraId="097C3A1B" w14:textId="77777777" w:rsidR="00C14DDE" w:rsidRPr="0085650F" w:rsidRDefault="00C14DDE" w:rsidP="00A4463C">
    <w:pPr>
      <w:pStyle w:val="CEAFooterauthorinfo"/>
      <w:jc w:val="left"/>
      <w:rPr>
        <w:b w:val="0"/>
        <w:color w:val="82C55B"/>
        <w:sz w:val="14"/>
        <w:szCs w:val="14"/>
        <w:lang w:val="pt-PT"/>
      </w:rPr>
    </w:pPr>
    <w:r>
      <w:rPr>
        <w:b w:val="0"/>
        <w:color w:val="82C55B"/>
        <w:sz w:val="14"/>
        <w:szCs w:val="14"/>
        <w:lang w:val="pt-PT"/>
      </w:rPr>
      <w:t xml:space="preserve">           </w:t>
    </w:r>
    <w:r w:rsidRPr="00A4463C">
      <w:rPr>
        <w:b w:val="0"/>
        <w:color w:val="82C55B"/>
        <w:sz w:val="14"/>
        <w:szCs w:val="14"/>
        <w:lang w:val="pt-PT"/>
      </w:rPr>
      <w:t>www.insuranceeurope.eu</w:t>
    </w:r>
  </w:p>
  <w:p w14:paraId="7DCDC824" w14:textId="77777777" w:rsidR="00C14DDE" w:rsidRPr="00A4463C" w:rsidRDefault="00C14DDE">
    <w:pPr>
      <w:pStyle w:val="Pta"/>
      <w:rPr>
        <w:color w:val="002957"/>
        <w:sz w:val="14"/>
        <w:szCs w:val="14"/>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638CF8" w14:textId="77777777" w:rsidR="00A93105" w:rsidRDefault="00A93105">
      <w:pPr>
        <w:spacing w:line="240" w:lineRule="auto"/>
      </w:pPr>
      <w:r>
        <w:separator/>
      </w:r>
    </w:p>
  </w:footnote>
  <w:footnote w:type="continuationSeparator" w:id="0">
    <w:p w14:paraId="0F74F870" w14:textId="77777777" w:rsidR="00A93105" w:rsidRDefault="00A93105">
      <w:pPr>
        <w:spacing w:line="240" w:lineRule="auto"/>
      </w:pPr>
      <w:r>
        <w:continuationSeparator/>
      </w:r>
    </w:p>
  </w:footnote>
  <w:footnote w:type="continuationNotice" w:id="1">
    <w:p w14:paraId="5BEBF7BF" w14:textId="77777777" w:rsidR="00A93105" w:rsidRDefault="00A9310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3436F" w14:textId="5B1A3648" w:rsidR="00C14DDE" w:rsidRPr="00323E1C" w:rsidRDefault="00C14DDE" w:rsidP="009D70D2">
    <w:pPr>
      <w:pStyle w:val="Noparagraphstyle"/>
      <w:jc w:val="right"/>
      <w:rPr>
        <w:rFonts w:ascii="Verdana" w:hAnsi="Verdana"/>
        <w:sz w:val="18"/>
        <w:szCs w:val="18"/>
      </w:rPr>
    </w:pPr>
    <w:r w:rsidRPr="000D41DA">
      <w:rPr>
        <w:rFonts w:ascii="Frutiger LT Com 45 Light" w:hAnsi="Frutiger LT Com 45 Light"/>
        <w:noProof/>
        <w:lang w:eastAsia="en-GB"/>
      </w:rPr>
      <w:drawing>
        <wp:anchor distT="0" distB="0" distL="114300" distR="114300" simplePos="0" relativeHeight="251658241" behindDoc="0" locked="0" layoutInCell="1" allowOverlap="1" wp14:anchorId="21275F8D" wp14:editId="6368A8F8">
          <wp:simplePos x="0" y="0"/>
          <wp:positionH relativeFrom="page">
            <wp:posOffset>528955</wp:posOffset>
          </wp:positionH>
          <wp:positionV relativeFrom="page">
            <wp:posOffset>521970</wp:posOffset>
          </wp:positionV>
          <wp:extent cx="1457325" cy="895350"/>
          <wp:effectExtent l="19050" t="0" r="0" b="0"/>
          <wp:wrapSquare wrapText="bothSides"/>
          <wp:docPr id="3"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p>
  <w:p w14:paraId="161ED903" w14:textId="77777777" w:rsidR="00C14DDE" w:rsidRPr="0085650F" w:rsidRDefault="00C14DDE" w:rsidP="009D70D2">
    <w:pPr>
      <w:pStyle w:val="Noparagraphstyle"/>
      <w:jc w:val="right"/>
      <w:rPr>
        <w:rFonts w:ascii="Verdana" w:hAnsi="Verdana" w:cs="Arial"/>
        <w:i/>
        <w:iCs/>
        <w:color w:val="034EA2"/>
      </w:rPr>
    </w:pPr>
    <w:r w:rsidRPr="00323E1C">
      <w:rPr>
        <w:rFonts w:ascii="Verdana" w:hAnsi="Verdana"/>
      </w:rPr>
      <w:tab/>
    </w:r>
  </w:p>
  <w:p w14:paraId="71A2DBC2" w14:textId="447B2AE9" w:rsidR="00C14DDE" w:rsidRPr="004467E4" w:rsidRDefault="00C14DDE" w:rsidP="00F466EA">
    <w:pPr>
      <w:pStyle w:val="Hlavika"/>
      <w:jc w:val="right"/>
      <w:rPr>
        <w:b/>
        <w:bCs/>
        <w:color w:val="FF0000"/>
        <w:sz w:val="22"/>
        <w:szCs w:val="32"/>
      </w:rPr>
    </w:pPr>
    <w:r w:rsidRPr="004467E4">
      <w:rPr>
        <w:b/>
        <w:bCs/>
        <w:color w:val="FF0000"/>
        <w:sz w:val="22"/>
        <w:szCs w:val="32"/>
      </w:rPr>
      <w:t xml:space="preserve">DRAFT for Comments by Monday, </w:t>
    </w:r>
    <w:r>
      <w:rPr>
        <w:b/>
        <w:bCs/>
        <w:color w:val="FF0000"/>
        <w:sz w:val="22"/>
        <w:szCs w:val="32"/>
      </w:rPr>
      <w:t>2</w:t>
    </w:r>
    <w:r w:rsidR="00DB5BAA">
      <w:rPr>
        <w:b/>
        <w:bCs/>
        <w:color w:val="FF0000"/>
        <w:sz w:val="22"/>
        <w:szCs w:val="32"/>
      </w:rPr>
      <w:t>4</w:t>
    </w:r>
    <w:r>
      <w:rPr>
        <w:b/>
        <w:bCs/>
        <w:color w:val="FF0000"/>
        <w:sz w:val="22"/>
        <w:szCs w:val="32"/>
      </w:rPr>
      <w:t xml:space="preserve"> June </w:t>
    </w:r>
  </w:p>
  <w:p w14:paraId="3877F9D8" w14:textId="77777777" w:rsidR="00C14DDE" w:rsidRPr="00491802" w:rsidRDefault="00C14DDE" w:rsidP="009D70D2">
    <w:pPr>
      <w:pStyle w:val="Hlavika"/>
      <w:tabs>
        <w:tab w:val="clear" w:pos="4320"/>
        <w:tab w:val="clear" w:pos="8640"/>
        <w:tab w:val="center" w:pos="0"/>
        <w:tab w:val="right" w:pos="1044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F3315" w14:textId="312CC2BA" w:rsidR="00C14DDE" w:rsidRPr="00323E1C" w:rsidRDefault="00C14DDE" w:rsidP="009D70D2">
    <w:pPr>
      <w:pStyle w:val="Noparagraphstyle"/>
      <w:jc w:val="right"/>
      <w:rPr>
        <w:rFonts w:ascii="Verdana" w:hAnsi="Verdana"/>
        <w:sz w:val="18"/>
        <w:szCs w:val="18"/>
      </w:rPr>
    </w:pPr>
    <w:r w:rsidRPr="000D41DA">
      <w:rPr>
        <w:rFonts w:ascii="Frutiger LT Com 45 Light" w:hAnsi="Frutiger LT Com 45 Light"/>
        <w:noProof/>
        <w:sz w:val="18"/>
        <w:szCs w:val="18"/>
        <w:lang w:eastAsia="en-GB"/>
      </w:rPr>
      <w:drawing>
        <wp:anchor distT="0" distB="0" distL="114300" distR="114300" simplePos="0" relativeHeight="251658240" behindDoc="0" locked="0" layoutInCell="1" allowOverlap="1" wp14:anchorId="7D8FF058" wp14:editId="4CA04FCE">
          <wp:simplePos x="0" y="0"/>
          <wp:positionH relativeFrom="page">
            <wp:posOffset>525007</wp:posOffset>
          </wp:positionH>
          <wp:positionV relativeFrom="page">
            <wp:posOffset>305511</wp:posOffset>
          </wp:positionV>
          <wp:extent cx="1457325" cy="895350"/>
          <wp:effectExtent l="19050" t="0" r="0" b="0"/>
          <wp:wrapSquare wrapText="bothSides"/>
          <wp:docPr id="4"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7325" cy="895350"/>
                  </a:xfrm>
                  <a:prstGeom prst="rect">
                    <a:avLst/>
                  </a:prstGeom>
                  <a:noFill/>
                </pic:spPr>
              </pic:pic>
            </a:graphicData>
          </a:graphic>
        </wp:anchor>
      </w:drawing>
    </w:r>
  </w:p>
  <w:p w14:paraId="007763DB" w14:textId="77777777" w:rsidR="00C14DDE" w:rsidRDefault="00C14DDE">
    <w:pPr>
      <w:pStyle w:val="Hlavika"/>
    </w:pPr>
  </w:p>
  <w:p w14:paraId="7F3E7703" w14:textId="77777777" w:rsidR="00C14DDE" w:rsidRDefault="00C14DDE">
    <w:pPr>
      <w:pStyle w:val="Hlavika"/>
    </w:pPr>
  </w:p>
  <w:p w14:paraId="1A689F9C" w14:textId="5C2A9BF4" w:rsidR="00C14DDE" w:rsidRPr="004467E4" w:rsidRDefault="00C14DDE" w:rsidP="004467E4">
    <w:pPr>
      <w:pStyle w:val="Hlavika"/>
      <w:jc w:val="right"/>
      <w:rPr>
        <w:b/>
        <w:bCs/>
        <w:color w:val="FF0000"/>
        <w:sz w:val="22"/>
        <w:szCs w:val="32"/>
      </w:rPr>
    </w:pPr>
    <w:r w:rsidRPr="004467E4">
      <w:rPr>
        <w:sz w:val="22"/>
        <w:szCs w:val="32"/>
      </w:rPr>
      <w:tab/>
    </w:r>
    <w:r w:rsidRPr="004467E4">
      <w:rPr>
        <w:color w:val="FF0000"/>
        <w:sz w:val="22"/>
        <w:szCs w:val="32"/>
      </w:rPr>
      <w:tab/>
    </w:r>
    <w:r w:rsidRPr="004467E4">
      <w:rPr>
        <w:b/>
        <w:bCs/>
        <w:color w:val="FF0000"/>
        <w:sz w:val="22"/>
        <w:szCs w:val="32"/>
      </w:rPr>
      <w:t xml:space="preserve">DRAFT for </w:t>
    </w:r>
    <w:r>
      <w:rPr>
        <w:b/>
        <w:bCs/>
        <w:color w:val="FF0000"/>
        <w:sz w:val="22"/>
        <w:szCs w:val="32"/>
      </w:rPr>
      <w:t>c</w:t>
    </w:r>
    <w:r w:rsidRPr="004467E4">
      <w:rPr>
        <w:b/>
        <w:bCs/>
        <w:color w:val="FF0000"/>
        <w:sz w:val="22"/>
        <w:szCs w:val="32"/>
      </w:rPr>
      <w:t xml:space="preserve">omments by </w:t>
    </w:r>
    <w:bookmarkStart w:id="2" w:name="Draft1st"/>
    <w:bookmarkEnd w:id="2"/>
    <w:r>
      <w:rPr>
        <w:b/>
        <w:bCs/>
        <w:color w:val="FF0000"/>
        <w:sz w:val="22"/>
        <w:szCs w:val="32"/>
      </w:rPr>
      <w:t>2</w:t>
    </w:r>
    <w:r w:rsidR="00DB5BAA">
      <w:rPr>
        <w:b/>
        <w:bCs/>
        <w:color w:val="FF0000"/>
        <w:sz w:val="22"/>
        <w:szCs w:val="32"/>
      </w:rPr>
      <w:t>4</w:t>
    </w:r>
    <w:r>
      <w:rPr>
        <w:b/>
        <w:bCs/>
        <w:color w:val="FF0000"/>
        <w:sz w:val="22"/>
        <w:szCs w:val="32"/>
      </w:rPr>
      <w:t xml:space="preserve"> June</w:t>
    </w:r>
  </w:p>
  <w:p w14:paraId="35837824" w14:textId="43B28525" w:rsidR="00C14DDE" w:rsidRDefault="00C14DDE" w:rsidP="004467E4">
    <w:pPr>
      <w:pStyle w:val="Hlavika"/>
      <w:jc w:val="right"/>
      <w:rPr>
        <w:color w:val="FF0000"/>
        <w:sz w:val="22"/>
        <w:szCs w:val="32"/>
      </w:rPr>
    </w:pPr>
  </w:p>
  <w:p w14:paraId="32AAB442" w14:textId="77777777" w:rsidR="00F342E1" w:rsidRPr="004467E4" w:rsidRDefault="00F342E1" w:rsidP="004467E4">
    <w:pPr>
      <w:pStyle w:val="Hlavika"/>
      <w:jc w:val="right"/>
      <w:rPr>
        <w:color w:val="FF0000"/>
        <w:sz w:val="22"/>
        <w:szCs w:val="32"/>
      </w:rPr>
    </w:pPr>
  </w:p>
  <w:p w14:paraId="7F288477" w14:textId="47C1DA53" w:rsidR="00C14DDE" w:rsidRPr="004467E4" w:rsidRDefault="00C14DDE" w:rsidP="00D72893">
    <w:pPr>
      <w:pStyle w:val="Hlavika"/>
      <w:jc w:val="center"/>
      <w:rPr>
        <w:b/>
        <w:i/>
        <w:color w:val="002957"/>
        <w:sz w:val="44"/>
        <w:szCs w:val="44"/>
      </w:rPr>
    </w:pPr>
    <w:r>
      <w:rPr>
        <w:color w:val="002957"/>
        <w:sz w:val="28"/>
        <w:szCs w:val="28"/>
        <w:lang w:val="en"/>
      </w:rPr>
      <w:t>Insurance Europe response to the EC c</w:t>
    </w:r>
    <w:r w:rsidRPr="00FF0BF7">
      <w:rPr>
        <w:color w:val="002957"/>
        <w:sz w:val="28"/>
        <w:szCs w:val="28"/>
        <w:lang w:val="en"/>
      </w:rPr>
      <w:t>onsultation on the</w:t>
    </w:r>
    <w:r w:rsidR="00F342E1">
      <w:rPr>
        <w:color w:val="002957"/>
        <w:sz w:val="28"/>
        <w:szCs w:val="28"/>
        <w:lang w:val="en"/>
      </w:rPr>
      <w:t xml:space="preserve"> draft amendments to the Solvency II Delegated Regulation</w:t>
    </w:r>
  </w:p>
  <w:p w14:paraId="0BABE1C7" w14:textId="39E1BBAB" w:rsidR="00C14DDE" w:rsidRPr="00D72893" w:rsidRDefault="00C14DDE" w:rsidP="00234A1B">
    <w:pPr>
      <w:pStyle w:val="CEAPositionPaperTitle"/>
      <w:ind w:left="567"/>
      <w:jc w:val="center"/>
      <w:rPr>
        <w:sz w:val="20"/>
        <w:szCs w:val="20"/>
      </w:rPr>
    </w:pPr>
  </w:p>
  <w:tbl>
    <w:tblPr>
      <w:tblStyle w:val="Mriekatabukysvetl"/>
      <w:tblW w:w="9738" w:type="dxa"/>
      <w:tblLayout w:type="fixed"/>
      <w:tblLook w:val="0000" w:firstRow="0" w:lastRow="0" w:firstColumn="0" w:lastColumn="0" w:noHBand="0" w:noVBand="0"/>
    </w:tblPr>
    <w:tblGrid>
      <w:gridCol w:w="1435"/>
      <w:gridCol w:w="8303"/>
    </w:tblGrid>
    <w:tr w:rsidR="00C14DDE" w:rsidRPr="000D41DA" w14:paraId="57E57C92" w14:textId="77777777" w:rsidTr="00F342E1">
      <w:trPr>
        <w:trHeight w:hRule="exact" w:val="996"/>
      </w:trPr>
      <w:tc>
        <w:tcPr>
          <w:tcW w:w="1435" w:type="dxa"/>
          <w:tcBorders>
            <w:top w:val="nil"/>
            <w:left w:val="nil"/>
            <w:bottom w:val="nil"/>
            <w:right w:val="nil"/>
          </w:tcBorders>
        </w:tcPr>
        <w:p w14:paraId="43409443" w14:textId="77777777" w:rsidR="00C14DDE" w:rsidRPr="0085650F" w:rsidRDefault="00C14DDE" w:rsidP="009D70D2">
          <w:pPr>
            <w:pStyle w:val="CEALabel"/>
            <w:rPr>
              <w:b w:val="0"/>
              <w:color w:val="002957"/>
              <w:sz w:val="17"/>
              <w:szCs w:val="17"/>
            </w:rPr>
          </w:pPr>
          <w:r w:rsidRPr="0085650F">
            <w:rPr>
              <w:b w:val="0"/>
              <w:color w:val="002957"/>
              <w:sz w:val="17"/>
              <w:szCs w:val="17"/>
            </w:rPr>
            <w:t>Referring to:</w:t>
          </w:r>
        </w:p>
      </w:tc>
      <w:tc>
        <w:tcPr>
          <w:tcW w:w="8303" w:type="dxa"/>
          <w:tcBorders>
            <w:top w:val="nil"/>
            <w:left w:val="nil"/>
            <w:bottom w:val="nil"/>
            <w:right w:val="nil"/>
          </w:tcBorders>
        </w:tcPr>
        <w:p w14:paraId="1103BFE5" w14:textId="7E452EC1" w:rsidR="00C14DDE" w:rsidRPr="00585988" w:rsidRDefault="00A93105" w:rsidP="007B21AA">
          <w:pPr>
            <w:jc w:val="left"/>
            <w:rPr>
              <w:color w:val="002957"/>
              <w:sz w:val="17"/>
              <w:szCs w:val="17"/>
            </w:rPr>
          </w:pPr>
          <w:hyperlink r:id="rId2" w:history="1">
            <w:r w:rsidR="00C14DDE" w:rsidRPr="00D72893">
              <w:rPr>
                <w:rStyle w:val="Hypertextovprepojenie"/>
                <w:sz w:val="17"/>
                <w:szCs w:val="17"/>
              </w:rPr>
              <w:t>Draft Delegated Regulation amending Delegated Regulation (EU) 2015/35 as regards the integration of sustainability risks in the governance of insurance and reinsurance undertakings</w:t>
            </w:r>
          </w:hyperlink>
          <w:r w:rsidR="00C14DDE">
            <w:rPr>
              <w:color w:val="002957"/>
              <w:sz w:val="17"/>
              <w:szCs w:val="17"/>
            </w:rPr>
            <w:t xml:space="preserve"> </w:t>
          </w:r>
        </w:p>
      </w:tc>
    </w:tr>
  </w:tbl>
  <w:p w14:paraId="5F8602DA" w14:textId="77777777" w:rsidR="00C14DDE" w:rsidRPr="000D41DA" w:rsidRDefault="00C14DDE" w:rsidP="009D70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6" type="#_x0000_t75" style="width:12pt;height:12pt" o:bullet="t">
        <v:imagedata r:id="rId1" o:title="CEA - Bullets Rounded Squares_BulletLevel1_forMS"/>
      </v:shape>
    </w:pict>
  </w:numPicBullet>
  <w:numPicBullet w:numPicBulletId="1">
    <w:pict>
      <v:shape id="_x0000_i1207" type="#_x0000_t75" style="width:8.25pt;height:8.25pt" o:bullet="t">
        <v:imagedata r:id="rId2" o:title="CEA - Bullets Rounded Squares_BulletLevel2_forMS"/>
      </v:shape>
    </w:pict>
  </w:numPicBullet>
  <w:numPicBullet w:numPicBulletId="2">
    <w:pict>
      <v:shape id="_x0000_i1208" type="#_x0000_t75" style="width:9pt;height:8.25pt" o:bullet="t">
        <v:imagedata r:id="rId3" o:title="CEA - Bullets Rounded Squares_BulletLevel3_forMS"/>
      </v:shape>
    </w:pict>
  </w:numPicBullet>
  <w:abstractNum w:abstractNumId="0" w15:restartNumberingAfterBreak="0">
    <w:nsid w:val="0F707E92"/>
    <w:multiLevelType w:val="hybridMultilevel"/>
    <w:tmpl w:val="F440DA40"/>
    <w:lvl w:ilvl="0" w:tplc="0809000F">
      <w:start w:val="1"/>
      <w:numFmt w:val="decimal"/>
      <w:lvlText w:val="%1."/>
      <w:lvlJc w:val="left"/>
      <w:pPr>
        <w:ind w:left="612" w:hanging="360"/>
      </w:p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abstractNum w:abstractNumId="1" w15:restartNumberingAfterBreak="0">
    <w:nsid w:val="1054071E"/>
    <w:multiLevelType w:val="hybridMultilevel"/>
    <w:tmpl w:val="EBE65710"/>
    <w:lvl w:ilvl="0" w:tplc="A0240652">
      <w:start w:val="165"/>
      <w:numFmt w:val="bullet"/>
      <w:pStyle w:val="CEABullet-Level2"/>
      <w:lvlText w:val=""/>
      <w:lvlPicBulletId w:val="1"/>
      <w:lvlJc w:val="left"/>
      <w:pPr>
        <w:ind w:left="1080" w:hanging="360"/>
      </w:pPr>
      <w:rPr>
        <w:rFonts w:ascii="Symbol" w:hAnsi="Symbol" w:hint="default"/>
        <w:color w:val="auto"/>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15:restartNumberingAfterBreak="0">
    <w:nsid w:val="447E4D85"/>
    <w:multiLevelType w:val="hybridMultilevel"/>
    <w:tmpl w:val="36024468"/>
    <w:lvl w:ilvl="0" w:tplc="37180294">
      <w:start w:val="165"/>
      <w:numFmt w:val="bullet"/>
      <w:pStyle w:val="CEABullet-Level3"/>
      <w:lvlText w:val=""/>
      <w:lvlPicBulletId w:val="2"/>
      <w:lvlJc w:val="left"/>
      <w:pPr>
        <w:ind w:left="2673" w:hanging="360"/>
      </w:pPr>
      <w:rPr>
        <w:rFonts w:ascii="Symbol" w:hAnsi="Symbol" w:hint="default"/>
        <w:color w:val="auto"/>
      </w:rPr>
    </w:lvl>
    <w:lvl w:ilvl="1" w:tplc="080C0003" w:tentative="1">
      <w:start w:val="1"/>
      <w:numFmt w:val="bullet"/>
      <w:lvlText w:val="o"/>
      <w:lvlJc w:val="left"/>
      <w:pPr>
        <w:ind w:left="3393" w:hanging="360"/>
      </w:pPr>
      <w:rPr>
        <w:rFonts w:ascii="Courier New" w:hAnsi="Courier New" w:cs="Courier New" w:hint="default"/>
      </w:rPr>
    </w:lvl>
    <w:lvl w:ilvl="2" w:tplc="080C0005" w:tentative="1">
      <w:start w:val="1"/>
      <w:numFmt w:val="bullet"/>
      <w:lvlText w:val=""/>
      <w:lvlJc w:val="left"/>
      <w:pPr>
        <w:ind w:left="4113" w:hanging="360"/>
      </w:pPr>
      <w:rPr>
        <w:rFonts w:ascii="Wingdings" w:hAnsi="Wingdings" w:hint="default"/>
      </w:rPr>
    </w:lvl>
    <w:lvl w:ilvl="3" w:tplc="080C0001" w:tentative="1">
      <w:start w:val="1"/>
      <w:numFmt w:val="bullet"/>
      <w:lvlText w:val=""/>
      <w:lvlJc w:val="left"/>
      <w:pPr>
        <w:ind w:left="4833" w:hanging="360"/>
      </w:pPr>
      <w:rPr>
        <w:rFonts w:ascii="Symbol" w:hAnsi="Symbol" w:hint="default"/>
      </w:rPr>
    </w:lvl>
    <w:lvl w:ilvl="4" w:tplc="080C0003" w:tentative="1">
      <w:start w:val="1"/>
      <w:numFmt w:val="bullet"/>
      <w:lvlText w:val="o"/>
      <w:lvlJc w:val="left"/>
      <w:pPr>
        <w:ind w:left="5553" w:hanging="360"/>
      </w:pPr>
      <w:rPr>
        <w:rFonts w:ascii="Courier New" w:hAnsi="Courier New" w:cs="Courier New" w:hint="default"/>
      </w:rPr>
    </w:lvl>
    <w:lvl w:ilvl="5" w:tplc="080C0005" w:tentative="1">
      <w:start w:val="1"/>
      <w:numFmt w:val="bullet"/>
      <w:lvlText w:val=""/>
      <w:lvlJc w:val="left"/>
      <w:pPr>
        <w:ind w:left="6273" w:hanging="360"/>
      </w:pPr>
      <w:rPr>
        <w:rFonts w:ascii="Wingdings" w:hAnsi="Wingdings" w:hint="default"/>
      </w:rPr>
    </w:lvl>
    <w:lvl w:ilvl="6" w:tplc="080C0001" w:tentative="1">
      <w:start w:val="1"/>
      <w:numFmt w:val="bullet"/>
      <w:lvlText w:val=""/>
      <w:lvlJc w:val="left"/>
      <w:pPr>
        <w:ind w:left="6993" w:hanging="360"/>
      </w:pPr>
      <w:rPr>
        <w:rFonts w:ascii="Symbol" w:hAnsi="Symbol" w:hint="default"/>
      </w:rPr>
    </w:lvl>
    <w:lvl w:ilvl="7" w:tplc="080C0003" w:tentative="1">
      <w:start w:val="1"/>
      <w:numFmt w:val="bullet"/>
      <w:lvlText w:val="o"/>
      <w:lvlJc w:val="left"/>
      <w:pPr>
        <w:ind w:left="7713" w:hanging="360"/>
      </w:pPr>
      <w:rPr>
        <w:rFonts w:ascii="Courier New" w:hAnsi="Courier New" w:cs="Courier New" w:hint="default"/>
      </w:rPr>
    </w:lvl>
    <w:lvl w:ilvl="8" w:tplc="080C0005" w:tentative="1">
      <w:start w:val="1"/>
      <w:numFmt w:val="bullet"/>
      <w:lvlText w:val=""/>
      <w:lvlJc w:val="left"/>
      <w:pPr>
        <w:ind w:left="8433" w:hanging="360"/>
      </w:pPr>
      <w:rPr>
        <w:rFonts w:ascii="Wingdings" w:hAnsi="Wingdings" w:hint="default"/>
      </w:rPr>
    </w:lvl>
  </w:abstractNum>
  <w:abstractNum w:abstractNumId="3" w15:restartNumberingAfterBreak="0">
    <w:nsid w:val="471B1412"/>
    <w:multiLevelType w:val="hybridMultilevel"/>
    <w:tmpl w:val="77CAE204"/>
    <w:lvl w:ilvl="0" w:tplc="0809000F">
      <w:start w:val="1"/>
      <w:numFmt w:val="decimal"/>
      <w:lvlText w:val="%1."/>
      <w:lvlJc w:val="left"/>
      <w:pPr>
        <w:ind w:left="612" w:hanging="360"/>
      </w:p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abstractNum w:abstractNumId="4" w15:restartNumberingAfterBreak="0">
    <w:nsid w:val="699E2B88"/>
    <w:multiLevelType w:val="hybridMultilevel"/>
    <w:tmpl w:val="C9EE50FA"/>
    <w:lvl w:ilvl="0" w:tplc="1D6866BC">
      <w:start w:val="165"/>
      <w:numFmt w:val="bullet"/>
      <w:pStyle w:val="CEABullet-Level1"/>
      <w:lvlText w:val=""/>
      <w:lvlPicBulletId w:val="0"/>
      <w:lvlJc w:val="left"/>
      <w:pPr>
        <w:ind w:left="720" w:hanging="360"/>
      </w:pPr>
      <w:rPr>
        <w:rFonts w:ascii="Symbol" w:hAnsi="Symbol" w:hint="default"/>
        <w:color w:val="auto"/>
        <w:lang w:val="en-GB"/>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Insurance Europe">
    <w15:presenceInfo w15:providerId="None" w15:userId="Insurance Europ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882"/>
    <w:rsid w:val="0000050B"/>
    <w:rsid w:val="00000594"/>
    <w:rsid w:val="00000C06"/>
    <w:rsid w:val="000075CD"/>
    <w:rsid w:val="00012C50"/>
    <w:rsid w:val="00012D11"/>
    <w:rsid w:val="00014AE9"/>
    <w:rsid w:val="000156B2"/>
    <w:rsid w:val="00016402"/>
    <w:rsid w:val="00017E2D"/>
    <w:rsid w:val="00020124"/>
    <w:rsid w:val="00020C21"/>
    <w:rsid w:val="000322B1"/>
    <w:rsid w:val="0003307F"/>
    <w:rsid w:val="00034616"/>
    <w:rsid w:val="00034F54"/>
    <w:rsid w:val="000412A6"/>
    <w:rsid w:val="00041844"/>
    <w:rsid w:val="00047F0F"/>
    <w:rsid w:val="0005006B"/>
    <w:rsid w:val="00052A2C"/>
    <w:rsid w:val="00055145"/>
    <w:rsid w:val="00055F1E"/>
    <w:rsid w:val="00057D18"/>
    <w:rsid w:val="0006071D"/>
    <w:rsid w:val="00073AC2"/>
    <w:rsid w:val="00077FF7"/>
    <w:rsid w:val="0008034A"/>
    <w:rsid w:val="000836BD"/>
    <w:rsid w:val="00090F61"/>
    <w:rsid w:val="000913D6"/>
    <w:rsid w:val="00092E01"/>
    <w:rsid w:val="000A1CAE"/>
    <w:rsid w:val="000A21AD"/>
    <w:rsid w:val="000A4773"/>
    <w:rsid w:val="000A4C31"/>
    <w:rsid w:val="000B0214"/>
    <w:rsid w:val="000B02DF"/>
    <w:rsid w:val="000B10F3"/>
    <w:rsid w:val="000B22B7"/>
    <w:rsid w:val="000B7AF6"/>
    <w:rsid w:val="000C1194"/>
    <w:rsid w:val="000C421E"/>
    <w:rsid w:val="000C4D00"/>
    <w:rsid w:val="000C5942"/>
    <w:rsid w:val="000C5D1E"/>
    <w:rsid w:val="000D09C6"/>
    <w:rsid w:val="000D1CF3"/>
    <w:rsid w:val="000D3A9E"/>
    <w:rsid w:val="000D539C"/>
    <w:rsid w:val="000D58F0"/>
    <w:rsid w:val="000D5B96"/>
    <w:rsid w:val="000E0913"/>
    <w:rsid w:val="000E1D4C"/>
    <w:rsid w:val="000E1EC2"/>
    <w:rsid w:val="000E5E23"/>
    <w:rsid w:val="000F397D"/>
    <w:rsid w:val="000F4A7C"/>
    <w:rsid w:val="00101348"/>
    <w:rsid w:val="00101C6A"/>
    <w:rsid w:val="00104CD0"/>
    <w:rsid w:val="0011067F"/>
    <w:rsid w:val="00111BC1"/>
    <w:rsid w:val="001139A1"/>
    <w:rsid w:val="0012624B"/>
    <w:rsid w:val="001271F2"/>
    <w:rsid w:val="00132E3A"/>
    <w:rsid w:val="00135361"/>
    <w:rsid w:val="00135F10"/>
    <w:rsid w:val="0014466A"/>
    <w:rsid w:val="00152882"/>
    <w:rsid w:val="001627E8"/>
    <w:rsid w:val="0017261F"/>
    <w:rsid w:val="00172B39"/>
    <w:rsid w:val="00177724"/>
    <w:rsid w:val="00177DD9"/>
    <w:rsid w:val="0018027F"/>
    <w:rsid w:val="00180E3B"/>
    <w:rsid w:val="00181215"/>
    <w:rsid w:val="00184C67"/>
    <w:rsid w:val="00184FB9"/>
    <w:rsid w:val="0018588B"/>
    <w:rsid w:val="001A2235"/>
    <w:rsid w:val="001A5CD9"/>
    <w:rsid w:val="001A7E34"/>
    <w:rsid w:val="001B1A18"/>
    <w:rsid w:val="001B23DB"/>
    <w:rsid w:val="001B45C4"/>
    <w:rsid w:val="001B65F9"/>
    <w:rsid w:val="001B7CEC"/>
    <w:rsid w:val="001B7FCC"/>
    <w:rsid w:val="001C074C"/>
    <w:rsid w:val="001C266D"/>
    <w:rsid w:val="001C29B5"/>
    <w:rsid w:val="001C2B43"/>
    <w:rsid w:val="001C464E"/>
    <w:rsid w:val="001D0CCE"/>
    <w:rsid w:val="001D0DDF"/>
    <w:rsid w:val="001D0F60"/>
    <w:rsid w:val="001D3880"/>
    <w:rsid w:val="001D431B"/>
    <w:rsid w:val="001D4B77"/>
    <w:rsid w:val="001E0BFE"/>
    <w:rsid w:val="001E2ACB"/>
    <w:rsid w:val="001E41C5"/>
    <w:rsid w:val="001E47CF"/>
    <w:rsid w:val="001F1785"/>
    <w:rsid w:val="001F2211"/>
    <w:rsid w:val="001F235B"/>
    <w:rsid w:val="001F2C4C"/>
    <w:rsid w:val="001F2D26"/>
    <w:rsid w:val="001F5A23"/>
    <w:rsid w:val="001F6DF3"/>
    <w:rsid w:val="001F70C8"/>
    <w:rsid w:val="001F73EF"/>
    <w:rsid w:val="001F7596"/>
    <w:rsid w:val="00200081"/>
    <w:rsid w:val="002026D5"/>
    <w:rsid w:val="00203CB0"/>
    <w:rsid w:val="00204924"/>
    <w:rsid w:val="00206525"/>
    <w:rsid w:val="00207EC5"/>
    <w:rsid w:val="0021205B"/>
    <w:rsid w:val="002135CA"/>
    <w:rsid w:val="00214A53"/>
    <w:rsid w:val="002177D7"/>
    <w:rsid w:val="002202BD"/>
    <w:rsid w:val="00221729"/>
    <w:rsid w:val="00221E87"/>
    <w:rsid w:val="00224A69"/>
    <w:rsid w:val="00225E32"/>
    <w:rsid w:val="00226008"/>
    <w:rsid w:val="002300DA"/>
    <w:rsid w:val="002309C8"/>
    <w:rsid w:val="00230BEC"/>
    <w:rsid w:val="00232709"/>
    <w:rsid w:val="00233B6B"/>
    <w:rsid w:val="00233C25"/>
    <w:rsid w:val="00234A1B"/>
    <w:rsid w:val="00235D27"/>
    <w:rsid w:val="002463B6"/>
    <w:rsid w:val="0025252C"/>
    <w:rsid w:val="00253881"/>
    <w:rsid w:val="00253A05"/>
    <w:rsid w:val="00257449"/>
    <w:rsid w:val="00257D17"/>
    <w:rsid w:val="0026039A"/>
    <w:rsid w:val="00261545"/>
    <w:rsid w:val="00263B8B"/>
    <w:rsid w:val="00265905"/>
    <w:rsid w:val="00266100"/>
    <w:rsid w:val="002670F4"/>
    <w:rsid w:val="002672DB"/>
    <w:rsid w:val="002674DA"/>
    <w:rsid w:val="00270113"/>
    <w:rsid w:val="0027328B"/>
    <w:rsid w:val="00274E6B"/>
    <w:rsid w:val="002751A1"/>
    <w:rsid w:val="0027654E"/>
    <w:rsid w:val="002832E1"/>
    <w:rsid w:val="00284299"/>
    <w:rsid w:val="00285D99"/>
    <w:rsid w:val="00290F37"/>
    <w:rsid w:val="00293B69"/>
    <w:rsid w:val="002950F1"/>
    <w:rsid w:val="00297D66"/>
    <w:rsid w:val="002A19D6"/>
    <w:rsid w:val="002A44B1"/>
    <w:rsid w:val="002A5F67"/>
    <w:rsid w:val="002B4E84"/>
    <w:rsid w:val="002B67D8"/>
    <w:rsid w:val="002B7D67"/>
    <w:rsid w:val="002C0641"/>
    <w:rsid w:val="002C38C4"/>
    <w:rsid w:val="002C3B94"/>
    <w:rsid w:val="002C5C59"/>
    <w:rsid w:val="002C5EB5"/>
    <w:rsid w:val="002D4025"/>
    <w:rsid w:val="002D4FCE"/>
    <w:rsid w:val="002D5656"/>
    <w:rsid w:val="002E24D6"/>
    <w:rsid w:val="002E2C1F"/>
    <w:rsid w:val="002E51EA"/>
    <w:rsid w:val="002E6CF6"/>
    <w:rsid w:val="002E77C8"/>
    <w:rsid w:val="002F12EE"/>
    <w:rsid w:val="002F23FB"/>
    <w:rsid w:val="002F3C86"/>
    <w:rsid w:val="002F44FF"/>
    <w:rsid w:val="002F5E4C"/>
    <w:rsid w:val="002F6360"/>
    <w:rsid w:val="003066CA"/>
    <w:rsid w:val="00307E32"/>
    <w:rsid w:val="00310082"/>
    <w:rsid w:val="00310A89"/>
    <w:rsid w:val="0031136A"/>
    <w:rsid w:val="00311ED5"/>
    <w:rsid w:val="00312100"/>
    <w:rsid w:val="003131C5"/>
    <w:rsid w:val="00314220"/>
    <w:rsid w:val="00321740"/>
    <w:rsid w:val="0032216E"/>
    <w:rsid w:val="0032473C"/>
    <w:rsid w:val="00325137"/>
    <w:rsid w:val="003331A3"/>
    <w:rsid w:val="00337AE3"/>
    <w:rsid w:val="00340C55"/>
    <w:rsid w:val="00341882"/>
    <w:rsid w:val="00346792"/>
    <w:rsid w:val="00351E71"/>
    <w:rsid w:val="00353D36"/>
    <w:rsid w:val="00362159"/>
    <w:rsid w:val="00363333"/>
    <w:rsid w:val="0036611F"/>
    <w:rsid w:val="003701FD"/>
    <w:rsid w:val="00372DF7"/>
    <w:rsid w:val="0037324B"/>
    <w:rsid w:val="0037468E"/>
    <w:rsid w:val="0038543F"/>
    <w:rsid w:val="00391085"/>
    <w:rsid w:val="00393640"/>
    <w:rsid w:val="003A0B1C"/>
    <w:rsid w:val="003A1AEF"/>
    <w:rsid w:val="003A1CFF"/>
    <w:rsid w:val="003A206D"/>
    <w:rsid w:val="003B7325"/>
    <w:rsid w:val="003C0260"/>
    <w:rsid w:val="003C15F7"/>
    <w:rsid w:val="003C481F"/>
    <w:rsid w:val="003D0EB0"/>
    <w:rsid w:val="003D26A3"/>
    <w:rsid w:val="003D5A13"/>
    <w:rsid w:val="003D77C6"/>
    <w:rsid w:val="003E3097"/>
    <w:rsid w:val="003E4A7A"/>
    <w:rsid w:val="003E6624"/>
    <w:rsid w:val="003F046C"/>
    <w:rsid w:val="003F04C7"/>
    <w:rsid w:val="003F1D57"/>
    <w:rsid w:val="003F544F"/>
    <w:rsid w:val="003F5D94"/>
    <w:rsid w:val="003F65D5"/>
    <w:rsid w:val="00402460"/>
    <w:rsid w:val="00406A65"/>
    <w:rsid w:val="00407B3E"/>
    <w:rsid w:val="0041363D"/>
    <w:rsid w:val="00415A15"/>
    <w:rsid w:val="00415CE9"/>
    <w:rsid w:val="004204D7"/>
    <w:rsid w:val="0043694D"/>
    <w:rsid w:val="00440FEE"/>
    <w:rsid w:val="00445042"/>
    <w:rsid w:val="004467E4"/>
    <w:rsid w:val="00450B5D"/>
    <w:rsid w:val="004608B7"/>
    <w:rsid w:val="00461044"/>
    <w:rsid w:val="004615A5"/>
    <w:rsid w:val="00462102"/>
    <w:rsid w:val="00465E4A"/>
    <w:rsid w:val="0046636E"/>
    <w:rsid w:val="004663FF"/>
    <w:rsid w:val="004737BE"/>
    <w:rsid w:val="00480FAC"/>
    <w:rsid w:val="00481D1E"/>
    <w:rsid w:val="004858FB"/>
    <w:rsid w:val="00485CEF"/>
    <w:rsid w:val="00490DBD"/>
    <w:rsid w:val="00493D9E"/>
    <w:rsid w:val="00494FA7"/>
    <w:rsid w:val="004A2FAB"/>
    <w:rsid w:val="004A545C"/>
    <w:rsid w:val="004B46DC"/>
    <w:rsid w:val="004C2A87"/>
    <w:rsid w:val="004D1F99"/>
    <w:rsid w:val="004D3814"/>
    <w:rsid w:val="004D3CDE"/>
    <w:rsid w:val="004D4971"/>
    <w:rsid w:val="004D5E9A"/>
    <w:rsid w:val="004D6D42"/>
    <w:rsid w:val="004E49FD"/>
    <w:rsid w:val="004E5659"/>
    <w:rsid w:val="004E5CAE"/>
    <w:rsid w:val="004F3826"/>
    <w:rsid w:val="004F3D6E"/>
    <w:rsid w:val="004F7BD3"/>
    <w:rsid w:val="00500170"/>
    <w:rsid w:val="005005E4"/>
    <w:rsid w:val="005033FB"/>
    <w:rsid w:val="00506C0A"/>
    <w:rsid w:val="00510021"/>
    <w:rsid w:val="00510C18"/>
    <w:rsid w:val="0051255E"/>
    <w:rsid w:val="00513A2B"/>
    <w:rsid w:val="00514851"/>
    <w:rsid w:val="005163D7"/>
    <w:rsid w:val="00516B3F"/>
    <w:rsid w:val="005170D3"/>
    <w:rsid w:val="0051787E"/>
    <w:rsid w:val="005209CD"/>
    <w:rsid w:val="005236C4"/>
    <w:rsid w:val="0052425D"/>
    <w:rsid w:val="00530DB9"/>
    <w:rsid w:val="00540D13"/>
    <w:rsid w:val="00541485"/>
    <w:rsid w:val="00542C76"/>
    <w:rsid w:val="0054411E"/>
    <w:rsid w:val="00545BB7"/>
    <w:rsid w:val="00545FC6"/>
    <w:rsid w:val="00554DA0"/>
    <w:rsid w:val="005575D6"/>
    <w:rsid w:val="005614E2"/>
    <w:rsid w:val="0056255F"/>
    <w:rsid w:val="005733B7"/>
    <w:rsid w:val="00573E99"/>
    <w:rsid w:val="00574403"/>
    <w:rsid w:val="005771C7"/>
    <w:rsid w:val="00581CE5"/>
    <w:rsid w:val="005820A3"/>
    <w:rsid w:val="00582BEC"/>
    <w:rsid w:val="0058660A"/>
    <w:rsid w:val="0058727B"/>
    <w:rsid w:val="005873E9"/>
    <w:rsid w:val="005937D0"/>
    <w:rsid w:val="005939FF"/>
    <w:rsid w:val="00594A4C"/>
    <w:rsid w:val="00595206"/>
    <w:rsid w:val="0059642E"/>
    <w:rsid w:val="005A1F72"/>
    <w:rsid w:val="005A4E19"/>
    <w:rsid w:val="005A6C1F"/>
    <w:rsid w:val="005A730B"/>
    <w:rsid w:val="005A76F8"/>
    <w:rsid w:val="005B4F0E"/>
    <w:rsid w:val="005C1584"/>
    <w:rsid w:val="005C30B4"/>
    <w:rsid w:val="005C51B2"/>
    <w:rsid w:val="005C61C8"/>
    <w:rsid w:val="005D0D89"/>
    <w:rsid w:val="005D4B99"/>
    <w:rsid w:val="005D6111"/>
    <w:rsid w:val="005E0DEB"/>
    <w:rsid w:val="005E1C78"/>
    <w:rsid w:val="005E48FF"/>
    <w:rsid w:val="005F0105"/>
    <w:rsid w:val="005F06A8"/>
    <w:rsid w:val="005F184A"/>
    <w:rsid w:val="005F320A"/>
    <w:rsid w:val="005F53AB"/>
    <w:rsid w:val="005F746F"/>
    <w:rsid w:val="0060239F"/>
    <w:rsid w:val="00606311"/>
    <w:rsid w:val="006079A3"/>
    <w:rsid w:val="0061062A"/>
    <w:rsid w:val="00614914"/>
    <w:rsid w:val="00617526"/>
    <w:rsid w:val="00617A72"/>
    <w:rsid w:val="00622560"/>
    <w:rsid w:val="00623CBD"/>
    <w:rsid w:val="00625FDD"/>
    <w:rsid w:val="0062609D"/>
    <w:rsid w:val="0062684B"/>
    <w:rsid w:val="00626D7F"/>
    <w:rsid w:val="00630EB0"/>
    <w:rsid w:val="00631727"/>
    <w:rsid w:val="006334E2"/>
    <w:rsid w:val="006363A9"/>
    <w:rsid w:val="00640839"/>
    <w:rsid w:val="00642E8A"/>
    <w:rsid w:val="006456D7"/>
    <w:rsid w:val="006474D5"/>
    <w:rsid w:val="006509CF"/>
    <w:rsid w:val="00657F11"/>
    <w:rsid w:val="00665B7A"/>
    <w:rsid w:val="00665E61"/>
    <w:rsid w:val="006733DC"/>
    <w:rsid w:val="00675160"/>
    <w:rsid w:val="0067617A"/>
    <w:rsid w:val="006764F9"/>
    <w:rsid w:val="00681DD7"/>
    <w:rsid w:val="00687468"/>
    <w:rsid w:val="0069140C"/>
    <w:rsid w:val="00691CF7"/>
    <w:rsid w:val="006926B1"/>
    <w:rsid w:val="00694966"/>
    <w:rsid w:val="006977BC"/>
    <w:rsid w:val="006A18F3"/>
    <w:rsid w:val="006A253F"/>
    <w:rsid w:val="006A2B7A"/>
    <w:rsid w:val="006C2067"/>
    <w:rsid w:val="006C6B44"/>
    <w:rsid w:val="006D579E"/>
    <w:rsid w:val="006D6C3A"/>
    <w:rsid w:val="006D775D"/>
    <w:rsid w:val="006E2379"/>
    <w:rsid w:val="006E3163"/>
    <w:rsid w:val="006E514F"/>
    <w:rsid w:val="006E5B0E"/>
    <w:rsid w:val="006F0B55"/>
    <w:rsid w:val="006F3959"/>
    <w:rsid w:val="006F4D97"/>
    <w:rsid w:val="006F5981"/>
    <w:rsid w:val="006F63ED"/>
    <w:rsid w:val="00700413"/>
    <w:rsid w:val="00710D1C"/>
    <w:rsid w:val="00712CB5"/>
    <w:rsid w:val="00717F11"/>
    <w:rsid w:val="00722616"/>
    <w:rsid w:val="00722ED6"/>
    <w:rsid w:val="00723E64"/>
    <w:rsid w:val="00732E6B"/>
    <w:rsid w:val="00737B09"/>
    <w:rsid w:val="007414EC"/>
    <w:rsid w:val="00743810"/>
    <w:rsid w:val="00751D5E"/>
    <w:rsid w:val="00752590"/>
    <w:rsid w:val="007555B4"/>
    <w:rsid w:val="00755F14"/>
    <w:rsid w:val="007606F5"/>
    <w:rsid w:val="007632B7"/>
    <w:rsid w:val="00763A69"/>
    <w:rsid w:val="00770927"/>
    <w:rsid w:val="007745E1"/>
    <w:rsid w:val="0077509C"/>
    <w:rsid w:val="00775B2A"/>
    <w:rsid w:val="00776E07"/>
    <w:rsid w:val="0078335F"/>
    <w:rsid w:val="00784A27"/>
    <w:rsid w:val="007853BD"/>
    <w:rsid w:val="007909F0"/>
    <w:rsid w:val="00792C5B"/>
    <w:rsid w:val="00796C54"/>
    <w:rsid w:val="007A439C"/>
    <w:rsid w:val="007A61E5"/>
    <w:rsid w:val="007B21AA"/>
    <w:rsid w:val="007B6DA9"/>
    <w:rsid w:val="007B7EF4"/>
    <w:rsid w:val="007C18DA"/>
    <w:rsid w:val="007C1CAD"/>
    <w:rsid w:val="007C38CE"/>
    <w:rsid w:val="007C5B0E"/>
    <w:rsid w:val="007C6184"/>
    <w:rsid w:val="007C67BF"/>
    <w:rsid w:val="007C704E"/>
    <w:rsid w:val="007C7EBB"/>
    <w:rsid w:val="007D0CF0"/>
    <w:rsid w:val="007D2C5E"/>
    <w:rsid w:val="007D347B"/>
    <w:rsid w:val="007D5FEF"/>
    <w:rsid w:val="007D6E53"/>
    <w:rsid w:val="007D70BD"/>
    <w:rsid w:val="007D73A7"/>
    <w:rsid w:val="007D75D6"/>
    <w:rsid w:val="007E3877"/>
    <w:rsid w:val="007E48AF"/>
    <w:rsid w:val="007E742D"/>
    <w:rsid w:val="007F3BF4"/>
    <w:rsid w:val="007F55BD"/>
    <w:rsid w:val="00805026"/>
    <w:rsid w:val="0080695F"/>
    <w:rsid w:val="00813308"/>
    <w:rsid w:val="008138E3"/>
    <w:rsid w:val="00813E05"/>
    <w:rsid w:val="00816032"/>
    <w:rsid w:val="00816825"/>
    <w:rsid w:val="00817C55"/>
    <w:rsid w:val="008209F1"/>
    <w:rsid w:val="00824257"/>
    <w:rsid w:val="00824683"/>
    <w:rsid w:val="00825DAE"/>
    <w:rsid w:val="00826E92"/>
    <w:rsid w:val="00830EB4"/>
    <w:rsid w:val="00831482"/>
    <w:rsid w:val="00834323"/>
    <w:rsid w:val="008347DE"/>
    <w:rsid w:val="008372A3"/>
    <w:rsid w:val="008423AA"/>
    <w:rsid w:val="008477E6"/>
    <w:rsid w:val="00851E9F"/>
    <w:rsid w:val="008575B9"/>
    <w:rsid w:val="0086176A"/>
    <w:rsid w:val="00861A95"/>
    <w:rsid w:val="00863B56"/>
    <w:rsid w:val="00864898"/>
    <w:rsid w:val="00865433"/>
    <w:rsid w:val="00866473"/>
    <w:rsid w:val="008671B5"/>
    <w:rsid w:val="008678C7"/>
    <w:rsid w:val="00870FD2"/>
    <w:rsid w:val="008719B5"/>
    <w:rsid w:val="008810B7"/>
    <w:rsid w:val="00882B58"/>
    <w:rsid w:val="0088683F"/>
    <w:rsid w:val="0089200B"/>
    <w:rsid w:val="008A2E1B"/>
    <w:rsid w:val="008A4CDC"/>
    <w:rsid w:val="008A750A"/>
    <w:rsid w:val="008A7893"/>
    <w:rsid w:val="008B173C"/>
    <w:rsid w:val="008C24C1"/>
    <w:rsid w:val="008C3D12"/>
    <w:rsid w:val="008C4C52"/>
    <w:rsid w:val="008D0170"/>
    <w:rsid w:val="008D23AB"/>
    <w:rsid w:val="008D3C21"/>
    <w:rsid w:val="008D470F"/>
    <w:rsid w:val="008D6DC9"/>
    <w:rsid w:val="008E7C5D"/>
    <w:rsid w:val="008F2E68"/>
    <w:rsid w:val="008F4FCD"/>
    <w:rsid w:val="008F681E"/>
    <w:rsid w:val="008F6E6E"/>
    <w:rsid w:val="00902312"/>
    <w:rsid w:val="00905361"/>
    <w:rsid w:val="0090749E"/>
    <w:rsid w:val="00912D73"/>
    <w:rsid w:val="00913419"/>
    <w:rsid w:val="00914F79"/>
    <w:rsid w:val="0091507A"/>
    <w:rsid w:val="0092294C"/>
    <w:rsid w:val="00923C1C"/>
    <w:rsid w:val="00924901"/>
    <w:rsid w:val="00926379"/>
    <w:rsid w:val="00930020"/>
    <w:rsid w:val="00935FA9"/>
    <w:rsid w:val="00937ABD"/>
    <w:rsid w:val="009426E9"/>
    <w:rsid w:val="009440A9"/>
    <w:rsid w:val="00946094"/>
    <w:rsid w:val="00947BE7"/>
    <w:rsid w:val="00947FF3"/>
    <w:rsid w:val="00952096"/>
    <w:rsid w:val="00963499"/>
    <w:rsid w:val="00963A57"/>
    <w:rsid w:val="00967860"/>
    <w:rsid w:val="009728B6"/>
    <w:rsid w:val="00972942"/>
    <w:rsid w:val="00974483"/>
    <w:rsid w:val="00974551"/>
    <w:rsid w:val="009807E0"/>
    <w:rsid w:val="00981AEB"/>
    <w:rsid w:val="009852AD"/>
    <w:rsid w:val="00990035"/>
    <w:rsid w:val="00991739"/>
    <w:rsid w:val="009A42A4"/>
    <w:rsid w:val="009A7A2B"/>
    <w:rsid w:val="009B052C"/>
    <w:rsid w:val="009B1BFA"/>
    <w:rsid w:val="009C0CE9"/>
    <w:rsid w:val="009C4132"/>
    <w:rsid w:val="009C43CD"/>
    <w:rsid w:val="009C7413"/>
    <w:rsid w:val="009C7B3E"/>
    <w:rsid w:val="009D180F"/>
    <w:rsid w:val="009D4480"/>
    <w:rsid w:val="009D4E46"/>
    <w:rsid w:val="009D70D2"/>
    <w:rsid w:val="009D7D13"/>
    <w:rsid w:val="009D7E71"/>
    <w:rsid w:val="009E0051"/>
    <w:rsid w:val="009E329C"/>
    <w:rsid w:val="009F07D3"/>
    <w:rsid w:val="009F344B"/>
    <w:rsid w:val="009F36CD"/>
    <w:rsid w:val="009F3ED2"/>
    <w:rsid w:val="009F636F"/>
    <w:rsid w:val="00A011F6"/>
    <w:rsid w:val="00A014DB"/>
    <w:rsid w:val="00A01937"/>
    <w:rsid w:val="00A02DD8"/>
    <w:rsid w:val="00A05348"/>
    <w:rsid w:val="00A103BE"/>
    <w:rsid w:val="00A15B8F"/>
    <w:rsid w:val="00A2298C"/>
    <w:rsid w:val="00A2431A"/>
    <w:rsid w:val="00A306BD"/>
    <w:rsid w:val="00A35FB9"/>
    <w:rsid w:val="00A40E15"/>
    <w:rsid w:val="00A41EA7"/>
    <w:rsid w:val="00A4463C"/>
    <w:rsid w:val="00A44E91"/>
    <w:rsid w:val="00A452DD"/>
    <w:rsid w:val="00A477B0"/>
    <w:rsid w:val="00A4783E"/>
    <w:rsid w:val="00A47974"/>
    <w:rsid w:val="00A5108C"/>
    <w:rsid w:val="00A53534"/>
    <w:rsid w:val="00A565AC"/>
    <w:rsid w:val="00A57ECB"/>
    <w:rsid w:val="00A60450"/>
    <w:rsid w:val="00A60694"/>
    <w:rsid w:val="00A62BC6"/>
    <w:rsid w:val="00A66DBF"/>
    <w:rsid w:val="00A7169D"/>
    <w:rsid w:val="00A72D45"/>
    <w:rsid w:val="00A74C17"/>
    <w:rsid w:val="00A77EC2"/>
    <w:rsid w:val="00A8128C"/>
    <w:rsid w:val="00A92217"/>
    <w:rsid w:val="00A93105"/>
    <w:rsid w:val="00A941AD"/>
    <w:rsid w:val="00A978AC"/>
    <w:rsid w:val="00AA17A3"/>
    <w:rsid w:val="00AA212C"/>
    <w:rsid w:val="00AA277A"/>
    <w:rsid w:val="00AA75C5"/>
    <w:rsid w:val="00AB320A"/>
    <w:rsid w:val="00AC115A"/>
    <w:rsid w:val="00AC5BC4"/>
    <w:rsid w:val="00AC6A55"/>
    <w:rsid w:val="00AE1F31"/>
    <w:rsid w:val="00AE4E0A"/>
    <w:rsid w:val="00AE5D8E"/>
    <w:rsid w:val="00AF1A43"/>
    <w:rsid w:val="00AF27D8"/>
    <w:rsid w:val="00AF4205"/>
    <w:rsid w:val="00AF7FA6"/>
    <w:rsid w:val="00B04BF4"/>
    <w:rsid w:val="00B04C01"/>
    <w:rsid w:val="00B062DC"/>
    <w:rsid w:val="00B06EF5"/>
    <w:rsid w:val="00B07945"/>
    <w:rsid w:val="00B131F4"/>
    <w:rsid w:val="00B242C5"/>
    <w:rsid w:val="00B24756"/>
    <w:rsid w:val="00B27A5F"/>
    <w:rsid w:val="00B32202"/>
    <w:rsid w:val="00B42A3A"/>
    <w:rsid w:val="00B42CC5"/>
    <w:rsid w:val="00B4466C"/>
    <w:rsid w:val="00B44CC4"/>
    <w:rsid w:val="00B518D1"/>
    <w:rsid w:val="00B52EC1"/>
    <w:rsid w:val="00B55EEF"/>
    <w:rsid w:val="00B61E3B"/>
    <w:rsid w:val="00B63902"/>
    <w:rsid w:val="00B669D1"/>
    <w:rsid w:val="00B67E39"/>
    <w:rsid w:val="00B70840"/>
    <w:rsid w:val="00B75E29"/>
    <w:rsid w:val="00B76D19"/>
    <w:rsid w:val="00B80BF8"/>
    <w:rsid w:val="00B82366"/>
    <w:rsid w:val="00B82529"/>
    <w:rsid w:val="00B869C7"/>
    <w:rsid w:val="00B87BC9"/>
    <w:rsid w:val="00B87E05"/>
    <w:rsid w:val="00B933AC"/>
    <w:rsid w:val="00B9498C"/>
    <w:rsid w:val="00B979D9"/>
    <w:rsid w:val="00BA0EA2"/>
    <w:rsid w:val="00BA1B7E"/>
    <w:rsid w:val="00BA294E"/>
    <w:rsid w:val="00BA3167"/>
    <w:rsid w:val="00BA75C1"/>
    <w:rsid w:val="00BB273A"/>
    <w:rsid w:val="00BB5B59"/>
    <w:rsid w:val="00BB5E70"/>
    <w:rsid w:val="00BB67C2"/>
    <w:rsid w:val="00BC4E09"/>
    <w:rsid w:val="00BD08C2"/>
    <w:rsid w:val="00BD3110"/>
    <w:rsid w:val="00BD631C"/>
    <w:rsid w:val="00BD6519"/>
    <w:rsid w:val="00BD76FA"/>
    <w:rsid w:val="00BF11D2"/>
    <w:rsid w:val="00BF12AE"/>
    <w:rsid w:val="00BF433D"/>
    <w:rsid w:val="00BF4B20"/>
    <w:rsid w:val="00BF4FF1"/>
    <w:rsid w:val="00C00866"/>
    <w:rsid w:val="00C0210B"/>
    <w:rsid w:val="00C0326D"/>
    <w:rsid w:val="00C05C51"/>
    <w:rsid w:val="00C06A9E"/>
    <w:rsid w:val="00C1025A"/>
    <w:rsid w:val="00C1345D"/>
    <w:rsid w:val="00C13B8A"/>
    <w:rsid w:val="00C14DDE"/>
    <w:rsid w:val="00C17B2B"/>
    <w:rsid w:val="00C17BFE"/>
    <w:rsid w:val="00C20212"/>
    <w:rsid w:val="00C24F90"/>
    <w:rsid w:val="00C34149"/>
    <w:rsid w:val="00C3572E"/>
    <w:rsid w:val="00C35BC3"/>
    <w:rsid w:val="00C41CE2"/>
    <w:rsid w:val="00C45AA5"/>
    <w:rsid w:val="00C46286"/>
    <w:rsid w:val="00C52AA3"/>
    <w:rsid w:val="00C53B39"/>
    <w:rsid w:val="00C704A5"/>
    <w:rsid w:val="00C728C8"/>
    <w:rsid w:val="00C72A74"/>
    <w:rsid w:val="00C72CB8"/>
    <w:rsid w:val="00C76370"/>
    <w:rsid w:val="00C7799B"/>
    <w:rsid w:val="00C81461"/>
    <w:rsid w:val="00C814D7"/>
    <w:rsid w:val="00C852E0"/>
    <w:rsid w:val="00C9266C"/>
    <w:rsid w:val="00C93534"/>
    <w:rsid w:val="00C96015"/>
    <w:rsid w:val="00C97EDC"/>
    <w:rsid w:val="00CA098A"/>
    <w:rsid w:val="00CA09FB"/>
    <w:rsid w:val="00CA19E6"/>
    <w:rsid w:val="00CA22F8"/>
    <w:rsid w:val="00CA671C"/>
    <w:rsid w:val="00CB2026"/>
    <w:rsid w:val="00CB37AF"/>
    <w:rsid w:val="00CC1FE4"/>
    <w:rsid w:val="00CC3714"/>
    <w:rsid w:val="00CC7F2F"/>
    <w:rsid w:val="00CD1151"/>
    <w:rsid w:val="00CD11B1"/>
    <w:rsid w:val="00CD161A"/>
    <w:rsid w:val="00CD1830"/>
    <w:rsid w:val="00CD1C28"/>
    <w:rsid w:val="00CD54D6"/>
    <w:rsid w:val="00CE2876"/>
    <w:rsid w:val="00CE58D7"/>
    <w:rsid w:val="00CF259A"/>
    <w:rsid w:val="00CF28EE"/>
    <w:rsid w:val="00CF4613"/>
    <w:rsid w:val="00CF4ACB"/>
    <w:rsid w:val="00CF4EA2"/>
    <w:rsid w:val="00CF4F8F"/>
    <w:rsid w:val="00CF63CD"/>
    <w:rsid w:val="00D0249A"/>
    <w:rsid w:val="00D04E9B"/>
    <w:rsid w:val="00D070CF"/>
    <w:rsid w:val="00D1009E"/>
    <w:rsid w:val="00D1116D"/>
    <w:rsid w:val="00D118DB"/>
    <w:rsid w:val="00D12267"/>
    <w:rsid w:val="00D21A07"/>
    <w:rsid w:val="00D2260A"/>
    <w:rsid w:val="00D263BA"/>
    <w:rsid w:val="00D34D48"/>
    <w:rsid w:val="00D34DA3"/>
    <w:rsid w:val="00D42FC9"/>
    <w:rsid w:val="00D45806"/>
    <w:rsid w:val="00D505EA"/>
    <w:rsid w:val="00D50BC2"/>
    <w:rsid w:val="00D53764"/>
    <w:rsid w:val="00D55928"/>
    <w:rsid w:val="00D6010E"/>
    <w:rsid w:val="00D60C80"/>
    <w:rsid w:val="00D615BB"/>
    <w:rsid w:val="00D618F3"/>
    <w:rsid w:val="00D6208D"/>
    <w:rsid w:val="00D62DBD"/>
    <w:rsid w:val="00D62F8E"/>
    <w:rsid w:val="00D66739"/>
    <w:rsid w:val="00D7030F"/>
    <w:rsid w:val="00D70538"/>
    <w:rsid w:val="00D71895"/>
    <w:rsid w:val="00D72893"/>
    <w:rsid w:val="00D77552"/>
    <w:rsid w:val="00D777FA"/>
    <w:rsid w:val="00D80163"/>
    <w:rsid w:val="00D84592"/>
    <w:rsid w:val="00D86FEC"/>
    <w:rsid w:val="00D92C2E"/>
    <w:rsid w:val="00D94742"/>
    <w:rsid w:val="00D95D1E"/>
    <w:rsid w:val="00DA24D9"/>
    <w:rsid w:val="00DA33E1"/>
    <w:rsid w:val="00DA4374"/>
    <w:rsid w:val="00DA76D2"/>
    <w:rsid w:val="00DB5BAA"/>
    <w:rsid w:val="00DC2F8F"/>
    <w:rsid w:val="00DC2FC9"/>
    <w:rsid w:val="00DC30F9"/>
    <w:rsid w:val="00DC3128"/>
    <w:rsid w:val="00DC3BF1"/>
    <w:rsid w:val="00DD5AA7"/>
    <w:rsid w:val="00DD651F"/>
    <w:rsid w:val="00DE1026"/>
    <w:rsid w:val="00DE1C23"/>
    <w:rsid w:val="00DE5911"/>
    <w:rsid w:val="00DE5FC8"/>
    <w:rsid w:val="00DF132A"/>
    <w:rsid w:val="00DF3C1D"/>
    <w:rsid w:val="00E02E25"/>
    <w:rsid w:val="00E07607"/>
    <w:rsid w:val="00E0782F"/>
    <w:rsid w:val="00E21AB1"/>
    <w:rsid w:val="00E21CDF"/>
    <w:rsid w:val="00E23BF9"/>
    <w:rsid w:val="00E242FD"/>
    <w:rsid w:val="00E316C5"/>
    <w:rsid w:val="00E31D6A"/>
    <w:rsid w:val="00E33EF9"/>
    <w:rsid w:val="00E35A68"/>
    <w:rsid w:val="00E374AE"/>
    <w:rsid w:val="00E407C0"/>
    <w:rsid w:val="00E42805"/>
    <w:rsid w:val="00E447AE"/>
    <w:rsid w:val="00E448AA"/>
    <w:rsid w:val="00E51FC1"/>
    <w:rsid w:val="00E54CC0"/>
    <w:rsid w:val="00E65389"/>
    <w:rsid w:val="00E65958"/>
    <w:rsid w:val="00E7119E"/>
    <w:rsid w:val="00E71B3C"/>
    <w:rsid w:val="00E737AF"/>
    <w:rsid w:val="00E737D4"/>
    <w:rsid w:val="00E759AF"/>
    <w:rsid w:val="00E779A0"/>
    <w:rsid w:val="00E77F68"/>
    <w:rsid w:val="00E8015B"/>
    <w:rsid w:val="00E80FEF"/>
    <w:rsid w:val="00E81570"/>
    <w:rsid w:val="00E831AC"/>
    <w:rsid w:val="00E91C42"/>
    <w:rsid w:val="00E92332"/>
    <w:rsid w:val="00E95964"/>
    <w:rsid w:val="00EA051B"/>
    <w:rsid w:val="00EA3276"/>
    <w:rsid w:val="00EA3F14"/>
    <w:rsid w:val="00EA609E"/>
    <w:rsid w:val="00EA632B"/>
    <w:rsid w:val="00EA7E24"/>
    <w:rsid w:val="00EB201A"/>
    <w:rsid w:val="00EB5CEE"/>
    <w:rsid w:val="00EB7A3A"/>
    <w:rsid w:val="00EC0EF3"/>
    <w:rsid w:val="00EC1CF5"/>
    <w:rsid w:val="00EC2D01"/>
    <w:rsid w:val="00ED0A70"/>
    <w:rsid w:val="00ED3AA1"/>
    <w:rsid w:val="00ED7768"/>
    <w:rsid w:val="00EE049A"/>
    <w:rsid w:val="00EE25E6"/>
    <w:rsid w:val="00EE78B4"/>
    <w:rsid w:val="00EF0DDC"/>
    <w:rsid w:val="00EF18B9"/>
    <w:rsid w:val="00EF1970"/>
    <w:rsid w:val="00EF34F9"/>
    <w:rsid w:val="00EF76A0"/>
    <w:rsid w:val="00F00F9B"/>
    <w:rsid w:val="00F01525"/>
    <w:rsid w:val="00F02CDC"/>
    <w:rsid w:val="00F04A17"/>
    <w:rsid w:val="00F07C92"/>
    <w:rsid w:val="00F1029D"/>
    <w:rsid w:val="00F15DF6"/>
    <w:rsid w:val="00F1615C"/>
    <w:rsid w:val="00F2018E"/>
    <w:rsid w:val="00F30581"/>
    <w:rsid w:val="00F342E1"/>
    <w:rsid w:val="00F348FF"/>
    <w:rsid w:val="00F35C84"/>
    <w:rsid w:val="00F40833"/>
    <w:rsid w:val="00F40D8E"/>
    <w:rsid w:val="00F4460D"/>
    <w:rsid w:val="00F4636B"/>
    <w:rsid w:val="00F466EA"/>
    <w:rsid w:val="00F50E01"/>
    <w:rsid w:val="00F5362A"/>
    <w:rsid w:val="00F54025"/>
    <w:rsid w:val="00F54F4E"/>
    <w:rsid w:val="00F602E5"/>
    <w:rsid w:val="00F603C7"/>
    <w:rsid w:val="00F62B6E"/>
    <w:rsid w:val="00F65350"/>
    <w:rsid w:val="00F6617D"/>
    <w:rsid w:val="00F663FD"/>
    <w:rsid w:val="00F72083"/>
    <w:rsid w:val="00F760A0"/>
    <w:rsid w:val="00F76CA7"/>
    <w:rsid w:val="00F778BB"/>
    <w:rsid w:val="00F8705B"/>
    <w:rsid w:val="00F95330"/>
    <w:rsid w:val="00F96C48"/>
    <w:rsid w:val="00FA2D57"/>
    <w:rsid w:val="00FB003F"/>
    <w:rsid w:val="00FB671A"/>
    <w:rsid w:val="00FB7ACF"/>
    <w:rsid w:val="00FC2BBC"/>
    <w:rsid w:val="00FC4B07"/>
    <w:rsid w:val="00FC5EF9"/>
    <w:rsid w:val="00FD6FED"/>
    <w:rsid w:val="00FE1519"/>
    <w:rsid w:val="00FE1AB6"/>
    <w:rsid w:val="00FE243D"/>
    <w:rsid w:val="00FF0BF7"/>
    <w:rsid w:val="00FF148D"/>
    <w:rsid w:val="00FF2DB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D82D1"/>
  <w15:docId w15:val="{CB13D2F6-0065-41E3-9DED-A990241B7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852E0"/>
    <w:pPr>
      <w:spacing w:after="0" w:line="288" w:lineRule="auto"/>
      <w:jc w:val="both"/>
    </w:pPr>
    <w:rPr>
      <w:rFonts w:ascii="Verdana" w:eastAsia="Times New Roman" w:hAnsi="Verdana" w:cs="Times New Roman"/>
      <w:sz w:val="18"/>
      <w:szCs w:val="24"/>
      <w:lang w:val="en-GB"/>
    </w:rPr>
  </w:style>
  <w:style w:type="paragraph" w:styleId="Nadpis1">
    <w:name w:val="heading 1"/>
    <w:basedOn w:val="Normlny"/>
    <w:next w:val="Normlny"/>
    <w:link w:val="Nadpis1Char"/>
    <w:uiPriority w:val="9"/>
    <w:qFormat/>
    <w:rsid w:val="001B65F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qFormat/>
    <w:rsid w:val="00234A1B"/>
    <w:pPr>
      <w:shd w:val="clear" w:color="auto" w:fill="FFFFFF"/>
      <w:spacing w:before="240" w:after="240" w:line="240" w:lineRule="auto"/>
      <w:ind w:left="567" w:hanging="360"/>
      <w:outlineLvl w:val="1"/>
    </w:pPr>
    <w:rPr>
      <w:rFonts w:ascii="Arial" w:hAnsi="Arial" w:cs="Arial"/>
      <w:b/>
      <w:color w:val="EEECE1" w:themeColor="background2"/>
      <w:sz w:val="20"/>
      <w:szCs w:val="20"/>
      <w:lang w:val="fr-FR" w:eastAsia="fr-FR"/>
    </w:rPr>
  </w:style>
  <w:style w:type="paragraph" w:styleId="Nadpis3">
    <w:name w:val="heading 3"/>
    <w:basedOn w:val="Normlny"/>
    <w:next w:val="Normlny"/>
    <w:link w:val="Nadpis3Char"/>
    <w:uiPriority w:val="9"/>
    <w:qFormat/>
    <w:rsid w:val="0032216E"/>
    <w:pPr>
      <w:keepNext/>
      <w:spacing w:before="360" w:after="60" w:line="264" w:lineRule="auto"/>
      <w:jc w:val="left"/>
      <w:outlineLvl w:val="2"/>
    </w:pPr>
    <w:rPr>
      <w:rFonts w:asciiTheme="majorHAnsi" w:eastAsiaTheme="majorEastAsia" w:hAnsiTheme="majorHAnsi" w:cs="Arial"/>
      <w:b/>
      <w:bCs/>
      <w:color w:val="000000"/>
      <w:sz w:val="20"/>
      <w:lang w:val="sv-SE" w:eastAsia="sv-S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semiHidden/>
    <w:rsid w:val="00152882"/>
    <w:pPr>
      <w:tabs>
        <w:tab w:val="center" w:pos="4320"/>
        <w:tab w:val="right" w:pos="8640"/>
      </w:tabs>
    </w:pPr>
  </w:style>
  <w:style w:type="character" w:customStyle="1" w:styleId="HlavikaChar">
    <w:name w:val="Hlavička Char"/>
    <w:basedOn w:val="Predvolenpsmoodseku"/>
    <w:link w:val="Hlavika"/>
    <w:semiHidden/>
    <w:rsid w:val="00152882"/>
    <w:rPr>
      <w:rFonts w:ascii="Verdana" w:eastAsia="Times New Roman" w:hAnsi="Verdana" w:cs="Times New Roman"/>
      <w:sz w:val="18"/>
      <w:szCs w:val="24"/>
      <w:lang w:val="en-GB"/>
    </w:rPr>
  </w:style>
  <w:style w:type="paragraph" w:styleId="Pta">
    <w:name w:val="footer"/>
    <w:basedOn w:val="Normlny"/>
    <w:link w:val="PtaChar"/>
    <w:semiHidden/>
    <w:rsid w:val="00152882"/>
    <w:pPr>
      <w:tabs>
        <w:tab w:val="center" w:pos="4320"/>
        <w:tab w:val="right" w:pos="8640"/>
      </w:tabs>
    </w:pPr>
  </w:style>
  <w:style w:type="character" w:customStyle="1" w:styleId="PtaChar">
    <w:name w:val="Päta Char"/>
    <w:basedOn w:val="Predvolenpsmoodseku"/>
    <w:link w:val="Pta"/>
    <w:semiHidden/>
    <w:rsid w:val="00152882"/>
    <w:rPr>
      <w:rFonts w:ascii="Verdana" w:eastAsia="Times New Roman" w:hAnsi="Verdana" w:cs="Times New Roman"/>
      <w:sz w:val="18"/>
      <w:szCs w:val="24"/>
      <w:lang w:val="en-GB"/>
    </w:rPr>
  </w:style>
  <w:style w:type="paragraph" w:customStyle="1" w:styleId="Noparagraphstyle">
    <w:name w:val="[No paragraph style]"/>
    <w:semiHidden/>
    <w:rsid w:val="00152882"/>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rPr>
  </w:style>
  <w:style w:type="character" w:styleId="slostrany">
    <w:name w:val="page number"/>
    <w:basedOn w:val="Predvolenpsmoodseku"/>
    <w:semiHidden/>
    <w:rsid w:val="00152882"/>
  </w:style>
  <w:style w:type="paragraph" w:customStyle="1" w:styleId="Heading1CEA">
    <w:name w:val="Heading 1 (CEA)"/>
    <w:basedOn w:val="Normlny"/>
    <w:link w:val="Heading1CEAChar"/>
    <w:semiHidden/>
    <w:rsid w:val="00152882"/>
    <w:pPr>
      <w:autoSpaceDE w:val="0"/>
      <w:autoSpaceDN w:val="0"/>
      <w:adjustRightInd w:val="0"/>
    </w:pPr>
    <w:rPr>
      <w:rFonts w:ascii="Arial" w:hAnsi="Arial"/>
      <w:b/>
      <w:color w:val="034EA2"/>
      <w:sz w:val="32"/>
      <w:szCs w:val="32"/>
    </w:rPr>
  </w:style>
  <w:style w:type="character" w:customStyle="1" w:styleId="Heading1CEAChar">
    <w:name w:val="Heading 1 (CEA) Char"/>
    <w:basedOn w:val="Predvolenpsmoodseku"/>
    <w:link w:val="Heading1CEA"/>
    <w:rsid w:val="00152882"/>
    <w:rPr>
      <w:rFonts w:ascii="Arial" w:eastAsia="Times New Roman" w:hAnsi="Arial" w:cs="Times New Roman"/>
      <w:b/>
      <w:color w:val="034EA2"/>
      <w:sz w:val="32"/>
      <w:szCs w:val="32"/>
      <w:lang w:val="en-GB"/>
    </w:rPr>
  </w:style>
  <w:style w:type="paragraph" w:customStyle="1" w:styleId="CEAPositionPaperTitle">
    <w:name w:val="CEA Position Paper Title"/>
    <w:basedOn w:val="Normlny"/>
    <w:semiHidden/>
    <w:qFormat/>
    <w:rsid w:val="00152882"/>
    <w:pPr>
      <w:ind w:left="-27"/>
    </w:pPr>
    <w:rPr>
      <w:b/>
      <w:color w:val="034EA2"/>
      <w:sz w:val="32"/>
      <w:szCs w:val="32"/>
    </w:rPr>
  </w:style>
  <w:style w:type="paragraph" w:customStyle="1" w:styleId="CEADraft">
    <w:name w:val="CEA Draft"/>
    <w:basedOn w:val="Normlny"/>
    <w:semiHidden/>
    <w:qFormat/>
    <w:rsid w:val="00152882"/>
    <w:pPr>
      <w:jc w:val="right"/>
    </w:pPr>
    <w:rPr>
      <w:rFonts w:cs="Arial"/>
      <w:b/>
      <w:i/>
      <w:color w:val="034EA2"/>
      <w:sz w:val="32"/>
      <w:szCs w:val="40"/>
    </w:rPr>
  </w:style>
  <w:style w:type="paragraph" w:customStyle="1" w:styleId="CEAFooterauthorinfo">
    <w:name w:val="CEA Footer (author info)"/>
    <w:basedOn w:val="Normlny"/>
    <w:semiHidden/>
    <w:qFormat/>
    <w:rsid w:val="00152882"/>
    <w:pPr>
      <w:autoSpaceDE w:val="0"/>
      <w:autoSpaceDN w:val="0"/>
      <w:adjustRightInd w:val="0"/>
      <w:textAlignment w:val="center"/>
    </w:pPr>
    <w:rPr>
      <w:rFonts w:cs="Arial"/>
      <w:b/>
      <w:color w:val="034EA2"/>
      <w:sz w:val="16"/>
      <w:szCs w:val="16"/>
    </w:rPr>
  </w:style>
  <w:style w:type="paragraph" w:customStyle="1" w:styleId="CEALabel">
    <w:name w:val="CEA Label"/>
    <w:basedOn w:val="Normlny"/>
    <w:semiHidden/>
    <w:qFormat/>
    <w:rsid w:val="00152882"/>
    <w:rPr>
      <w:rFonts w:cs="Arial"/>
      <w:b/>
      <w:color w:val="034EA2"/>
      <w:szCs w:val="18"/>
    </w:rPr>
  </w:style>
  <w:style w:type="character" w:styleId="Zstupntext">
    <w:name w:val="Placeholder Text"/>
    <w:basedOn w:val="Predvolenpsmoodseku"/>
    <w:uiPriority w:val="99"/>
    <w:semiHidden/>
    <w:rsid w:val="0008034A"/>
    <w:rPr>
      <w:color w:val="808080"/>
    </w:rPr>
  </w:style>
  <w:style w:type="paragraph" w:styleId="Textbubliny">
    <w:name w:val="Balloon Text"/>
    <w:basedOn w:val="Normlny"/>
    <w:link w:val="TextbublinyChar"/>
    <w:uiPriority w:val="99"/>
    <w:semiHidden/>
    <w:unhideWhenUsed/>
    <w:rsid w:val="0008034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8034A"/>
    <w:rPr>
      <w:rFonts w:ascii="Tahoma" w:eastAsia="Times New Roman" w:hAnsi="Tahoma" w:cs="Tahoma"/>
      <w:sz w:val="16"/>
      <w:szCs w:val="16"/>
      <w:lang w:val="en-GB"/>
    </w:rPr>
  </w:style>
  <w:style w:type="paragraph" w:customStyle="1" w:styleId="CEABullet-Level1">
    <w:name w:val="CEA Bullet - Level 1"/>
    <w:basedOn w:val="Normlny"/>
    <w:link w:val="CEABullet-Level1Char"/>
    <w:qFormat/>
    <w:rsid w:val="00825DAE"/>
    <w:pPr>
      <w:numPr>
        <w:numId w:val="1"/>
      </w:numPr>
      <w:autoSpaceDE w:val="0"/>
      <w:autoSpaceDN w:val="0"/>
      <w:adjustRightInd w:val="0"/>
    </w:pPr>
    <w:rPr>
      <w:rFonts w:cs="Frutiger LT Std 45 Light"/>
      <w:color w:val="000000"/>
      <w:sz w:val="17"/>
      <w:szCs w:val="20"/>
    </w:rPr>
  </w:style>
  <w:style w:type="paragraph" w:customStyle="1" w:styleId="CEABullet-Level2">
    <w:name w:val="CEA Bullet - Level 2"/>
    <w:basedOn w:val="CEABullet-Level1"/>
    <w:next w:val="Normlny"/>
    <w:qFormat/>
    <w:rsid w:val="00825DAE"/>
    <w:pPr>
      <w:numPr>
        <w:numId w:val="2"/>
      </w:numPr>
    </w:pPr>
  </w:style>
  <w:style w:type="paragraph" w:customStyle="1" w:styleId="CEABullet-Level3">
    <w:name w:val="CEA Bullet - Level 3"/>
    <w:basedOn w:val="Normlny"/>
    <w:qFormat/>
    <w:rsid w:val="00825DAE"/>
    <w:pPr>
      <w:numPr>
        <w:numId w:val="3"/>
      </w:numPr>
      <w:autoSpaceDE w:val="0"/>
      <w:autoSpaceDN w:val="0"/>
      <w:adjustRightInd w:val="0"/>
    </w:pPr>
    <w:rPr>
      <w:rFonts w:cs="Frutiger LT Std 45 Light"/>
      <w:color w:val="000000"/>
      <w:sz w:val="17"/>
      <w:szCs w:val="20"/>
    </w:rPr>
  </w:style>
  <w:style w:type="paragraph" w:customStyle="1" w:styleId="CEADirectorGeneral">
    <w:name w:val="CEA Director General"/>
    <w:basedOn w:val="Normlny"/>
    <w:semiHidden/>
    <w:qFormat/>
    <w:rsid w:val="00825DAE"/>
    <w:pPr>
      <w:tabs>
        <w:tab w:val="right" w:pos="360"/>
        <w:tab w:val="left" w:pos="540"/>
      </w:tabs>
      <w:autoSpaceDE w:val="0"/>
      <w:autoSpaceDN w:val="0"/>
      <w:adjustRightInd w:val="0"/>
      <w:textAlignment w:val="center"/>
    </w:pPr>
    <w:rPr>
      <w:sz w:val="22"/>
      <w:szCs w:val="22"/>
    </w:rPr>
  </w:style>
  <w:style w:type="paragraph" w:customStyle="1" w:styleId="CEADocumentType">
    <w:name w:val="CEA Document Type"/>
    <w:basedOn w:val="Normlny"/>
    <w:semiHidden/>
    <w:qFormat/>
    <w:rsid w:val="00825DAE"/>
    <w:pPr>
      <w:jc w:val="right"/>
    </w:pPr>
    <w:rPr>
      <w:rFonts w:cs="Frutiger LT Std 55 Roman"/>
      <w:b/>
      <w:color w:val="0032FF"/>
      <w:sz w:val="40"/>
      <w:szCs w:val="40"/>
    </w:rPr>
  </w:style>
  <w:style w:type="paragraph" w:customStyle="1" w:styleId="CEAFootnote">
    <w:name w:val="CEA Footnote"/>
    <w:basedOn w:val="Normlny"/>
    <w:semiHidden/>
    <w:qFormat/>
    <w:rsid w:val="00825DAE"/>
    <w:pPr>
      <w:spacing w:line="240" w:lineRule="auto"/>
    </w:pPr>
    <w:rPr>
      <w:sz w:val="16"/>
    </w:rPr>
  </w:style>
  <w:style w:type="character" w:customStyle="1" w:styleId="CEAGraphTitle">
    <w:name w:val="CEA Graph Title"/>
    <w:uiPriority w:val="1"/>
    <w:qFormat/>
    <w:rsid w:val="00825DAE"/>
    <w:rPr>
      <w:rFonts w:ascii="Verdana" w:hAnsi="Verdana"/>
      <w:smallCaps w:val="0"/>
      <w:sz w:val="19"/>
      <w:lang w:val="en-GB"/>
    </w:rPr>
  </w:style>
  <w:style w:type="character" w:customStyle="1" w:styleId="CEAGraphX">
    <w:name w:val="CEA Graph X"/>
    <w:uiPriority w:val="1"/>
    <w:qFormat/>
    <w:rsid w:val="00825DAE"/>
    <w:rPr>
      <w:rFonts w:ascii="Verdana" w:hAnsi="Verdana"/>
      <w:smallCaps/>
      <w:sz w:val="19"/>
      <w:lang w:val="en-GB"/>
    </w:rPr>
  </w:style>
  <w:style w:type="paragraph" w:customStyle="1" w:styleId="CEAPressReleaseSubtitle">
    <w:name w:val="CEA Press Release Subtitle"/>
    <w:basedOn w:val="Normlny"/>
    <w:semiHidden/>
    <w:qFormat/>
    <w:rsid w:val="00825DAE"/>
    <w:rPr>
      <w:sz w:val="22"/>
      <w:szCs w:val="22"/>
    </w:rPr>
  </w:style>
  <w:style w:type="paragraph" w:customStyle="1" w:styleId="CEAPressReleaseTitle">
    <w:name w:val="CEA Press Release Title"/>
    <w:basedOn w:val="Normlny"/>
    <w:semiHidden/>
    <w:qFormat/>
    <w:rsid w:val="00825DAE"/>
    <w:pPr>
      <w:autoSpaceDE w:val="0"/>
      <w:autoSpaceDN w:val="0"/>
      <w:adjustRightInd w:val="0"/>
      <w:spacing w:line="240" w:lineRule="auto"/>
    </w:pPr>
    <w:rPr>
      <w:rFonts w:ascii="Frutiger LT Com 45 Light" w:hAnsi="Frutiger LT Com 45 Light"/>
      <w:b/>
      <w:color w:val="034EA2"/>
      <w:sz w:val="36"/>
      <w:szCs w:val="36"/>
    </w:rPr>
  </w:style>
  <w:style w:type="paragraph" w:customStyle="1" w:styleId="CEASubjectLine">
    <w:name w:val="CEA Subject Line"/>
    <w:basedOn w:val="Normlny"/>
    <w:semiHidden/>
    <w:qFormat/>
    <w:rsid w:val="00825DAE"/>
    <w:rPr>
      <w:rFonts w:cs="Frutiger LT Std 55 Roman"/>
      <w:b/>
      <w:sz w:val="17"/>
      <w:szCs w:val="20"/>
    </w:rPr>
  </w:style>
  <w:style w:type="character" w:styleId="Hypertextovprepojenie">
    <w:name w:val="Hyperlink"/>
    <w:basedOn w:val="Predvolenpsmoodseku"/>
    <w:unhideWhenUsed/>
    <w:rsid w:val="00F2018E"/>
    <w:rPr>
      <w:color w:val="0000FF"/>
      <w:u w:val="single"/>
    </w:rPr>
  </w:style>
  <w:style w:type="paragraph" w:customStyle="1" w:styleId="CEAStandardHeading">
    <w:name w:val="CEA Standard Heading"/>
    <w:basedOn w:val="Normlny"/>
    <w:qFormat/>
    <w:rsid w:val="00F2018E"/>
    <w:pPr>
      <w:autoSpaceDE w:val="0"/>
      <w:autoSpaceDN w:val="0"/>
      <w:adjustRightInd w:val="0"/>
    </w:pPr>
    <w:rPr>
      <w:rFonts w:cs="Arial"/>
      <w:color w:val="002957"/>
      <w:sz w:val="20"/>
      <w:szCs w:val="22"/>
    </w:rPr>
  </w:style>
  <w:style w:type="paragraph" w:styleId="Textkomentra">
    <w:name w:val="annotation text"/>
    <w:basedOn w:val="Normlny"/>
    <w:link w:val="TextkomentraChar"/>
    <w:uiPriority w:val="99"/>
    <w:unhideWhenUsed/>
    <w:rsid w:val="00F2018E"/>
    <w:pPr>
      <w:spacing w:line="240" w:lineRule="auto"/>
    </w:pPr>
    <w:rPr>
      <w:sz w:val="20"/>
      <w:szCs w:val="20"/>
    </w:rPr>
  </w:style>
  <w:style w:type="character" w:customStyle="1" w:styleId="TextkomentraChar">
    <w:name w:val="Text komentára Char"/>
    <w:basedOn w:val="Predvolenpsmoodseku"/>
    <w:link w:val="Textkomentra"/>
    <w:uiPriority w:val="99"/>
    <w:rsid w:val="00F2018E"/>
    <w:rPr>
      <w:rFonts w:ascii="Verdana" w:eastAsia="Times New Roman" w:hAnsi="Verdana" w:cs="Times New Roman"/>
      <w:sz w:val="20"/>
      <w:szCs w:val="20"/>
      <w:lang w:val="en-GB"/>
    </w:rPr>
  </w:style>
  <w:style w:type="paragraph" w:customStyle="1" w:styleId="Default">
    <w:name w:val="Default"/>
    <w:rsid w:val="00F2018E"/>
    <w:pPr>
      <w:autoSpaceDE w:val="0"/>
      <w:autoSpaceDN w:val="0"/>
      <w:adjustRightInd w:val="0"/>
      <w:spacing w:after="0" w:line="240" w:lineRule="auto"/>
    </w:pPr>
    <w:rPr>
      <w:rFonts w:ascii="Verdana" w:hAnsi="Verdana" w:cs="Verdana"/>
      <w:color w:val="000000"/>
      <w:sz w:val="24"/>
      <w:szCs w:val="24"/>
      <w:lang w:val="en-GB"/>
    </w:rPr>
  </w:style>
  <w:style w:type="paragraph" w:styleId="Odsekzoznamu">
    <w:name w:val="List Paragraph"/>
    <w:aliases w:val="Normal punkter,PRI Bullets"/>
    <w:basedOn w:val="Normlny"/>
    <w:link w:val="OdsekzoznamuChar"/>
    <w:uiPriority w:val="34"/>
    <w:qFormat/>
    <w:rsid w:val="00F2018E"/>
    <w:pPr>
      <w:spacing w:line="240" w:lineRule="auto"/>
      <w:ind w:left="720"/>
      <w:jc w:val="left"/>
    </w:pPr>
    <w:rPr>
      <w:rFonts w:ascii="Times New Roman" w:eastAsiaTheme="minorHAnsi" w:hAnsi="Times New Roman"/>
      <w:sz w:val="24"/>
      <w:lang w:eastAsia="en-GB"/>
    </w:rPr>
  </w:style>
  <w:style w:type="character" w:styleId="Odkaznakomentr">
    <w:name w:val="annotation reference"/>
    <w:basedOn w:val="Predvolenpsmoodseku"/>
    <w:uiPriority w:val="99"/>
    <w:semiHidden/>
    <w:unhideWhenUsed/>
    <w:rsid w:val="00AF27D8"/>
    <w:rPr>
      <w:sz w:val="16"/>
      <w:szCs w:val="16"/>
    </w:rPr>
  </w:style>
  <w:style w:type="paragraph" w:styleId="Predmetkomentra">
    <w:name w:val="annotation subject"/>
    <w:basedOn w:val="Textkomentra"/>
    <w:next w:val="Textkomentra"/>
    <w:link w:val="PredmetkomentraChar"/>
    <w:uiPriority w:val="99"/>
    <w:semiHidden/>
    <w:unhideWhenUsed/>
    <w:rsid w:val="00257449"/>
    <w:rPr>
      <w:b/>
      <w:bCs/>
    </w:rPr>
  </w:style>
  <w:style w:type="character" w:customStyle="1" w:styleId="PredmetkomentraChar">
    <w:name w:val="Predmet komentára Char"/>
    <w:basedOn w:val="TextkomentraChar"/>
    <w:link w:val="Predmetkomentra"/>
    <w:uiPriority w:val="99"/>
    <w:semiHidden/>
    <w:rsid w:val="00257449"/>
    <w:rPr>
      <w:rFonts w:ascii="Verdana" w:eastAsia="Times New Roman" w:hAnsi="Verdana" w:cs="Times New Roman"/>
      <w:b/>
      <w:bCs/>
      <w:sz w:val="20"/>
      <w:szCs w:val="20"/>
      <w:lang w:val="en-GB"/>
    </w:rPr>
  </w:style>
  <w:style w:type="paragraph" w:styleId="Textpoznmkypodiarou">
    <w:name w:val="footnote text"/>
    <w:basedOn w:val="Normlny"/>
    <w:link w:val="TextpoznmkypodiarouChar"/>
    <w:uiPriority w:val="99"/>
    <w:semiHidden/>
    <w:unhideWhenUsed/>
    <w:rsid w:val="005163D7"/>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163D7"/>
    <w:rPr>
      <w:rFonts w:ascii="Verdana" w:eastAsia="Times New Roman" w:hAnsi="Verdana" w:cs="Times New Roman"/>
      <w:sz w:val="20"/>
      <w:szCs w:val="20"/>
      <w:lang w:val="en-GB"/>
    </w:rPr>
  </w:style>
  <w:style w:type="character" w:styleId="Odkaznapoznmkupodiarou">
    <w:name w:val="footnote reference"/>
    <w:basedOn w:val="Predvolenpsmoodseku"/>
    <w:uiPriority w:val="99"/>
    <w:semiHidden/>
    <w:unhideWhenUsed/>
    <w:rsid w:val="005163D7"/>
    <w:rPr>
      <w:vertAlign w:val="superscript"/>
    </w:rPr>
  </w:style>
  <w:style w:type="character" w:styleId="PouitHypertextovPrepojenie">
    <w:name w:val="FollowedHyperlink"/>
    <w:basedOn w:val="Predvolenpsmoodseku"/>
    <w:uiPriority w:val="99"/>
    <w:semiHidden/>
    <w:unhideWhenUsed/>
    <w:rsid w:val="009E0051"/>
    <w:rPr>
      <w:color w:val="800080" w:themeColor="followedHyperlink"/>
      <w:u w:val="single"/>
    </w:rPr>
  </w:style>
  <w:style w:type="character" w:customStyle="1" w:styleId="Nadpis3Char">
    <w:name w:val="Nadpis 3 Char"/>
    <w:basedOn w:val="Predvolenpsmoodseku"/>
    <w:link w:val="Nadpis3"/>
    <w:uiPriority w:val="3"/>
    <w:rsid w:val="0032216E"/>
    <w:rPr>
      <w:rFonts w:asciiTheme="majorHAnsi" w:eastAsiaTheme="majorEastAsia" w:hAnsiTheme="majorHAnsi" w:cs="Arial"/>
      <w:b/>
      <w:bCs/>
      <w:color w:val="000000"/>
      <w:sz w:val="20"/>
      <w:szCs w:val="24"/>
      <w:lang w:val="sv-SE" w:eastAsia="sv-SE"/>
    </w:rPr>
  </w:style>
  <w:style w:type="paragraph" w:styleId="Revzia">
    <w:name w:val="Revision"/>
    <w:hidden/>
    <w:uiPriority w:val="99"/>
    <w:semiHidden/>
    <w:rsid w:val="0091507A"/>
    <w:pPr>
      <w:spacing w:after="0" w:line="240" w:lineRule="auto"/>
    </w:pPr>
    <w:rPr>
      <w:rFonts w:ascii="Verdana" w:eastAsia="Times New Roman" w:hAnsi="Verdana" w:cs="Times New Roman"/>
      <w:sz w:val="18"/>
      <w:szCs w:val="24"/>
      <w:lang w:val="en-GB"/>
    </w:rPr>
  </w:style>
  <w:style w:type="table" w:styleId="Mriekatabukysvetl">
    <w:name w:val="Grid Table Light"/>
    <w:basedOn w:val="Normlnatabuka"/>
    <w:uiPriority w:val="40"/>
    <w:rsid w:val="00D21A0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riekatabuky">
    <w:name w:val="Table Grid"/>
    <w:basedOn w:val="Normlnatabuka"/>
    <w:uiPriority w:val="39"/>
    <w:rsid w:val="003F1D5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
    <w:name w:val="Grid Table 1 Light"/>
    <w:basedOn w:val="Normlnatabuka"/>
    <w:uiPriority w:val="46"/>
    <w:rsid w:val="003F1D57"/>
    <w:pPr>
      <w:spacing w:after="0" w:line="240" w:lineRule="auto"/>
    </w:pPr>
    <w:rPr>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ideTWBExt">
    <w:name w:val="HideTWBExt"/>
    <w:rsid w:val="003F1D57"/>
    <w:rPr>
      <w:rFonts w:ascii="Arial" w:hAnsi="Arial"/>
      <w:noProof/>
      <w:vanish/>
      <w:color w:val="000080"/>
      <w:sz w:val="20"/>
    </w:rPr>
  </w:style>
  <w:style w:type="character" w:customStyle="1" w:styleId="CEABullet-Level1Char">
    <w:name w:val="CEA Bullet - Level 1 Char"/>
    <w:link w:val="CEABullet-Level1"/>
    <w:rsid w:val="00A15B8F"/>
    <w:rPr>
      <w:rFonts w:ascii="Verdana" w:eastAsia="Times New Roman" w:hAnsi="Verdana" w:cs="Frutiger LT Std 45 Light"/>
      <w:color w:val="000000"/>
      <w:sz w:val="17"/>
      <w:szCs w:val="20"/>
      <w:lang w:val="en-GB"/>
    </w:rPr>
  </w:style>
  <w:style w:type="paragraph" w:styleId="Normlnywebov">
    <w:name w:val="Normal (Web)"/>
    <w:basedOn w:val="Normlny"/>
    <w:uiPriority w:val="99"/>
    <w:unhideWhenUsed/>
    <w:rsid w:val="00EE78B4"/>
    <w:pPr>
      <w:spacing w:before="100" w:beforeAutospacing="1" w:after="100" w:afterAutospacing="1" w:line="240" w:lineRule="auto"/>
      <w:jc w:val="left"/>
    </w:pPr>
    <w:rPr>
      <w:rFonts w:ascii="Times New Roman" w:eastAsiaTheme="minorHAnsi" w:hAnsi="Times New Roman"/>
      <w:sz w:val="24"/>
      <w:lang w:eastAsia="en-GB"/>
    </w:rPr>
  </w:style>
  <w:style w:type="character" w:customStyle="1" w:styleId="Nadpis1Char">
    <w:name w:val="Nadpis 1 Char"/>
    <w:basedOn w:val="Predvolenpsmoodseku"/>
    <w:link w:val="Nadpis1"/>
    <w:uiPriority w:val="9"/>
    <w:rsid w:val="001B65F9"/>
    <w:rPr>
      <w:rFonts w:asciiTheme="majorHAnsi" w:eastAsiaTheme="majorEastAsia" w:hAnsiTheme="majorHAnsi" w:cstheme="majorBidi"/>
      <w:color w:val="365F91" w:themeColor="accent1" w:themeShade="BF"/>
      <w:sz w:val="32"/>
      <w:szCs w:val="32"/>
      <w:lang w:val="en-GB"/>
    </w:rPr>
  </w:style>
  <w:style w:type="paragraph" w:customStyle="1" w:styleId="Body">
    <w:name w:val="Body"/>
    <w:rsid w:val="00C852E0"/>
    <w:pPr>
      <w:pBdr>
        <w:top w:val="nil"/>
        <w:left w:val="nil"/>
        <w:bottom w:val="nil"/>
        <w:right w:val="nil"/>
        <w:between w:val="nil"/>
        <w:bar w:val="nil"/>
      </w:pBdr>
      <w:spacing w:line="288" w:lineRule="auto"/>
    </w:pPr>
    <w:rPr>
      <w:rFonts w:ascii="Verdana" w:eastAsia="Verdana" w:hAnsi="Verdana" w:cs="Verdana"/>
      <w:color w:val="000000"/>
      <w:sz w:val="17"/>
      <w:szCs w:val="17"/>
      <w:u w:color="000000"/>
      <w:bdr w:val="nil"/>
      <w:lang w:val="en-US" w:eastAsia="en-GB"/>
    </w:rPr>
  </w:style>
  <w:style w:type="paragraph" w:styleId="Zkladntext">
    <w:name w:val="Body Text"/>
    <w:basedOn w:val="Normlny"/>
    <w:link w:val="ZkladntextChar"/>
    <w:semiHidden/>
    <w:rsid w:val="00C852E0"/>
    <w:pPr>
      <w:spacing w:after="120"/>
    </w:pPr>
    <w:rPr>
      <w:sz w:val="17"/>
    </w:rPr>
  </w:style>
  <w:style w:type="character" w:customStyle="1" w:styleId="ZkladntextChar">
    <w:name w:val="Základný text Char"/>
    <w:basedOn w:val="Predvolenpsmoodseku"/>
    <w:link w:val="Zkladntext"/>
    <w:semiHidden/>
    <w:rsid w:val="00C852E0"/>
    <w:rPr>
      <w:rFonts w:ascii="Verdana" w:eastAsia="Times New Roman" w:hAnsi="Verdana" w:cs="Times New Roman"/>
      <w:sz w:val="17"/>
      <w:szCs w:val="24"/>
      <w:lang w:val="en-GB"/>
    </w:rPr>
  </w:style>
  <w:style w:type="character" w:customStyle="1" w:styleId="Nadpis2Char">
    <w:name w:val="Nadpis 2 Char"/>
    <w:basedOn w:val="Predvolenpsmoodseku"/>
    <w:link w:val="Nadpis2"/>
    <w:uiPriority w:val="9"/>
    <w:rsid w:val="00234A1B"/>
    <w:rPr>
      <w:rFonts w:ascii="Arial" w:eastAsia="Times New Roman" w:hAnsi="Arial" w:cs="Arial"/>
      <w:b/>
      <w:color w:val="EEECE1" w:themeColor="background2"/>
      <w:sz w:val="20"/>
      <w:szCs w:val="20"/>
      <w:shd w:val="clear" w:color="auto" w:fill="FFFFFF"/>
      <w:lang w:val="fr-FR" w:eastAsia="fr-FR"/>
    </w:rPr>
  </w:style>
  <w:style w:type="character" w:customStyle="1" w:styleId="OdsekzoznamuChar">
    <w:name w:val="Odsek zoznamu Char"/>
    <w:aliases w:val="Normal punkter Char,PRI Bullets Char"/>
    <w:link w:val="Odsekzoznamu"/>
    <w:uiPriority w:val="34"/>
    <w:rsid w:val="00234A1B"/>
    <w:rPr>
      <w:rFonts w:ascii="Times New Roman" w:hAnsi="Times New Roman" w:cs="Times New Roman"/>
      <w:sz w:val="24"/>
      <w:szCs w:val="24"/>
      <w:lang w:val="en-GB" w:eastAsia="en-GB"/>
    </w:rPr>
  </w:style>
  <w:style w:type="character" w:customStyle="1" w:styleId="UnresolvedMention1">
    <w:name w:val="Unresolved Mention1"/>
    <w:basedOn w:val="Predvolenpsmoodseku"/>
    <w:uiPriority w:val="99"/>
    <w:semiHidden/>
    <w:unhideWhenUsed/>
    <w:rsid w:val="00234A1B"/>
    <w:rPr>
      <w:color w:val="808080"/>
      <w:shd w:val="clear" w:color="auto" w:fill="E6E6E6"/>
    </w:rPr>
  </w:style>
  <w:style w:type="character" w:styleId="Vrazn">
    <w:name w:val="Strong"/>
    <w:basedOn w:val="Predvolenpsmoodseku"/>
    <w:uiPriority w:val="22"/>
    <w:qFormat/>
    <w:rsid w:val="00234A1B"/>
    <w:rPr>
      <w:b/>
      <w:bCs/>
    </w:rPr>
  </w:style>
  <w:style w:type="character" w:customStyle="1" w:styleId="UnresolvedMention2">
    <w:name w:val="Unresolved Mention2"/>
    <w:basedOn w:val="Predvolenpsmoodseku"/>
    <w:uiPriority w:val="99"/>
    <w:semiHidden/>
    <w:unhideWhenUsed/>
    <w:rsid w:val="00234A1B"/>
    <w:rPr>
      <w:color w:val="605E5C"/>
      <w:shd w:val="clear" w:color="auto" w:fill="E1DFDD"/>
    </w:rPr>
  </w:style>
  <w:style w:type="character" w:customStyle="1" w:styleId="optional1">
    <w:name w:val="optional1"/>
    <w:basedOn w:val="Predvolenpsmoodseku"/>
    <w:rsid w:val="00234A1B"/>
    <w:rPr>
      <w:rFonts w:ascii="inherit" w:hAnsi="inherit" w:hint="default"/>
    </w:rPr>
  </w:style>
  <w:style w:type="character" w:styleId="Zvraznenie">
    <w:name w:val="Emphasis"/>
    <w:basedOn w:val="Predvolenpsmoodseku"/>
    <w:uiPriority w:val="20"/>
    <w:qFormat/>
    <w:rsid w:val="00234A1B"/>
    <w:rPr>
      <w:i/>
      <w:iCs/>
    </w:rPr>
  </w:style>
  <w:style w:type="paragraph" w:styleId="z-Hornokrajformulra">
    <w:name w:val="HTML Top of Form"/>
    <w:basedOn w:val="Normlny"/>
    <w:next w:val="Normlny"/>
    <w:link w:val="z-HornokrajformulraChar"/>
    <w:hidden/>
    <w:uiPriority w:val="99"/>
    <w:semiHidden/>
    <w:unhideWhenUsed/>
    <w:rsid w:val="00234A1B"/>
    <w:pPr>
      <w:pBdr>
        <w:bottom w:val="single" w:sz="6" w:space="1" w:color="auto"/>
      </w:pBdr>
      <w:jc w:val="center"/>
    </w:pPr>
    <w:rPr>
      <w:rFonts w:ascii="Arial" w:hAnsi="Arial" w:cs="Arial"/>
      <w:vanish/>
      <w:sz w:val="16"/>
      <w:szCs w:val="16"/>
    </w:rPr>
  </w:style>
  <w:style w:type="character" w:customStyle="1" w:styleId="z-HornokrajformulraChar">
    <w:name w:val="z-Horný okraj formulára Char"/>
    <w:basedOn w:val="Predvolenpsmoodseku"/>
    <w:link w:val="z-Hornokrajformulra"/>
    <w:uiPriority w:val="99"/>
    <w:semiHidden/>
    <w:rsid w:val="00234A1B"/>
    <w:rPr>
      <w:rFonts w:ascii="Arial" w:eastAsia="Times New Roman" w:hAnsi="Arial" w:cs="Arial"/>
      <w:vanish/>
      <w:sz w:val="16"/>
      <w:szCs w:val="16"/>
      <w:lang w:val="en-GB"/>
    </w:rPr>
  </w:style>
  <w:style w:type="paragraph" w:styleId="z-Spodnokrajformulra">
    <w:name w:val="HTML Bottom of Form"/>
    <w:basedOn w:val="Normlny"/>
    <w:next w:val="Normlny"/>
    <w:link w:val="z-SpodnokrajformulraChar"/>
    <w:hidden/>
    <w:uiPriority w:val="99"/>
    <w:semiHidden/>
    <w:unhideWhenUsed/>
    <w:rsid w:val="00234A1B"/>
    <w:pPr>
      <w:pBdr>
        <w:top w:val="single" w:sz="6" w:space="1" w:color="auto"/>
      </w:pBdr>
      <w:jc w:val="center"/>
    </w:pPr>
    <w:rPr>
      <w:rFonts w:ascii="Arial" w:hAnsi="Arial" w:cs="Arial"/>
      <w:vanish/>
      <w:sz w:val="16"/>
      <w:szCs w:val="16"/>
    </w:rPr>
  </w:style>
  <w:style w:type="character" w:customStyle="1" w:styleId="z-SpodnokrajformulraChar">
    <w:name w:val="z-Spodný okraj formulára Char"/>
    <w:basedOn w:val="Predvolenpsmoodseku"/>
    <w:link w:val="z-Spodnokrajformulra"/>
    <w:uiPriority w:val="99"/>
    <w:semiHidden/>
    <w:rsid w:val="00234A1B"/>
    <w:rPr>
      <w:rFonts w:ascii="Arial" w:eastAsia="Times New Roman" w:hAnsi="Arial" w:cs="Arial"/>
      <w:vanish/>
      <w:sz w:val="16"/>
      <w:szCs w:val="16"/>
      <w:lang w:val="en-GB"/>
    </w:rPr>
  </w:style>
  <w:style w:type="character" w:styleId="Nevyrieenzmienka">
    <w:name w:val="Unresolved Mention"/>
    <w:basedOn w:val="Predvolenpsmoodseku"/>
    <w:uiPriority w:val="99"/>
    <w:semiHidden/>
    <w:unhideWhenUsed/>
    <w:rsid w:val="00A01937"/>
    <w:rPr>
      <w:color w:val="605E5C"/>
      <w:shd w:val="clear" w:color="auto" w:fill="E1DFDD"/>
    </w:rPr>
  </w:style>
  <w:style w:type="character" w:customStyle="1" w:styleId="boldface">
    <w:name w:val="boldface"/>
    <w:basedOn w:val="Predvolenpsmoodseku"/>
    <w:rsid w:val="00581CE5"/>
  </w:style>
  <w:style w:type="character" w:customStyle="1" w:styleId="italics">
    <w:name w:val="italics"/>
    <w:basedOn w:val="Predvolenpsmoodseku"/>
    <w:rsid w:val="00581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606164">
      <w:bodyDiv w:val="1"/>
      <w:marLeft w:val="0"/>
      <w:marRight w:val="0"/>
      <w:marTop w:val="0"/>
      <w:marBottom w:val="0"/>
      <w:divBdr>
        <w:top w:val="none" w:sz="0" w:space="0" w:color="auto"/>
        <w:left w:val="none" w:sz="0" w:space="0" w:color="auto"/>
        <w:bottom w:val="none" w:sz="0" w:space="0" w:color="auto"/>
        <w:right w:val="none" w:sz="0" w:space="0" w:color="auto"/>
      </w:divBdr>
    </w:div>
    <w:div w:id="229511604">
      <w:bodyDiv w:val="1"/>
      <w:marLeft w:val="0"/>
      <w:marRight w:val="0"/>
      <w:marTop w:val="0"/>
      <w:marBottom w:val="0"/>
      <w:divBdr>
        <w:top w:val="none" w:sz="0" w:space="0" w:color="auto"/>
        <w:left w:val="none" w:sz="0" w:space="0" w:color="auto"/>
        <w:bottom w:val="none" w:sz="0" w:space="0" w:color="auto"/>
        <w:right w:val="none" w:sz="0" w:space="0" w:color="auto"/>
      </w:divBdr>
    </w:div>
    <w:div w:id="360715477">
      <w:bodyDiv w:val="1"/>
      <w:marLeft w:val="0"/>
      <w:marRight w:val="0"/>
      <w:marTop w:val="0"/>
      <w:marBottom w:val="0"/>
      <w:divBdr>
        <w:top w:val="none" w:sz="0" w:space="0" w:color="auto"/>
        <w:left w:val="none" w:sz="0" w:space="0" w:color="auto"/>
        <w:bottom w:val="none" w:sz="0" w:space="0" w:color="auto"/>
        <w:right w:val="none" w:sz="0" w:space="0" w:color="auto"/>
      </w:divBdr>
    </w:div>
    <w:div w:id="377972045">
      <w:bodyDiv w:val="1"/>
      <w:marLeft w:val="0"/>
      <w:marRight w:val="0"/>
      <w:marTop w:val="0"/>
      <w:marBottom w:val="0"/>
      <w:divBdr>
        <w:top w:val="none" w:sz="0" w:space="0" w:color="auto"/>
        <w:left w:val="none" w:sz="0" w:space="0" w:color="auto"/>
        <w:bottom w:val="none" w:sz="0" w:space="0" w:color="auto"/>
        <w:right w:val="none" w:sz="0" w:space="0" w:color="auto"/>
      </w:divBdr>
      <w:divsChild>
        <w:div w:id="970398855">
          <w:marLeft w:val="0"/>
          <w:marRight w:val="0"/>
          <w:marTop w:val="0"/>
          <w:marBottom w:val="0"/>
          <w:divBdr>
            <w:top w:val="none" w:sz="0" w:space="0" w:color="auto"/>
            <w:left w:val="none" w:sz="0" w:space="0" w:color="auto"/>
            <w:bottom w:val="none" w:sz="0" w:space="0" w:color="auto"/>
            <w:right w:val="none" w:sz="0" w:space="0" w:color="auto"/>
          </w:divBdr>
          <w:divsChild>
            <w:div w:id="2033527389">
              <w:marLeft w:val="75"/>
              <w:marRight w:val="75"/>
              <w:marTop w:val="375"/>
              <w:marBottom w:val="75"/>
              <w:divBdr>
                <w:top w:val="none" w:sz="0" w:space="0" w:color="auto"/>
                <w:left w:val="none" w:sz="0" w:space="0" w:color="auto"/>
                <w:bottom w:val="none" w:sz="0" w:space="0" w:color="auto"/>
                <w:right w:val="none" w:sz="0" w:space="0" w:color="auto"/>
              </w:divBdr>
              <w:divsChild>
                <w:div w:id="828404580">
                  <w:marLeft w:val="0"/>
                  <w:marRight w:val="0"/>
                  <w:marTop w:val="0"/>
                  <w:marBottom w:val="0"/>
                  <w:divBdr>
                    <w:top w:val="none" w:sz="0" w:space="0" w:color="auto"/>
                    <w:left w:val="none" w:sz="0" w:space="0" w:color="auto"/>
                    <w:bottom w:val="none" w:sz="0" w:space="0" w:color="auto"/>
                    <w:right w:val="none" w:sz="0" w:space="0" w:color="auto"/>
                  </w:divBdr>
                  <w:divsChild>
                    <w:div w:id="1069111323">
                      <w:marLeft w:val="0"/>
                      <w:marRight w:val="0"/>
                      <w:marTop w:val="225"/>
                      <w:marBottom w:val="225"/>
                      <w:divBdr>
                        <w:top w:val="none" w:sz="0" w:space="0" w:color="auto"/>
                        <w:left w:val="none" w:sz="0" w:space="0" w:color="auto"/>
                        <w:bottom w:val="single" w:sz="12" w:space="0" w:color="004F98"/>
                        <w:right w:val="none" w:sz="0" w:space="0" w:color="auto"/>
                      </w:divBdr>
                    </w:div>
                  </w:divsChild>
                </w:div>
              </w:divsChild>
            </w:div>
          </w:divsChild>
        </w:div>
        <w:div w:id="1007056711">
          <w:marLeft w:val="0"/>
          <w:marRight w:val="0"/>
          <w:marTop w:val="0"/>
          <w:marBottom w:val="0"/>
          <w:divBdr>
            <w:top w:val="none" w:sz="0" w:space="0" w:color="auto"/>
            <w:left w:val="none" w:sz="0" w:space="0" w:color="auto"/>
            <w:bottom w:val="none" w:sz="0" w:space="0" w:color="auto"/>
            <w:right w:val="none" w:sz="0" w:space="0" w:color="auto"/>
          </w:divBdr>
          <w:divsChild>
            <w:div w:id="1372725118">
              <w:marLeft w:val="75"/>
              <w:marRight w:val="75"/>
              <w:marTop w:val="375"/>
              <w:marBottom w:val="75"/>
              <w:divBdr>
                <w:top w:val="none" w:sz="0" w:space="0" w:color="auto"/>
                <w:left w:val="none" w:sz="0" w:space="0" w:color="auto"/>
                <w:bottom w:val="none" w:sz="0" w:space="0" w:color="auto"/>
                <w:right w:val="none" w:sz="0" w:space="0" w:color="auto"/>
              </w:divBdr>
              <w:divsChild>
                <w:div w:id="1827554828">
                  <w:marLeft w:val="0"/>
                  <w:marRight w:val="0"/>
                  <w:marTop w:val="0"/>
                  <w:marBottom w:val="0"/>
                  <w:divBdr>
                    <w:top w:val="none" w:sz="0" w:space="0" w:color="auto"/>
                    <w:left w:val="none" w:sz="0" w:space="0" w:color="auto"/>
                    <w:bottom w:val="none" w:sz="0" w:space="0" w:color="auto"/>
                    <w:right w:val="none" w:sz="0" w:space="0" w:color="auto"/>
                  </w:divBdr>
                  <w:divsChild>
                    <w:div w:id="1996951419">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457335115">
          <w:marLeft w:val="0"/>
          <w:marRight w:val="0"/>
          <w:marTop w:val="0"/>
          <w:marBottom w:val="0"/>
          <w:divBdr>
            <w:top w:val="none" w:sz="0" w:space="0" w:color="auto"/>
            <w:left w:val="none" w:sz="0" w:space="0" w:color="auto"/>
            <w:bottom w:val="none" w:sz="0" w:space="0" w:color="auto"/>
            <w:right w:val="none" w:sz="0" w:space="0" w:color="auto"/>
          </w:divBdr>
          <w:divsChild>
            <w:div w:id="689524158">
              <w:marLeft w:val="75"/>
              <w:marRight w:val="75"/>
              <w:marTop w:val="375"/>
              <w:marBottom w:val="75"/>
              <w:divBdr>
                <w:top w:val="none" w:sz="0" w:space="0" w:color="auto"/>
                <w:left w:val="none" w:sz="0" w:space="0" w:color="auto"/>
                <w:bottom w:val="none" w:sz="0" w:space="0" w:color="auto"/>
                <w:right w:val="none" w:sz="0" w:space="0" w:color="auto"/>
              </w:divBdr>
              <w:divsChild>
                <w:div w:id="1065496544">
                  <w:marLeft w:val="0"/>
                  <w:marRight w:val="0"/>
                  <w:marTop w:val="0"/>
                  <w:marBottom w:val="0"/>
                  <w:divBdr>
                    <w:top w:val="none" w:sz="0" w:space="0" w:color="auto"/>
                    <w:left w:val="none" w:sz="0" w:space="0" w:color="auto"/>
                    <w:bottom w:val="none" w:sz="0" w:space="0" w:color="auto"/>
                    <w:right w:val="none" w:sz="0" w:space="0" w:color="auto"/>
                  </w:divBdr>
                  <w:divsChild>
                    <w:div w:id="131363960">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804585690">
      <w:bodyDiv w:val="1"/>
      <w:marLeft w:val="0"/>
      <w:marRight w:val="0"/>
      <w:marTop w:val="0"/>
      <w:marBottom w:val="0"/>
      <w:divBdr>
        <w:top w:val="none" w:sz="0" w:space="0" w:color="auto"/>
        <w:left w:val="none" w:sz="0" w:space="0" w:color="auto"/>
        <w:bottom w:val="none" w:sz="0" w:space="0" w:color="auto"/>
        <w:right w:val="none" w:sz="0" w:space="0" w:color="auto"/>
      </w:divBdr>
    </w:div>
    <w:div w:id="907114755">
      <w:bodyDiv w:val="1"/>
      <w:marLeft w:val="0"/>
      <w:marRight w:val="0"/>
      <w:marTop w:val="0"/>
      <w:marBottom w:val="0"/>
      <w:divBdr>
        <w:top w:val="none" w:sz="0" w:space="0" w:color="auto"/>
        <w:left w:val="none" w:sz="0" w:space="0" w:color="auto"/>
        <w:bottom w:val="none" w:sz="0" w:space="0" w:color="auto"/>
        <w:right w:val="none" w:sz="0" w:space="0" w:color="auto"/>
      </w:divBdr>
      <w:divsChild>
        <w:div w:id="1175266488">
          <w:marLeft w:val="0"/>
          <w:marRight w:val="0"/>
          <w:marTop w:val="0"/>
          <w:marBottom w:val="0"/>
          <w:divBdr>
            <w:top w:val="none" w:sz="0" w:space="0" w:color="auto"/>
            <w:left w:val="none" w:sz="0" w:space="0" w:color="auto"/>
            <w:bottom w:val="none" w:sz="0" w:space="0" w:color="auto"/>
            <w:right w:val="none" w:sz="0" w:space="0" w:color="auto"/>
          </w:divBdr>
          <w:divsChild>
            <w:div w:id="2142846505">
              <w:marLeft w:val="75"/>
              <w:marRight w:val="75"/>
              <w:marTop w:val="375"/>
              <w:marBottom w:val="75"/>
              <w:divBdr>
                <w:top w:val="none" w:sz="0" w:space="0" w:color="auto"/>
                <w:left w:val="none" w:sz="0" w:space="0" w:color="auto"/>
                <w:bottom w:val="none" w:sz="0" w:space="0" w:color="auto"/>
                <w:right w:val="none" w:sz="0" w:space="0" w:color="auto"/>
              </w:divBdr>
              <w:divsChild>
                <w:div w:id="399063171">
                  <w:marLeft w:val="0"/>
                  <w:marRight w:val="0"/>
                  <w:marTop w:val="0"/>
                  <w:marBottom w:val="0"/>
                  <w:divBdr>
                    <w:top w:val="none" w:sz="0" w:space="0" w:color="auto"/>
                    <w:left w:val="none" w:sz="0" w:space="0" w:color="auto"/>
                    <w:bottom w:val="none" w:sz="0" w:space="0" w:color="auto"/>
                    <w:right w:val="none" w:sz="0" w:space="0" w:color="auto"/>
                  </w:divBdr>
                  <w:divsChild>
                    <w:div w:id="756832206">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1189873846">
          <w:marLeft w:val="0"/>
          <w:marRight w:val="0"/>
          <w:marTop w:val="0"/>
          <w:marBottom w:val="0"/>
          <w:divBdr>
            <w:top w:val="none" w:sz="0" w:space="0" w:color="auto"/>
            <w:left w:val="none" w:sz="0" w:space="0" w:color="auto"/>
            <w:bottom w:val="none" w:sz="0" w:space="0" w:color="auto"/>
            <w:right w:val="none" w:sz="0" w:space="0" w:color="auto"/>
          </w:divBdr>
          <w:divsChild>
            <w:div w:id="609975947">
              <w:marLeft w:val="75"/>
              <w:marRight w:val="75"/>
              <w:marTop w:val="375"/>
              <w:marBottom w:val="75"/>
              <w:divBdr>
                <w:top w:val="none" w:sz="0" w:space="0" w:color="auto"/>
                <w:left w:val="none" w:sz="0" w:space="0" w:color="auto"/>
                <w:bottom w:val="none" w:sz="0" w:space="0" w:color="auto"/>
                <w:right w:val="none" w:sz="0" w:space="0" w:color="auto"/>
              </w:divBdr>
              <w:divsChild>
                <w:div w:id="1763405506">
                  <w:marLeft w:val="0"/>
                  <w:marRight w:val="0"/>
                  <w:marTop w:val="0"/>
                  <w:marBottom w:val="0"/>
                  <w:divBdr>
                    <w:top w:val="none" w:sz="0" w:space="0" w:color="auto"/>
                    <w:left w:val="none" w:sz="0" w:space="0" w:color="auto"/>
                    <w:bottom w:val="none" w:sz="0" w:space="0" w:color="auto"/>
                    <w:right w:val="none" w:sz="0" w:space="0" w:color="auto"/>
                  </w:divBdr>
                  <w:divsChild>
                    <w:div w:id="892421174">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467362429">
          <w:marLeft w:val="0"/>
          <w:marRight w:val="0"/>
          <w:marTop w:val="0"/>
          <w:marBottom w:val="0"/>
          <w:divBdr>
            <w:top w:val="none" w:sz="0" w:space="0" w:color="auto"/>
            <w:left w:val="none" w:sz="0" w:space="0" w:color="auto"/>
            <w:bottom w:val="none" w:sz="0" w:space="0" w:color="auto"/>
            <w:right w:val="none" w:sz="0" w:space="0" w:color="auto"/>
          </w:divBdr>
          <w:divsChild>
            <w:div w:id="1549681319">
              <w:marLeft w:val="75"/>
              <w:marRight w:val="75"/>
              <w:marTop w:val="375"/>
              <w:marBottom w:val="75"/>
              <w:divBdr>
                <w:top w:val="none" w:sz="0" w:space="0" w:color="auto"/>
                <w:left w:val="none" w:sz="0" w:space="0" w:color="auto"/>
                <w:bottom w:val="none" w:sz="0" w:space="0" w:color="auto"/>
                <w:right w:val="none" w:sz="0" w:space="0" w:color="auto"/>
              </w:divBdr>
              <w:divsChild>
                <w:div w:id="626200086">
                  <w:marLeft w:val="0"/>
                  <w:marRight w:val="0"/>
                  <w:marTop w:val="0"/>
                  <w:marBottom w:val="0"/>
                  <w:divBdr>
                    <w:top w:val="none" w:sz="0" w:space="0" w:color="auto"/>
                    <w:left w:val="none" w:sz="0" w:space="0" w:color="auto"/>
                    <w:bottom w:val="none" w:sz="0" w:space="0" w:color="auto"/>
                    <w:right w:val="none" w:sz="0" w:space="0" w:color="auto"/>
                  </w:divBdr>
                  <w:divsChild>
                    <w:div w:id="1056585379">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49228120">
          <w:marLeft w:val="0"/>
          <w:marRight w:val="0"/>
          <w:marTop w:val="0"/>
          <w:marBottom w:val="0"/>
          <w:divBdr>
            <w:top w:val="none" w:sz="0" w:space="0" w:color="auto"/>
            <w:left w:val="none" w:sz="0" w:space="0" w:color="auto"/>
            <w:bottom w:val="none" w:sz="0" w:space="0" w:color="auto"/>
            <w:right w:val="none" w:sz="0" w:space="0" w:color="auto"/>
          </w:divBdr>
          <w:divsChild>
            <w:div w:id="714502779">
              <w:marLeft w:val="75"/>
              <w:marRight w:val="75"/>
              <w:marTop w:val="375"/>
              <w:marBottom w:val="75"/>
              <w:divBdr>
                <w:top w:val="none" w:sz="0" w:space="0" w:color="auto"/>
                <w:left w:val="none" w:sz="0" w:space="0" w:color="auto"/>
                <w:bottom w:val="none" w:sz="0" w:space="0" w:color="auto"/>
                <w:right w:val="none" w:sz="0" w:space="0" w:color="auto"/>
              </w:divBdr>
              <w:divsChild>
                <w:div w:id="152650744">
                  <w:marLeft w:val="0"/>
                  <w:marRight w:val="0"/>
                  <w:marTop w:val="0"/>
                  <w:marBottom w:val="0"/>
                  <w:divBdr>
                    <w:top w:val="none" w:sz="0" w:space="0" w:color="auto"/>
                    <w:left w:val="none" w:sz="0" w:space="0" w:color="auto"/>
                    <w:bottom w:val="none" w:sz="0" w:space="0" w:color="auto"/>
                    <w:right w:val="none" w:sz="0" w:space="0" w:color="auto"/>
                  </w:divBdr>
                  <w:divsChild>
                    <w:div w:id="2098357545">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9746265">
          <w:marLeft w:val="0"/>
          <w:marRight w:val="0"/>
          <w:marTop w:val="0"/>
          <w:marBottom w:val="0"/>
          <w:divBdr>
            <w:top w:val="none" w:sz="0" w:space="0" w:color="auto"/>
            <w:left w:val="none" w:sz="0" w:space="0" w:color="auto"/>
            <w:bottom w:val="none" w:sz="0" w:space="0" w:color="auto"/>
            <w:right w:val="none" w:sz="0" w:space="0" w:color="auto"/>
          </w:divBdr>
          <w:divsChild>
            <w:div w:id="466120565">
              <w:marLeft w:val="75"/>
              <w:marRight w:val="75"/>
              <w:marTop w:val="375"/>
              <w:marBottom w:val="75"/>
              <w:divBdr>
                <w:top w:val="none" w:sz="0" w:space="0" w:color="auto"/>
                <w:left w:val="none" w:sz="0" w:space="0" w:color="auto"/>
                <w:bottom w:val="none" w:sz="0" w:space="0" w:color="auto"/>
                <w:right w:val="none" w:sz="0" w:space="0" w:color="auto"/>
              </w:divBdr>
              <w:divsChild>
                <w:div w:id="1426732577">
                  <w:marLeft w:val="0"/>
                  <w:marRight w:val="0"/>
                  <w:marTop w:val="0"/>
                  <w:marBottom w:val="0"/>
                  <w:divBdr>
                    <w:top w:val="none" w:sz="0" w:space="0" w:color="auto"/>
                    <w:left w:val="none" w:sz="0" w:space="0" w:color="auto"/>
                    <w:bottom w:val="none" w:sz="0" w:space="0" w:color="auto"/>
                    <w:right w:val="none" w:sz="0" w:space="0" w:color="auto"/>
                  </w:divBdr>
                  <w:divsChild>
                    <w:div w:id="393352803">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915315750">
          <w:marLeft w:val="0"/>
          <w:marRight w:val="0"/>
          <w:marTop w:val="0"/>
          <w:marBottom w:val="0"/>
          <w:divBdr>
            <w:top w:val="none" w:sz="0" w:space="0" w:color="auto"/>
            <w:left w:val="none" w:sz="0" w:space="0" w:color="auto"/>
            <w:bottom w:val="none" w:sz="0" w:space="0" w:color="auto"/>
            <w:right w:val="none" w:sz="0" w:space="0" w:color="auto"/>
          </w:divBdr>
          <w:divsChild>
            <w:div w:id="360858208">
              <w:marLeft w:val="75"/>
              <w:marRight w:val="75"/>
              <w:marTop w:val="375"/>
              <w:marBottom w:val="75"/>
              <w:divBdr>
                <w:top w:val="none" w:sz="0" w:space="0" w:color="auto"/>
                <w:left w:val="none" w:sz="0" w:space="0" w:color="auto"/>
                <w:bottom w:val="none" w:sz="0" w:space="0" w:color="auto"/>
                <w:right w:val="none" w:sz="0" w:space="0" w:color="auto"/>
              </w:divBdr>
              <w:divsChild>
                <w:div w:id="168521082">
                  <w:marLeft w:val="0"/>
                  <w:marRight w:val="0"/>
                  <w:marTop w:val="0"/>
                  <w:marBottom w:val="0"/>
                  <w:divBdr>
                    <w:top w:val="none" w:sz="0" w:space="0" w:color="auto"/>
                    <w:left w:val="none" w:sz="0" w:space="0" w:color="auto"/>
                    <w:bottom w:val="none" w:sz="0" w:space="0" w:color="auto"/>
                    <w:right w:val="none" w:sz="0" w:space="0" w:color="auto"/>
                  </w:divBdr>
                  <w:divsChild>
                    <w:div w:id="306053941">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150561868">
          <w:marLeft w:val="0"/>
          <w:marRight w:val="0"/>
          <w:marTop w:val="0"/>
          <w:marBottom w:val="0"/>
          <w:divBdr>
            <w:top w:val="none" w:sz="0" w:space="0" w:color="auto"/>
            <w:left w:val="none" w:sz="0" w:space="0" w:color="auto"/>
            <w:bottom w:val="none" w:sz="0" w:space="0" w:color="auto"/>
            <w:right w:val="none" w:sz="0" w:space="0" w:color="auto"/>
          </w:divBdr>
          <w:divsChild>
            <w:div w:id="2121101378">
              <w:marLeft w:val="75"/>
              <w:marRight w:val="75"/>
              <w:marTop w:val="375"/>
              <w:marBottom w:val="75"/>
              <w:divBdr>
                <w:top w:val="none" w:sz="0" w:space="0" w:color="auto"/>
                <w:left w:val="none" w:sz="0" w:space="0" w:color="auto"/>
                <w:bottom w:val="none" w:sz="0" w:space="0" w:color="auto"/>
                <w:right w:val="none" w:sz="0" w:space="0" w:color="auto"/>
              </w:divBdr>
              <w:divsChild>
                <w:div w:id="227692963">
                  <w:marLeft w:val="0"/>
                  <w:marRight w:val="0"/>
                  <w:marTop w:val="0"/>
                  <w:marBottom w:val="0"/>
                  <w:divBdr>
                    <w:top w:val="none" w:sz="0" w:space="0" w:color="auto"/>
                    <w:left w:val="none" w:sz="0" w:space="0" w:color="auto"/>
                    <w:bottom w:val="none" w:sz="0" w:space="0" w:color="auto"/>
                    <w:right w:val="none" w:sz="0" w:space="0" w:color="auto"/>
                  </w:divBdr>
                  <w:divsChild>
                    <w:div w:id="1748452947">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208885239">
          <w:marLeft w:val="0"/>
          <w:marRight w:val="0"/>
          <w:marTop w:val="0"/>
          <w:marBottom w:val="0"/>
          <w:divBdr>
            <w:top w:val="none" w:sz="0" w:space="0" w:color="auto"/>
            <w:left w:val="none" w:sz="0" w:space="0" w:color="auto"/>
            <w:bottom w:val="none" w:sz="0" w:space="0" w:color="auto"/>
            <w:right w:val="none" w:sz="0" w:space="0" w:color="auto"/>
          </w:divBdr>
          <w:divsChild>
            <w:div w:id="1667897689">
              <w:marLeft w:val="75"/>
              <w:marRight w:val="75"/>
              <w:marTop w:val="375"/>
              <w:marBottom w:val="75"/>
              <w:divBdr>
                <w:top w:val="none" w:sz="0" w:space="0" w:color="auto"/>
                <w:left w:val="none" w:sz="0" w:space="0" w:color="auto"/>
                <w:bottom w:val="none" w:sz="0" w:space="0" w:color="auto"/>
                <w:right w:val="none" w:sz="0" w:space="0" w:color="auto"/>
              </w:divBdr>
              <w:divsChild>
                <w:div w:id="1242525993">
                  <w:marLeft w:val="0"/>
                  <w:marRight w:val="0"/>
                  <w:marTop w:val="0"/>
                  <w:marBottom w:val="0"/>
                  <w:divBdr>
                    <w:top w:val="none" w:sz="0" w:space="0" w:color="auto"/>
                    <w:left w:val="none" w:sz="0" w:space="0" w:color="auto"/>
                    <w:bottom w:val="none" w:sz="0" w:space="0" w:color="auto"/>
                    <w:right w:val="none" w:sz="0" w:space="0" w:color="auto"/>
                  </w:divBdr>
                  <w:divsChild>
                    <w:div w:id="607279649">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2018194977">
          <w:marLeft w:val="0"/>
          <w:marRight w:val="0"/>
          <w:marTop w:val="0"/>
          <w:marBottom w:val="0"/>
          <w:divBdr>
            <w:top w:val="none" w:sz="0" w:space="0" w:color="auto"/>
            <w:left w:val="none" w:sz="0" w:space="0" w:color="auto"/>
            <w:bottom w:val="none" w:sz="0" w:space="0" w:color="auto"/>
            <w:right w:val="none" w:sz="0" w:space="0" w:color="auto"/>
          </w:divBdr>
          <w:divsChild>
            <w:div w:id="2081906207">
              <w:marLeft w:val="75"/>
              <w:marRight w:val="75"/>
              <w:marTop w:val="375"/>
              <w:marBottom w:val="75"/>
              <w:divBdr>
                <w:top w:val="none" w:sz="0" w:space="0" w:color="auto"/>
                <w:left w:val="none" w:sz="0" w:space="0" w:color="auto"/>
                <w:bottom w:val="none" w:sz="0" w:space="0" w:color="auto"/>
                <w:right w:val="none" w:sz="0" w:space="0" w:color="auto"/>
              </w:divBdr>
              <w:divsChild>
                <w:div w:id="1307782407">
                  <w:marLeft w:val="0"/>
                  <w:marRight w:val="0"/>
                  <w:marTop w:val="0"/>
                  <w:marBottom w:val="0"/>
                  <w:divBdr>
                    <w:top w:val="none" w:sz="0" w:space="0" w:color="auto"/>
                    <w:left w:val="none" w:sz="0" w:space="0" w:color="auto"/>
                    <w:bottom w:val="none" w:sz="0" w:space="0" w:color="auto"/>
                    <w:right w:val="none" w:sz="0" w:space="0" w:color="auto"/>
                  </w:divBdr>
                  <w:divsChild>
                    <w:div w:id="116222085">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436095117">
          <w:marLeft w:val="0"/>
          <w:marRight w:val="0"/>
          <w:marTop w:val="0"/>
          <w:marBottom w:val="0"/>
          <w:divBdr>
            <w:top w:val="none" w:sz="0" w:space="0" w:color="auto"/>
            <w:left w:val="none" w:sz="0" w:space="0" w:color="auto"/>
            <w:bottom w:val="none" w:sz="0" w:space="0" w:color="auto"/>
            <w:right w:val="none" w:sz="0" w:space="0" w:color="auto"/>
          </w:divBdr>
          <w:divsChild>
            <w:div w:id="1855684441">
              <w:marLeft w:val="75"/>
              <w:marRight w:val="75"/>
              <w:marTop w:val="375"/>
              <w:marBottom w:val="75"/>
              <w:divBdr>
                <w:top w:val="none" w:sz="0" w:space="0" w:color="auto"/>
                <w:left w:val="none" w:sz="0" w:space="0" w:color="auto"/>
                <w:bottom w:val="none" w:sz="0" w:space="0" w:color="auto"/>
                <w:right w:val="none" w:sz="0" w:space="0" w:color="auto"/>
              </w:divBdr>
              <w:divsChild>
                <w:div w:id="211310077">
                  <w:marLeft w:val="0"/>
                  <w:marRight w:val="0"/>
                  <w:marTop w:val="0"/>
                  <w:marBottom w:val="0"/>
                  <w:divBdr>
                    <w:top w:val="none" w:sz="0" w:space="0" w:color="auto"/>
                    <w:left w:val="none" w:sz="0" w:space="0" w:color="auto"/>
                    <w:bottom w:val="none" w:sz="0" w:space="0" w:color="auto"/>
                    <w:right w:val="none" w:sz="0" w:space="0" w:color="auto"/>
                  </w:divBdr>
                  <w:divsChild>
                    <w:div w:id="860165602">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9796464">
          <w:marLeft w:val="0"/>
          <w:marRight w:val="0"/>
          <w:marTop w:val="0"/>
          <w:marBottom w:val="0"/>
          <w:divBdr>
            <w:top w:val="none" w:sz="0" w:space="0" w:color="auto"/>
            <w:left w:val="none" w:sz="0" w:space="0" w:color="auto"/>
            <w:bottom w:val="none" w:sz="0" w:space="0" w:color="auto"/>
            <w:right w:val="none" w:sz="0" w:space="0" w:color="auto"/>
          </w:divBdr>
          <w:divsChild>
            <w:div w:id="357312074">
              <w:marLeft w:val="75"/>
              <w:marRight w:val="75"/>
              <w:marTop w:val="375"/>
              <w:marBottom w:val="75"/>
              <w:divBdr>
                <w:top w:val="none" w:sz="0" w:space="0" w:color="auto"/>
                <w:left w:val="none" w:sz="0" w:space="0" w:color="auto"/>
                <w:bottom w:val="none" w:sz="0" w:space="0" w:color="auto"/>
                <w:right w:val="none" w:sz="0" w:space="0" w:color="auto"/>
              </w:divBdr>
              <w:divsChild>
                <w:div w:id="718672858">
                  <w:marLeft w:val="0"/>
                  <w:marRight w:val="0"/>
                  <w:marTop w:val="0"/>
                  <w:marBottom w:val="0"/>
                  <w:divBdr>
                    <w:top w:val="none" w:sz="0" w:space="0" w:color="auto"/>
                    <w:left w:val="none" w:sz="0" w:space="0" w:color="auto"/>
                    <w:bottom w:val="none" w:sz="0" w:space="0" w:color="auto"/>
                    <w:right w:val="none" w:sz="0" w:space="0" w:color="auto"/>
                  </w:divBdr>
                  <w:divsChild>
                    <w:div w:id="1498039972">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915821427">
      <w:bodyDiv w:val="1"/>
      <w:marLeft w:val="0"/>
      <w:marRight w:val="0"/>
      <w:marTop w:val="0"/>
      <w:marBottom w:val="0"/>
      <w:divBdr>
        <w:top w:val="none" w:sz="0" w:space="0" w:color="auto"/>
        <w:left w:val="none" w:sz="0" w:space="0" w:color="auto"/>
        <w:bottom w:val="none" w:sz="0" w:space="0" w:color="auto"/>
        <w:right w:val="none" w:sz="0" w:space="0" w:color="auto"/>
      </w:divBdr>
      <w:divsChild>
        <w:div w:id="873469490">
          <w:marLeft w:val="0"/>
          <w:marRight w:val="0"/>
          <w:marTop w:val="0"/>
          <w:marBottom w:val="0"/>
          <w:divBdr>
            <w:top w:val="none" w:sz="0" w:space="0" w:color="auto"/>
            <w:left w:val="none" w:sz="0" w:space="0" w:color="auto"/>
            <w:bottom w:val="none" w:sz="0" w:space="0" w:color="auto"/>
            <w:right w:val="none" w:sz="0" w:space="0" w:color="auto"/>
          </w:divBdr>
          <w:divsChild>
            <w:div w:id="1877113062">
              <w:marLeft w:val="75"/>
              <w:marRight w:val="75"/>
              <w:marTop w:val="375"/>
              <w:marBottom w:val="75"/>
              <w:divBdr>
                <w:top w:val="none" w:sz="0" w:space="0" w:color="auto"/>
                <w:left w:val="none" w:sz="0" w:space="0" w:color="auto"/>
                <w:bottom w:val="none" w:sz="0" w:space="0" w:color="auto"/>
                <w:right w:val="none" w:sz="0" w:space="0" w:color="auto"/>
              </w:divBdr>
              <w:divsChild>
                <w:div w:id="825363113">
                  <w:marLeft w:val="0"/>
                  <w:marRight w:val="0"/>
                  <w:marTop w:val="0"/>
                  <w:marBottom w:val="0"/>
                  <w:divBdr>
                    <w:top w:val="none" w:sz="0" w:space="0" w:color="auto"/>
                    <w:left w:val="none" w:sz="0" w:space="0" w:color="auto"/>
                    <w:bottom w:val="none" w:sz="0" w:space="0" w:color="auto"/>
                    <w:right w:val="none" w:sz="0" w:space="0" w:color="auto"/>
                  </w:divBdr>
                  <w:divsChild>
                    <w:div w:id="1846633277">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284771746">
          <w:marLeft w:val="0"/>
          <w:marRight w:val="0"/>
          <w:marTop w:val="0"/>
          <w:marBottom w:val="0"/>
          <w:divBdr>
            <w:top w:val="none" w:sz="0" w:space="0" w:color="auto"/>
            <w:left w:val="none" w:sz="0" w:space="0" w:color="auto"/>
            <w:bottom w:val="none" w:sz="0" w:space="0" w:color="auto"/>
            <w:right w:val="none" w:sz="0" w:space="0" w:color="auto"/>
          </w:divBdr>
          <w:divsChild>
            <w:div w:id="894051271">
              <w:marLeft w:val="75"/>
              <w:marRight w:val="75"/>
              <w:marTop w:val="375"/>
              <w:marBottom w:val="75"/>
              <w:divBdr>
                <w:top w:val="none" w:sz="0" w:space="0" w:color="auto"/>
                <w:left w:val="none" w:sz="0" w:space="0" w:color="auto"/>
                <w:bottom w:val="none" w:sz="0" w:space="0" w:color="auto"/>
                <w:right w:val="none" w:sz="0" w:space="0" w:color="auto"/>
              </w:divBdr>
              <w:divsChild>
                <w:div w:id="1448810192">
                  <w:marLeft w:val="0"/>
                  <w:marRight w:val="0"/>
                  <w:marTop w:val="0"/>
                  <w:marBottom w:val="0"/>
                  <w:divBdr>
                    <w:top w:val="none" w:sz="0" w:space="0" w:color="auto"/>
                    <w:left w:val="none" w:sz="0" w:space="0" w:color="auto"/>
                    <w:bottom w:val="none" w:sz="0" w:space="0" w:color="auto"/>
                    <w:right w:val="none" w:sz="0" w:space="0" w:color="auto"/>
                  </w:divBdr>
                  <w:divsChild>
                    <w:div w:id="2060084270">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2129082772">
          <w:marLeft w:val="0"/>
          <w:marRight w:val="0"/>
          <w:marTop w:val="0"/>
          <w:marBottom w:val="0"/>
          <w:divBdr>
            <w:top w:val="none" w:sz="0" w:space="0" w:color="auto"/>
            <w:left w:val="none" w:sz="0" w:space="0" w:color="auto"/>
            <w:bottom w:val="none" w:sz="0" w:space="0" w:color="auto"/>
            <w:right w:val="none" w:sz="0" w:space="0" w:color="auto"/>
          </w:divBdr>
          <w:divsChild>
            <w:div w:id="669910610">
              <w:marLeft w:val="75"/>
              <w:marRight w:val="75"/>
              <w:marTop w:val="375"/>
              <w:marBottom w:val="75"/>
              <w:divBdr>
                <w:top w:val="none" w:sz="0" w:space="0" w:color="auto"/>
                <w:left w:val="none" w:sz="0" w:space="0" w:color="auto"/>
                <w:bottom w:val="none" w:sz="0" w:space="0" w:color="auto"/>
                <w:right w:val="none" w:sz="0" w:space="0" w:color="auto"/>
              </w:divBdr>
              <w:divsChild>
                <w:div w:id="955332903">
                  <w:marLeft w:val="0"/>
                  <w:marRight w:val="0"/>
                  <w:marTop w:val="0"/>
                  <w:marBottom w:val="0"/>
                  <w:divBdr>
                    <w:top w:val="none" w:sz="0" w:space="0" w:color="auto"/>
                    <w:left w:val="none" w:sz="0" w:space="0" w:color="auto"/>
                    <w:bottom w:val="none" w:sz="0" w:space="0" w:color="auto"/>
                    <w:right w:val="none" w:sz="0" w:space="0" w:color="auto"/>
                  </w:divBdr>
                  <w:divsChild>
                    <w:div w:id="2003728521">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480075958">
          <w:marLeft w:val="0"/>
          <w:marRight w:val="0"/>
          <w:marTop w:val="0"/>
          <w:marBottom w:val="0"/>
          <w:divBdr>
            <w:top w:val="none" w:sz="0" w:space="0" w:color="auto"/>
            <w:left w:val="none" w:sz="0" w:space="0" w:color="auto"/>
            <w:bottom w:val="none" w:sz="0" w:space="0" w:color="auto"/>
            <w:right w:val="none" w:sz="0" w:space="0" w:color="auto"/>
          </w:divBdr>
          <w:divsChild>
            <w:div w:id="1663855035">
              <w:marLeft w:val="75"/>
              <w:marRight w:val="75"/>
              <w:marTop w:val="375"/>
              <w:marBottom w:val="75"/>
              <w:divBdr>
                <w:top w:val="none" w:sz="0" w:space="0" w:color="auto"/>
                <w:left w:val="none" w:sz="0" w:space="0" w:color="auto"/>
                <w:bottom w:val="none" w:sz="0" w:space="0" w:color="auto"/>
                <w:right w:val="none" w:sz="0" w:space="0" w:color="auto"/>
              </w:divBdr>
              <w:divsChild>
                <w:div w:id="1332492895">
                  <w:marLeft w:val="0"/>
                  <w:marRight w:val="0"/>
                  <w:marTop w:val="0"/>
                  <w:marBottom w:val="0"/>
                  <w:divBdr>
                    <w:top w:val="none" w:sz="0" w:space="0" w:color="auto"/>
                    <w:left w:val="none" w:sz="0" w:space="0" w:color="auto"/>
                    <w:bottom w:val="none" w:sz="0" w:space="0" w:color="auto"/>
                    <w:right w:val="none" w:sz="0" w:space="0" w:color="auto"/>
                  </w:divBdr>
                  <w:divsChild>
                    <w:div w:id="176426237">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888421924">
          <w:marLeft w:val="0"/>
          <w:marRight w:val="0"/>
          <w:marTop w:val="0"/>
          <w:marBottom w:val="0"/>
          <w:divBdr>
            <w:top w:val="none" w:sz="0" w:space="0" w:color="auto"/>
            <w:left w:val="none" w:sz="0" w:space="0" w:color="auto"/>
            <w:bottom w:val="none" w:sz="0" w:space="0" w:color="auto"/>
            <w:right w:val="none" w:sz="0" w:space="0" w:color="auto"/>
          </w:divBdr>
          <w:divsChild>
            <w:div w:id="2123181851">
              <w:marLeft w:val="75"/>
              <w:marRight w:val="75"/>
              <w:marTop w:val="375"/>
              <w:marBottom w:val="75"/>
              <w:divBdr>
                <w:top w:val="none" w:sz="0" w:space="0" w:color="auto"/>
                <w:left w:val="none" w:sz="0" w:space="0" w:color="auto"/>
                <w:bottom w:val="none" w:sz="0" w:space="0" w:color="auto"/>
                <w:right w:val="none" w:sz="0" w:space="0" w:color="auto"/>
              </w:divBdr>
              <w:divsChild>
                <w:div w:id="1352341055">
                  <w:marLeft w:val="0"/>
                  <w:marRight w:val="0"/>
                  <w:marTop w:val="0"/>
                  <w:marBottom w:val="0"/>
                  <w:divBdr>
                    <w:top w:val="none" w:sz="0" w:space="0" w:color="auto"/>
                    <w:left w:val="none" w:sz="0" w:space="0" w:color="auto"/>
                    <w:bottom w:val="none" w:sz="0" w:space="0" w:color="auto"/>
                    <w:right w:val="none" w:sz="0" w:space="0" w:color="auto"/>
                  </w:divBdr>
                  <w:divsChild>
                    <w:div w:id="659500067">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507215159">
          <w:marLeft w:val="0"/>
          <w:marRight w:val="0"/>
          <w:marTop w:val="0"/>
          <w:marBottom w:val="0"/>
          <w:divBdr>
            <w:top w:val="none" w:sz="0" w:space="0" w:color="auto"/>
            <w:left w:val="none" w:sz="0" w:space="0" w:color="auto"/>
            <w:bottom w:val="none" w:sz="0" w:space="0" w:color="auto"/>
            <w:right w:val="none" w:sz="0" w:space="0" w:color="auto"/>
          </w:divBdr>
          <w:divsChild>
            <w:div w:id="1849825306">
              <w:marLeft w:val="75"/>
              <w:marRight w:val="75"/>
              <w:marTop w:val="375"/>
              <w:marBottom w:val="75"/>
              <w:divBdr>
                <w:top w:val="none" w:sz="0" w:space="0" w:color="auto"/>
                <w:left w:val="none" w:sz="0" w:space="0" w:color="auto"/>
                <w:bottom w:val="none" w:sz="0" w:space="0" w:color="auto"/>
                <w:right w:val="none" w:sz="0" w:space="0" w:color="auto"/>
              </w:divBdr>
              <w:divsChild>
                <w:div w:id="2036689146">
                  <w:marLeft w:val="0"/>
                  <w:marRight w:val="0"/>
                  <w:marTop w:val="0"/>
                  <w:marBottom w:val="0"/>
                  <w:divBdr>
                    <w:top w:val="none" w:sz="0" w:space="0" w:color="auto"/>
                    <w:left w:val="none" w:sz="0" w:space="0" w:color="auto"/>
                    <w:bottom w:val="none" w:sz="0" w:space="0" w:color="auto"/>
                    <w:right w:val="none" w:sz="0" w:space="0" w:color="auto"/>
                  </w:divBdr>
                  <w:divsChild>
                    <w:div w:id="21245535">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996226332">
          <w:marLeft w:val="0"/>
          <w:marRight w:val="0"/>
          <w:marTop w:val="0"/>
          <w:marBottom w:val="0"/>
          <w:divBdr>
            <w:top w:val="none" w:sz="0" w:space="0" w:color="auto"/>
            <w:left w:val="none" w:sz="0" w:space="0" w:color="auto"/>
            <w:bottom w:val="none" w:sz="0" w:space="0" w:color="auto"/>
            <w:right w:val="none" w:sz="0" w:space="0" w:color="auto"/>
          </w:divBdr>
          <w:divsChild>
            <w:div w:id="1514756601">
              <w:marLeft w:val="75"/>
              <w:marRight w:val="75"/>
              <w:marTop w:val="375"/>
              <w:marBottom w:val="75"/>
              <w:divBdr>
                <w:top w:val="none" w:sz="0" w:space="0" w:color="auto"/>
                <w:left w:val="none" w:sz="0" w:space="0" w:color="auto"/>
                <w:bottom w:val="none" w:sz="0" w:space="0" w:color="auto"/>
                <w:right w:val="none" w:sz="0" w:space="0" w:color="auto"/>
              </w:divBdr>
              <w:divsChild>
                <w:div w:id="1076052011">
                  <w:marLeft w:val="0"/>
                  <w:marRight w:val="0"/>
                  <w:marTop w:val="0"/>
                  <w:marBottom w:val="0"/>
                  <w:divBdr>
                    <w:top w:val="none" w:sz="0" w:space="0" w:color="auto"/>
                    <w:left w:val="none" w:sz="0" w:space="0" w:color="auto"/>
                    <w:bottom w:val="none" w:sz="0" w:space="0" w:color="auto"/>
                    <w:right w:val="none" w:sz="0" w:space="0" w:color="auto"/>
                  </w:divBdr>
                  <w:divsChild>
                    <w:div w:id="1463570589">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372412523">
          <w:marLeft w:val="0"/>
          <w:marRight w:val="0"/>
          <w:marTop w:val="0"/>
          <w:marBottom w:val="0"/>
          <w:divBdr>
            <w:top w:val="none" w:sz="0" w:space="0" w:color="auto"/>
            <w:left w:val="none" w:sz="0" w:space="0" w:color="auto"/>
            <w:bottom w:val="none" w:sz="0" w:space="0" w:color="auto"/>
            <w:right w:val="none" w:sz="0" w:space="0" w:color="auto"/>
          </w:divBdr>
          <w:divsChild>
            <w:div w:id="209194571">
              <w:marLeft w:val="75"/>
              <w:marRight w:val="75"/>
              <w:marTop w:val="375"/>
              <w:marBottom w:val="75"/>
              <w:divBdr>
                <w:top w:val="none" w:sz="0" w:space="0" w:color="auto"/>
                <w:left w:val="none" w:sz="0" w:space="0" w:color="auto"/>
                <w:bottom w:val="none" w:sz="0" w:space="0" w:color="auto"/>
                <w:right w:val="none" w:sz="0" w:space="0" w:color="auto"/>
              </w:divBdr>
              <w:divsChild>
                <w:div w:id="1071390295">
                  <w:marLeft w:val="0"/>
                  <w:marRight w:val="0"/>
                  <w:marTop w:val="0"/>
                  <w:marBottom w:val="0"/>
                  <w:divBdr>
                    <w:top w:val="none" w:sz="0" w:space="0" w:color="auto"/>
                    <w:left w:val="none" w:sz="0" w:space="0" w:color="auto"/>
                    <w:bottom w:val="none" w:sz="0" w:space="0" w:color="auto"/>
                    <w:right w:val="none" w:sz="0" w:space="0" w:color="auto"/>
                  </w:divBdr>
                  <w:divsChild>
                    <w:div w:id="44305844">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610669101">
          <w:marLeft w:val="0"/>
          <w:marRight w:val="0"/>
          <w:marTop w:val="0"/>
          <w:marBottom w:val="0"/>
          <w:divBdr>
            <w:top w:val="none" w:sz="0" w:space="0" w:color="auto"/>
            <w:left w:val="none" w:sz="0" w:space="0" w:color="auto"/>
            <w:bottom w:val="none" w:sz="0" w:space="0" w:color="auto"/>
            <w:right w:val="none" w:sz="0" w:space="0" w:color="auto"/>
          </w:divBdr>
          <w:divsChild>
            <w:div w:id="424499244">
              <w:marLeft w:val="75"/>
              <w:marRight w:val="75"/>
              <w:marTop w:val="375"/>
              <w:marBottom w:val="75"/>
              <w:divBdr>
                <w:top w:val="none" w:sz="0" w:space="0" w:color="auto"/>
                <w:left w:val="none" w:sz="0" w:space="0" w:color="auto"/>
                <w:bottom w:val="none" w:sz="0" w:space="0" w:color="auto"/>
                <w:right w:val="none" w:sz="0" w:space="0" w:color="auto"/>
              </w:divBdr>
              <w:divsChild>
                <w:div w:id="45378605">
                  <w:marLeft w:val="0"/>
                  <w:marRight w:val="0"/>
                  <w:marTop w:val="0"/>
                  <w:marBottom w:val="0"/>
                  <w:divBdr>
                    <w:top w:val="none" w:sz="0" w:space="0" w:color="auto"/>
                    <w:left w:val="none" w:sz="0" w:space="0" w:color="auto"/>
                    <w:bottom w:val="none" w:sz="0" w:space="0" w:color="auto"/>
                    <w:right w:val="none" w:sz="0" w:space="0" w:color="auto"/>
                  </w:divBdr>
                  <w:divsChild>
                    <w:div w:id="1495336774">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562447501">
          <w:marLeft w:val="0"/>
          <w:marRight w:val="0"/>
          <w:marTop w:val="0"/>
          <w:marBottom w:val="0"/>
          <w:divBdr>
            <w:top w:val="none" w:sz="0" w:space="0" w:color="auto"/>
            <w:left w:val="none" w:sz="0" w:space="0" w:color="auto"/>
            <w:bottom w:val="none" w:sz="0" w:space="0" w:color="auto"/>
            <w:right w:val="none" w:sz="0" w:space="0" w:color="auto"/>
          </w:divBdr>
          <w:divsChild>
            <w:div w:id="1201236985">
              <w:marLeft w:val="75"/>
              <w:marRight w:val="75"/>
              <w:marTop w:val="375"/>
              <w:marBottom w:val="75"/>
              <w:divBdr>
                <w:top w:val="none" w:sz="0" w:space="0" w:color="auto"/>
                <w:left w:val="none" w:sz="0" w:space="0" w:color="auto"/>
                <w:bottom w:val="none" w:sz="0" w:space="0" w:color="auto"/>
                <w:right w:val="none" w:sz="0" w:space="0" w:color="auto"/>
              </w:divBdr>
              <w:divsChild>
                <w:div w:id="1855530175">
                  <w:marLeft w:val="0"/>
                  <w:marRight w:val="0"/>
                  <w:marTop w:val="0"/>
                  <w:marBottom w:val="0"/>
                  <w:divBdr>
                    <w:top w:val="none" w:sz="0" w:space="0" w:color="auto"/>
                    <w:left w:val="none" w:sz="0" w:space="0" w:color="auto"/>
                    <w:bottom w:val="none" w:sz="0" w:space="0" w:color="auto"/>
                    <w:right w:val="none" w:sz="0" w:space="0" w:color="auto"/>
                  </w:divBdr>
                  <w:divsChild>
                    <w:div w:id="1365786514">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912853786">
          <w:marLeft w:val="0"/>
          <w:marRight w:val="0"/>
          <w:marTop w:val="0"/>
          <w:marBottom w:val="0"/>
          <w:divBdr>
            <w:top w:val="none" w:sz="0" w:space="0" w:color="auto"/>
            <w:left w:val="none" w:sz="0" w:space="0" w:color="auto"/>
            <w:bottom w:val="none" w:sz="0" w:space="0" w:color="auto"/>
            <w:right w:val="none" w:sz="0" w:space="0" w:color="auto"/>
          </w:divBdr>
          <w:divsChild>
            <w:div w:id="2089495793">
              <w:marLeft w:val="75"/>
              <w:marRight w:val="75"/>
              <w:marTop w:val="375"/>
              <w:marBottom w:val="75"/>
              <w:divBdr>
                <w:top w:val="none" w:sz="0" w:space="0" w:color="auto"/>
                <w:left w:val="none" w:sz="0" w:space="0" w:color="auto"/>
                <w:bottom w:val="none" w:sz="0" w:space="0" w:color="auto"/>
                <w:right w:val="none" w:sz="0" w:space="0" w:color="auto"/>
              </w:divBdr>
              <w:divsChild>
                <w:div w:id="530728931">
                  <w:marLeft w:val="0"/>
                  <w:marRight w:val="0"/>
                  <w:marTop w:val="0"/>
                  <w:marBottom w:val="0"/>
                  <w:divBdr>
                    <w:top w:val="none" w:sz="0" w:space="0" w:color="auto"/>
                    <w:left w:val="none" w:sz="0" w:space="0" w:color="auto"/>
                    <w:bottom w:val="none" w:sz="0" w:space="0" w:color="auto"/>
                    <w:right w:val="none" w:sz="0" w:space="0" w:color="auto"/>
                  </w:divBdr>
                  <w:divsChild>
                    <w:div w:id="1220050657">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494830796">
          <w:marLeft w:val="0"/>
          <w:marRight w:val="0"/>
          <w:marTop w:val="0"/>
          <w:marBottom w:val="0"/>
          <w:divBdr>
            <w:top w:val="none" w:sz="0" w:space="0" w:color="auto"/>
            <w:left w:val="none" w:sz="0" w:space="0" w:color="auto"/>
            <w:bottom w:val="none" w:sz="0" w:space="0" w:color="auto"/>
            <w:right w:val="none" w:sz="0" w:space="0" w:color="auto"/>
          </w:divBdr>
          <w:divsChild>
            <w:div w:id="888230530">
              <w:marLeft w:val="75"/>
              <w:marRight w:val="75"/>
              <w:marTop w:val="375"/>
              <w:marBottom w:val="75"/>
              <w:divBdr>
                <w:top w:val="none" w:sz="0" w:space="0" w:color="auto"/>
                <w:left w:val="none" w:sz="0" w:space="0" w:color="auto"/>
                <w:bottom w:val="none" w:sz="0" w:space="0" w:color="auto"/>
                <w:right w:val="none" w:sz="0" w:space="0" w:color="auto"/>
              </w:divBdr>
              <w:divsChild>
                <w:div w:id="1103770429">
                  <w:marLeft w:val="0"/>
                  <w:marRight w:val="0"/>
                  <w:marTop w:val="0"/>
                  <w:marBottom w:val="0"/>
                  <w:divBdr>
                    <w:top w:val="none" w:sz="0" w:space="0" w:color="auto"/>
                    <w:left w:val="none" w:sz="0" w:space="0" w:color="auto"/>
                    <w:bottom w:val="none" w:sz="0" w:space="0" w:color="auto"/>
                    <w:right w:val="none" w:sz="0" w:space="0" w:color="auto"/>
                  </w:divBdr>
                  <w:divsChild>
                    <w:div w:id="1650860343">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755391308">
          <w:marLeft w:val="0"/>
          <w:marRight w:val="0"/>
          <w:marTop w:val="0"/>
          <w:marBottom w:val="0"/>
          <w:divBdr>
            <w:top w:val="none" w:sz="0" w:space="0" w:color="auto"/>
            <w:left w:val="none" w:sz="0" w:space="0" w:color="auto"/>
            <w:bottom w:val="none" w:sz="0" w:space="0" w:color="auto"/>
            <w:right w:val="none" w:sz="0" w:space="0" w:color="auto"/>
          </w:divBdr>
          <w:divsChild>
            <w:div w:id="1903521759">
              <w:marLeft w:val="75"/>
              <w:marRight w:val="75"/>
              <w:marTop w:val="375"/>
              <w:marBottom w:val="75"/>
              <w:divBdr>
                <w:top w:val="none" w:sz="0" w:space="0" w:color="auto"/>
                <w:left w:val="none" w:sz="0" w:space="0" w:color="auto"/>
                <w:bottom w:val="none" w:sz="0" w:space="0" w:color="auto"/>
                <w:right w:val="none" w:sz="0" w:space="0" w:color="auto"/>
              </w:divBdr>
              <w:divsChild>
                <w:div w:id="294530171">
                  <w:marLeft w:val="0"/>
                  <w:marRight w:val="0"/>
                  <w:marTop w:val="0"/>
                  <w:marBottom w:val="0"/>
                  <w:divBdr>
                    <w:top w:val="none" w:sz="0" w:space="0" w:color="auto"/>
                    <w:left w:val="none" w:sz="0" w:space="0" w:color="auto"/>
                    <w:bottom w:val="none" w:sz="0" w:space="0" w:color="auto"/>
                    <w:right w:val="none" w:sz="0" w:space="0" w:color="auto"/>
                  </w:divBdr>
                  <w:divsChild>
                    <w:div w:id="257446408">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74928087">
          <w:marLeft w:val="0"/>
          <w:marRight w:val="0"/>
          <w:marTop w:val="0"/>
          <w:marBottom w:val="0"/>
          <w:divBdr>
            <w:top w:val="none" w:sz="0" w:space="0" w:color="auto"/>
            <w:left w:val="none" w:sz="0" w:space="0" w:color="auto"/>
            <w:bottom w:val="none" w:sz="0" w:space="0" w:color="auto"/>
            <w:right w:val="none" w:sz="0" w:space="0" w:color="auto"/>
          </w:divBdr>
          <w:divsChild>
            <w:div w:id="2104521996">
              <w:marLeft w:val="75"/>
              <w:marRight w:val="75"/>
              <w:marTop w:val="375"/>
              <w:marBottom w:val="75"/>
              <w:divBdr>
                <w:top w:val="none" w:sz="0" w:space="0" w:color="auto"/>
                <w:left w:val="none" w:sz="0" w:space="0" w:color="auto"/>
                <w:bottom w:val="none" w:sz="0" w:space="0" w:color="auto"/>
                <w:right w:val="none" w:sz="0" w:space="0" w:color="auto"/>
              </w:divBdr>
              <w:divsChild>
                <w:div w:id="380984897">
                  <w:marLeft w:val="0"/>
                  <w:marRight w:val="0"/>
                  <w:marTop w:val="0"/>
                  <w:marBottom w:val="0"/>
                  <w:divBdr>
                    <w:top w:val="none" w:sz="0" w:space="0" w:color="auto"/>
                    <w:left w:val="none" w:sz="0" w:space="0" w:color="auto"/>
                    <w:bottom w:val="none" w:sz="0" w:space="0" w:color="auto"/>
                    <w:right w:val="none" w:sz="0" w:space="0" w:color="auto"/>
                  </w:divBdr>
                  <w:divsChild>
                    <w:div w:id="1553466549">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647540347">
          <w:marLeft w:val="0"/>
          <w:marRight w:val="0"/>
          <w:marTop w:val="0"/>
          <w:marBottom w:val="0"/>
          <w:divBdr>
            <w:top w:val="none" w:sz="0" w:space="0" w:color="auto"/>
            <w:left w:val="none" w:sz="0" w:space="0" w:color="auto"/>
            <w:bottom w:val="none" w:sz="0" w:space="0" w:color="auto"/>
            <w:right w:val="none" w:sz="0" w:space="0" w:color="auto"/>
          </w:divBdr>
          <w:divsChild>
            <w:div w:id="784815876">
              <w:marLeft w:val="75"/>
              <w:marRight w:val="75"/>
              <w:marTop w:val="375"/>
              <w:marBottom w:val="75"/>
              <w:divBdr>
                <w:top w:val="none" w:sz="0" w:space="0" w:color="auto"/>
                <w:left w:val="none" w:sz="0" w:space="0" w:color="auto"/>
                <w:bottom w:val="none" w:sz="0" w:space="0" w:color="auto"/>
                <w:right w:val="none" w:sz="0" w:space="0" w:color="auto"/>
              </w:divBdr>
              <w:divsChild>
                <w:div w:id="5254865">
                  <w:marLeft w:val="0"/>
                  <w:marRight w:val="0"/>
                  <w:marTop w:val="0"/>
                  <w:marBottom w:val="0"/>
                  <w:divBdr>
                    <w:top w:val="none" w:sz="0" w:space="0" w:color="auto"/>
                    <w:left w:val="none" w:sz="0" w:space="0" w:color="auto"/>
                    <w:bottom w:val="none" w:sz="0" w:space="0" w:color="auto"/>
                    <w:right w:val="none" w:sz="0" w:space="0" w:color="auto"/>
                  </w:divBdr>
                  <w:divsChild>
                    <w:div w:id="1150898915">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147602930">
          <w:marLeft w:val="0"/>
          <w:marRight w:val="0"/>
          <w:marTop w:val="0"/>
          <w:marBottom w:val="0"/>
          <w:divBdr>
            <w:top w:val="none" w:sz="0" w:space="0" w:color="auto"/>
            <w:left w:val="none" w:sz="0" w:space="0" w:color="auto"/>
            <w:bottom w:val="none" w:sz="0" w:space="0" w:color="auto"/>
            <w:right w:val="none" w:sz="0" w:space="0" w:color="auto"/>
          </w:divBdr>
          <w:divsChild>
            <w:div w:id="1594777617">
              <w:marLeft w:val="75"/>
              <w:marRight w:val="75"/>
              <w:marTop w:val="375"/>
              <w:marBottom w:val="75"/>
              <w:divBdr>
                <w:top w:val="none" w:sz="0" w:space="0" w:color="auto"/>
                <w:left w:val="none" w:sz="0" w:space="0" w:color="auto"/>
                <w:bottom w:val="none" w:sz="0" w:space="0" w:color="auto"/>
                <w:right w:val="none" w:sz="0" w:space="0" w:color="auto"/>
              </w:divBdr>
              <w:divsChild>
                <w:div w:id="71006569">
                  <w:marLeft w:val="0"/>
                  <w:marRight w:val="0"/>
                  <w:marTop w:val="0"/>
                  <w:marBottom w:val="0"/>
                  <w:divBdr>
                    <w:top w:val="none" w:sz="0" w:space="0" w:color="auto"/>
                    <w:left w:val="none" w:sz="0" w:space="0" w:color="auto"/>
                    <w:bottom w:val="none" w:sz="0" w:space="0" w:color="auto"/>
                    <w:right w:val="none" w:sz="0" w:space="0" w:color="auto"/>
                  </w:divBdr>
                  <w:divsChild>
                    <w:div w:id="1038242305">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724062285">
          <w:marLeft w:val="0"/>
          <w:marRight w:val="0"/>
          <w:marTop w:val="0"/>
          <w:marBottom w:val="0"/>
          <w:divBdr>
            <w:top w:val="none" w:sz="0" w:space="0" w:color="auto"/>
            <w:left w:val="none" w:sz="0" w:space="0" w:color="auto"/>
            <w:bottom w:val="none" w:sz="0" w:space="0" w:color="auto"/>
            <w:right w:val="none" w:sz="0" w:space="0" w:color="auto"/>
          </w:divBdr>
          <w:divsChild>
            <w:div w:id="143740421">
              <w:marLeft w:val="75"/>
              <w:marRight w:val="75"/>
              <w:marTop w:val="375"/>
              <w:marBottom w:val="75"/>
              <w:divBdr>
                <w:top w:val="none" w:sz="0" w:space="0" w:color="auto"/>
                <w:left w:val="none" w:sz="0" w:space="0" w:color="auto"/>
                <w:bottom w:val="none" w:sz="0" w:space="0" w:color="auto"/>
                <w:right w:val="none" w:sz="0" w:space="0" w:color="auto"/>
              </w:divBdr>
              <w:divsChild>
                <w:div w:id="1982465261">
                  <w:marLeft w:val="0"/>
                  <w:marRight w:val="0"/>
                  <w:marTop w:val="0"/>
                  <w:marBottom w:val="0"/>
                  <w:divBdr>
                    <w:top w:val="none" w:sz="0" w:space="0" w:color="auto"/>
                    <w:left w:val="none" w:sz="0" w:space="0" w:color="auto"/>
                    <w:bottom w:val="none" w:sz="0" w:space="0" w:color="auto"/>
                    <w:right w:val="none" w:sz="0" w:space="0" w:color="auto"/>
                  </w:divBdr>
                  <w:divsChild>
                    <w:div w:id="167600915">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265116250">
          <w:marLeft w:val="0"/>
          <w:marRight w:val="0"/>
          <w:marTop w:val="0"/>
          <w:marBottom w:val="0"/>
          <w:divBdr>
            <w:top w:val="none" w:sz="0" w:space="0" w:color="auto"/>
            <w:left w:val="none" w:sz="0" w:space="0" w:color="auto"/>
            <w:bottom w:val="none" w:sz="0" w:space="0" w:color="auto"/>
            <w:right w:val="none" w:sz="0" w:space="0" w:color="auto"/>
          </w:divBdr>
          <w:divsChild>
            <w:div w:id="840583565">
              <w:marLeft w:val="75"/>
              <w:marRight w:val="75"/>
              <w:marTop w:val="375"/>
              <w:marBottom w:val="75"/>
              <w:divBdr>
                <w:top w:val="none" w:sz="0" w:space="0" w:color="auto"/>
                <w:left w:val="none" w:sz="0" w:space="0" w:color="auto"/>
                <w:bottom w:val="none" w:sz="0" w:space="0" w:color="auto"/>
                <w:right w:val="none" w:sz="0" w:space="0" w:color="auto"/>
              </w:divBdr>
              <w:divsChild>
                <w:div w:id="1743719042">
                  <w:marLeft w:val="0"/>
                  <w:marRight w:val="0"/>
                  <w:marTop w:val="0"/>
                  <w:marBottom w:val="0"/>
                  <w:divBdr>
                    <w:top w:val="none" w:sz="0" w:space="0" w:color="auto"/>
                    <w:left w:val="none" w:sz="0" w:space="0" w:color="auto"/>
                    <w:bottom w:val="none" w:sz="0" w:space="0" w:color="auto"/>
                    <w:right w:val="none" w:sz="0" w:space="0" w:color="auto"/>
                  </w:divBdr>
                  <w:divsChild>
                    <w:div w:id="857934378">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686835201">
          <w:marLeft w:val="0"/>
          <w:marRight w:val="0"/>
          <w:marTop w:val="0"/>
          <w:marBottom w:val="0"/>
          <w:divBdr>
            <w:top w:val="none" w:sz="0" w:space="0" w:color="auto"/>
            <w:left w:val="none" w:sz="0" w:space="0" w:color="auto"/>
            <w:bottom w:val="none" w:sz="0" w:space="0" w:color="auto"/>
            <w:right w:val="none" w:sz="0" w:space="0" w:color="auto"/>
          </w:divBdr>
          <w:divsChild>
            <w:div w:id="1994525835">
              <w:marLeft w:val="75"/>
              <w:marRight w:val="75"/>
              <w:marTop w:val="375"/>
              <w:marBottom w:val="75"/>
              <w:divBdr>
                <w:top w:val="none" w:sz="0" w:space="0" w:color="auto"/>
                <w:left w:val="none" w:sz="0" w:space="0" w:color="auto"/>
                <w:bottom w:val="none" w:sz="0" w:space="0" w:color="auto"/>
                <w:right w:val="none" w:sz="0" w:space="0" w:color="auto"/>
              </w:divBdr>
              <w:divsChild>
                <w:div w:id="1585725084">
                  <w:marLeft w:val="0"/>
                  <w:marRight w:val="0"/>
                  <w:marTop w:val="0"/>
                  <w:marBottom w:val="0"/>
                  <w:divBdr>
                    <w:top w:val="none" w:sz="0" w:space="0" w:color="auto"/>
                    <w:left w:val="none" w:sz="0" w:space="0" w:color="auto"/>
                    <w:bottom w:val="none" w:sz="0" w:space="0" w:color="auto"/>
                    <w:right w:val="none" w:sz="0" w:space="0" w:color="auto"/>
                  </w:divBdr>
                  <w:divsChild>
                    <w:div w:id="745541058">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689021523">
          <w:marLeft w:val="0"/>
          <w:marRight w:val="0"/>
          <w:marTop w:val="0"/>
          <w:marBottom w:val="0"/>
          <w:divBdr>
            <w:top w:val="none" w:sz="0" w:space="0" w:color="auto"/>
            <w:left w:val="none" w:sz="0" w:space="0" w:color="auto"/>
            <w:bottom w:val="none" w:sz="0" w:space="0" w:color="auto"/>
            <w:right w:val="none" w:sz="0" w:space="0" w:color="auto"/>
          </w:divBdr>
          <w:divsChild>
            <w:div w:id="1328745419">
              <w:marLeft w:val="75"/>
              <w:marRight w:val="75"/>
              <w:marTop w:val="375"/>
              <w:marBottom w:val="75"/>
              <w:divBdr>
                <w:top w:val="none" w:sz="0" w:space="0" w:color="auto"/>
                <w:left w:val="none" w:sz="0" w:space="0" w:color="auto"/>
                <w:bottom w:val="none" w:sz="0" w:space="0" w:color="auto"/>
                <w:right w:val="none" w:sz="0" w:space="0" w:color="auto"/>
              </w:divBdr>
              <w:divsChild>
                <w:div w:id="2047870011">
                  <w:marLeft w:val="0"/>
                  <w:marRight w:val="0"/>
                  <w:marTop w:val="0"/>
                  <w:marBottom w:val="0"/>
                  <w:divBdr>
                    <w:top w:val="none" w:sz="0" w:space="0" w:color="auto"/>
                    <w:left w:val="none" w:sz="0" w:space="0" w:color="auto"/>
                    <w:bottom w:val="none" w:sz="0" w:space="0" w:color="auto"/>
                    <w:right w:val="none" w:sz="0" w:space="0" w:color="auto"/>
                  </w:divBdr>
                  <w:divsChild>
                    <w:div w:id="771172298">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587154406">
          <w:marLeft w:val="0"/>
          <w:marRight w:val="0"/>
          <w:marTop w:val="0"/>
          <w:marBottom w:val="0"/>
          <w:divBdr>
            <w:top w:val="none" w:sz="0" w:space="0" w:color="auto"/>
            <w:left w:val="none" w:sz="0" w:space="0" w:color="auto"/>
            <w:bottom w:val="none" w:sz="0" w:space="0" w:color="auto"/>
            <w:right w:val="none" w:sz="0" w:space="0" w:color="auto"/>
          </w:divBdr>
          <w:divsChild>
            <w:div w:id="626736697">
              <w:marLeft w:val="75"/>
              <w:marRight w:val="75"/>
              <w:marTop w:val="375"/>
              <w:marBottom w:val="75"/>
              <w:divBdr>
                <w:top w:val="none" w:sz="0" w:space="0" w:color="auto"/>
                <w:left w:val="none" w:sz="0" w:space="0" w:color="auto"/>
                <w:bottom w:val="none" w:sz="0" w:space="0" w:color="auto"/>
                <w:right w:val="none" w:sz="0" w:space="0" w:color="auto"/>
              </w:divBdr>
              <w:divsChild>
                <w:div w:id="711267347">
                  <w:marLeft w:val="0"/>
                  <w:marRight w:val="0"/>
                  <w:marTop w:val="0"/>
                  <w:marBottom w:val="0"/>
                  <w:divBdr>
                    <w:top w:val="none" w:sz="0" w:space="0" w:color="auto"/>
                    <w:left w:val="none" w:sz="0" w:space="0" w:color="auto"/>
                    <w:bottom w:val="none" w:sz="0" w:space="0" w:color="auto"/>
                    <w:right w:val="none" w:sz="0" w:space="0" w:color="auto"/>
                  </w:divBdr>
                  <w:divsChild>
                    <w:div w:id="1412124115">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674650409">
          <w:marLeft w:val="0"/>
          <w:marRight w:val="0"/>
          <w:marTop w:val="0"/>
          <w:marBottom w:val="0"/>
          <w:divBdr>
            <w:top w:val="none" w:sz="0" w:space="0" w:color="auto"/>
            <w:left w:val="none" w:sz="0" w:space="0" w:color="auto"/>
            <w:bottom w:val="none" w:sz="0" w:space="0" w:color="auto"/>
            <w:right w:val="none" w:sz="0" w:space="0" w:color="auto"/>
          </w:divBdr>
          <w:divsChild>
            <w:div w:id="661542660">
              <w:marLeft w:val="75"/>
              <w:marRight w:val="75"/>
              <w:marTop w:val="375"/>
              <w:marBottom w:val="75"/>
              <w:divBdr>
                <w:top w:val="none" w:sz="0" w:space="0" w:color="auto"/>
                <w:left w:val="none" w:sz="0" w:space="0" w:color="auto"/>
                <w:bottom w:val="none" w:sz="0" w:space="0" w:color="auto"/>
                <w:right w:val="none" w:sz="0" w:space="0" w:color="auto"/>
              </w:divBdr>
              <w:divsChild>
                <w:div w:id="2090884180">
                  <w:marLeft w:val="0"/>
                  <w:marRight w:val="0"/>
                  <w:marTop w:val="0"/>
                  <w:marBottom w:val="0"/>
                  <w:divBdr>
                    <w:top w:val="none" w:sz="0" w:space="0" w:color="auto"/>
                    <w:left w:val="none" w:sz="0" w:space="0" w:color="auto"/>
                    <w:bottom w:val="none" w:sz="0" w:space="0" w:color="auto"/>
                    <w:right w:val="none" w:sz="0" w:space="0" w:color="auto"/>
                  </w:divBdr>
                  <w:divsChild>
                    <w:div w:id="1807814230">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773742970">
          <w:marLeft w:val="0"/>
          <w:marRight w:val="0"/>
          <w:marTop w:val="0"/>
          <w:marBottom w:val="0"/>
          <w:divBdr>
            <w:top w:val="none" w:sz="0" w:space="0" w:color="auto"/>
            <w:left w:val="none" w:sz="0" w:space="0" w:color="auto"/>
            <w:bottom w:val="none" w:sz="0" w:space="0" w:color="auto"/>
            <w:right w:val="none" w:sz="0" w:space="0" w:color="auto"/>
          </w:divBdr>
          <w:divsChild>
            <w:div w:id="369378445">
              <w:marLeft w:val="75"/>
              <w:marRight w:val="75"/>
              <w:marTop w:val="375"/>
              <w:marBottom w:val="75"/>
              <w:divBdr>
                <w:top w:val="none" w:sz="0" w:space="0" w:color="auto"/>
                <w:left w:val="none" w:sz="0" w:space="0" w:color="auto"/>
                <w:bottom w:val="none" w:sz="0" w:space="0" w:color="auto"/>
                <w:right w:val="none" w:sz="0" w:space="0" w:color="auto"/>
              </w:divBdr>
              <w:divsChild>
                <w:div w:id="434400407">
                  <w:marLeft w:val="0"/>
                  <w:marRight w:val="0"/>
                  <w:marTop w:val="0"/>
                  <w:marBottom w:val="0"/>
                  <w:divBdr>
                    <w:top w:val="none" w:sz="0" w:space="0" w:color="auto"/>
                    <w:left w:val="none" w:sz="0" w:space="0" w:color="auto"/>
                    <w:bottom w:val="none" w:sz="0" w:space="0" w:color="auto"/>
                    <w:right w:val="none" w:sz="0" w:space="0" w:color="auto"/>
                  </w:divBdr>
                  <w:divsChild>
                    <w:div w:id="1573734512">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1667130065">
          <w:marLeft w:val="0"/>
          <w:marRight w:val="0"/>
          <w:marTop w:val="0"/>
          <w:marBottom w:val="0"/>
          <w:divBdr>
            <w:top w:val="none" w:sz="0" w:space="0" w:color="auto"/>
            <w:left w:val="none" w:sz="0" w:space="0" w:color="auto"/>
            <w:bottom w:val="none" w:sz="0" w:space="0" w:color="auto"/>
            <w:right w:val="none" w:sz="0" w:space="0" w:color="auto"/>
          </w:divBdr>
          <w:divsChild>
            <w:div w:id="55082826">
              <w:marLeft w:val="75"/>
              <w:marRight w:val="75"/>
              <w:marTop w:val="375"/>
              <w:marBottom w:val="75"/>
              <w:divBdr>
                <w:top w:val="none" w:sz="0" w:space="0" w:color="auto"/>
                <w:left w:val="none" w:sz="0" w:space="0" w:color="auto"/>
                <w:bottom w:val="none" w:sz="0" w:space="0" w:color="auto"/>
                <w:right w:val="none" w:sz="0" w:space="0" w:color="auto"/>
              </w:divBdr>
              <w:divsChild>
                <w:div w:id="1492864703">
                  <w:marLeft w:val="0"/>
                  <w:marRight w:val="0"/>
                  <w:marTop w:val="0"/>
                  <w:marBottom w:val="0"/>
                  <w:divBdr>
                    <w:top w:val="none" w:sz="0" w:space="0" w:color="auto"/>
                    <w:left w:val="none" w:sz="0" w:space="0" w:color="auto"/>
                    <w:bottom w:val="none" w:sz="0" w:space="0" w:color="auto"/>
                    <w:right w:val="none" w:sz="0" w:space="0" w:color="auto"/>
                  </w:divBdr>
                  <w:divsChild>
                    <w:div w:id="22173074">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970091231">
          <w:marLeft w:val="0"/>
          <w:marRight w:val="0"/>
          <w:marTop w:val="0"/>
          <w:marBottom w:val="0"/>
          <w:divBdr>
            <w:top w:val="none" w:sz="0" w:space="0" w:color="auto"/>
            <w:left w:val="none" w:sz="0" w:space="0" w:color="auto"/>
            <w:bottom w:val="none" w:sz="0" w:space="0" w:color="auto"/>
            <w:right w:val="none" w:sz="0" w:space="0" w:color="auto"/>
          </w:divBdr>
          <w:divsChild>
            <w:div w:id="1668558809">
              <w:marLeft w:val="75"/>
              <w:marRight w:val="75"/>
              <w:marTop w:val="375"/>
              <w:marBottom w:val="75"/>
              <w:divBdr>
                <w:top w:val="none" w:sz="0" w:space="0" w:color="auto"/>
                <w:left w:val="none" w:sz="0" w:space="0" w:color="auto"/>
                <w:bottom w:val="none" w:sz="0" w:space="0" w:color="auto"/>
                <w:right w:val="none" w:sz="0" w:space="0" w:color="auto"/>
              </w:divBdr>
              <w:divsChild>
                <w:div w:id="1311597407">
                  <w:marLeft w:val="0"/>
                  <w:marRight w:val="0"/>
                  <w:marTop w:val="0"/>
                  <w:marBottom w:val="0"/>
                  <w:divBdr>
                    <w:top w:val="none" w:sz="0" w:space="0" w:color="auto"/>
                    <w:left w:val="none" w:sz="0" w:space="0" w:color="auto"/>
                    <w:bottom w:val="none" w:sz="0" w:space="0" w:color="auto"/>
                    <w:right w:val="none" w:sz="0" w:space="0" w:color="auto"/>
                  </w:divBdr>
                  <w:divsChild>
                    <w:div w:id="125248450">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558594758">
          <w:marLeft w:val="0"/>
          <w:marRight w:val="0"/>
          <w:marTop w:val="0"/>
          <w:marBottom w:val="0"/>
          <w:divBdr>
            <w:top w:val="none" w:sz="0" w:space="0" w:color="auto"/>
            <w:left w:val="none" w:sz="0" w:space="0" w:color="auto"/>
            <w:bottom w:val="none" w:sz="0" w:space="0" w:color="auto"/>
            <w:right w:val="none" w:sz="0" w:space="0" w:color="auto"/>
          </w:divBdr>
          <w:divsChild>
            <w:div w:id="901670493">
              <w:marLeft w:val="75"/>
              <w:marRight w:val="75"/>
              <w:marTop w:val="375"/>
              <w:marBottom w:val="75"/>
              <w:divBdr>
                <w:top w:val="none" w:sz="0" w:space="0" w:color="auto"/>
                <w:left w:val="none" w:sz="0" w:space="0" w:color="auto"/>
                <w:bottom w:val="none" w:sz="0" w:space="0" w:color="auto"/>
                <w:right w:val="none" w:sz="0" w:space="0" w:color="auto"/>
              </w:divBdr>
              <w:divsChild>
                <w:div w:id="890725918">
                  <w:marLeft w:val="0"/>
                  <w:marRight w:val="0"/>
                  <w:marTop w:val="0"/>
                  <w:marBottom w:val="0"/>
                  <w:divBdr>
                    <w:top w:val="none" w:sz="0" w:space="0" w:color="auto"/>
                    <w:left w:val="none" w:sz="0" w:space="0" w:color="auto"/>
                    <w:bottom w:val="none" w:sz="0" w:space="0" w:color="auto"/>
                    <w:right w:val="none" w:sz="0" w:space="0" w:color="auto"/>
                  </w:divBdr>
                  <w:divsChild>
                    <w:div w:id="338972926">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037007452">
      <w:bodyDiv w:val="1"/>
      <w:marLeft w:val="0"/>
      <w:marRight w:val="0"/>
      <w:marTop w:val="0"/>
      <w:marBottom w:val="0"/>
      <w:divBdr>
        <w:top w:val="none" w:sz="0" w:space="0" w:color="auto"/>
        <w:left w:val="none" w:sz="0" w:space="0" w:color="auto"/>
        <w:bottom w:val="none" w:sz="0" w:space="0" w:color="auto"/>
        <w:right w:val="none" w:sz="0" w:space="0" w:color="auto"/>
      </w:divBdr>
    </w:div>
    <w:div w:id="1091971928">
      <w:bodyDiv w:val="1"/>
      <w:marLeft w:val="0"/>
      <w:marRight w:val="0"/>
      <w:marTop w:val="0"/>
      <w:marBottom w:val="0"/>
      <w:divBdr>
        <w:top w:val="none" w:sz="0" w:space="0" w:color="auto"/>
        <w:left w:val="none" w:sz="0" w:space="0" w:color="auto"/>
        <w:bottom w:val="none" w:sz="0" w:space="0" w:color="auto"/>
        <w:right w:val="none" w:sz="0" w:space="0" w:color="auto"/>
      </w:divBdr>
    </w:div>
    <w:div w:id="1374037756">
      <w:bodyDiv w:val="1"/>
      <w:marLeft w:val="0"/>
      <w:marRight w:val="0"/>
      <w:marTop w:val="0"/>
      <w:marBottom w:val="0"/>
      <w:divBdr>
        <w:top w:val="none" w:sz="0" w:space="0" w:color="auto"/>
        <w:left w:val="none" w:sz="0" w:space="0" w:color="auto"/>
        <w:bottom w:val="none" w:sz="0" w:space="0" w:color="auto"/>
        <w:right w:val="none" w:sz="0" w:space="0" w:color="auto"/>
      </w:divBdr>
    </w:div>
    <w:div w:id="1794707484">
      <w:bodyDiv w:val="1"/>
      <w:marLeft w:val="0"/>
      <w:marRight w:val="0"/>
      <w:marTop w:val="0"/>
      <w:marBottom w:val="0"/>
      <w:divBdr>
        <w:top w:val="none" w:sz="0" w:space="0" w:color="auto"/>
        <w:left w:val="none" w:sz="0" w:space="0" w:color="auto"/>
        <w:bottom w:val="none" w:sz="0" w:space="0" w:color="auto"/>
        <w:right w:val="none" w:sz="0" w:space="0" w:color="auto"/>
      </w:divBdr>
    </w:div>
    <w:div w:id="1960601818">
      <w:bodyDiv w:val="1"/>
      <w:marLeft w:val="0"/>
      <w:marRight w:val="0"/>
      <w:marTop w:val="0"/>
      <w:marBottom w:val="0"/>
      <w:divBdr>
        <w:top w:val="none" w:sz="0" w:space="0" w:color="auto"/>
        <w:left w:val="none" w:sz="0" w:space="0" w:color="auto"/>
        <w:bottom w:val="none" w:sz="0" w:space="0" w:color="auto"/>
        <w:right w:val="none" w:sz="0" w:space="0" w:color="auto"/>
      </w:divBdr>
      <w:divsChild>
        <w:div w:id="1848206386">
          <w:marLeft w:val="0"/>
          <w:marRight w:val="0"/>
          <w:marTop w:val="0"/>
          <w:marBottom w:val="0"/>
          <w:divBdr>
            <w:top w:val="none" w:sz="0" w:space="0" w:color="auto"/>
            <w:left w:val="none" w:sz="0" w:space="0" w:color="auto"/>
            <w:bottom w:val="none" w:sz="0" w:space="0" w:color="auto"/>
            <w:right w:val="none" w:sz="0" w:space="0" w:color="auto"/>
          </w:divBdr>
          <w:divsChild>
            <w:div w:id="440730033">
              <w:marLeft w:val="75"/>
              <w:marRight w:val="75"/>
              <w:marTop w:val="375"/>
              <w:marBottom w:val="75"/>
              <w:divBdr>
                <w:top w:val="none" w:sz="0" w:space="0" w:color="auto"/>
                <w:left w:val="none" w:sz="0" w:space="0" w:color="auto"/>
                <w:bottom w:val="none" w:sz="0" w:space="0" w:color="auto"/>
                <w:right w:val="none" w:sz="0" w:space="0" w:color="auto"/>
              </w:divBdr>
              <w:divsChild>
                <w:div w:id="1453665564">
                  <w:marLeft w:val="0"/>
                  <w:marRight w:val="0"/>
                  <w:marTop w:val="0"/>
                  <w:marBottom w:val="0"/>
                  <w:divBdr>
                    <w:top w:val="none" w:sz="0" w:space="0" w:color="auto"/>
                    <w:left w:val="none" w:sz="0" w:space="0" w:color="auto"/>
                    <w:bottom w:val="none" w:sz="0" w:space="0" w:color="auto"/>
                    <w:right w:val="none" w:sz="0" w:space="0" w:color="auto"/>
                  </w:divBdr>
                  <w:divsChild>
                    <w:div w:id="2058701204">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205677263">
          <w:marLeft w:val="0"/>
          <w:marRight w:val="0"/>
          <w:marTop w:val="0"/>
          <w:marBottom w:val="0"/>
          <w:divBdr>
            <w:top w:val="none" w:sz="0" w:space="0" w:color="auto"/>
            <w:left w:val="none" w:sz="0" w:space="0" w:color="auto"/>
            <w:bottom w:val="none" w:sz="0" w:space="0" w:color="auto"/>
            <w:right w:val="none" w:sz="0" w:space="0" w:color="auto"/>
          </w:divBdr>
          <w:divsChild>
            <w:div w:id="1453479348">
              <w:marLeft w:val="75"/>
              <w:marRight w:val="75"/>
              <w:marTop w:val="375"/>
              <w:marBottom w:val="75"/>
              <w:divBdr>
                <w:top w:val="none" w:sz="0" w:space="0" w:color="auto"/>
                <w:left w:val="none" w:sz="0" w:space="0" w:color="auto"/>
                <w:bottom w:val="none" w:sz="0" w:space="0" w:color="auto"/>
                <w:right w:val="none" w:sz="0" w:space="0" w:color="auto"/>
              </w:divBdr>
              <w:divsChild>
                <w:div w:id="1469738197">
                  <w:marLeft w:val="0"/>
                  <w:marRight w:val="0"/>
                  <w:marTop w:val="0"/>
                  <w:marBottom w:val="0"/>
                  <w:divBdr>
                    <w:top w:val="none" w:sz="0" w:space="0" w:color="auto"/>
                    <w:left w:val="none" w:sz="0" w:space="0" w:color="auto"/>
                    <w:bottom w:val="none" w:sz="0" w:space="0" w:color="auto"/>
                    <w:right w:val="none" w:sz="0" w:space="0" w:color="auto"/>
                  </w:divBdr>
                  <w:divsChild>
                    <w:div w:id="2014142837">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953130695">
          <w:marLeft w:val="0"/>
          <w:marRight w:val="0"/>
          <w:marTop w:val="0"/>
          <w:marBottom w:val="0"/>
          <w:divBdr>
            <w:top w:val="none" w:sz="0" w:space="0" w:color="auto"/>
            <w:left w:val="none" w:sz="0" w:space="0" w:color="auto"/>
            <w:bottom w:val="none" w:sz="0" w:space="0" w:color="auto"/>
            <w:right w:val="none" w:sz="0" w:space="0" w:color="auto"/>
          </w:divBdr>
          <w:divsChild>
            <w:div w:id="1237592440">
              <w:marLeft w:val="75"/>
              <w:marRight w:val="75"/>
              <w:marTop w:val="375"/>
              <w:marBottom w:val="75"/>
              <w:divBdr>
                <w:top w:val="none" w:sz="0" w:space="0" w:color="auto"/>
                <w:left w:val="none" w:sz="0" w:space="0" w:color="auto"/>
                <w:bottom w:val="none" w:sz="0" w:space="0" w:color="auto"/>
                <w:right w:val="none" w:sz="0" w:space="0" w:color="auto"/>
              </w:divBdr>
              <w:divsChild>
                <w:div w:id="1569537831">
                  <w:marLeft w:val="0"/>
                  <w:marRight w:val="0"/>
                  <w:marTop w:val="0"/>
                  <w:marBottom w:val="0"/>
                  <w:divBdr>
                    <w:top w:val="none" w:sz="0" w:space="0" w:color="auto"/>
                    <w:left w:val="none" w:sz="0" w:space="0" w:color="auto"/>
                    <w:bottom w:val="none" w:sz="0" w:space="0" w:color="auto"/>
                    <w:right w:val="none" w:sz="0" w:space="0" w:color="auto"/>
                  </w:divBdr>
                  <w:divsChild>
                    <w:div w:id="1041051877">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037051543">
          <w:marLeft w:val="0"/>
          <w:marRight w:val="0"/>
          <w:marTop w:val="0"/>
          <w:marBottom w:val="0"/>
          <w:divBdr>
            <w:top w:val="none" w:sz="0" w:space="0" w:color="auto"/>
            <w:left w:val="none" w:sz="0" w:space="0" w:color="auto"/>
            <w:bottom w:val="none" w:sz="0" w:space="0" w:color="auto"/>
            <w:right w:val="none" w:sz="0" w:space="0" w:color="auto"/>
          </w:divBdr>
          <w:divsChild>
            <w:div w:id="1117601865">
              <w:marLeft w:val="75"/>
              <w:marRight w:val="75"/>
              <w:marTop w:val="375"/>
              <w:marBottom w:val="75"/>
              <w:divBdr>
                <w:top w:val="none" w:sz="0" w:space="0" w:color="auto"/>
                <w:left w:val="none" w:sz="0" w:space="0" w:color="auto"/>
                <w:bottom w:val="none" w:sz="0" w:space="0" w:color="auto"/>
                <w:right w:val="none" w:sz="0" w:space="0" w:color="auto"/>
              </w:divBdr>
              <w:divsChild>
                <w:div w:id="1594824384">
                  <w:marLeft w:val="0"/>
                  <w:marRight w:val="0"/>
                  <w:marTop w:val="0"/>
                  <w:marBottom w:val="0"/>
                  <w:divBdr>
                    <w:top w:val="none" w:sz="0" w:space="0" w:color="auto"/>
                    <w:left w:val="none" w:sz="0" w:space="0" w:color="auto"/>
                    <w:bottom w:val="none" w:sz="0" w:space="0" w:color="auto"/>
                    <w:right w:val="none" w:sz="0" w:space="0" w:color="auto"/>
                  </w:divBdr>
                  <w:divsChild>
                    <w:div w:id="1281717689">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215703259">
          <w:marLeft w:val="0"/>
          <w:marRight w:val="0"/>
          <w:marTop w:val="0"/>
          <w:marBottom w:val="0"/>
          <w:divBdr>
            <w:top w:val="none" w:sz="0" w:space="0" w:color="auto"/>
            <w:left w:val="none" w:sz="0" w:space="0" w:color="auto"/>
            <w:bottom w:val="none" w:sz="0" w:space="0" w:color="auto"/>
            <w:right w:val="none" w:sz="0" w:space="0" w:color="auto"/>
          </w:divBdr>
          <w:divsChild>
            <w:div w:id="1194072004">
              <w:marLeft w:val="75"/>
              <w:marRight w:val="75"/>
              <w:marTop w:val="375"/>
              <w:marBottom w:val="75"/>
              <w:divBdr>
                <w:top w:val="none" w:sz="0" w:space="0" w:color="auto"/>
                <w:left w:val="none" w:sz="0" w:space="0" w:color="auto"/>
                <w:bottom w:val="none" w:sz="0" w:space="0" w:color="auto"/>
                <w:right w:val="none" w:sz="0" w:space="0" w:color="auto"/>
              </w:divBdr>
              <w:divsChild>
                <w:div w:id="92215363">
                  <w:marLeft w:val="0"/>
                  <w:marRight w:val="0"/>
                  <w:marTop w:val="0"/>
                  <w:marBottom w:val="0"/>
                  <w:divBdr>
                    <w:top w:val="none" w:sz="0" w:space="0" w:color="auto"/>
                    <w:left w:val="none" w:sz="0" w:space="0" w:color="auto"/>
                    <w:bottom w:val="none" w:sz="0" w:space="0" w:color="auto"/>
                    <w:right w:val="none" w:sz="0" w:space="0" w:color="auto"/>
                  </w:divBdr>
                  <w:divsChild>
                    <w:div w:id="2133397639">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326327914">
          <w:marLeft w:val="0"/>
          <w:marRight w:val="0"/>
          <w:marTop w:val="0"/>
          <w:marBottom w:val="0"/>
          <w:divBdr>
            <w:top w:val="none" w:sz="0" w:space="0" w:color="auto"/>
            <w:left w:val="none" w:sz="0" w:space="0" w:color="auto"/>
            <w:bottom w:val="none" w:sz="0" w:space="0" w:color="auto"/>
            <w:right w:val="none" w:sz="0" w:space="0" w:color="auto"/>
          </w:divBdr>
          <w:divsChild>
            <w:div w:id="1372073374">
              <w:marLeft w:val="75"/>
              <w:marRight w:val="75"/>
              <w:marTop w:val="375"/>
              <w:marBottom w:val="75"/>
              <w:divBdr>
                <w:top w:val="none" w:sz="0" w:space="0" w:color="auto"/>
                <w:left w:val="none" w:sz="0" w:space="0" w:color="auto"/>
                <w:bottom w:val="none" w:sz="0" w:space="0" w:color="auto"/>
                <w:right w:val="none" w:sz="0" w:space="0" w:color="auto"/>
              </w:divBdr>
              <w:divsChild>
                <w:div w:id="1296328963">
                  <w:marLeft w:val="0"/>
                  <w:marRight w:val="0"/>
                  <w:marTop w:val="0"/>
                  <w:marBottom w:val="0"/>
                  <w:divBdr>
                    <w:top w:val="none" w:sz="0" w:space="0" w:color="auto"/>
                    <w:left w:val="none" w:sz="0" w:space="0" w:color="auto"/>
                    <w:bottom w:val="none" w:sz="0" w:space="0" w:color="auto"/>
                    <w:right w:val="none" w:sz="0" w:space="0" w:color="auto"/>
                  </w:divBdr>
                  <w:divsChild>
                    <w:div w:id="2133790880">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468981392">
          <w:marLeft w:val="0"/>
          <w:marRight w:val="0"/>
          <w:marTop w:val="0"/>
          <w:marBottom w:val="0"/>
          <w:divBdr>
            <w:top w:val="none" w:sz="0" w:space="0" w:color="auto"/>
            <w:left w:val="none" w:sz="0" w:space="0" w:color="auto"/>
            <w:bottom w:val="none" w:sz="0" w:space="0" w:color="auto"/>
            <w:right w:val="none" w:sz="0" w:space="0" w:color="auto"/>
          </w:divBdr>
          <w:divsChild>
            <w:div w:id="318928138">
              <w:marLeft w:val="75"/>
              <w:marRight w:val="75"/>
              <w:marTop w:val="375"/>
              <w:marBottom w:val="75"/>
              <w:divBdr>
                <w:top w:val="none" w:sz="0" w:space="0" w:color="auto"/>
                <w:left w:val="none" w:sz="0" w:space="0" w:color="auto"/>
                <w:bottom w:val="none" w:sz="0" w:space="0" w:color="auto"/>
                <w:right w:val="none" w:sz="0" w:space="0" w:color="auto"/>
              </w:divBdr>
              <w:divsChild>
                <w:div w:id="1763866663">
                  <w:marLeft w:val="0"/>
                  <w:marRight w:val="0"/>
                  <w:marTop w:val="0"/>
                  <w:marBottom w:val="0"/>
                  <w:divBdr>
                    <w:top w:val="none" w:sz="0" w:space="0" w:color="auto"/>
                    <w:left w:val="none" w:sz="0" w:space="0" w:color="auto"/>
                    <w:bottom w:val="none" w:sz="0" w:space="0" w:color="auto"/>
                    <w:right w:val="none" w:sz="0" w:space="0" w:color="auto"/>
                  </w:divBdr>
                  <w:divsChild>
                    <w:div w:id="991644810">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617030717">
          <w:marLeft w:val="0"/>
          <w:marRight w:val="0"/>
          <w:marTop w:val="0"/>
          <w:marBottom w:val="0"/>
          <w:divBdr>
            <w:top w:val="none" w:sz="0" w:space="0" w:color="auto"/>
            <w:left w:val="none" w:sz="0" w:space="0" w:color="auto"/>
            <w:bottom w:val="none" w:sz="0" w:space="0" w:color="auto"/>
            <w:right w:val="none" w:sz="0" w:space="0" w:color="auto"/>
          </w:divBdr>
          <w:divsChild>
            <w:div w:id="870843503">
              <w:marLeft w:val="75"/>
              <w:marRight w:val="75"/>
              <w:marTop w:val="375"/>
              <w:marBottom w:val="75"/>
              <w:divBdr>
                <w:top w:val="none" w:sz="0" w:space="0" w:color="auto"/>
                <w:left w:val="none" w:sz="0" w:space="0" w:color="auto"/>
                <w:bottom w:val="none" w:sz="0" w:space="0" w:color="auto"/>
                <w:right w:val="none" w:sz="0" w:space="0" w:color="auto"/>
              </w:divBdr>
              <w:divsChild>
                <w:div w:id="860314328">
                  <w:marLeft w:val="0"/>
                  <w:marRight w:val="0"/>
                  <w:marTop w:val="0"/>
                  <w:marBottom w:val="0"/>
                  <w:divBdr>
                    <w:top w:val="none" w:sz="0" w:space="0" w:color="auto"/>
                    <w:left w:val="none" w:sz="0" w:space="0" w:color="auto"/>
                    <w:bottom w:val="none" w:sz="0" w:space="0" w:color="auto"/>
                    <w:right w:val="none" w:sz="0" w:space="0" w:color="auto"/>
                  </w:divBdr>
                  <w:divsChild>
                    <w:div w:id="851266867">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111315634">
          <w:marLeft w:val="0"/>
          <w:marRight w:val="0"/>
          <w:marTop w:val="0"/>
          <w:marBottom w:val="0"/>
          <w:divBdr>
            <w:top w:val="none" w:sz="0" w:space="0" w:color="auto"/>
            <w:left w:val="none" w:sz="0" w:space="0" w:color="auto"/>
            <w:bottom w:val="none" w:sz="0" w:space="0" w:color="auto"/>
            <w:right w:val="none" w:sz="0" w:space="0" w:color="auto"/>
          </w:divBdr>
          <w:divsChild>
            <w:div w:id="1578705711">
              <w:marLeft w:val="75"/>
              <w:marRight w:val="75"/>
              <w:marTop w:val="375"/>
              <w:marBottom w:val="75"/>
              <w:divBdr>
                <w:top w:val="none" w:sz="0" w:space="0" w:color="auto"/>
                <w:left w:val="none" w:sz="0" w:space="0" w:color="auto"/>
                <w:bottom w:val="none" w:sz="0" w:space="0" w:color="auto"/>
                <w:right w:val="none" w:sz="0" w:space="0" w:color="auto"/>
              </w:divBdr>
              <w:divsChild>
                <w:div w:id="1513759785">
                  <w:marLeft w:val="0"/>
                  <w:marRight w:val="0"/>
                  <w:marTop w:val="0"/>
                  <w:marBottom w:val="0"/>
                  <w:divBdr>
                    <w:top w:val="none" w:sz="0" w:space="0" w:color="auto"/>
                    <w:left w:val="none" w:sz="0" w:space="0" w:color="auto"/>
                    <w:bottom w:val="none" w:sz="0" w:space="0" w:color="auto"/>
                    <w:right w:val="none" w:sz="0" w:space="0" w:color="auto"/>
                  </w:divBdr>
                  <w:divsChild>
                    <w:div w:id="1558735958">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903831870">
          <w:marLeft w:val="0"/>
          <w:marRight w:val="0"/>
          <w:marTop w:val="0"/>
          <w:marBottom w:val="0"/>
          <w:divBdr>
            <w:top w:val="none" w:sz="0" w:space="0" w:color="auto"/>
            <w:left w:val="none" w:sz="0" w:space="0" w:color="auto"/>
            <w:bottom w:val="none" w:sz="0" w:space="0" w:color="auto"/>
            <w:right w:val="none" w:sz="0" w:space="0" w:color="auto"/>
          </w:divBdr>
          <w:divsChild>
            <w:div w:id="831679564">
              <w:marLeft w:val="75"/>
              <w:marRight w:val="75"/>
              <w:marTop w:val="375"/>
              <w:marBottom w:val="75"/>
              <w:divBdr>
                <w:top w:val="none" w:sz="0" w:space="0" w:color="auto"/>
                <w:left w:val="none" w:sz="0" w:space="0" w:color="auto"/>
                <w:bottom w:val="none" w:sz="0" w:space="0" w:color="auto"/>
                <w:right w:val="none" w:sz="0" w:space="0" w:color="auto"/>
              </w:divBdr>
              <w:divsChild>
                <w:div w:id="826362983">
                  <w:marLeft w:val="0"/>
                  <w:marRight w:val="0"/>
                  <w:marTop w:val="0"/>
                  <w:marBottom w:val="0"/>
                  <w:divBdr>
                    <w:top w:val="none" w:sz="0" w:space="0" w:color="auto"/>
                    <w:left w:val="none" w:sz="0" w:space="0" w:color="auto"/>
                    <w:bottom w:val="none" w:sz="0" w:space="0" w:color="auto"/>
                    <w:right w:val="none" w:sz="0" w:space="0" w:color="auto"/>
                  </w:divBdr>
                  <w:divsChild>
                    <w:div w:id="1448544828">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499542299">
          <w:marLeft w:val="0"/>
          <w:marRight w:val="0"/>
          <w:marTop w:val="0"/>
          <w:marBottom w:val="0"/>
          <w:divBdr>
            <w:top w:val="none" w:sz="0" w:space="0" w:color="auto"/>
            <w:left w:val="none" w:sz="0" w:space="0" w:color="auto"/>
            <w:bottom w:val="none" w:sz="0" w:space="0" w:color="auto"/>
            <w:right w:val="none" w:sz="0" w:space="0" w:color="auto"/>
          </w:divBdr>
          <w:divsChild>
            <w:div w:id="1231964508">
              <w:marLeft w:val="75"/>
              <w:marRight w:val="75"/>
              <w:marTop w:val="375"/>
              <w:marBottom w:val="75"/>
              <w:divBdr>
                <w:top w:val="none" w:sz="0" w:space="0" w:color="auto"/>
                <w:left w:val="none" w:sz="0" w:space="0" w:color="auto"/>
                <w:bottom w:val="none" w:sz="0" w:space="0" w:color="auto"/>
                <w:right w:val="none" w:sz="0" w:space="0" w:color="auto"/>
              </w:divBdr>
              <w:divsChild>
                <w:div w:id="969554286">
                  <w:marLeft w:val="0"/>
                  <w:marRight w:val="0"/>
                  <w:marTop w:val="0"/>
                  <w:marBottom w:val="0"/>
                  <w:divBdr>
                    <w:top w:val="none" w:sz="0" w:space="0" w:color="auto"/>
                    <w:left w:val="none" w:sz="0" w:space="0" w:color="auto"/>
                    <w:bottom w:val="none" w:sz="0" w:space="0" w:color="auto"/>
                    <w:right w:val="none" w:sz="0" w:space="0" w:color="auto"/>
                  </w:divBdr>
                  <w:divsChild>
                    <w:div w:id="824711638">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058360338">
          <w:marLeft w:val="0"/>
          <w:marRight w:val="0"/>
          <w:marTop w:val="0"/>
          <w:marBottom w:val="0"/>
          <w:divBdr>
            <w:top w:val="none" w:sz="0" w:space="0" w:color="auto"/>
            <w:left w:val="none" w:sz="0" w:space="0" w:color="auto"/>
            <w:bottom w:val="none" w:sz="0" w:space="0" w:color="auto"/>
            <w:right w:val="none" w:sz="0" w:space="0" w:color="auto"/>
          </w:divBdr>
          <w:divsChild>
            <w:div w:id="18968946">
              <w:marLeft w:val="75"/>
              <w:marRight w:val="75"/>
              <w:marTop w:val="375"/>
              <w:marBottom w:val="75"/>
              <w:divBdr>
                <w:top w:val="none" w:sz="0" w:space="0" w:color="auto"/>
                <w:left w:val="none" w:sz="0" w:space="0" w:color="auto"/>
                <w:bottom w:val="none" w:sz="0" w:space="0" w:color="auto"/>
                <w:right w:val="none" w:sz="0" w:space="0" w:color="auto"/>
              </w:divBdr>
              <w:divsChild>
                <w:div w:id="1315336166">
                  <w:marLeft w:val="0"/>
                  <w:marRight w:val="0"/>
                  <w:marTop w:val="0"/>
                  <w:marBottom w:val="0"/>
                  <w:divBdr>
                    <w:top w:val="none" w:sz="0" w:space="0" w:color="auto"/>
                    <w:left w:val="none" w:sz="0" w:space="0" w:color="auto"/>
                    <w:bottom w:val="none" w:sz="0" w:space="0" w:color="auto"/>
                    <w:right w:val="none" w:sz="0" w:space="0" w:color="auto"/>
                  </w:divBdr>
                  <w:divsChild>
                    <w:div w:id="761224641">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774131175">
          <w:marLeft w:val="0"/>
          <w:marRight w:val="0"/>
          <w:marTop w:val="0"/>
          <w:marBottom w:val="0"/>
          <w:divBdr>
            <w:top w:val="none" w:sz="0" w:space="0" w:color="auto"/>
            <w:left w:val="none" w:sz="0" w:space="0" w:color="auto"/>
            <w:bottom w:val="none" w:sz="0" w:space="0" w:color="auto"/>
            <w:right w:val="none" w:sz="0" w:space="0" w:color="auto"/>
          </w:divBdr>
          <w:divsChild>
            <w:div w:id="1450514129">
              <w:marLeft w:val="75"/>
              <w:marRight w:val="75"/>
              <w:marTop w:val="375"/>
              <w:marBottom w:val="75"/>
              <w:divBdr>
                <w:top w:val="none" w:sz="0" w:space="0" w:color="auto"/>
                <w:left w:val="none" w:sz="0" w:space="0" w:color="auto"/>
                <w:bottom w:val="none" w:sz="0" w:space="0" w:color="auto"/>
                <w:right w:val="none" w:sz="0" w:space="0" w:color="auto"/>
              </w:divBdr>
              <w:divsChild>
                <w:div w:id="1711148946">
                  <w:marLeft w:val="0"/>
                  <w:marRight w:val="0"/>
                  <w:marTop w:val="0"/>
                  <w:marBottom w:val="0"/>
                  <w:divBdr>
                    <w:top w:val="none" w:sz="0" w:space="0" w:color="auto"/>
                    <w:left w:val="none" w:sz="0" w:space="0" w:color="auto"/>
                    <w:bottom w:val="none" w:sz="0" w:space="0" w:color="auto"/>
                    <w:right w:val="none" w:sz="0" w:space="0" w:color="auto"/>
                  </w:divBdr>
                  <w:divsChild>
                    <w:div w:id="1709453298">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272276319">
          <w:marLeft w:val="0"/>
          <w:marRight w:val="0"/>
          <w:marTop w:val="0"/>
          <w:marBottom w:val="0"/>
          <w:divBdr>
            <w:top w:val="none" w:sz="0" w:space="0" w:color="auto"/>
            <w:left w:val="none" w:sz="0" w:space="0" w:color="auto"/>
            <w:bottom w:val="none" w:sz="0" w:space="0" w:color="auto"/>
            <w:right w:val="none" w:sz="0" w:space="0" w:color="auto"/>
          </w:divBdr>
          <w:divsChild>
            <w:div w:id="199129916">
              <w:marLeft w:val="75"/>
              <w:marRight w:val="75"/>
              <w:marTop w:val="375"/>
              <w:marBottom w:val="75"/>
              <w:divBdr>
                <w:top w:val="none" w:sz="0" w:space="0" w:color="auto"/>
                <w:left w:val="none" w:sz="0" w:space="0" w:color="auto"/>
                <w:bottom w:val="none" w:sz="0" w:space="0" w:color="auto"/>
                <w:right w:val="none" w:sz="0" w:space="0" w:color="auto"/>
              </w:divBdr>
              <w:divsChild>
                <w:div w:id="1021247808">
                  <w:marLeft w:val="0"/>
                  <w:marRight w:val="0"/>
                  <w:marTop w:val="0"/>
                  <w:marBottom w:val="0"/>
                  <w:divBdr>
                    <w:top w:val="none" w:sz="0" w:space="0" w:color="auto"/>
                    <w:left w:val="none" w:sz="0" w:space="0" w:color="auto"/>
                    <w:bottom w:val="none" w:sz="0" w:space="0" w:color="auto"/>
                    <w:right w:val="none" w:sz="0" w:space="0" w:color="auto"/>
                  </w:divBdr>
                  <w:divsChild>
                    <w:div w:id="422531776">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173303495">
          <w:marLeft w:val="0"/>
          <w:marRight w:val="0"/>
          <w:marTop w:val="0"/>
          <w:marBottom w:val="0"/>
          <w:divBdr>
            <w:top w:val="none" w:sz="0" w:space="0" w:color="auto"/>
            <w:left w:val="none" w:sz="0" w:space="0" w:color="auto"/>
            <w:bottom w:val="none" w:sz="0" w:space="0" w:color="auto"/>
            <w:right w:val="none" w:sz="0" w:space="0" w:color="auto"/>
          </w:divBdr>
          <w:divsChild>
            <w:div w:id="731270518">
              <w:marLeft w:val="75"/>
              <w:marRight w:val="75"/>
              <w:marTop w:val="375"/>
              <w:marBottom w:val="75"/>
              <w:divBdr>
                <w:top w:val="none" w:sz="0" w:space="0" w:color="auto"/>
                <w:left w:val="none" w:sz="0" w:space="0" w:color="auto"/>
                <w:bottom w:val="none" w:sz="0" w:space="0" w:color="auto"/>
                <w:right w:val="none" w:sz="0" w:space="0" w:color="auto"/>
              </w:divBdr>
              <w:divsChild>
                <w:div w:id="1770811628">
                  <w:marLeft w:val="0"/>
                  <w:marRight w:val="0"/>
                  <w:marTop w:val="0"/>
                  <w:marBottom w:val="0"/>
                  <w:divBdr>
                    <w:top w:val="none" w:sz="0" w:space="0" w:color="auto"/>
                    <w:left w:val="none" w:sz="0" w:space="0" w:color="auto"/>
                    <w:bottom w:val="none" w:sz="0" w:space="0" w:color="auto"/>
                    <w:right w:val="none" w:sz="0" w:space="0" w:color="auto"/>
                  </w:divBdr>
                  <w:divsChild>
                    <w:div w:id="367724661">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337470103">
          <w:marLeft w:val="0"/>
          <w:marRight w:val="0"/>
          <w:marTop w:val="0"/>
          <w:marBottom w:val="0"/>
          <w:divBdr>
            <w:top w:val="none" w:sz="0" w:space="0" w:color="auto"/>
            <w:left w:val="none" w:sz="0" w:space="0" w:color="auto"/>
            <w:bottom w:val="none" w:sz="0" w:space="0" w:color="auto"/>
            <w:right w:val="none" w:sz="0" w:space="0" w:color="auto"/>
          </w:divBdr>
          <w:divsChild>
            <w:div w:id="615911816">
              <w:marLeft w:val="75"/>
              <w:marRight w:val="75"/>
              <w:marTop w:val="375"/>
              <w:marBottom w:val="75"/>
              <w:divBdr>
                <w:top w:val="none" w:sz="0" w:space="0" w:color="auto"/>
                <w:left w:val="none" w:sz="0" w:space="0" w:color="auto"/>
                <w:bottom w:val="none" w:sz="0" w:space="0" w:color="auto"/>
                <w:right w:val="none" w:sz="0" w:space="0" w:color="auto"/>
              </w:divBdr>
              <w:divsChild>
                <w:div w:id="1639725928">
                  <w:marLeft w:val="0"/>
                  <w:marRight w:val="0"/>
                  <w:marTop w:val="0"/>
                  <w:marBottom w:val="0"/>
                  <w:divBdr>
                    <w:top w:val="none" w:sz="0" w:space="0" w:color="auto"/>
                    <w:left w:val="none" w:sz="0" w:space="0" w:color="auto"/>
                    <w:bottom w:val="none" w:sz="0" w:space="0" w:color="auto"/>
                    <w:right w:val="none" w:sz="0" w:space="0" w:color="auto"/>
                  </w:divBdr>
                  <w:divsChild>
                    <w:div w:id="1202014172">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698504961">
          <w:marLeft w:val="0"/>
          <w:marRight w:val="0"/>
          <w:marTop w:val="0"/>
          <w:marBottom w:val="0"/>
          <w:divBdr>
            <w:top w:val="none" w:sz="0" w:space="0" w:color="auto"/>
            <w:left w:val="none" w:sz="0" w:space="0" w:color="auto"/>
            <w:bottom w:val="none" w:sz="0" w:space="0" w:color="auto"/>
            <w:right w:val="none" w:sz="0" w:space="0" w:color="auto"/>
          </w:divBdr>
          <w:divsChild>
            <w:div w:id="756830570">
              <w:marLeft w:val="75"/>
              <w:marRight w:val="75"/>
              <w:marTop w:val="375"/>
              <w:marBottom w:val="75"/>
              <w:divBdr>
                <w:top w:val="none" w:sz="0" w:space="0" w:color="auto"/>
                <w:left w:val="none" w:sz="0" w:space="0" w:color="auto"/>
                <w:bottom w:val="none" w:sz="0" w:space="0" w:color="auto"/>
                <w:right w:val="none" w:sz="0" w:space="0" w:color="auto"/>
              </w:divBdr>
              <w:divsChild>
                <w:div w:id="868882391">
                  <w:marLeft w:val="0"/>
                  <w:marRight w:val="0"/>
                  <w:marTop w:val="0"/>
                  <w:marBottom w:val="0"/>
                  <w:divBdr>
                    <w:top w:val="none" w:sz="0" w:space="0" w:color="auto"/>
                    <w:left w:val="none" w:sz="0" w:space="0" w:color="auto"/>
                    <w:bottom w:val="none" w:sz="0" w:space="0" w:color="auto"/>
                    <w:right w:val="none" w:sz="0" w:space="0" w:color="auto"/>
                  </w:divBdr>
                  <w:divsChild>
                    <w:div w:id="1532264278">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545748993">
          <w:marLeft w:val="0"/>
          <w:marRight w:val="0"/>
          <w:marTop w:val="0"/>
          <w:marBottom w:val="0"/>
          <w:divBdr>
            <w:top w:val="none" w:sz="0" w:space="0" w:color="auto"/>
            <w:left w:val="none" w:sz="0" w:space="0" w:color="auto"/>
            <w:bottom w:val="none" w:sz="0" w:space="0" w:color="auto"/>
            <w:right w:val="none" w:sz="0" w:space="0" w:color="auto"/>
          </w:divBdr>
          <w:divsChild>
            <w:div w:id="1582713970">
              <w:marLeft w:val="75"/>
              <w:marRight w:val="75"/>
              <w:marTop w:val="375"/>
              <w:marBottom w:val="75"/>
              <w:divBdr>
                <w:top w:val="none" w:sz="0" w:space="0" w:color="auto"/>
                <w:left w:val="none" w:sz="0" w:space="0" w:color="auto"/>
                <w:bottom w:val="none" w:sz="0" w:space="0" w:color="auto"/>
                <w:right w:val="none" w:sz="0" w:space="0" w:color="auto"/>
              </w:divBdr>
              <w:divsChild>
                <w:div w:id="900756050">
                  <w:marLeft w:val="0"/>
                  <w:marRight w:val="0"/>
                  <w:marTop w:val="0"/>
                  <w:marBottom w:val="0"/>
                  <w:divBdr>
                    <w:top w:val="none" w:sz="0" w:space="0" w:color="auto"/>
                    <w:left w:val="none" w:sz="0" w:space="0" w:color="auto"/>
                    <w:bottom w:val="none" w:sz="0" w:space="0" w:color="auto"/>
                    <w:right w:val="none" w:sz="0" w:space="0" w:color="auto"/>
                  </w:divBdr>
                  <w:divsChild>
                    <w:div w:id="788620213">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1238829393">
          <w:marLeft w:val="0"/>
          <w:marRight w:val="0"/>
          <w:marTop w:val="0"/>
          <w:marBottom w:val="0"/>
          <w:divBdr>
            <w:top w:val="none" w:sz="0" w:space="0" w:color="auto"/>
            <w:left w:val="none" w:sz="0" w:space="0" w:color="auto"/>
            <w:bottom w:val="none" w:sz="0" w:space="0" w:color="auto"/>
            <w:right w:val="none" w:sz="0" w:space="0" w:color="auto"/>
          </w:divBdr>
          <w:divsChild>
            <w:div w:id="1503819623">
              <w:marLeft w:val="75"/>
              <w:marRight w:val="75"/>
              <w:marTop w:val="375"/>
              <w:marBottom w:val="75"/>
              <w:divBdr>
                <w:top w:val="none" w:sz="0" w:space="0" w:color="auto"/>
                <w:left w:val="none" w:sz="0" w:space="0" w:color="auto"/>
                <w:bottom w:val="none" w:sz="0" w:space="0" w:color="auto"/>
                <w:right w:val="none" w:sz="0" w:space="0" w:color="auto"/>
              </w:divBdr>
              <w:divsChild>
                <w:div w:id="814490785">
                  <w:marLeft w:val="0"/>
                  <w:marRight w:val="0"/>
                  <w:marTop w:val="0"/>
                  <w:marBottom w:val="0"/>
                  <w:divBdr>
                    <w:top w:val="none" w:sz="0" w:space="0" w:color="auto"/>
                    <w:left w:val="none" w:sz="0" w:space="0" w:color="auto"/>
                    <w:bottom w:val="none" w:sz="0" w:space="0" w:color="auto"/>
                    <w:right w:val="none" w:sz="0" w:space="0" w:color="auto"/>
                  </w:divBdr>
                  <w:divsChild>
                    <w:div w:id="1134442371">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210193848">
          <w:marLeft w:val="0"/>
          <w:marRight w:val="0"/>
          <w:marTop w:val="0"/>
          <w:marBottom w:val="0"/>
          <w:divBdr>
            <w:top w:val="none" w:sz="0" w:space="0" w:color="auto"/>
            <w:left w:val="none" w:sz="0" w:space="0" w:color="auto"/>
            <w:bottom w:val="none" w:sz="0" w:space="0" w:color="auto"/>
            <w:right w:val="none" w:sz="0" w:space="0" w:color="auto"/>
          </w:divBdr>
          <w:divsChild>
            <w:div w:id="528372579">
              <w:marLeft w:val="75"/>
              <w:marRight w:val="75"/>
              <w:marTop w:val="375"/>
              <w:marBottom w:val="75"/>
              <w:divBdr>
                <w:top w:val="none" w:sz="0" w:space="0" w:color="auto"/>
                <w:left w:val="none" w:sz="0" w:space="0" w:color="auto"/>
                <w:bottom w:val="none" w:sz="0" w:space="0" w:color="auto"/>
                <w:right w:val="none" w:sz="0" w:space="0" w:color="auto"/>
              </w:divBdr>
              <w:divsChild>
                <w:div w:id="506944933">
                  <w:marLeft w:val="0"/>
                  <w:marRight w:val="0"/>
                  <w:marTop w:val="0"/>
                  <w:marBottom w:val="0"/>
                  <w:divBdr>
                    <w:top w:val="none" w:sz="0" w:space="0" w:color="auto"/>
                    <w:left w:val="none" w:sz="0" w:space="0" w:color="auto"/>
                    <w:bottom w:val="none" w:sz="0" w:space="0" w:color="auto"/>
                    <w:right w:val="none" w:sz="0" w:space="0" w:color="auto"/>
                  </w:divBdr>
                  <w:divsChild>
                    <w:div w:id="1650983536">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2123332091">
          <w:marLeft w:val="0"/>
          <w:marRight w:val="0"/>
          <w:marTop w:val="0"/>
          <w:marBottom w:val="0"/>
          <w:divBdr>
            <w:top w:val="none" w:sz="0" w:space="0" w:color="auto"/>
            <w:left w:val="none" w:sz="0" w:space="0" w:color="auto"/>
            <w:bottom w:val="none" w:sz="0" w:space="0" w:color="auto"/>
            <w:right w:val="none" w:sz="0" w:space="0" w:color="auto"/>
          </w:divBdr>
          <w:divsChild>
            <w:div w:id="1534535909">
              <w:marLeft w:val="75"/>
              <w:marRight w:val="75"/>
              <w:marTop w:val="375"/>
              <w:marBottom w:val="75"/>
              <w:divBdr>
                <w:top w:val="none" w:sz="0" w:space="0" w:color="auto"/>
                <w:left w:val="none" w:sz="0" w:space="0" w:color="auto"/>
                <w:bottom w:val="none" w:sz="0" w:space="0" w:color="auto"/>
                <w:right w:val="none" w:sz="0" w:space="0" w:color="auto"/>
              </w:divBdr>
              <w:divsChild>
                <w:div w:id="9797536">
                  <w:marLeft w:val="0"/>
                  <w:marRight w:val="0"/>
                  <w:marTop w:val="0"/>
                  <w:marBottom w:val="0"/>
                  <w:divBdr>
                    <w:top w:val="none" w:sz="0" w:space="0" w:color="auto"/>
                    <w:left w:val="none" w:sz="0" w:space="0" w:color="auto"/>
                    <w:bottom w:val="none" w:sz="0" w:space="0" w:color="auto"/>
                    <w:right w:val="none" w:sz="0" w:space="0" w:color="auto"/>
                  </w:divBdr>
                  <w:divsChild>
                    <w:div w:id="666859291">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842159485">
          <w:marLeft w:val="0"/>
          <w:marRight w:val="0"/>
          <w:marTop w:val="0"/>
          <w:marBottom w:val="0"/>
          <w:divBdr>
            <w:top w:val="none" w:sz="0" w:space="0" w:color="auto"/>
            <w:left w:val="none" w:sz="0" w:space="0" w:color="auto"/>
            <w:bottom w:val="none" w:sz="0" w:space="0" w:color="auto"/>
            <w:right w:val="none" w:sz="0" w:space="0" w:color="auto"/>
          </w:divBdr>
          <w:divsChild>
            <w:div w:id="1331328925">
              <w:marLeft w:val="75"/>
              <w:marRight w:val="75"/>
              <w:marTop w:val="375"/>
              <w:marBottom w:val="75"/>
              <w:divBdr>
                <w:top w:val="none" w:sz="0" w:space="0" w:color="auto"/>
                <w:left w:val="none" w:sz="0" w:space="0" w:color="auto"/>
                <w:bottom w:val="none" w:sz="0" w:space="0" w:color="auto"/>
                <w:right w:val="none" w:sz="0" w:space="0" w:color="auto"/>
              </w:divBdr>
              <w:divsChild>
                <w:div w:id="1745950123">
                  <w:marLeft w:val="0"/>
                  <w:marRight w:val="0"/>
                  <w:marTop w:val="0"/>
                  <w:marBottom w:val="0"/>
                  <w:divBdr>
                    <w:top w:val="none" w:sz="0" w:space="0" w:color="auto"/>
                    <w:left w:val="none" w:sz="0" w:space="0" w:color="auto"/>
                    <w:bottom w:val="none" w:sz="0" w:space="0" w:color="auto"/>
                    <w:right w:val="none" w:sz="0" w:space="0" w:color="auto"/>
                  </w:divBdr>
                  <w:divsChild>
                    <w:div w:id="1370498363">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296372467">
          <w:marLeft w:val="0"/>
          <w:marRight w:val="0"/>
          <w:marTop w:val="0"/>
          <w:marBottom w:val="0"/>
          <w:divBdr>
            <w:top w:val="none" w:sz="0" w:space="0" w:color="auto"/>
            <w:left w:val="none" w:sz="0" w:space="0" w:color="auto"/>
            <w:bottom w:val="none" w:sz="0" w:space="0" w:color="auto"/>
            <w:right w:val="none" w:sz="0" w:space="0" w:color="auto"/>
          </w:divBdr>
          <w:divsChild>
            <w:div w:id="1471246438">
              <w:marLeft w:val="75"/>
              <w:marRight w:val="75"/>
              <w:marTop w:val="375"/>
              <w:marBottom w:val="75"/>
              <w:divBdr>
                <w:top w:val="none" w:sz="0" w:space="0" w:color="auto"/>
                <w:left w:val="none" w:sz="0" w:space="0" w:color="auto"/>
                <w:bottom w:val="none" w:sz="0" w:space="0" w:color="auto"/>
                <w:right w:val="none" w:sz="0" w:space="0" w:color="auto"/>
              </w:divBdr>
              <w:divsChild>
                <w:div w:id="582838485">
                  <w:marLeft w:val="0"/>
                  <w:marRight w:val="0"/>
                  <w:marTop w:val="0"/>
                  <w:marBottom w:val="0"/>
                  <w:divBdr>
                    <w:top w:val="none" w:sz="0" w:space="0" w:color="auto"/>
                    <w:left w:val="none" w:sz="0" w:space="0" w:color="auto"/>
                    <w:bottom w:val="none" w:sz="0" w:space="0" w:color="auto"/>
                    <w:right w:val="none" w:sz="0" w:space="0" w:color="auto"/>
                  </w:divBdr>
                  <w:divsChild>
                    <w:div w:id="208995539">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1914075508">
          <w:marLeft w:val="0"/>
          <w:marRight w:val="0"/>
          <w:marTop w:val="0"/>
          <w:marBottom w:val="0"/>
          <w:divBdr>
            <w:top w:val="none" w:sz="0" w:space="0" w:color="auto"/>
            <w:left w:val="none" w:sz="0" w:space="0" w:color="auto"/>
            <w:bottom w:val="none" w:sz="0" w:space="0" w:color="auto"/>
            <w:right w:val="none" w:sz="0" w:space="0" w:color="auto"/>
          </w:divBdr>
          <w:divsChild>
            <w:div w:id="673804552">
              <w:marLeft w:val="75"/>
              <w:marRight w:val="75"/>
              <w:marTop w:val="375"/>
              <w:marBottom w:val="75"/>
              <w:divBdr>
                <w:top w:val="none" w:sz="0" w:space="0" w:color="auto"/>
                <w:left w:val="none" w:sz="0" w:space="0" w:color="auto"/>
                <w:bottom w:val="none" w:sz="0" w:space="0" w:color="auto"/>
                <w:right w:val="none" w:sz="0" w:space="0" w:color="auto"/>
              </w:divBdr>
              <w:divsChild>
                <w:div w:id="975796180">
                  <w:marLeft w:val="0"/>
                  <w:marRight w:val="0"/>
                  <w:marTop w:val="0"/>
                  <w:marBottom w:val="0"/>
                  <w:divBdr>
                    <w:top w:val="none" w:sz="0" w:space="0" w:color="auto"/>
                    <w:left w:val="none" w:sz="0" w:space="0" w:color="auto"/>
                    <w:bottom w:val="none" w:sz="0" w:space="0" w:color="auto"/>
                    <w:right w:val="none" w:sz="0" w:space="0" w:color="auto"/>
                  </w:divBdr>
                  <w:divsChild>
                    <w:div w:id="624627194">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2121102992">
          <w:marLeft w:val="0"/>
          <w:marRight w:val="0"/>
          <w:marTop w:val="0"/>
          <w:marBottom w:val="0"/>
          <w:divBdr>
            <w:top w:val="none" w:sz="0" w:space="0" w:color="auto"/>
            <w:left w:val="none" w:sz="0" w:space="0" w:color="auto"/>
            <w:bottom w:val="none" w:sz="0" w:space="0" w:color="auto"/>
            <w:right w:val="none" w:sz="0" w:space="0" w:color="auto"/>
          </w:divBdr>
          <w:divsChild>
            <w:div w:id="1096904838">
              <w:marLeft w:val="75"/>
              <w:marRight w:val="75"/>
              <w:marTop w:val="375"/>
              <w:marBottom w:val="75"/>
              <w:divBdr>
                <w:top w:val="none" w:sz="0" w:space="0" w:color="auto"/>
                <w:left w:val="none" w:sz="0" w:space="0" w:color="auto"/>
                <w:bottom w:val="none" w:sz="0" w:space="0" w:color="auto"/>
                <w:right w:val="none" w:sz="0" w:space="0" w:color="auto"/>
              </w:divBdr>
              <w:divsChild>
                <w:div w:id="2101018929">
                  <w:marLeft w:val="0"/>
                  <w:marRight w:val="0"/>
                  <w:marTop w:val="0"/>
                  <w:marBottom w:val="0"/>
                  <w:divBdr>
                    <w:top w:val="none" w:sz="0" w:space="0" w:color="auto"/>
                    <w:left w:val="none" w:sz="0" w:space="0" w:color="auto"/>
                    <w:bottom w:val="none" w:sz="0" w:space="0" w:color="auto"/>
                    <w:right w:val="none" w:sz="0" w:space="0" w:color="auto"/>
                  </w:divBdr>
                  <w:divsChild>
                    <w:div w:id="2110156814">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189297218">
          <w:marLeft w:val="0"/>
          <w:marRight w:val="0"/>
          <w:marTop w:val="0"/>
          <w:marBottom w:val="0"/>
          <w:divBdr>
            <w:top w:val="none" w:sz="0" w:space="0" w:color="auto"/>
            <w:left w:val="none" w:sz="0" w:space="0" w:color="auto"/>
            <w:bottom w:val="none" w:sz="0" w:space="0" w:color="auto"/>
            <w:right w:val="none" w:sz="0" w:space="0" w:color="auto"/>
          </w:divBdr>
          <w:divsChild>
            <w:div w:id="1945378371">
              <w:marLeft w:val="75"/>
              <w:marRight w:val="75"/>
              <w:marTop w:val="375"/>
              <w:marBottom w:val="75"/>
              <w:divBdr>
                <w:top w:val="none" w:sz="0" w:space="0" w:color="auto"/>
                <w:left w:val="none" w:sz="0" w:space="0" w:color="auto"/>
                <w:bottom w:val="none" w:sz="0" w:space="0" w:color="auto"/>
                <w:right w:val="none" w:sz="0" w:space="0" w:color="auto"/>
              </w:divBdr>
              <w:divsChild>
                <w:div w:id="572859991">
                  <w:marLeft w:val="0"/>
                  <w:marRight w:val="0"/>
                  <w:marTop w:val="0"/>
                  <w:marBottom w:val="0"/>
                  <w:divBdr>
                    <w:top w:val="none" w:sz="0" w:space="0" w:color="auto"/>
                    <w:left w:val="none" w:sz="0" w:space="0" w:color="auto"/>
                    <w:bottom w:val="none" w:sz="0" w:space="0" w:color="auto"/>
                    <w:right w:val="none" w:sz="0" w:space="0" w:color="auto"/>
                  </w:divBdr>
                  <w:divsChild>
                    <w:div w:id="218831941">
                      <w:marLeft w:val="45"/>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hyperlink" Target="file://sanproda/redirectedfolders$/andreap/Downloads/090166e5d01e4ec6.pdf" TargetMode="External"/><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6ED0052EB2E848B8D9B3847498F708" ma:contentTypeVersion="" ma:contentTypeDescription="Create a new document." ma:contentTypeScope="" ma:versionID="6116810af309f6b487cd7e766183c186">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52F96-008A-451A-902D-10A06FEE7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35485A1-11AA-442D-8577-727460E39C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827B13-D241-4323-B7A9-75B7AD1AA6EE}">
  <ds:schemaRefs>
    <ds:schemaRef ds:uri="http://schemas.microsoft.com/sharepoint/v3/contenttype/forms"/>
  </ds:schemaRefs>
</ds:datastoreItem>
</file>

<file path=customXml/itemProps4.xml><?xml version="1.0" encoding="utf-8"?>
<ds:datastoreItem xmlns:ds="http://schemas.openxmlformats.org/officeDocument/2006/customXml" ds:itemID="{138AE685-B6D4-4ADA-808D-710989CCA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2873</Words>
  <Characters>16381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First Draft - Insurance Europe response to EC Consultation on Sustainable Finance Strategy</vt:lpstr>
    </vt:vector>
  </TitlesOfParts>
  <Company>Insurance Europe</Company>
  <LinksUpToDate>false</LinksUpToDate>
  <CharactersWithSpaces>19216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Draft - Insurance Europe comments to EC Solvency II amendments on sustainability</dc:title>
  <dc:creator>Insurance Europe</dc:creator>
  <cp:lastModifiedBy>Jurkovičová Monika</cp:lastModifiedBy>
  <cp:revision>2</cp:revision>
  <cp:lastPrinted>2019-03-06T10:16:00Z</cp:lastPrinted>
  <dcterms:created xsi:type="dcterms:W3CDTF">2020-06-17T09:05:00Z</dcterms:created>
  <dcterms:modified xsi:type="dcterms:W3CDTF">2020-06-17T09:05:00Z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0x010100A96ED0052EB2E848B8D9B3847498F708</vt:lpwstr>
  </property>
  <property fmtid="{D5CDD505-2E9C-101B-9397-08002B2CF9AE}" pid="3" name="Can be edited">
    <vt:bool>true</vt:bool>
  </property>
  <property fmtid="{D5CDD505-2E9C-101B-9397-08002B2CF9AE}" pid="4" name="Type of document">
    <vt:lpwstr>Working Document</vt:lpwstr>
  </property>
  <property fmtid="{D5CDD505-2E9C-101B-9397-08002B2CF9AE}" pid="5" name="isAnnex">
    <vt:lpwstr>True</vt:lpwstr>
  </property>
  <property fmtid="{D5CDD505-2E9C-101B-9397-08002B2CF9AE}" pid="6" name="Validated">
    <vt:bool>false</vt:bool>
  </property>
  <property fmtid="{D5CDD505-2E9C-101B-9397-08002B2CF9AE}" pid="7" name="Display validated documents library button">
    <vt:bool>true</vt:bool>
  </property>
  <property fmtid="{D5CDD505-2E9C-101B-9397-08002B2CF9AE}" pid="8" name="AllowComments">
    <vt:bool>false</vt:bool>
  </property>
  <property fmtid="{D5CDD505-2E9C-101B-9397-08002B2CF9AE}" pid="9" name="Uploads">
    <vt:bool>true</vt:bool>
  </property>
</Properties>
</file>