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9F44E" w14:textId="66B5DC51" w:rsidR="0016089A" w:rsidRPr="00CE6BD9" w:rsidRDefault="00676E2C" w:rsidP="0016089A">
      <w:pPr>
        <w:pStyle w:val="CEAStandardHeading"/>
        <w:rPr>
          <w:b/>
          <w:sz w:val="19"/>
          <w:szCs w:val="19"/>
        </w:rPr>
      </w:pPr>
      <w:r>
        <w:rPr>
          <w:sz w:val="19"/>
          <w:szCs w:val="19"/>
        </w:rPr>
        <w:t xml:space="preserve">Input Requested </w:t>
      </w:r>
    </w:p>
    <w:p w14:paraId="62E7D097" w14:textId="77777777" w:rsidR="00676E2C" w:rsidRDefault="00676E2C" w:rsidP="00676E2C">
      <w:pPr>
        <w:rPr>
          <w:sz w:val="17"/>
          <w:szCs w:val="17"/>
        </w:rPr>
      </w:pPr>
    </w:p>
    <w:p w14:paraId="1EC885D0" w14:textId="3019A551" w:rsidR="009406F7" w:rsidRPr="00676E2C" w:rsidRDefault="00676E2C" w:rsidP="00676E2C">
      <w:pPr>
        <w:rPr>
          <w:rStyle w:val="Hypertextovprepojenie"/>
          <w:color w:val="000000" w:themeColor="text1"/>
          <w:sz w:val="17"/>
          <w:szCs w:val="17"/>
          <w:u w:val="none"/>
        </w:rPr>
      </w:pPr>
      <w:r>
        <w:rPr>
          <w:sz w:val="17"/>
          <w:szCs w:val="17"/>
        </w:rPr>
        <w:t>Following feedback from members (</w:t>
      </w:r>
      <w:hyperlink r:id="rId11" w:history="1">
        <w:r w:rsidRPr="008C7DEE">
          <w:rPr>
            <w:rStyle w:val="Hypertextovprepojenie"/>
            <w:sz w:val="17"/>
            <w:szCs w:val="17"/>
          </w:rPr>
          <w:t>COB-DIS-20-00</w:t>
        </w:r>
      </w:hyperlink>
      <w:r w:rsidRPr="008C7DEE">
        <w:rPr>
          <w:rStyle w:val="Hypertextovprepojenie"/>
          <w:sz w:val="17"/>
          <w:szCs w:val="17"/>
        </w:rPr>
        <w:t>7</w:t>
      </w:r>
      <w:r>
        <w:rPr>
          <w:sz w:val="17"/>
          <w:szCs w:val="17"/>
        </w:rPr>
        <w:t>) and building on previous Insurance Europe positions (</w:t>
      </w:r>
      <w:hyperlink r:id="rId12" w:history="1">
        <w:r w:rsidRPr="00433801">
          <w:rPr>
            <w:rStyle w:val="Hypertextovprepojenie"/>
            <w:sz w:val="17"/>
            <w:szCs w:val="17"/>
          </w:rPr>
          <w:t>ECO-LTI-19-018</w:t>
        </w:r>
      </w:hyperlink>
      <w:r>
        <w:rPr>
          <w:rStyle w:val="Hypertextovprepojenie"/>
          <w:sz w:val="17"/>
          <w:szCs w:val="17"/>
        </w:rPr>
        <w:t>)</w:t>
      </w:r>
      <w:r w:rsidRPr="00676E2C">
        <w:rPr>
          <w:rStyle w:val="Hypertextovprepojenie"/>
          <w:color w:val="000000" w:themeColor="text1"/>
          <w:sz w:val="17"/>
          <w:szCs w:val="17"/>
          <w:u w:val="none"/>
        </w:rPr>
        <w:t>, the secretariat has prepared a first draft response of the response to the European Commission Better Regulation consultation on delegated acts integrating sustainability considerations into IDD distribution processes.</w:t>
      </w:r>
    </w:p>
    <w:p w14:paraId="30B7FFCC" w14:textId="6E977026" w:rsidR="00676E2C" w:rsidRPr="00676E2C" w:rsidRDefault="00676E2C" w:rsidP="00676E2C">
      <w:pPr>
        <w:rPr>
          <w:rStyle w:val="Hypertextovprepojenie"/>
          <w:color w:val="000000" w:themeColor="text1"/>
          <w:sz w:val="17"/>
          <w:szCs w:val="17"/>
          <w:u w:val="none"/>
        </w:rPr>
      </w:pPr>
    </w:p>
    <w:p w14:paraId="42B66441" w14:textId="5F679CF4" w:rsidR="00676E2C" w:rsidRPr="00676E2C" w:rsidRDefault="00676E2C" w:rsidP="00676E2C">
      <w:pPr>
        <w:rPr>
          <w:color w:val="000000" w:themeColor="text1"/>
          <w:sz w:val="17"/>
          <w:szCs w:val="17"/>
        </w:rPr>
      </w:pPr>
      <w:r w:rsidRPr="00676E2C">
        <w:rPr>
          <w:rStyle w:val="Hypertextovprepojenie"/>
          <w:color w:val="000000" w:themeColor="text1"/>
          <w:sz w:val="17"/>
          <w:szCs w:val="17"/>
          <w:u w:val="none"/>
        </w:rPr>
        <w:t xml:space="preserve">Members are invited to provide feedback </w:t>
      </w:r>
      <w:r>
        <w:rPr>
          <w:rStyle w:val="Hypertextovprepojenie"/>
          <w:color w:val="000000" w:themeColor="text1"/>
          <w:sz w:val="17"/>
          <w:szCs w:val="17"/>
          <w:u w:val="none"/>
        </w:rPr>
        <w:t xml:space="preserve">on the draft response (in annex) </w:t>
      </w:r>
      <w:r w:rsidRPr="00676E2C">
        <w:rPr>
          <w:rStyle w:val="Hypertextovprepojenie"/>
          <w:color w:val="000000" w:themeColor="text1"/>
          <w:sz w:val="17"/>
          <w:szCs w:val="17"/>
          <w:u w:val="none"/>
        </w:rPr>
        <w:t xml:space="preserve">by </w:t>
      </w:r>
      <w:r w:rsidRPr="00676E2C">
        <w:rPr>
          <w:rStyle w:val="Hypertextovprepojenie"/>
          <w:b/>
          <w:bCs/>
          <w:color w:val="000000" w:themeColor="text1"/>
          <w:sz w:val="17"/>
          <w:szCs w:val="17"/>
          <w:u w:val="none"/>
        </w:rPr>
        <w:t>midday on Wednesday 24 June.</w:t>
      </w:r>
    </w:p>
    <w:p w14:paraId="0DC22F84" w14:textId="77777777" w:rsidR="00C765D8" w:rsidRDefault="00C765D8" w:rsidP="0016089A">
      <w:pPr>
        <w:spacing w:line="240" w:lineRule="auto"/>
        <w:jc w:val="left"/>
        <w:rPr>
          <w:sz w:val="17"/>
          <w:szCs w:val="17"/>
        </w:rPr>
      </w:pPr>
    </w:p>
    <w:p w14:paraId="6DA5A235" w14:textId="55C95DB4" w:rsidR="009406F7" w:rsidRDefault="00676E2C" w:rsidP="00676E2C">
      <w:pPr>
        <w:spacing w:line="240" w:lineRule="auto"/>
        <w:rPr>
          <w:sz w:val="17"/>
          <w:szCs w:val="17"/>
        </w:rPr>
      </w:pPr>
      <w:r>
        <w:rPr>
          <w:sz w:val="17"/>
          <w:szCs w:val="17"/>
        </w:rPr>
        <w:t xml:space="preserve">Members should note to format of the response is quite restricted. Online feedback is limited to 4000 characters but it is possible to upload supporting documents. This is reflected in the structure of the draft response. </w:t>
      </w:r>
    </w:p>
    <w:p w14:paraId="064CC17F" w14:textId="02268609" w:rsidR="00676E2C" w:rsidRDefault="00676E2C">
      <w:pPr>
        <w:spacing w:after="200" w:line="276" w:lineRule="auto"/>
        <w:jc w:val="left"/>
        <w:rPr>
          <w:sz w:val="17"/>
          <w:szCs w:val="17"/>
        </w:rPr>
      </w:pPr>
      <w:r>
        <w:rPr>
          <w:sz w:val="17"/>
          <w:szCs w:val="17"/>
        </w:rPr>
        <w:br w:type="page"/>
      </w:r>
    </w:p>
    <w:p w14:paraId="1AF0A59E" w14:textId="178A7F20" w:rsidR="009406F7" w:rsidRPr="00676E2C" w:rsidRDefault="00676E2C" w:rsidP="00676E2C">
      <w:pPr>
        <w:pStyle w:val="CEAStandardHeading"/>
      </w:pPr>
      <w:r>
        <w:lastRenderedPageBreak/>
        <w:t>Annex – 1</w:t>
      </w:r>
      <w:r w:rsidRPr="00676E2C">
        <w:rPr>
          <w:vertAlign w:val="superscript"/>
        </w:rPr>
        <w:t>st</w:t>
      </w:r>
      <w:r>
        <w:t xml:space="preserve"> draft Insurance Europe Response</w:t>
      </w:r>
    </w:p>
    <w:p w14:paraId="373BAC24" w14:textId="6EACD75E" w:rsidR="00676E2C" w:rsidRDefault="00676E2C" w:rsidP="0016089A">
      <w:pPr>
        <w:spacing w:line="240" w:lineRule="auto"/>
        <w:jc w:val="left"/>
        <w:rPr>
          <w:sz w:val="17"/>
          <w:szCs w:val="17"/>
        </w:rPr>
      </w:pPr>
    </w:p>
    <w:p w14:paraId="7C945C86" w14:textId="74D41054" w:rsidR="00676E2C" w:rsidRPr="00676E2C" w:rsidRDefault="00676E2C" w:rsidP="00676E2C">
      <w:pPr>
        <w:pStyle w:val="Bezriadkovania"/>
        <w:rPr>
          <w:rStyle w:val="CEAGraphTitle"/>
          <w:b/>
          <w:bCs/>
        </w:rPr>
      </w:pPr>
      <w:r w:rsidRPr="00676E2C">
        <w:rPr>
          <w:rStyle w:val="CEAGraphTitle"/>
          <w:b/>
          <w:bCs/>
        </w:rPr>
        <w:t>Summary (Max 4000 characters)</w:t>
      </w:r>
    </w:p>
    <w:p w14:paraId="0683678C" w14:textId="77777777" w:rsidR="00676E2C" w:rsidRPr="00C14A72" w:rsidRDefault="00676E2C" w:rsidP="00676E2C">
      <w:pPr>
        <w:rPr>
          <w:b/>
          <w:bCs/>
          <w:szCs w:val="20"/>
          <w:u w:val="single"/>
        </w:rPr>
      </w:pPr>
    </w:p>
    <w:p w14:paraId="62AE76FD" w14:textId="687E54A9" w:rsidR="00676E2C" w:rsidRPr="00676E2C" w:rsidRDefault="00676E2C" w:rsidP="00676E2C">
      <w:pPr>
        <w:spacing w:line="240" w:lineRule="auto"/>
        <w:rPr>
          <w:sz w:val="17"/>
          <w:szCs w:val="17"/>
        </w:rPr>
      </w:pPr>
      <w:r w:rsidRPr="00676E2C">
        <w:rPr>
          <w:sz w:val="17"/>
          <w:szCs w:val="17"/>
        </w:rPr>
        <w:t>While we welcome the overall aim of this initiative, the insurance industry would like to raise some concern</w:t>
      </w:r>
      <w:r w:rsidR="009C6FD1">
        <w:rPr>
          <w:sz w:val="17"/>
          <w:szCs w:val="17"/>
        </w:rPr>
        <w:t>s</w:t>
      </w:r>
      <w:r w:rsidRPr="00676E2C">
        <w:rPr>
          <w:sz w:val="17"/>
          <w:szCs w:val="17"/>
        </w:rPr>
        <w:t xml:space="preserve"> regarding the specific legislative proposals put forward. The IDD is a minimum harmonisation Directive and as such the prescriptive nature of the proposal changes do not fit well within the existing framework. We urge the European Commission to revert back to the changes original proposed by EIOPA in its final report, as these much better reflect the nature of the insurance market and the existing regulatory framework. </w:t>
      </w:r>
    </w:p>
    <w:p w14:paraId="07DA4E0A" w14:textId="77777777" w:rsidR="00676E2C" w:rsidRPr="00C14A72" w:rsidRDefault="00676E2C" w:rsidP="00676E2C">
      <w:pPr>
        <w:rPr>
          <w:szCs w:val="20"/>
        </w:rPr>
      </w:pPr>
    </w:p>
    <w:p w14:paraId="5A17C0EB" w14:textId="45734D4D" w:rsidR="00676E2C" w:rsidRDefault="00676E2C" w:rsidP="00676E2C">
      <w:pPr>
        <w:pStyle w:val="CEABullet-Level1"/>
        <w:rPr>
          <w:b/>
          <w:bCs/>
        </w:rPr>
      </w:pPr>
      <w:r w:rsidRPr="00676E2C">
        <w:rPr>
          <w:b/>
          <w:bCs/>
        </w:rPr>
        <w:t>Legal instruments</w:t>
      </w:r>
    </w:p>
    <w:p w14:paraId="736950D2" w14:textId="77777777" w:rsidR="00676E2C" w:rsidRPr="00881C3F" w:rsidRDefault="00676E2C" w:rsidP="00676E2C">
      <w:pPr>
        <w:pStyle w:val="CEABullet-Level1"/>
        <w:numPr>
          <w:ilvl w:val="0"/>
          <w:numId w:val="0"/>
        </w:numPr>
        <w:ind w:left="720"/>
        <w:rPr>
          <w:b/>
          <w:bCs/>
          <w:sz w:val="10"/>
          <w:szCs w:val="12"/>
        </w:rPr>
      </w:pPr>
    </w:p>
    <w:p w14:paraId="5C50DE9F" w14:textId="52B20138" w:rsidR="00676E2C" w:rsidRPr="00676E2C" w:rsidRDefault="00676E2C" w:rsidP="00676E2C">
      <w:pPr>
        <w:spacing w:line="240" w:lineRule="auto"/>
        <w:rPr>
          <w:sz w:val="17"/>
          <w:szCs w:val="17"/>
        </w:rPr>
      </w:pPr>
      <w:r w:rsidRPr="00676E2C">
        <w:rPr>
          <w:sz w:val="17"/>
          <w:szCs w:val="17"/>
        </w:rPr>
        <w:t>The proposed amendments of 2017/2358</w:t>
      </w:r>
      <w:r w:rsidR="009C6FD1">
        <w:rPr>
          <w:sz w:val="17"/>
          <w:szCs w:val="17"/>
        </w:rPr>
        <w:t>/EU</w:t>
      </w:r>
      <w:r w:rsidRPr="00676E2C">
        <w:rPr>
          <w:sz w:val="17"/>
          <w:szCs w:val="17"/>
        </w:rPr>
        <w:t xml:space="preserve"> are inappropriate. This Delegated Regulation applies to all insurance products not only to Insurance-based investment products (IBIPs). Amending product oversight and governance requirements for risk insurance (</w:t>
      </w:r>
      <w:proofErr w:type="spellStart"/>
      <w:r w:rsidRPr="00676E2C">
        <w:rPr>
          <w:sz w:val="17"/>
          <w:szCs w:val="17"/>
        </w:rPr>
        <w:t>eg.</w:t>
      </w:r>
      <w:proofErr w:type="spellEnd"/>
      <w:r w:rsidRPr="00676E2C">
        <w:rPr>
          <w:sz w:val="17"/>
          <w:szCs w:val="17"/>
        </w:rPr>
        <w:t xml:space="preserve"> home, health, motor) is unworkable. Equally the references to SFDR </w:t>
      </w:r>
      <w:r w:rsidR="00E822CD">
        <w:rPr>
          <w:sz w:val="17"/>
          <w:szCs w:val="17"/>
        </w:rPr>
        <w:t xml:space="preserve">are </w:t>
      </w:r>
      <w:r w:rsidRPr="00676E2C">
        <w:rPr>
          <w:sz w:val="17"/>
          <w:szCs w:val="17"/>
        </w:rPr>
        <w:t>to a Regulation that applies only to IBIP</w:t>
      </w:r>
      <w:r w:rsidR="00E822CD">
        <w:rPr>
          <w:sz w:val="17"/>
          <w:szCs w:val="17"/>
        </w:rPr>
        <w:t>. I</w:t>
      </w:r>
      <w:r w:rsidR="009C6FD1">
        <w:rPr>
          <w:sz w:val="17"/>
          <w:szCs w:val="17"/>
        </w:rPr>
        <w:t>nclu</w:t>
      </w:r>
      <w:r w:rsidR="00E822CD">
        <w:rPr>
          <w:sz w:val="17"/>
          <w:szCs w:val="17"/>
        </w:rPr>
        <w:t>ding references in 2017/2358/EU extends the scope of SFDR definitions</w:t>
      </w:r>
      <w:r w:rsidRPr="00676E2C">
        <w:rPr>
          <w:sz w:val="17"/>
          <w:szCs w:val="17"/>
        </w:rPr>
        <w:t xml:space="preserve"> to also cover other products</w:t>
      </w:r>
      <w:r w:rsidR="00E822CD">
        <w:rPr>
          <w:sz w:val="17"/>
          <w:szCs w:val="17"/>
        </w:rPr>
        <w:t xml:space="preserve"> for which they are not applicable. </w:t>
      </w:r>
    </w:p>
    <w:p w14:paraId="25795F24" w14:textId="77777777" w:rsidR="00676E2C" w:rsidRPr="00C14A72" w:rsidRDefault="00676E2C" w:rsidP="00676E2C">
      <w:pPr>
        <w:pStyle w:val="Default"/>
        <w:spacing w:after="51"/>
        <w:rPr>
          <w:sz w:val="20"/>
          <w:szCs w:val="20"/>
        </w:rPr>
      </w:pPr>
    </w:p>
    <w:p w14:paraId="3C43B8B4" w14:textId="77777777" w:rsidR="00676E2C" w:rsidRPr="00676E2C" w:rsidRDefault="00676E2C" w:rsidP="00676E2C">
      <w:pPr>
        <w:pStyle w:val="CEABullet-Level1"/>
        <w:rPr>
          <w:b/>
          <w:bCs/>
        </w:rPr>
      </w:pPr>
      <w:r w:rsidRPr="00676E2C">
        <w:rPr>
          <w:b/>
          <w:bCs/>
        </w:rPr>
        <w:t>Definition of sustainability preferences</w:t>
      </w:r>
    </w:p>
    <w:p w14:paraId="0D1195F4" w14:textId="77777777" w:rsidR="00676E2C" w:rsidRPr="00881C3F" w:rsidRDefault="00676E2C" w:rsidP="00881C3F">
      <w:pPr>
        <w:pStyle w:val="CEABullet-Level1"/>
        <w:numPr>
          <w:ilvl w:val="0"/>
          <w:numId w:val="0"/>
        </w:numPr>
        <w:ind w:left="720"/>
        <w:rPr>
          <w:b/>
          <w:bCs/>
          <w:sz w:val="10"/>
          <w:szCs w:val="12"/>
        </w:rPr>
      </w:pPr>
    </w:p>
    <w:p w14:paraId="76B26CD5" w14:textId="77777777" w:rsidR="00676E2C" w:rsidRPr="00676E2C" w:rsidRDefault="00676E2C" w:rsidP="00676E2C">
      <w:pPr>
        <w:spacing w:line="240" w:lineRule="auto"/>
        <w:rPr>
          <w:sz w:val="17"/>
          <w:szCs w:val="17"/>
        </w:rPr>
      </w:pPr>
      <w:r w:rsidRPr="00676E2C">
        <w:rPr>
          <w:sz w:val="17"/>
          <w:szCs w:val="17"/>
        </w:rPr>
        <w:t>The new definition of sustainability preferences based on the SFDR is irrelevant and lacks the necessary flexibility to allow insurers to react to the needs of their customers. We understand the desire to reflect product categorisation under SFDR but it is not appropriate to do this under IDD rather than SFDR itself.</w:t>
      </w:r>
    </w:p>
    <w:p w14:paraId="36061440" w14:textId="77777777" w:rsidR="00676E2C" w:rsidRPr="00C14A72" w:rsidRDefault="00676E2C" w:rsidP="00676E2C">
      <w:pPr>
        <w:pStyle w:val="Default"/>
        <w:spacing w:after="51"/>
        <w:rPr>
          <w:sz w:val="20"/>
          <w:szCs w:val="20"/>
        </w:rPr>
      </w:pPr>
    </w:p>
    <w:p w14:paraId="2243B23E" w14:textId="4D4795AA" w:rsidR="00676E2C" w:rsidRDefault="00676E2C" w:rsidP="00676E2C">
      <w:pPr>
        <w:pStyle w:val="CEABullet-Level1"/>
        <w:rPr>
          <w:b/>
          <w:bCs/>
        </w:rPr>
      </w:pPr>
      <w:r w:rsidRPr="00676E2C">
        <w:rPr>
          <w:b/>
          <w:bCs/>
        </w:rPr>
        <w:t xml:space="preserve">Conflicts of interest </w:t>
      </w:r>
    </w:p>
    <w:p w14:paraId="4E457904" w14:textId="77777777" w:rsidR="00676E2C" w:rsidRPr="00881C3F" w:rsidRDefault="00676E2C" w:rsidP="00676E2C">
      <w:pPr>
        <w:pStyle w:val="CEABullet-Level1"/>
        <w:numPr>
          <w:ilvl w:val="0"/>
          <w:numId w:val="0"/>
        </w:numPr>
        <w:ind w:left="720"/>
        <w:rPr>
          <w:b/>
          <w:bCs/>
          <w:sz w:val="10"/>
          <w:szCs w:val="12"/>
        </w:rPr>
      </w:pPr>
    </w:p>
    <w:p w14:paraId="1A19C9F2" w14:textId="6D349392" w:rsidR="00676E2C" w:rsidRPr="00676E2C" w:rsidRDefault="00676E2C" w:rsidP="00676E2C">
      <w:pPr>
        <w:spacing w:line="240" w:lineRule="auto"/>
        <w:rPr>
          <w:sz w:val="17"/>
          <w:szCs w:val="17"/>
        </w:rPr>
      </w:pPr>
      <w:r w:rsidRPr="00676E2C">
        <w:rPr>
          <w:sz w:val="17"/>
          <w:szCs w:val="17"/>
        </w:rPr>
        <w:t>The IDD (and its delegated regulation</w:t>
      </w:r>
      <w:r w:rsidR="00E822CD">
        <w:rPr>
          <w:sz w:val="17"/>
          <w:szCs w:val="17"/>
        </w:rPr>
        <w:t>s</w:t>
      </w:r>
      <w:r w:rsidRPr="00676E2C">
        <w:rPr>
          <w:sz w:val="17"/>
          <w:szCs w:val="17"/>
        </w:rPr>
        <w:t xml:space="preserve">) already establish appropriate criteria for determining different types of conflicts of interest. Any conflicts of interest that may arise from taking into account the ESG objectives of customers would be captured by these criteria, with the result that they would be handled in the same way as any other conflicts of interest under the IDD. The detailed additions to the IDD regarding conflicts of interest are unnecessary. </w:t>
      </w:r>
    </w:p>
    <w:p w14:paraId="6A64FF16" w14:textId="77777777" w:rsidR="00676E2C" w:rsidRPr="00C14A72" w:rsidRDefault="00676E2C" w:rsidP="00676E2C">
      <w:pPr>
        <w:pStyle w:val="Default"/>
        <w:spacing w:after="51"/>
        <w:rPr>
          <w:sz w:val="20"/>
          <w:szCs w:val="20"/>
        </w:rPr>
      </w:pPr>
    </w:p>
    <w:p w14:paraId="3F9AD558" w14:textId="77777777" w:rsidR="00676E2C" w:rsidRPr="00676E2C" w:rsidRDefault="00676E2C" w:rsidP="00676E2C">
      <w:pPr>
        <w:pStyle w:val="CEABullet-Level1"/>
        <w:rPr>
          <w:b/>
          <w:bCs/>
        </w:rPr>
      </w:pPr>
      <w:r w:rsidRPr="00676E2C">
        <w:rPr>
          <w:b/>
          <w:bCs/>
        </w:rPr>
        <w:t xml:space="preserve">Target market </w:t>
      </w:r>
    </w:p>
    <w:p w14:paraId="31F76F74" w14:textId="77777777" w:rsidR="00676E2C" w:rsidRPr="00881C3F" w:rsidRDefault="00676E2C" w:rsidP="00676E2C">
      <w:pPr>
        <w:pStyle w:val="Default"/>
        <w:spacing w:after="51"/>
        <w:rPr>
          <w:sz w:val="10"/>
          <w:szCs w:val="10"/>
        </w:rPr>
      </w:pPr>
    </w:p>
    <w:p w14:paraId="7C7B90D9" w14:textId="77777777" w:rsidR="00676E2C" w:rsidRPr="00676E2C" w:rsidRDefault="00676E2C" w:rsidP="00676E2C">
      <w:pPr>
        <w:spacing w:line="240" w:lineRule="auto"/>
        <w:rPr>
          <w:sz w:val="17"/>
          <w:szCs w:val="17"/>
        </w:rPr>
      </w:pPr>
      <w:r w:rsidRPr="00676E2C">
        <w:rPr>
          <w:sz w:val="17"/>
          <w:szCs w:val="17"/>
        </w:rPr>
        <w:t xml:space="preserve">Insurance Europe was supportive of EIOPA’s approach that insurance undertakings should not be required to consider ESG factors in the product approval process of all insurance products, but only if the insurance product is to be advised or sold to customers with ESG preferences – </w:t>
      </w:r>
      <w:proofErr w:type="spellStart"/>
      <w:r w:rsidRPr="00676E2C">
        <w:rPr>
          <w:sz w:val="17"/>
          <w:szCs w:val="17"/>
        </w:rPr>
        <w:t>ie</w:t>
      </w:r>
      <w:proofErr w:type="spellEnd"/>
      <w:r w:rsidRPr="00676E2C">
        <w:rPr>
          <w:sz w:val="17"/>
          <w:szCs w:val="17"/>
        </w:rPr>
        <w:t xml:space="preserve"> ESG preferences of customers should be considered in the assessment of the target market only with regard to “ESG products”. It is unfortunate that the European Commission has chosen to apply these provisions more broadly. </w:t>
      </w:r>
    </w:p>
    <w:p w14:paraId="2B70E1A0" w14:textId="77777777" w:rsidR="00676E2C" w:rsidRPr="00C14A72" w:rsidRDefault="00676E2C" w:rsidP="00676E2C">
      <w:pPr>
        <w:pStyle w:val="Default"/>
        <w:spacing w:after="51"/>
        <w:rPr>
          <w:sz w:val="20"/>
          <w:szCs w:val="20"/>
        </w:rPr>
      </w:pPr>
    </w:p>
    <w:p w14:paraId="248C764B" w14:textId="77777777" w:rsidR="00676E2C" w:rsidRPr="00676E2C" w:rsidRDefault="00676E2C" w:rsidP="00676E2C">
      <w:pPr>
        <w:pStyle w:val="CEABullet-Level1"/>
        <w:rPr>
          <w:b/>
          <w:bCs/>
        </w:rPr>
      </w:pPr>
      <w:r w:rsidRPr="00676E2C">
        <w:rPr>
          <w:b/>
          <w:bCs/>
        </w:rPr>
        <w:t>Implementation timeframe</w:t>
      </w:r>
    </w:p>
    <w:p w14:paraId="3BA2D371" w14:textId="77777777" w:rsidR="00676E2C" w:rsidRPr="00C14A72" w:rsidRDefault="00676E2C" w:rsidP="00676E2C">
      <w:pPr>
        <w:pStyle w:val="Default"/>
        <w:spacing w:after="51"/>
        <w:rPr>
          <w:sz w:val="20"/>
          <w:szCs w:val="20"/>
        </w:rPr>
      </w:pPr>
    </w:p>
    <w:p w14:paraId="709678BB" w14:textId="77777777" w:rsidR="00676E2C" w:rsidRPr="00676E2C" w:rsidRDefault="00676E2C" w:rsidP="00676E2C">
      <w:pPr>
        <w:spacing w:line="240" w:lineRule="auto"/>
        <w:rPr>
          <w:sz w:val="17"/>
          <w:szCs w:val="17"/>
        </w:rPr>
      </w:pPr>
      <w:r w:rsidRPr="00676E2C">
        <w:rPr>
          <w:sz w:val="17"/>
          <w:szCs w:val="17"/>
        </w:rPr>
        <w:t>Insurance Europe welcomes the implementation period of 12 months starting with the entry into force of the Act. Insurers and intermediaries need sufficient time to implement the rules once they are finalised.</w:t>
      </w:r>
    </w:p>
    <w:p w14:paraId="57A2803D" w14:textId="77777777" w:rsidR="00676E2C" w:rsidRPr="00676E2C" w:rsidRDefault="00676E2C" w:rsidP="00676E2C">
      <w:pPr>
        <w:spacing w:line="240" w:lineRule="auto"/>
        <w:rPr>
          <w:sz w:val="17"/>
          <w:szCs w:val="17"/>
        </w:rPr>
      </w:pPr>
    </w:p>
    <w:p w14:paraId="101E89FE" w14:textId="77777777" w:rsidR="00676E2C" w:rsidRPr="00676E2C" w:rsidRDefault="00676E2C" w:rsidP="00676E2C">
      <w:pPr>
        <w:spacing w:line="240" w:lineRule="auto"/>
        <w:rPr>
          <w:sz w:val="17"/>
          <w:szCs w:val="17"/>
        </w:rPr>
      </w:pPr>
      <w:r w:rsidRPr="00676E2C">
        <w:rPr>
          <w:sz w:val="17"/>
          <w:szCs w:val="17"/>
        </w:rPr>
        <w:t xml:space="preserve">More detail on each of these issues is included in the attachment. </w:t>
      </w:r>
    </w:p>
    <w:p w14:paraId="7EA082FA" w14:textId="77777777" w:rsidR="00676E2C" w:rsidRPr="00C14A72" w:rsidRDefault="00676E2C" w:rsidP="00676E2C">
      <w:pPr>
        <w:rPr>
          <w:szCs w:val="20"/>
        </w:rPr>
      </w:pPr>
    </w:p>
    <w:p w14:paraId="6ECDA961" w14:textId="081657E3" w:rsidR="00676E2C" w:rsidRDefault="00676E2C" w:rsidP="00676E2C">
      <w:pPr>
        <w:pStyle w:val="Bezriadkovania"/>
        <w:tabs>
          <w:tab w:val="left" w:pos="4170"/>
        </w:tabs>
        <w:rPr>
          <w:rStyle w:val="CEAGraphTitle"/>
          <w:b/>
          <w:bCs/>
        </w:rPr>
      </w:pPr>
      <w:r w:rsidRPr="00676E2C">
        <w:rPr>
          <w:rStyle w:val="CEAGraphTitle"/>
          <w:b/>
          <w:bCs/>
        </w:rPr>
        <w:t>Attachment (unlimited length)</w:t>
      </w:r>
      <w:r>
        <w:rPr>
          <w:rStyle w:val="CEAGraphTitle"/>
          <w:b/>
          <w:bCs/>
        </w:rPr>
        <w:tab/>
      </w:r>
    </w:p>
    <w:p w14:paraId="5C365736" w14:textId="77777777" w:rsidR="00676E2C" w:rsidRPr="00676E2C" w:rsidRDefault="00676E2C" w:rsidP="00676E2C">
      <w:pPr>
        <w:pStyle w:val="Bezriadkovania"/>
        <w:tabs>
          <w:tab w:val="left" w:pos="4170"/>
        </w:tabs>
        <w:rPr>
          <w:rStyle w:val="CEAGraphTitle"/>
          <w:b/>
          <w:bCs/>
        </w:rPr>
      </w:pPr>
    </w:p>
    <w:p w14:paraId="62E7D21E" w14:textId="5867EE46" w:rsidR="00676E2C" w:rsidRDefault="00676E2C" w:rsidP="00676E2C">
      <w:pPr>
        <w:pStyle w:val="CEABullet-Level1"/>
        <w:rPr>
          <w:b/>
          <w:bCs/>
        </w:rPr>
      </w:pPr>
      <w:r w:rsidRPr="00676E2C">
        <w:rPr>
          <w:b/>
          <w:bCs/>
        </w:rPr>
        <w:t>Legal instrument</w:t>
      </w:r>
    </w:p>
    <w:p w14:paraId="262CD36A" w14:textId="77777777" w:rsidR="00F807A8" w:rsidRPr="00881C3F" w:rsidRDefault="00F807A8" w:rsidP="00881C3F">
      <w:pPr>
        <w:pStyle w:val="Default"/>
        <w:spacing w:after="51"/>
        <w:rPr>
          <w:sz w:val="10"/>
          <w:szCs w:val="10"/>
        </w:rPr>
      </w:pPr>
    </w:p>
    <w:p w14:paraId="7274A7AE" w14:textId="77777777" w:rsidR="00676E2C" w:rsidRPr="00676E2C" w:rsidRDefault="00676E2C" w:rsidP="00676E2C">
      <w:pPr>
        <w:spacing w:line="240" w:lineRule="auto"/>
        <w:rPr>
          <w:sz w:val="17"/>
          <w:szCs w:val="17"/>
        </w:rPr>
      </w:pPr>
      <w:r w:rsidRPr="00676E2C">
        <w:rPr>
          <w:sz w:val="17"/>
          <w:szCs w:val="17"/>
        </w:rPr>
        <w:t>While the amendment of the delegated act specific to insurance-based investment products seems appropriate, the amendment of the delegated act concerning the POG requirements for all insurance products is problematic.</w:t>
      </w:r>
    </w:p>
    <w:p w14:paraId="0051B5CD" w14:textId="77777777" w:rsidR="00676E2C" w:rsidRPr="00676E2C" w:rsidRDefault="00676E2C" w:rsidP="00676E2C">
      <w:pPr>
        <w:spacing w:line="240" w:lineRule="auto"/>
        <w:rPr>
          <w:sz w:val="17"/>
          <w:szCs w:val="17"/>
        </w:rPr>
      </w:pPr>
      <w:r w:rsidRPr="00676E2C">
        <w:rPr>
          <w:sz w:val="17"/>
          <w:szCs w:val="17"/>
        </w:rPr>
        <w:t> </w:t>
      </w:r>
    </w:p>
    <w:p w14:paraId="59B8290D" w14:textId="77777777" w:rsidR="00676E2C" w:rsidRPr="00676E2C" w:rsidRDefault="00676E2C" w:rsidP="00676E2C">
      <w:pPr>
        <w:spacing w:line="240" w:lineRule="auto"/>
        <w:rPr>
          <w:sz w:val="17"/>
          <w:szCs w:val="17"/>
        </w:rPr>
      </w:pPr>
      <w:r w:rsidRPr="00676E2C">
        <w:rPr>
          <w:sz w:val="17"/>
          <w:szCs w:val="17"/>
        </w:rPr>
        <w:t xml:space="preserve">According to the insurance distribution directive, POG requirements apply to all insurance undertakings regarding the distribution of their products, and thus, to risk insurance as well as insurance-based investments. This means that without any additional precision, this proposal would make the references to “sustainability factors” and “sustainability preferences” applicable to every insurance </w:t>
      </w:r>
      <w:proofErr w:type="gramStart"/>
      <w:r w:rsidRPr="00676E2C">
        <w:rPr>
          <w:sz w:val="17"/>
          <w:szCs w:val="17"/>
        </w:rPr>
        <w:t>products</w:t>
      </w:r>
      <w:proofErr w:type="gramEnd"/>
      <w:r w:rsidRPr="00676E2C">
        <w:rPr>
          <w:sz w:val="17"/>
          <w:szCs w:val="17"/>
        </w:rPr>
        <w:t xml:space="preserve"> such as home health or vehicles insurance which would not make sense. </w:t>
      </w:r>
    </w:p>
    <w:p w14:paraId="090BBEAE" w14:textId="77777777" w:rsidR="00676E2C" w:rsidRPr="00676E2C" w:rsidRDefault="00676E2C" w:rsidP="00676E2C">
      <w:pPr>
        <w:spacing w:line="240" w:lineRule="auto"/>
        <w:rPr>
          <w:sz w:val="17"/>
          <w:szCs w:val="17"/>
        </w:rPr>
      </w:pPr>
      <w:r w:rsidRPr="00676E2C">
        <w:rPr>
          <w:sz w:val="17"/>
          <w:szCs w:val="17"/>
        </w:rPr>
        <w:lastRenderedPageBreak/>
        <w:t> </w:t>
      </w:r>
    </w:p>
    <w:p w14:paraId="229ECABE" w14:textId="77777777" w:rsidR="00676E2C" w:rsidRPr="00676E2C" w:rsidRDefault="00676E2C" w:rsidP="00676E2C">
      <w:pPr>
        <w:spacing w:line="240" w:lineRule="auto"/>
        <w:rPr>
          <w:sz w:val="17"/>
          <w:szCs w:val="17"/>
        </w:rPr>
      </w:pPr>
      <w:r w:rsidRPr="00676E2C">
        <w:rPr>
          <w:sz w:val="17"/>
          <w:szCs w:val="17"/>
        </w:rPr>
        <w:t xml:space="preserve">Furthermore, the proposed amendments of 2017/2358/EU refer to the proposed addition of a definition in article 2 of 2017/2359 which in turn refers to the disclosure regulation. Yet, this regulation only applies to investments products. </w:t>
      </w:r>
    </w:p>
    <w:p w14:paraId="40D490F9" w14:textId="77777777" w:rsidR="00676E2C" w:rsidRPr="00676E2C" w:rsidRDefault="00676E2C" w:rsidP="00676E2C">
      <w:pPr>
        <w:spacing w:line="240" w:lineRule="auto"/>
        <w:rPr>
          <w:sz w:val="17"/>
          <w:szCs w:val="17"/>
        </w:rPr>
      </w:pPr>
    </w:p>
    <w:p w14:paraId="35CA71E8" w14:textId="77777777" w:rsidR="00676E2C" w:rsidRPr="00676E2C" w:rsidRDefault="00676E2C" w:rsidP="00676E2C">
      <w:pPr>
        <w:spacing w:line="240" w:lineRule="auto"/>
        <w:rPr>
          <w:sz w:val="17"/>
          <w:szCs w:val="17"/>
        </w:rPr>
      </w:pPr>
      <w:r w:rsidRPr="00676E2C">
        <w:rPr>
          <w:sz w:val="17"/>
          <w:szCs w:val="17"/>
        </w:rPr>
        <w:t xml:space="preserve">The proposed amendments to 2017/2358/EU should only apply to IBIPs and this should be reflected in the legal text. </w:t>
      </w:r>
    </w:p>
    <w:p w14:paraId="328095C4" w14:textId="77777777" w:rsidR="00676E2C" w:rsidRPr="00676E2C" w:rsidRDefault="00676E2C" w:rsidP="00676E2C">
      <w:pPr>
        <w:spacing w:line="240" w:lineRule="auto"/>
        <w:rPr>
          <w:sz w:val="17"/>
          <w:szCs w:val="17"/>
        </w:rPr>
      </w:pPr>
    </w:p>
    <w:p w14:paraId="09FE5ACC" w14:textId="43A7E718" w:rsidR="00676E2C" w:rsidRDefault="00676E2C" w:rsidP="00676E2C">
      <w:pPr>
        <w:spacing w:line="240" w:lineRule="auto"/>
        <w:rPr>
          <w:sz w:val="17"/>
          <w:szCs w:val="17"/>
        </w:rPr>
      </w:pPr>
      <w:r w:rsidRPr="00676E2C">
        <w:rPr>
          <w:sz w:val="17"/>
          <w:szCs w:val="17"/>
        </w:rPr>
        <w:t xml:space="preserve">We would propose the following alternative amendments that better reflect the legal instruments under consideration </w:t>
      </w:r>
    </w:p>
    <w:p w14:paraId="1B596B59" w14:textId="77777777" w:rsidR="00676E2C" w:rsidRPr="00C14A72" w:rsidRDefault="00676E2C" w:rsidP="00676E2C">
      <w:pPr>
        <w:spacing w:line="240" w:lineRule="auto"/>
        <w:rPr>
          <w:szCs w:val="20"/>
        </w:rPr>
      </w:pPr>
    </w:p>
    <w:tbl>
      <w:tblPr>
        <w:tblW w:w="0" w:type="auto"/>
        <w:tblCellMar>
          <w:left w:w="0" w:type="dxa"/>
          <w:right w:w="0" w:type="dxa"/>
        </w:tblCellMar>
        <w:tblLook w:val="04A0" w:firstRow="1" w:lastRow="0" w:firstColumn="1" w:lastColumn="0" w:noHBand="0" w:noVBand="1"/>
      </w:tblPr>
      <w:tblGrid>
        <w:gridCol w:w="9562"/>
      </w:tblGrid>
      <w:tr w:rsidR="00676E2C" w:rsidRPr="00C14A72" w14:paraId="1A89B7EC" w14:textId="77777777" w:rsidTr="00546876">
        <w:tc>
          <w:tcPr>
            <w:tcW w:w="10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EDE85F" w14:textId="77777777" w:rsidR="00676E2C" w:rsidRPr="00676E2C" w:rsidRDefault="00676E2C" w:rsidP="00546876">
            <w:pPr>
              <w:pStyle w:val="Textkomentra"/>
              <w:spacing w:before="100" w:beforeAutospacing="1" w:after="100" w:afterAutospacing="1" w:line="24" w:lineRule="atLeast"/>
              <w:contextualSpacing/>
              <w:rPr>
                <w:rFonts w:cs="Arial"/>
                <w:sz w:val="17"/>
                <w:szCs w:val="17"/>
                <w:lang w:val="en-US"/>
              </w:rPr>
            </w:pPr>
            <w:r w:rsidRPr="00676E2C">
              <w:rPr>
                <w:rFonts w:cs="Arial"/>
                <w:sz w:val="17"/>
                <w:szCs w:val="17"/>
                <w:lang w:val="en-US"/>
              </w:rPr>
              <w:t xml:space="preserve">Since the definition in Article 2, point (4) of Commission delegated regulation (EU) 2017/2359 only applies to IBIPs and could not be related to pure risk insurance products, it would be more relevant to </w:t>
            </w:r>
            <w:r w:rsidRPr="00676E2C">
              <w:rPr>
                <w:rFonts w:cs="Arial"/>
                <w:b/>
                <w:sz w:val="17"/>
                <w:szCs w:val="17"/>
                <w:lang w:val="en-US"/>
              </w:rPr>
              <w:t>amend article 4(3)(a), point (</w:t>
            </w:r>
            <w:proofErr w:type="spellStart"/>
            <w:r w:rsidRPr="00676E2C">
              <w:rPr>
                <w:rFonts w:cs="Arial"/>
                <w:b/>
                <w:sz w:val="17"/>
                <w:szCs w:val="17"/>
                <w:lang w:val="en-US"/>
              </w:rPr>
              <w:t>i</w:t>
            </w:r>
            <w:proofErr w:type="spellEnd"/>
            <w:r w:rsidRPr="00676E2C">
              <w:rPr>
                <w:rFonts w:cs="Arial"/>
                <w:b/>
                <w:sz w:val="17"/>
                <w:szCs w:val="17"/>
                <w:lang w:val="en-US"/>
              </w:rPr>
              <w:t>) of the delegated Regulation (EU) 2017/2358</w:t>
            </w:r>
            <w:r w:rsidRPr="00676E2C">
              <w:rPr>
                <w:rFonts w:cs="Arial"/>
                <w:sz w:val="17"/>
                <w:szCs w:val="17"/>
                <w:lang w:val="en-US"/>
              </w:rPr>
              <w:t xml:space="preserve"> as follows:</w:t>
            </w:r>
          </w:p>
          <w:p w14:paraId="2AF8816B" w14:textId="7487942D" w:rsidR="00676E2C" w:rsidRPr="00C14A72" w:rsidRDefault="00676E2C" w:rsidP="00546876">
            <w:pPr>
              <w:pStyle w:val="Textkomentra"/>
              <w:spacing w:before="100" w:beforeAutospacing="1" w:after="100" w:afterAutospacing="1" w:line="24" w:lineRule="atLeast"/>
              <w:contextualSpacing/>
              <w:rPr>
                <w:rFonts w:cs="Arial"/>
                <w:lang w:val="en-US"/>
              </w:rPr>
            </w:pPr>
            <w:r w:rsidRPr="00676E2C">
              <w:rPr>
                <w:rFonts w:cs="Arial"/>
                <w:sz w:val="17"/>
                <w:szCs w:val="17"/>
                <w:lang w:val="en-US"/>
              </w:rPr>
              <w:t>“(</w:t>
            </w:r>
            <w:proofErr w:type="spellStart"/>
            <w:r w:rsidRPr="00676E2C">
              <w:rPr>
                <w:rFonts w:cs="Arial"/>
                <w:sz w:val="17"/>
                <w:szCs w:val="17"/>
                <w:lang w:val="en-US"/>
              </w:rPr>
              <w:t>i</w:t>
            </w:r>
            <w:proofErr w:type="spellEnd"/>
            <w:r w:rsidRPr="00676E2C">
              <w:rPr>
                <w:rFonts w:cs="Arial"/>
                <w:sz w:val="17"/>
                <w:szCs w:val="17"/>
                <w:lang w:val="en-US"/>
              </w:rPr>
              <w:t>) it takes into account the objectives, interests and characteristics of customers,</w:t>
            </w:r>
            <w:r w:rsidRPr="00676E2C">
              <w:rPr>
                <w:rFonts w:cs="Arial"/>
                <w:i/>
                <w:sz w:val="17"/>
                <w:szCs w:val="17"/>
                <w:u w:val="single"/>
                <w:lang w:val="en-US"/>
              </w:rPr>
              <w:t xml:space="preserve"> </w:t>
            </w:r>
            <w:r w:rsidRPr="00676E2C">
              <w:rPr>
                <w:rFonts w:cs="Arial"/>
                <w:i/>
                <w:color w:val="FF0000"/>
                <w:sz w:val="17"/>
                <w:szCs w:val="17"/>
                <w:u w:val="single"/>
                <w:lang w:val="en-US"/>
              </w:rPr>
              <w:t xml:space="preserve">including, for </w:t>
            </w:r>
            <w:proofErr w:type="gramStart"/>
            <w:r w:rsidRPr="00676E2C">
              <w:rPr>
                <w:rFonts w:cs="Arial"/>
                <w:i/>
                <w:color w:val="FF0000"/>
                <w:sz w:val="17"/>
                <w:szCs w:val="17"/>
                <w:u w:val="single"/>
                <w:lang w:val="en-US"/>
              </w:rPr>
              <w:t>insurance based</w:t>
            </w:r>
            <w:proofErr w:type="gramEnd"/>
            <w:r w:rsidRPr="00676E2C">
              <w:rPr>
                <w:rFonts w:cs="Arial"/>
                <w:i/>
                <w:color w:val="FF0000"/>
                <w:sz w:val="17"/>
                <w:szCs w:val="17"/>
                <w:u w:val="single"/>
                <w:lang w:val="en-US"/>
              </w:rPr>
              <w:t xml:space="preserve"> investment product, any sustainability preferences as defined in Article 2, point (4), of Commission Delegated Regulation (EU) 2017/2359</w:t>
            </w:r>
            <w:r w:rsidRPr="00676E2C">
              <w:rPr>
                <w:rFonts w:cs="Arial"/>
                <w:sz w:val="17"/>
                <w:szCs w:val="17"/>
                <w:lang w:val="en-US"/>
              </w:rPr>
              <w:t>*;”</w:t>
            </w:r>
          </w:p>
        </w:tc>
      </w:tr>
    </w:tbl>
    <w:p w14:paraId="3061883D" w14:textId="77777777" w:rsidR="00676E2C" w:rsidRPr="00C14A72" w:rsidRDefault="00676E2C" w:rsidP="00676E2C">
      <w:pPr>
        <w:spacing w:before="100" w:beforeAutospacing="1" w:after="100" w:afterAutospacing="1" w:line="24" w:lineRule="atLeast"/>
        <w:contextualSpacing/>
        <w:rPr>
          <w:rFonts w:cs="Arial"/>
          <w:szCs w:val="20"/>
          <w:lang w:val="en-US"/>
        </w:rPr>
      </w:pPr>
      <w:r w:rsidRPr="00C14A72">
        <w:rPr>
          <w:rFonts w:cs="Arial"/>
          <w:szCs w:val="20"/>
          <w:lang w:val="en-US"/>
        </w:rPr>
        <w:t> </w:t>
      </w:r>
    </w:p>
    <w:p w14:paraId="28B46C25" w14:textId="77777777" w:rsidR="00676E2C" w:rsidRPr="00C14A72" w:rsidRDefault="00676E2C" w:rsidP="00676E2C">
      <w:pPr>
        <w:spacing w:before="100" w:beforeAutospacing="1" w:after="100" w:afterAutospacing="1" w:line="24" w:lineRule="atLeast"/>
        <w:contextualSpacing/>
        <w:rPr>
          <w:rFonts w:cs="Arial"/>
          <w:szCs w:val="20"/>
          <w:lang w:val="en-US"/>
        </w:rPr>
      </w:pPr>
    </w:p>
    <w:tbl>
      <w:tblPr>
        <w:tblW w:w="0" w:type="auto"/>
        <w:tblCellMar>
          <w:left w:w="0" w:type="dxa"/>
          <w:right w:w="0" w:type="dxa"/>
        </w:tblCellMar>
        <w:tblLook w:val="04A0" w:firstRow="1" w:lastRow="0" w:firstColumn="1" w:lastColumn="0" w:noHBand="0" w:noVBand="1"/>
      </w:tblPr>
      <w:tblGrid>
        <w:gridCol w:w="9562"/>
      </w:tblGrid>
      <w:tr w:rsidR="00676E2C" w:rsidRPr="00C14A72" w14:paraId="673BEF19" w14:textId="77777777" w:rsidTr="00546876">
        <w:tc>
          <w:tcPr>
            <w:tcW w:w="21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A59512" w14:textId="77777777" w:rsidR="00676E2C" w:rsidRPr="00F807A8" w:rsidRDefault="00676E2C" w:rsidP="00546876">
            <w:pPr>
              <w:spacing w:before="100" w:beforeAutospacing="1" w:after="100" w:afterAutospacing="1" w:line="24" w:lineRule="atLeast"/>
              <w:contextualSpacing/>
              <w:rPr>
                <w:rFonts w:cs="Arial"/>
                <w:sz w:val="17"/>
                <w:szCs w:val="17"/>
                <w:lang w:val="en-US"/>
              </w:rPr>
            </w:pPr>
            <w:r w:rsidRPr="00F807A8">
              <w:rPr>
                <w:rFonts w:cs="Arial"/>
                <w:b/>
                <w:bCs/>
                <w:sz w:val="17"/>
                <w:szCs w:val="17"/>
                <w:lang w:val="en-US"/>
              </w:rPr>
              <w:t>A</w:t>
            </w:r>
            <w:r w:rsidRPr="00F807A8">
              <w:rPr>
                <w:rFonts w:cs="Arial"/>
                <w:b/>
                <w:sz w:val="17"/>
                <w:szCs w:val="17"/>
                <w:lang w:val="en-US"/>
              </w:rPr>
              <w:t>rticle 5 of the delegated Regulation (EU) 2017/2358</w:t>
            </w:r>
            <w:r w:rsidRPr="00F807A8">
              <w:rPr>
                <w:rFonts w:cs="Arial"/>
                <w:sz w:val="17"/>
                <w:szCs w:val="17"/>
                <w:lang w:val="en-US"/>
              </w:rPr>
              <w:t xml:space="preserve"> could be replaced by the following: </w:t>
            </w:r>
          </w:p>
          <w:p w14:paraId="67548DE8" w14:textId="77777777" w:rsidR="00676E2C" w:rsidRPr="00F807A8" w:rsidRDefault="00676E2C" w:rsidP="00546876">
            <w:pPr>
              <w:spacing w:before="100" w:beforeAutospacing="1" w:after="100" w:afterAutospacing="1" w:line="24" w:lineRule="atLeast"/>
              <w:contextualSpacing/>
              <w:rPr>
                <w:rFonts w:cs="Arial"/>
                <w:sz w:val="17"/>
                <w:szCs w:val="17"/>
                <w:lang w:val="en-US"/>
              </w:rPr>
            </w:pPr>
            <w:r w:rsidRPr="00F807A8">
              <w:rPr>
                <w:rFonts w:cs="Arial"/>
                <w:sz w:val="17"/>
                <w:szCs w:val="17"/>
                <w:lang w:val="en-US"/>
              </w:rPr>
              <w:t>“1. The product approval process shall for each insurance product identify the target market and the group of compatible customers. The target market shall be identified at a sufficiently granular level, taking into account the characteristics, risk profile, complexity and nature of the insurance product</w:t>
            </w:r>
            <w:r w:rsidRPr="00F807A8">
              <w:rPr>
                <w:rFonts w:cs="Arial"/>
                <w:i/>
                <w:sz w:val="17"/>
                <w:szCs w:val="17"/>
                <w:u w:val="single"/>
                <w:lang w:val="en-US"/>
              </w:rPr>
              <w:t xml:space="preserve">, </w:t>
            </w:r>
            <w:r w:rsidRPr="00F807A8">
              <w:rPr>
                <w:rFonts w:cs="Arial"/>
                <w:i/>
                <w:color w:val="FF0000"/>
                <w:sz w:val="17"/>
                <w:szCs w:val="17"/>
                <w:u w:val="single"/>
                <w:lang w:val="en-US"/>
              </w:rPr>
              <w:t>as well as, for insurance- based investment product, its sustainability factors</w:t>
            </w:r>
            <w:r w:rsidRPr="00F807A8">
              <w:rPr>
                <w:rFonts w:cs="Arial"/>
                <w:color w:val="FF0000"/>
                <w:sz w:val="17"/>
                <w:szCs w:val="17"/>
                <w:lang w:val="en-US"/>
              </w:rPr>
              <w:t>.</w:t>
            </w:r>
          </w:p>
          <w:p w14:paraId="31D4EA3A" w14:textId="77777777" w:rsidR="00676E2C" w:rsidRPr="00F807A8" w:rsidRDefault="00676E2C" w:rsidP="00546876">
            <w:pPr>
              <w:spacing w:before="100" w:beforeAutospacing="1" w:after="100" w:afterAutospacing="1" w:line="24" w:lineRule="atLeast"/>
              <w:contextualSpacing/>
              <w:rPr>
                <w:rFonts w:cs="Arial"/>
                <w:sz w:val="17"/>
                <w:szCs w:val="17"/>
                <w:lang w:val="en-US"/>
              </w:rPr>
            </w:pPr>
            <w:r w:rsidRPr="00F807A8">
              <w:rPr>
                <w:rFonts w:cs="Arial"/>
                <w:sz w:val="17"/>
                <w:szCs w:val="17"/>
                <w:lang w:val="en-US"/>
              </w:rPr>
              <w:t> </w:t>
            </w:r>
          </w:p>
          <w:p w14:paraId="502A90F4" w14:textId="320447F7" w:rsidR="00676E2C" w:rsidRPr="00F807A8" w:rsidRDefault="00676E2C" w:rsidP="00546876">
            <w:pPr>
              <w:spacing w:before="100" w:beforeAutospacing="1" w:after="100" w:afterAutospacing="1" w:line="24" w:lineRule="atLeast"/>
              <w:contextualSpacing/>
              <w:rPr>
                <w:rFonts w:cs="Arial"/>
                <w:sz w:val="17"/>
                <w:szCs w:val="17"/>
                <w:lang w:val="en-US"/>
              </w:rPr>
            </w:pPr>
            <w:r w:rsidRPr="00F807A8">
              <w:rPr>
                <w:rFonts w:cs="Arial"/>
                <w:sz w:val="17"/>
                <w:szCs w:val="17"/>
                <w:lang w:val="en-US"/>
              </w:rPr>
              <w:t xml:space="preserve">2. Manufacturers may, in particular with regard to insurance-based investment products, identify groups of customers for whose needs, characteristics and objectives, </w:t>
            </w:r>
            <w:r w:rsidRPr="00F807A8">
              <w:rPr>
                <w:rFonts w:cs="Arial"/>
                <w:i/>
                <w:color w:val="FF0000"/>
                <w:sz w:val="17"/>
                <w:szCs w:val="17"/>
                <w:u w:val="single"/>
                <w:lang w:val="en-US"/>
              </w:rPr>
              <w:t>including,</w:t>
            </w:r>
            <w:r w:rsidR="00F807A8">
              <w:rPr>
                <w:rFonts w:cs="Arial"/>
                <w:i/>
                <w:color w:val="FF0000"/>
                <w:sz w:val="17"/>
                <w:szCs w:val="17"/>
                <w:u w:val="single"/>
                <w:lang w:val="en-US"/>
              </w:rPr>
              <w:t xml:space="preserve"> </w:t>
            </w:r>
            <w:r w:rsidRPr="00F807A8">
              <w:rPr>
                <w:rFonts w:cs="Arial"/>
                <w:i/>
                <w:color w:val="FF0000"/>
                <w:sz w:val="17"/>
                <w:szCs w:val="17"/>
                <w:u w:val="single"/>
                <w:lang w:val="en-US"/>
              </w:rPr>
              <w:t>for insurance-based investment product, any sustainability preferences as defined in Article 2, point (4), of Commission Delegated Regulation (EU) 2017/235</w:t>
            </w:r>
            <w:r w:rsidRPr="00F807A8">
              <w:rPr>
                <w:rFonts w:cs="Arial"/>
                <w:color w:val="FF0000"/>
                <w:sz w:val="17"/>
                <w:szCs w:val="17"/>
                <w:lang w:val="en-US"/>
              </w:rPr>
              <w:t>9</w:t>
            </w:r>
            <w:r w:rsidRPr="00F807A8">
              <w:rPr>
                <w:rFonts w:cs="Arial"/>
                <w:sz w:val="17"/>
                <w:szCs w:val="17"/>
                <w:lang w:val="en-US"/>
              </w:rPr>
              <w:t>, the insurance product is generally not compatible.</w:t>
            </w:r>
          </w:p>
          <w:p w14:paraId="0C07D156" w14:textId="77777777" w:rsidR="00676E2C" w:rsidRPr="00F807A8" w:rsidRDefault="00676E2C" w:rsidP="00546876">
            <w:pPr>
              <w:spacing w:before="100" w:beforeAutospacing="1" w:after="100" w:afterAutospacing="1" w:line="24" w:lineRule="atLeast"/>
              <w:contextualSpacing/>
              <w:rPr>
                <w:rFonts w:cs="Arial"/>
                <w:sz w:val="17"/>
                <w:szCs w:val="17"/>
                <w:lang w:val="en-US"/>
              </w:rPr>
            </w:pPr>
            <w:r w:rsidRPr="00F807A8">
              <w:rPr>
                <w:rFonts w:cs="Arial"/>
                <w:sz w:val="17"/>
                <w:szCs w:val="17"/>
                <w:lang w:val="en-US"/>
              </w:rPr>
              <w:t> </w:t>
            </w:r>
          </w:p>
          <w:p w14:paraId="22F68AEA" w14:textId="4094B3E7" w:rsidR="00676E2C" w:rsidRPr="00C14A72" w:rsidRDefault="00676E2C" w:rsidP="00546876">
            <w:pPr>
              <w:spacing w:before="100" w:beforeAutospacing="1" w:after="100" w:afterAutospacing="1" w:line="24" w:lineRule="atLeast"/>
              <w:contextualSpacing/>
              <w:rPr>
                <w:rFonts w:cs="Arial"/>
                <w:szCs w:val="20"/>
                <w:lang w:val="en-US"/>
              </w:rPr>
            </w:pPr>
            <w:r w:rsidRPr="00F807A8">
              <w:rPr>
                <w:rFonts w:cs="Arial"/>
                <w:sz w:val="17"/>
                <w:szCs w:val="17"/>
                <w:lang w:val="en-US"/>
              </w:rPr>
              <w:t xml:space="preserve">3. Manufacturers shall only design and market insurance products that are compatible with the needs, characteristics and objectives, </w:t>
            </w:r>
            <w:r w:rsidRPr="00F807A8">
              <w:rPr>
                <w:rFonts w:cs="Arial"/>
                <w:i/>
                <w:color w:val="FF0000"/>
                <w:sz w:val="17"/>
                <w:szCs w:val="17"/>
                <w:u w:val="single"/>
                <w:lang w:val="en-US"/>
              </w:rPr>
              <w:t>including, for insurance-based investment product, any sustainability preferences</w:t>
            </w:r>
            <w:r w:rsidRPr="00F807A8">
              <w:rPr>
                <w:rFonts w:cs="Arial"/>
                <w:color w:val="FF0000"/>
                <w:sz w:val="17"/>
                <w:szCs w:val="17"/>
                <w:lang w:val="en-US"/>
              </w:rPr>
              <w:t xml:space="preserve">, </w:t>
            </w:r>
            <w:r w:rsidRPr="00F807A8">
              <w:rPr>
                <w:rFonts w:cs="Arial"/>
                <w:sz w:val="17"/>
                <w:szCs w:val="17"/>
                <w:lang w:val="en-US"/>
              </w:rPr>
              <w:t>of the customers belonging to the target market. When assessing whether an insurance product is compatible with a target market, manufacturers shall take into account the level of information available to the customers belonging to that target market and their financial literacy.”</w:t>
            </w:r>
          </w:p>
        </w:tc>
      </w:tr>
    </w:tbl>
    <w:p w14:paraId="015085DA" w14:textId="77777777" w:rsidR="00676E2C" w:rsidRPr="00C14A72" w:rsidRDefault="00676E2C" w:rsidP="00676E2C">
      <w:pPr>
        <w:rPr>
          <w:szCs w:val="20"/>
        </w:rPr>
      </w:pPr>
    </w:p>
    <w:p w14:paraId="092BA1AA" w14:textId="3F09BAEF" w:rsidR="00676E2C" w:rsidRDefault="00676E2C" w:rsidP="00F807A8">
      <w:pPr>
        <w:pStyle w:val="CEABullet-Level1"/>
        <w:rPr>
          <w:b/>
          <w:bCs/>
        </w:rPr>
      </w:pPr>
      <w:r w:rsidRPr="00F807A8">
        <w:rPr>
          <w:b/>
          <w:bCs/>
        </w:rPr>
        <w:t xml:space="preserve">Definition of Suitability Preferences </w:t>
      </w:r>
    </w:p>
    <w:p w14:paraId="7355267B" w14:textId="77777777" w:rsidR="00F807A8" w:rsidRPr="00881C3F" w:rsidRDefault="00F807A8" w:rsidP="00F807A8">
      <w:pPr>
        <w:pStyle w:val="CEABullet-Level1"/>
        <w:numPr>
          <w:ilvl w:val="0"/>
          <w:numId w:val="0"/>
        </w:numPr>
        <w:ind w:left="720"/>
        <w:rPr>
          <w:b/>
          <w:bCs/>
          <w:sz w:val="10"/>
          <w:szCs w:val="12"/>
        </w:rPr>
      </w:pPr>
    </w:p>
    <w:p w14:paraId="69E5A357" w14:textId="77777777" w:rsidR="00676E2C" w:rsidRPr="00F807A8" w:rsidRDefault="00676E2C" w:rsidP="00F807A8">
      <w:pPr>
        <w:spacing w:line="240" w:lineRule="auto"/>
        <w:rPr>
          <w:sz w:val="17"/>
          <w:szCs w:val="17"/>
        </w:rPr>
      </w:pPr>
      <w:r w:rsidRPr="00F807A8">
        <w:rPr>
          <w:sz w:val="17"/>
          <w:szCs w:val="17"/>
        </w:rPr>
        <w:t xml:space="preserve">The reference to the sustainable investments and the consideration of principal adverse impacts on sustainability factors for products that promote environmental or social objectives is potentially damaging. </w:t>
      </w:r>
    </w:p>
    <w:p w14:paraId="29B828DF" w14:textId="77777777" w:rsidR="00676E2C" w:rsidRPr="00F807A8" w:rsidRDefault="00676E2C" w:rsidP="00F807A8">
      <w:pPr>
        <w:spacing w:line="240" w:lineRule="auto"/>
        <w:rPr>
          <w:sz w:val="17"/>
          <w:szCs w:val="17"/>
        </w:rPr>
      </w:pPr>
    </w:p>
    <w:p w14:paraId="1904B028" w14:textId="77777777" w:rsidR="00676E2C" w:rsidRPr="00F807A8" w:rsidRDefault="00676E2C" w:rsidP="00F807A8">
      <w:pPr>
        <w:spacing w:line="240" w:lineRule="auto"/>
        <w:rPr>
          <w:sz w:val="17"/>
          <w:szCs w:val="17"/>
        </w:rPr>
      </w:pPr>
      <w:r w:rsidRPr="00F807A8">
        <w:rPr>
          <w:sz w:val="17"/>
          <w:szCs w:val="17"/>
        </w:rPr>
        <w:t xml:space="preserve">We acknowledge the need for clarification on the difference between “article 8” and “article 9” products of the Sustainable Finance Disclosures Regulation (SFDR) and on the consideration of principal adverse impacts on sustainability factors, but we question whether the IDD Delegated Acts are the appropriate place to make this distinction. </w:t>
      </w:r>
    </w:p>
    <w:p w14:paraId="63E6AA66" w14:textId="77777777" w:rsidR="00676E2C" w:rsidRPr="00F807A8" w:rsidRDefault="00676E2C" w:rsidP="00F807A8">
      <w:pPr>
        <w:spacing w:line="240" w:lineRule="auto"/>
        <w:rPr>
          <w:sz w:val="17"/>
          <w:szCs w:val="17"/>
        </w:rPr>
      </w:pPr>
    </w:p>
    <w:p w14:paraId="2323E9EA" w14:textId="281C255C" w:rsidR="00676E2C" w:rsidRPr="00F807A8" w:rsidRDefault="00676E2C" w:rsidP="00F807A8">
      <w:pPr>
        <w:spacing w:line="240" w:lineRule="auto"/>
        <w:rPr>
          <w:sz w:val="17"/>
          <w:szCs w:val="17"/>
        </w:rPr>
      </w:pPr>
      <w:r w:rsidRPr="00F807A8">
        <w:rPr>
          <w:sz w:val="17"/>
          <w:szCs w:val="17"/>
        </w:rPr>
        <w:t>The definition of sustainability preferences should refer to the existing categories of sustainable products in Article 8 and 9 SFDR without adding the further qualifications proposed as sub-points (</w:t>
      </w:r>
      <w:proofErr w:type="spellStart"/>
      <w:r w:rsidRPr="00F807A8">
        <w:rPr>
          <w:sz w:val="17"/>
          <w:szCs w:val="17"/>
        </w:rPr>
        <w:t>i</w:t>
      </w:r>
      <w:proofErr w:type="spellEnd"/>
      <w:r w:rsidRPr="00F807A8">
        <w:rPr>
          <w:sz w:val="17"/>
          <w:szCs w:val="17"/>
        </w:rPr>
        <w:t>) and (ii) of Article 2 (4). The legislator has devised Article 8 and 9 SFDR in order to take account of the variety of sustainable products available on the market (Recital 21). Introducing a third (</w:t>
      </w:r>
      <w:proofErr w:type="spellStart"/>
      <w:r w:rsidRPr="00F807A8">
        <w:rPr>
          <w:sz w:val="17"/>
          <w:szCs w:val="17"/>
        </w:rPr>
        <w:t>i</w:t>
      </w:r>
      <w:proofErr w:type="spellEnd"/>
      <w:r w:rsidRPr="00F807A8">
        <w:rPr>
          <w:sz w:val="17"/>
          <w:szCs w:val="17"/>
        </w:rPr>
        <w:t xml:space="preserve">) and fourth (ii) category of sustainable products in the context of IDD would, in our view, raise further legal uncertainties without apparent benefit to the customer. It would, for instance, mean that until 30 December 2022 the customer’s desire for a product which excludes certain investments from its portfolio (e. g. fossil fuels, child labour etc.) would not constitute a sustainability preference within the meaning of the Delegated Regulation. Similarly, the French SRI label does not have sustainable investments as its objective and </w:t>
      </w:r>
      <w:r w:rsidR="00C24DDB">
        <w:rPr>
          <w:sz w:val="17"/>
          <w:szCs w:val="17"/>
        </w:rPr>
        <w:t>also does not</w:t>
      </w:r>
      <w:r w:rsidRPr="00F807A8">
        <w:rPr>
          <w:sz w:val="17"/>
          <w:szCs w:val="17"/>
        </w:rPr>
        <w:t xml:space="preserve"> require excluding underlying assets with significant adverse impacts. However, it promotes environmental and social characteristics since awarded funds select companies based on their ESG performance. Making references to sustainable investments and consideration of principal adverse impacts could lead to consider that such SRI funds cannot meet consumers’ ESG preferences even though this may be a very appropriate product for the target market. </w:t>
      </w:r>
    </w:p>
    <w:p w14:paraId="33D18E33" w14:textId="77777777" w:rsidR="00676E2C" w:rsidRPr="00F807A8" w:rsidRDefault="00676E2C" w:rsidP="00F807A8">
      <w:pPr>
        <w:spacing w:line="240" w:lineRule="auto"/>
        <w:rPr>
          <w:sz w:val="17"/>
          <w:szCs w:val="17"/>
        </w:rPr>
      </w:pPr>
    </w:p>
    <w:p w14:paraId="09490C5A" w14:textId="4774F1D5" w:rsidR="00676E2C" w:rsidRPr="00F807A8" w:rsidRDefault="00676E2C" w:rsidP="00F807A8">
      <w:pPr>
        <w:spacing w:line="240" w:lineRule="auto"/>
        <w:rPr>
          <w:sz w:val="17"/>
          <w:szCs w:val="17"/>
        </w:rPr>
      </w:pPr>
      <w:r w:rsidRPr="00F807A8">
        <w:rPr>
          <w:sz w:val="17"/>
          <w:szCs w:val="17"/>
        </w:rPr>
        <w:t xml:space="preserve">To ensure consistency, </w:t>
      </w:r>
      <w:r w:rsidR="00FF5C1A">
        <w:rPr>
          <w:sz w:val="17"/>
          <w:szCs w:val="17"/>
        </w:rPr>
        <w:t>“</w:t>
      </w:r>
      <w:r w:rsidRPr="00F807A8">
        <w:rPr>
          <w:sz w:val="17"/>
          <w:szCs w:val="17"/>
        </w:rPr>
        <w:t>article 8</w:t>
      </w:r>
      <w:r w:rsidR="00FF5C1A">
        <w:rPr>
          <w:sz w:val="17"/>
          <w:szCs w:val="17"/>
        </w:rPr>
        <w:t>”</w:t>
      </w:r>
      <w:r w:rsidRPr="00F807A8">
        <w:rPr>
          <w:sz w:val="17"/>
          <w:szCs w:val="17"/>
        </w:rPr>
        <w:t xml:space="preserve"> and </w:t>
      </w:r>
      <w:r w:rsidR="00FF5C1A">
        <w:rPr>
          <w:sz w:val="17"/>
          <w:szCs w:val="17"/>
        </w:rPr>
        <w:t>“</w:t>
      </w:r>
      <w:r w:rsidRPr="00F807A8">
        <w:rPr>
          <w:sz w:val="17"/>
          <w:szCs w:val="17"/>
        </w:rPr>
        <w:t>article 9</w:t>
      </w:r>
      <w:r w:rsidR="00FF5C1A">
        <w:rPr>
          <w:sz w:val="17"/>
          <w:szCs w:val="17"/>
        </w:rPr>
        <w:t>”</w:t>
      </w:r>
      <w:r w:rsidRPr="00F807A8">
        <w:rPr>
          <w:sz w:val="17"/>
          <w:szCs w:val="17"/>
        </w:rPr>
        <w:t xml:space="preserve"> products under the SFDR should be able to meet consumers’ sustainability preferences with no further requirements.</w:t>
      </w:r>
    </w:p>
    <w:p w14:paraId="526B99A8" w14:textId="77777777" w:rsidR="00676E2C" w:rsidRPr="00C14A72" w:rsidRDefault="00676E2C" w:rsidP="00676E2C">
      <w:pPr>
        <w:rPr>
          <w:szCs w:val="20"/>
        </w:rPr>
      </w:pPr>
    </w:p>
    <w:p w14:paraId="04F2AE62" w14:textId="7ECB7C48" w:rsidR="00676E2C" w:rsidRDefault="00676E2C" w:rsidP="00F807A8">
      <w:pPr>
        <w:pStyle w:val="CEABullet-Level1"/>
        <w:rPr>
          <w:b/>
          <w:bCs/>
        </w:rPr>
      </w:pPr>
      <w:r w:rsidRPr="00F807A8">
        <w:rPr>
          <w:b/>
          <w:bCs/>
        </w:rPr>
        <w:t xml:space="preserve">Conflicts of interest </w:t>
      </w:r>
    </w:p>
    <w:p w14:paraId="5F6BD41C" w14:textId="77777777" w:rsidR="00F807A8" w:rsidRPr="00881C3F" w:rsidRDefault="00F807A8" w:rsidP="00F807A8">
      <w:pPr>
        <w:pStyle w:val="CEABullet-Level1"/>
        <w:numPr>
          <w:ilvl w:val="0"/>
          <w:numId w:val="0"/>
        </w:numPr>
        <w:ind w:left="720"/>
        <w:rPr>
          <w:b/>
          <w:bCs/>
          <w:sz w:val="10"/>
          <w:szCs w:val="12"/>
        </w:rPr>
      </w:pPr>
    </w:p>
    <w:p w14:paraId="6D188BBD" w14:textId="2B96AC02" w:rsidR="00676E2C" w:rsidRPr="00F807A8" w:rsidRDefault="00676E2C" w:rsidP="00F807A8">
      <w:pPr>
        <w:spacing w:line="240" w:lineRule="auto"/>
        <w:rPr>
          <w:sz w:val="17"/>
          <w:szCs w:val="17"/>
        </w:rPr>
      </w:pPr>
      <w:r w:rsidRPr="00F807A8">
        <w:rPr>
          <w:sz w:val="17"/>
          <w:szCs w:val="17"/>
        </w:rPr>
        <w:t xml:space="preserve">The IDD (and </w:t>
      </w:r>
      <w:r w:rsidR="00FF5C1A">
        <w:rPr>
          <w:sz w:val="17"/>
          <w:szCs w:val="17"/>
        </w:rPr>
        <w:t xml:space="preserve">accompanying </w:t>
      </w:r>
      <w:r w:rsidRPr="00F807A8">
        <w:rPr>
          <w:sz w:val="17"/>
          <w:szCs w:val="17"/>
        </w:rPr>
        <w:t xml:space="preserve">delegated regulation) already establishes appropriate criteria for determining different types of potential conflicts of interest given the financial and also non-financial objectives of the customer. Any potential conflicts of interest that may arise with regard to ESG objectives will be captured by these criteria and handled in the same way as any other conflict of interest under the IDD. It is unlikely that the inclusion of sustainability factors would introduce any specific conflicts of interest that cannot be addressed within the existing IDD framework. </w:t>
      </w:r>
    </w:p>
    <w:p w14:paraId="61B5BCF5" w14:textId="77777777" w:rsidR="00676E2C" w:rsidRPr="00F807A8" w:rsidRDefault="00676E2C" w:rsidP="00F807A8">
      <w:pPr>
        <w:spacing w:line="240" w:lineRule="auto"/>
        <w:rPr>
          <w:sz w:val="17"/>
          <w:szCs w:val="17"/>
        </w:rPr>
      </w:pPr>
    </w:p>
    <w:p w14:paraId="141EE10B" w14:textId="77777777" w:rsidR="00676E2C" w:rsidRPr="00F807A8" w:rsidRDefault="00676E2C" w:rsidP="00F807A8">
      <w:pPr>
        <w:spacing w:line="240" w:lineRule="auto"/>
        <w:rPr>
          <w:sz w:val="17"/>
          <w:szCs w:val="17"/>
        </w:rPr>
      </w:pPr>
      <w:r w:rsidRPr="00F807A8">
        <w:rPr>
          <w:sz w:val="17"/>
          <w:szCs w:val="17"/>
        </w:rPr>
        <w:t xml:space="preserve">Insurance Europe agreed with EIOPAs original advice that a reference only to ESG considerations could over-emphasise and unbalance the legal drafting. The insurance sector supports a high-level principle-based approach, as suggested by EIOPA in paragraph 92 of its draft technical advice. As EIOPA pointed out (on page 42-43 of its technical advice), a recital could have been used to provide guidance on the application of the conflict of interest rules. </w:t>
      </w:r>
    </w:p>
    <w:p w14:paraId="7FAC14E5" w14:textId="77777777" w:rsidR="00676E2C" w:rsidRPr="00F807A8" w:rsidRDefault="00676E2C" w:rsidP="00F807A8">
      <w:pPr>
        <w:spacing w:line="240" w:lineRule="auto"/>
        <w:rPr>
          <w:sz w:val="17"/>
          <w:szCs w:val="17"/>
        </w:rPr>
      </w:pPr>
    </w:p>
    <w:p w14:paraId="07AA9459" w14:textId="4E51930E" w:rsidR="00676E2C" w:rsidRDefault="00676E2C" w:rsidP="00F807A8">
      <w:pPr>
        <w:spacing w:line="240" w:lineRule="auto"/>
        <w:rPr>
          <w:sz w:val="17"/>
          <w:szCs w:val="17"/>
        </w:rPr>
      </w:pPr>
      <w:r w:rsidRPr="00F807A8">
        <w:rPr>
          <w:sz w:val="17"/>
          <w:szCs w:val="17"/>
        </w:rPr>
        <w:t>The insurance sector would also like to draw attention to the fact that neither the IDD nor the delegated acts require insurance undertakings to offer insurance products with ESG considerations. Insurance undertakings and insurance intermediaries should therefore not be expected to include ESG considerations in their conflicts of interest policy in general, but only where relevant. This not well reflected in the amendments to the Delegated Acts put forward by the European Commission.</w:t>
      </w:r>
      <w:r w:rsidR="00F807A8">
        <w:rPr>
          <w:sz w:val="17"/>
          <w:szCs w:val="17"/>
        </w:rPr>
        <w:t xml:space="preserve"> </w:t>
      </w:r>
      <w:r w:rsidRPr="00F807A8">
        <w:rPr>
          <w:sz w:val="17"/>
          <w:szCs w:val="17"/>
        </w:rPr>
        <w:t xml:space="preserve">This would also be consistent with other parts of the draft technical advice. </w:t>
      </w:r>
    </w:p>
    <w:p w14:paraId="2A836C9F" w14:textId="77777777" w:rsidR="00FF5C1A" w:rsidRPr="00F807A8" w:rsidRDefault="00FF5C1A" w:rsidP="00F807A8">
      <w:pPr>
        <w:spacing w:line="240" w:lineRule="auto"/>
        <w:rPr>
          <w:sz w:val="17"/>
          <w:szCs w:val="17"/>
        </w:rPr>
      </w:pPr>
    </w:p>
    <w:p w14:paraId="3609D740" w14:textId="2849AEF8" w:rsidR="00676E2C" w:rsidRDefault="00676E2C" w:rsidP="00F807A8">
      <w:pPr>
        <w:spacing w:line="240" w:lineRule="auto"/>
        <w:rPr>
          <w:sz w:val="17"/>
          <w:szCs w:val="17"/>
        </w:rPr>
      </w:pPr>
      <w:r w:rsidRPr="00F807A8">
        <w:rPr>
          <w:sz w:val="17"/>
          <w:szCs w:val="17"/>
        </w:rPr>
        <w:t>It is perhaps also worth noting that the more demand there is for products contributing to sustainable investment, the more insurance intermediaries will engage in distributing such products.</w:t>
      </w:r>
    </w:p>
    <w:p w14:paraId="2DCA2567" w14:textId="77777777" w:rsidR="00F807A8" w:rsidRPr="00F807A8" w:rsidRDefault="00F807A8" w:rsidP="00F807A8">
      <w:pPr>
        <w:spacing w:line="240" w:lineRule="auto"/>
        <w:rPr>
          <w:sz w:val="17"/>
          <w:szCs w:val="17"/>
        </w:rPr>
      </w:pPr>
    </w:p>
    <w:p w14:paraId="32937F94" w14:textId="0A340F16" w:rsidR="00676E2C" w:rsidRDefault="00676E2C" w:rsidP="00F807A8">
      <w:pPr>
        <w:pStyle w:val="CEABullet-Level1"/>
        <w:rPr>
          <w:b/>
          <w:bCs/>
        </w:rPr>
      </w:pPr>
      <w:r w:rsidRPr="00F807A8">
        <w:rPr>
          <w:b/>
          <w:bCs/>
        </w:rPr>
        <w:t>Target market</w:t>
      </w:r>
    </w:p>
    <w:p w14:paraId="0A336330" w14:textId="77777777" w:rsidR="00F807A8" w:rsidRPr="00881C3F" w:rsidRDefault="00F807A8" w:rsidP="00F807A8">
      <w:pPr>
        <w:pStyle w:val="CEABullet-Level1"/>
        <w:numPr>
          <w:ilvl w:val="0"/>
          <w:numId w:val="0"/>
        </w:numPr>
        <w:ind w:left="720"/>
        <w:rPr>
          <w:b/>
          <w:bCs/>
          <w:sz w:val="10"/>
          <w:szCs w:val="12"/>
        </w:rPr>
      </w:pPr>
    </w:p>
    <w:p w14:paraId="5F9215A0" w14:textId="1D104F9E" w:rsidR="00676E2C" w:rsidRDefault="00676E2C" w:rsidP="00F807A8">
      <w:pPr>
        <w:spacing w:line="240" w:lineRule="auto"/>
        <w:rPr>
          <w:sz w:val="17"/>
          <w:szCs w:val="17"/>
        </w:rPr>
      </w:pPr>
      <w:r w:rsidRPr="00F807A8">
        <w:rPr>
          <w:sz w:val="17"/>
          <w:szCs w:val="17"/>
        </w:rPr>
        <w:t xml:space="preserve">Insurance Europe was supportive of EIOPA’s approach that insurance undertakings should not be required to consider ESG factors in the product approval process of all insurance products, but only if the insurance product is to be advised or sold to customers with ESG preferences – </w:t>
      </w:r>
      <w:proofErr w:type="spellStart"/>
      <w:r w:rsidRPr="00F807A8">
        <w:rPr>
          <w:sz w:val="17"/>
          <w:szCs w:val="17"/>
        </w:rPr>
        <w:t>ie</w:t>
      </w:r>
      <w:proofErr w:type="spellEnd"/>
      <w:r w:rsidRPr="00F807A8">
        <w:rPr>
          <w:sz w:val="17"/>
          <w:szCs w:val="17"/>
        </w:rPr>
        <w:t xml:space="preserve"> ESG preferences of customers should be considered in the assessment of the target market only with regard to “ESG products”. It is unfortunate that the European Commission has chosen to apply these provisions more broadly. </w:t>
      </w:r>
    </w:p>
    <w:p w14:paraId="15CB2FFA" w14:textId="77777777" w:rsidR="00F807A8" w:rsidRPr="00F807A8" w:rsidRDefault="00F807A8" w:rsidP="00F807A8">
      <w:pPr>
        <w:spacing w:line="240" w:lineRule="auto"/>
        <w:rPr>
          <w:sz w:val="17"/>
          <w:szCs w:val="17"/>
        </w:rPr>
      </w:pPr>
    </w:p>
    <w:p w14:paraId="02547232" w14:textId="17ABE64D" w:rsidR="00676E2C" w:rsidRPr="00F807A8" w:rsidRDefault="00676E2C" w:rsidP="00F807A8">
      <w:pPr>
        <w:spacing w:line="240" w:lineRule="auto"/>
        <w:rPr>
          <w:sz w:val="17"/>
          <w:szCs w:val="17"/>
        </w:rPr>
      </w:pPr>
      <w:r w:rsidRPr="00F807A8">
        <w:rPr>
          <w:sz w:val="17"/>
          <w:szCs w:val="17"/>
        </w:rPr>
        <w:t>Recital 4 of the proposal states “Considering that the target market should be defined at a sufficient</w:t>
      </w:r>
      <w:r w:rsidR="005A4655">
        <w:rPr>
          <w:sz w:val="17"/>
          <w:szCs w:val="17"/>
        </w:rPr>
        <w:t>ly</w:t>
      </w:r>
      <w:r w:rsidRPr="00F807A8">
        <w:rPr>
          <w:sz w:val="17"/>
          <w:szCs w:val="17"/>
        </w:rPr>
        <w:t xml:space="preserve"> granular level, a general statement that an insurance product has a sustainability-related profile should not be sufficient. It should rather be specified by the manufacturers of insurance products to which group of customers with specific sustainability preferences the insurance product is supposed to be distributed.”  </w:t>
      </w:r>
    </w:p>
    <w:p w14:paraId="7CAD9E2F" w14:textId="77777777" w:rsidR="00676E2C" w:rsidRPr="00F807A8" w:rsidRDefault="00676E2C" w:rsidP="00F807A8">
      <w:pPr>
        <w:spacing w:line="240" w:lineRule="auto"/>
        <w:rPr>
          <w:sz w:val="17"/>
          <w:szCs w:val="17"/>
        </w:rPr>
      </w:pPr>
    </w:p>
    <w:p w14:paraId="2B9A6FDB" w14:textId="2EFC398D" w:rsidR="00676E2C" w:rsidRDefault="00676E2C" w:rsidP="00F807A8">
      <w:pPr>
        <w:spacing w:line="240" w:lineRule="auto"/>
        <w:rPr>
          <w:sz w:val="17"/>
          <w:szCs w:val="17"/>
        </w:rPr>
      </w:pPr>
      <w:r w:rsidRPr="00F807A8">
        <w:rPr>
          <w:sz w:val="17"/>
          <w:szCs w:val="17"/>
        </w:rPr>
        <w:t xml:space="preserve">The exact distinctions within sustainability factors that should be made in defining the target market preferences are ambiguous. Sustainability preferences would presumably be defined as “the customer’s or potential customer’s choice as to whether either of the following financial products should be integrated into his or her investment strategy: (a) a financial product that has as its objective sustainable investments […]; (b) a financial product that promotes environmental or social characteristics.’ Article 5 and Recital 4 should be amended to make clear that is what is meant by ‘sufficiently granular level’ while also clarifying that this will only be applicable to products where these considerations are relevant. </w:t>
      </w:r>
    </w:p>
    <w:p w14:paraId="1D38A4C0" w14:textId="77777777" w:rsidR="00F807A8" w:rsidRPr="00F807A8" w:rsidRDefault="00F807A8" w:rsidP="00F807A8">
      <w:pPr>
        <w:spacing w:line="240" w:lineRule="auto"/>
        <w:rPr>
          <w:sz w:val="17"/>
          <w:szCs w:val="17"/>
        </w:rPr>
      </w:pPr>
    </w:p>
    <w:p w14:paraId="5EC1FC00" w14:textId="77777777" w:rsidR="00676E2C" w:rsidRPr="00F807A8" w:rsidRDefault="00676E2C" w:rsidP="00F807A8">
      <w:pPr>
        <w:spacing w:line="240" w:lineRule="auto"/>
        <w:rPr>
          <w:sz w:val="17"/>
          <w:szCs w:val="17"/>
        </w:rPr>
      </w:pPr>
      <w:r w:rsidRPr="00F807A8">
        <w:rPr>
          <w:sz w:val="17"/>
          <w:szCs w:val="17"/>
        </w:rPr>
        <w:t xml:space="preserve">We see significant challenges with including ESG factors in the product approval process, and at this stage we are not sure how this will work in practice. As stated above, Insurers are not required to offer ESG products. For those products that do not have any ESG goals the inclusion of these factors in the product approval process is unhelpful. </w:t>
      </w:r>
    </w:p>
    <w:p w14:paraId="52ED64DD" w14:textId="77777777" w:rsidR="00676E2C" w:rsidRPr="00C14A72" w:rsidRDefault="00676E2C" w:rsidP="00676E2C">
      <w:pPr>
        <w:pStyle w:val="Default"/>
        <w:rPr>
          <w:sz w:val="20"/>
          <w:szCs w:val="20"/>
        </w:rPr>
      </w:pPr>
    </w:p>
    <w:p w14:paraId="78435C75" w14:textId="08DA08D8" w:rsidR="00676E2C" w:rsidRDefault="00676E2C" w:rsidP="00F807A8">
      <w:pPr>
        <w:spacing w:line="240" w:lineRule="auto"/>
        <w:rPr>
          <w:sz w:val="17"/>
          <w:szCs w:val="17"/>
        </w:rPr>
      </w:pPr>
      <w:r w:rsidRPr="00F807A8">
        <w:rPr>
          <w:sz w:val="17"/>
          <w:szCs w:val="17"/>
        </w:rPr>
        <w:t>Tailoring products to meet ESG preferences is appropriate for custom portfolios of High net worth policyholders, however for the mass market and default pension schemes, it is not viable to have a vast number of ESG versions of default funds and for pooled investments it is only possible to have a single ESG approach. A section or statement on a consensus view for ESG default funds would be helpful, with recommendations for self-investment choices to be available outside of the default with varying ESG characteristics.</w:t>
      </w:r>
    </w:p>
    <w:p w14:paraId="2F9201AA" w14:textId="0F569D45" w:rsidR="00F807A8" w:rsidRDefault="00F807A8" w:rsidP="00F807A8">
      <w:pPr>
        <w:spacing w:line="240" w:lineRule="auto"/>
        <w:rPr>
          <w:sz w:val="17"/>
          <w:szCs w:val="17"/>
        </w:rPr>
      </w:pPr>
    </w:p>
    <w:p w14:paraId="08DC10A0" w14:textId="7D767235" w:rsidR="00F807A8" w:rsidRDefault="00F807A8" w:rsidP="00F807A8">
      <w:pPr>
        <w:spacing w:line="240" w:lineRule="auto"/>
        <w:rPr>
          <w:sz w:val="17"/>
          <w:szCs w:val="17"/>
        </w:rPr>
      </w:pPr>
    </w:p>
    <w:p w14:paraId="44086246" w14:textId="77777777" w:rsidR="00F807A8" w:rsidRPr="00F807A8" w:rsidRDefault="00F807A8" w:rsidP="00F807A8">
      <w:pPr>
        <w:spacing w:line="240" w:lineRule="auto"/>
        <w:rPr>
          <w:sz w:val="17"/>
          <w:szCs w:val="17"/>
        </w:rPr>
      </w:pPr>
    </w:p>
    <w:p w14:paraId="4B3EDD1A" w14:textId="77777777" w:rsidR="00676E2C" w:rsidRPr="00C14A72" w:rsidRDefault="00676E2C" w:rsidP="00676E2C">
      <w:pPr>
        <w:pStyle w:val="Default"/>
        <w:rPr>
          <w:sz w:val="20"/>
          <w:szCs w:val="20"/>
        </w:rPr>
      </w:pPr>
    </w:p>
    <w:tbl>
      <w:tblPr>
        <w:tblW w:w="0" w:type="auto"/>
        <w:tblCellMar>
          <w:left w:w="0" w:type="dxa"/>
          <w:right w:w="0" w:type="dxa"/>
        </w:tblCellMar>
        <w:tblLook w:val="04A0" w:firstRow="1" w:lastRow="0" w:firstColumn="1" w:lastColumn="0" w:noHBand="0" w:noVBand="1"/>
      </w:tblPr>
      <w:tblGrid>
        <w:gridCol w:w="9396"/>
      </w:tblGrid>
      <w:tr w:rsidR="00676E2C" w:rsidRPr="00C14A72" w14:paraId="2465E83C" w14:textId="77777777" w:rsidTr="00881C3F">
        <w:trPr>
          <w:trHeight w:val="1681"/>
        </w:trPr>
        <w:tc>
          <w:tcPr>
            <w:tcW w:w="93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53046D" w14:textId="7E09824C" w:rsidR="00676E2C" w:rsidRPr="00F807A8" w:rsidRDefault="00676E2C" w:rsidP="00546876">
            <w:pPr>
              <w:pStyle w:val="default00"/>
              <w:spacing w:line="24" w:lineRule="atLeast"/>
              <w:contextualSpacing/>
              <w:rPr>
                <w:rFonts w:ascii="Verdana" w:hAnsi="Verdana" w:cs="Arial"/>
                <w:sz w:val="17"/>
                <w:szCs w:val="17"/>
                <w:lang w:val="en-US"/>
              </w:rPr>
            </w:pPr>
            <w:r w:rsidRPr="00654E37">
              <w:rPr>
                <w:rFonts w:ascii="Verdana" w:hAnsi="Verdana" w:cs="Arial"/>
                <w:b/>
                <w:bCs/>
                <w:sz w:val="17"/>
                <w:szCs w:val="17"/>
                <w:lang w:val="en-US"/>
              </w:rPr>
              <w:lastRenderedPageBreak/>
              <w:t xml:space="preserve">Article 5 </w:t>
            </w:r>
            <w:r w:rsidR="00654E37">
              <w:rPr>
                <w:rFonts w:ascii="Verdana" w:hAnsi="Verdana" w:cs="Arial"/>
                <w:b/>
                <w:bCs/>
                <w:sz w:val="17"/>
                <w:szCs w:val="17"/>
                <w:lang w:val="en-US"/>
              </w:rPr>
              <w:t xml:space="preserve">of Delegated Regulation </w:t>
            </w:r>
            <w:r w:rsidR="00654E37" w:rsidRPr="00881C3F">
              <w:rPr>
                <w:rFonts w:cstheme="majorHAnsi"/>
                <w:b/>
                <w:bCs/>
                <w:color w:val="000000" w:themeColor="text1"/>
                <w:lang w:val="en-GB"/>
              </w:rPr>
              <w:t xml:space="preserve">(EU) 2017/2358 on </w:t>
            </w:r>
            <w:r w:rsidRPr="00654E37">
              <w:rPr>
                <w:rFonts w:ascii="Verdana" w:hAnsi="Verdana" w:cs="Arial"/>
                <w:b/>
                <w:bCs/>
                <w:sz w:val="17"/>
                <w:szCs w:val="17"/>
                <w:lang w:val="en-US"/>
              </w:rPr>
              <w:t>Target</w:t>
            </w:r>
            <w:r w:rsidRPr="00F807A8">
              <w:rPr>
                <w:rFonts w:ascii="Verdana" w:hAnsi="Verdana" w:cs="Arial"/>
                <w:b/>
                <w:bCs/>
                <w:sz w:val="17"/>
                <w:szCs w:val="17"/>
                <w:lang w:val="en-US"/>
              </w:rPr>
              <w:t xml:space="preserve"> market </w:t>
            </w:r>
          </w:p>
          <w:p w14:paraId="1BDDBB44" w14:textId="77777777" w:rsidR="00676E2C" w:rsidRPr="00F807A8" w:rsidRDefault="00676E2C" w:rsidP="00546876">
            <w:pPr>
              <w:pStyle w:val="default0"/>
              <w:spacing w:before="100" w:beforeAutospacing="1" w:after="100" w:afterAutospacing="1" w:line="24" w:lineRule="atLeast"/>
              <w:contextualSpacing/>
              <w:rPr>
                <w:rFonts w:ascii="Verdana" w:hAnsi="Verdana" w:cs="Arial"/>
                <w:sz w:val="17"/>
                <w:szCs w:val="17"/>
                <w:lang w:val="en-US"/>
              </w:rPr>
            </w:pPr>
            <w:r w:rsidRPr="00F807A8">
              <w:rPr>
                <w:rFonts w:ascii="Verdana" w:hAnsi="Verdana" w:cs="Arial"/>
                <w:sz w:val="17"/>
                <w:szCs w:val="17"/>
                <w:lang w:val="en-US"/>
              </w:rPr>
              <w:t xml:space="preserve">1. The product approval process shall for each insurance product identify the target market and the group of compatible customers. The target market shall be identified at a sufficiently granular level, taking into account the characteristics, risk profile, complexity and nature of the insurance product, as well as </w:t>
            </w:r>
            <w:r w:rsidRPr="00F807A8">
              <w:rPr>
                <w:rFonts w:ascii="Verdana" w:hAnsi="Verdana" w:cs="Arial"/>
                <w:strike/>
                <w:color w:val="FF0000"/>
                <w:sz w:val="17"/>
                <w:szCs w:val="17"/>
                <w:lang w:val="en-US"/>
              </w:rPr>
              <w:t xml:space="preserve">its sustainability factors </w:t>
            </w:r>
            <w:r w:rsidRPr="00F807A8">
              <w:rPr>
                <w:rFonts w:ascii="Verdana" w:hAnsi="Verdana" w:cs="Arial"/>
                <w:i/>
                <w:color w:val="FF0000"/>
                <w:sz w:val="17"/>
                <w:szCs w:val="17"/>
                <w:u w:val="single"/>
                <w:lang w:val="en-US"/>
              </w:rPr>
              <w:t>the sustainable investment objective of the product or its environmental or social characteristics, if any</w:t>
            </w:r>
            <w:r w:rsidRPr="00F807A8">
              <w:rPr>
                <w:rFonts w:ascii="Verdana" w:hAnsi="Verdana" w:cs="Arial"/>
                <w:strike/>
                <w:color w:val="FF0000"/>
                <w:sz w:val="17"/>
                <w:szCs w:val="17"/>
                <w:lang w:val="en-US"/>
              </w:rPr>
              <w:t>, and the consideration of principal adverse impacts on sustainability factors, if any</w:t>
            </w:r>
            <w:r w:rsidRPr="00F807A8">
              <w:rPr>
                <w:rFonts w:ascii="Verdana" w:hAnsi="Verdana" w:cs="Arial"/>
                <w:color w:val="FF0000"/>
                <w:sz w:val="17"/>
                <w:szCs w:val="17"/>
                <w:lang w:val="en-US"/>
              </w:rPr>
              <w:t>.</w:t>
            </w:r>
          </w:p>
        </w:tc>
      </w:tr>
    </w:tbl>
    <w:p w14:paraId="748B190A" w14:textId="77777777" w:rsidR="00676E2C" w:rsidRPr="00C14A72" w:rsidRDefault="00676E2C" w:rsidP="00676E2C">
      <w:pPr>
        <w:spacing w:before="100" w:beforeAutospacing="1" w:after="100" w:afterAutospacing="1" w:line="24" w:lineRule="atLeast"/>
        <w:contextualSpacing/>
        <w:rPr>
          <w:rFonts w:cs="Arial"/>
          <w:szCs w:val="20"/>
          <w:lang w:val="en-US"/>
        </w:rPr>
      </w:pPr>
      <w:r w:rsidRPr="00C14A72">
        <w:rPr>
          <w:rFonts w:cs="Arial"/>
          <w:szCs w:val="20"/>
          <w:lang w:val="en-US"/>
        </w:rPr>
        <w:t> </w:t>
      </w:r>
    </w:p>
    <w:p w14:paraId="174C8D45" w14:textId="77777777" w:rsidR="00676E2C" w:rsidRPr="00F807A8" w:rsidRDefault="00676E2C" w:rsidP="00F807A8">
      <w:pPr>
        <w:pStyle w:val="CEABullet-Level1"/>
        <w:rPr>
          <w:b/>
          <w:bCs/>
        </w:rPr>
      </w:pPr>
      <w:r w:rsidRPr="00F807A8">
        <w:rPr>
          <w:b/>
          <w:bCs/>
        </w:rPr>
        <w:t xml:space="preserve">Further clarifications </w:t>
      </w:r>
    </w:p>
    <w:p w14:paraId="6ED454A0" w14:textId="77777777" w:rsidR="00676E2C" w:rsidRPr="00881C3F" w:rsidRDefault="00676E2C" w:rsidP="00881C3F">
      <w:pPr>
        <w:pStyle w:val="CEABullet-Level1"/>
        <w:numPr>
          <w:ilvl w:val="0"/>
          <w:numId w:val="0"/>
        </w:numPr>
        <w:ind w:left="720"/>
        <w:rPr>
          <w:b/>
          <w:bCs/>
          <w:sz w:val="10"/>
          <w:szCs w:val="12"/>
        </w:rPr>
      </w:pPr>
    </w:p>
    <w:p w14:paraId="62BF5FAE" w14:textId="77777777" w:rsidR="00676E2C" w:rsidRPr="00F807A8" w:rsidRDefault="00676E2C" w:rsidP="00F807A8">
      <w:pPr>
        <w:spacing w:line="240" w:lineRule="auto"/>
        <w:rPr>
          <w:sz w:val="17"/>
          <w:szCs w:val="17"/>
        </w:rPr>
      </w:pPr>
      <w:r w:rsidRPr="00F807A8">
        <w:rPr>
          <w:sz w:val="17"/>
          <w:szCs w:val="17"/>
        </w:rPr>
        <w:t xml:space="preserve">The first draft to amend the rules on the suitability assessment in Delegated Regulation (EU) 2017/2359) with regard to sustainability considerations contained useful clarifications in its recitals which are, however, not included in the current draft. </w:t>
      </w:r>
    </w:p>
    <w:p w14:paraId="62C6833B" w14:textId="77777777" w:rsidR="00676E2C" w:rsidRPr="00F807A8" w:rsidRDefault="00676E2C" w:rsidP="00F807A8">
      <w:pPr>
        <w:spacing w:line="240" w:lineRule="auto"/>
        <w:rPr>
          <w:sz w:val="17"/>
          <w:szCs w:val="17"/>
        </w:rPr>
      </w:pPr>
    </w:p>
    <w:p w14:paraId="74A55349" w14:textId="7A408211" w:rsidR="00676E2C" w:rsidRDefault="00676E2C" w:rsidP="00F807A8">
      <w:pPr>
        <w:spacing w:line="240" w:lineRule="auto"/>
        <w:rPr>
          <w:sz w:val="17"/>
          <w:szCs w:val="17"/>
        </w:rPr>
      </w:pPr>
      <w:r w:rsidRPr="00F807A8">
        <w:rPr>
          <w:sz w:val="17"/>
          <w:szCs w:val="17"/>
        </w:rPr>
        <w:t xml:space="preserve">Recital 6 of the first draft which suggested that in order to avoid mis-selling the sustainability preferences should be addressed after the customer’s other investment objectives. This should be reinstated. </w:t>
      </w:r>
    </w:p>
    <w:p w14:paraId="17CAADCE" w14:textId="77777777" w:rsidR="00F807A8" w:rsidRPr="00F807A8" w:rsidRDefault="00F807A8" w:rsidP="00F807A8">
      <w:pPr>
        <w:spacing w:line="240" w:lineRule="auto"/>
        <w:rPr>
          <w:sz w:val="17"/>
          <w:szCs w:val="17"/>
        </w:rPr>
      </w:pPr>
    </w:p>
    <w:p w14:paraId="49A7CA87" w14:textId="4F8A7508" w:rsidR="009406F7" w:rsidRDefault="00676E2C" w:rsidP="00881C3F">
      <w:pPr>
        <w:spacing w:line="240" w:lineRule="auto"/>
        <w:rPr>
          <w:sz w:val="17"/>
          <w:szCs w:val="17"/>
        </w:rPr>
      </w:pPr>
      <w:r w:rsidRPr="00F807A8">
        <w:rPr>
          <w:sz w:val="17"/>
          <w:szCs w:val="17"/>
        </w:rPr>
        <w:t xml:space="preserve">The explanatory memorandum states </w:t>
      </w:r>
      <w:r w:rsidR="005A4655">
        <w:rPr>
          <w:sz w:val="17"/>
          <w:szCs w:val="17"/>
        </w:rPr>
        <w:t>that a ‘</w:t>
      </w:r>
      <w:r w:rsidRPr="00F807A8">
        <w:rPr>
          <w:sz w:val="17"/>
          <w:szCs w:val="17"/>
        </w:rPr>
        <w:t>new suitability assessment for existing contracts will not be necessary</w:t>
      </w:r>
      <w:r w:rsidR="005A4655">
        <w:rPr>
          <w:sz w:val="17"/>
          <w:szCs w:val="17"/>
        </w:rPr>
        <w:t>’</w:t>
      </w:r>
      <w:r w:rsidRPr="00F807A8">
        <w:rPr>
          <w:sz w:val="17"/>
          <w:szCs w:val="17"/>
        </w:rPr>
        <w:t xml:space="preserve">. It is also stated that, for legal certainty purposes, this would be clarified in the proposal. However, such a clear clarification does not appear in the proposed legislative amendments and should be added. Similarly, Recital 8 of the EIOPA draft provided clarification with regard to existing customers which is missing in the final Delegated Acts despite references to this in the explanatory memorandum. </w:t>
      </w:r>
    </w:p>
    <w:sectPr w:rsidR="009406F7" w:rsidSect="009406F7">
      <w:headerReference w:type="even" r:id="rId13"/>
      <w:headerReference w:type="default" r:id="rId14"/>
      <w:footerReference w:type="even" r:id="rId15"/>
      <w:footerReference w:type="default" r:id="rId16"/>
      <w:headerReference w:type="first" r:id="rId17"/>
      <w:footerReference w:type="first" r:id="rId18"/>
      <w:pgSz w:w="11907" w:h="16839" w:code="9"/>
      <w:pgMar w:top="2410" w:right="907" w:bottom="1253" w:left="1418" w:header="709" w:footer="12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D6D97" w14:textId="77777777" w:rsidR="00BE6E55" w:rsidRDefault="00BE6E55" w:rsidP="0016089A">
      <w:pPr>
        <w:spacing w:line="240" w:lineRule="auto"/>
      </w:pPr>
      <w:r>
        <w:separator/>
      </w:r>
    </w:p>
  </w:endnote>
  <w:endnote w:type="continuationSeparator" w:id="0">
    <w:p w14:paraId="73A2382F" w14:textId="77777777" w:rsidR="00BE6E55" w:rsidRDefault="00BE6E55" w:rsidP="001608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Leelawadee UI Semilight"/>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527F6" w14:textId="77777777" w:rsidR="00CE2D41" w:rsidRDefault="00CE2D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A4166" w14:textId="77777777" w:rsidR="00CF35FD" w:rsidRPr="009406F7" w:rsidRDefault="009406F7" w:rsidP="009406F7">
    <w:pPr>
      <w:framePr w:w="708" w:h="391" w:hRule="exact" w:hSpace="181" w:wrap="around" w:vAnchor="page" w:hAnchor="page" w:x="10320" w:y="16111" w:anchorLock="1"/>
      <w:jc w:val="right"/>
      <w:rPr>
        <w:rFonts w:cs="Tahoma"/>
        <w:color w:val="002957"/>
        <w:sz w:val="18"/>
        <w:szCs w:val="18"/>
      </w:rPr>
    </w:pPr>
    <w:r w:rsidRPr="009406F7">
      <w:rPr>
        <w:rFonts w:cs="Tahoma"/>
        <w:color w:val="002957"/>
        <w:sz w:val="18"/>
        <w:szCs w:val="18"/>
      </w:rPr>
      <w:fldChar w:fldCharType="begin"/>
    </w:r>
    <w:r w:rsidRPr="009406F7">
      <w:rPr>
        <w:rFonts w:cs="Tahoma"/>
        <w:color w:val="002957"/>
        <w:sz w:val="18"/>
        <w:szCs w:val="18"/>
      </w:rPr>
      <w:instrText xml:space="preserve"> PAGE   \* MERGEFORMAT </w:instrText>
    </w:r>
    <w:r w:rsidRPr="009406F7">
      <w:rPr>
        <w:rFonts w:cs="Tahoma"/>
        <w:color w:val="002957"/>
        <w:sz w:val="18"/>
        <w:szCs w:val="18"/>
      </w:rPr>
      <w:fldChar w:fldCharType="separate"/>
    </w:r>
    <w:r>
      <w:rPr>
        <w:rFonts w:cs="Tahoma"/>
        <w:noProof/>
        <w:color w:val="002957"/>
        <w:sz w:val="18"/>
        <w:szCs w:val="18"/>
      </w:rPr>
      <w:t>2</w:t>
    </w:r>
    <w:r w:rsidRPr="009406F7">
      <w:rPr>
        <w:rFonts w:cs="Tahoma"/>
        <w:noProof/>
        <w:color w:val="002957"/>
        <w:sz w:val="18"/>
        <w:szCs w:val="18"/>
      </w:rPr>
      <w:fldChar w:fldCharType="end"/>
    </w:r>
  </w:p>
  <w:p w14:paraId="486BA452" w14:textId="77777777" w:rsidR="00A926FF" w:rsidRPr="0089179F" w:rsidRDefault="004F2F7A" w:rsidP="00CF35FD">
    <w:pPr>
      <w:tabs>
        <w:tab w:val="right" w:pos="10260"/>
      </w:tabs>
      <w:autoSpaceDE w:val="0"/>
      <w:autoSpaceDN w:val="0"/>
      <w:adjustRightInd w:val="0"/>
      <w:ind w:right="23"/>
      <w:jc w:val="right"/>
      <w:textAlignment w:val="center"/>
      <w:rPr>
        <w:color w:val="000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05EB3" w14:textId="77777777" w:rsidR="00646377" w:rsidRPr="00CF35FD" w:rsidRDefault="001C366D" w:rsidP="00931CC2">
    <w:pPr>
      <w:framePr w:w="3958" w:h="981" w:hRule="exact" w:hSpace="181" w:wrap="around" w:vAnchor="page" w:hAnchor="page" w:x="7259" w:y="15418" w:anchorLock="1"/>
      <w:rPr>
        <w:rFonts w:cs="Tahoma"/>
        <w:color w:val="002957"/>
        <w:sz w:val="14"/>
        <w:szCs w:val="14"/>
      </w:rPr>
    </w:pPr>
    <w:r w:rsidRPr="00CF35FD">
      <w:rPr>
        <w:rFonts w:cs="Tahoma"/>
        <w:color w:val="002957"/>
        <w:sz w:val="14"/>
        <w:szCs w:val="14"/>
      </w:rPr>
      <w:t xml:space="preserve">© </w:t>
    </w:r>
    <w:r w:rsidRPr="00CF35FD">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14:paraId="682DE90B" w14:textId="77777777" w:rsidR="008303BF" w:rsidRPr="00CF35FD" w:rsidRDefault="004F2F7A" w:rsidP="00931CC2">
    <w:pPr>
      <w:framePr w:w="3958" w:h="981" w:hRule="exact" w:hSpace="181" w:wrap="around" w:vAnchor="page" w:hAnchor="page" w:x="7259" w:y="15418" w:anchorLock="1"/>
      <w:jc w:val="left"/>
      <w:rPr>
        <w:rFonts w:cs="Tahoma"/>
        <w:b/>
        <w:color w:val="002957"/>
        <w:sz w:val="16"/>
        <w:szCs w:val="16"/>
      </w:rPr>
    </w:pPr>
  </w:p>
  <w:p w14:paraId="44523A1D" w14:textId="6F081ACE" w:rsidR="008303BF" w:rsidRPr="002803C0" w:rsidRDefault="00676E2C" w:rsidP="00FC1F52">
    <w:pPr>
      <w:pStyle w:val="CEAFooterauthorinfo"/>
      <w:ind w:left="708" w:hanging="708"/>
      <w:rPr>
        <w:b w:val="0"/>
        <w:color w:val="002957"/>
        <w:sz w:val="14"/>
        <w:szCs w:val="14"/>
      </w:rPr>
    </w:pPr>
    <w:r>
      <w:rPr>
        <w:b w:val="0"/>
        <w:color w:val="002957"/>
        <w:sz w:val="14"/>
        <w:szCs w:val="14"/>
      </w:rPr>
      <w:t>Conduct of Business Department</w:t>
    </w:r>
    <w:r w:rsidR="001C366D" w:rsidRPr="002803C0">
      <w:rPr>
        <w:b w:val="0"/>
        <w:color w:val="002957"/>
        <w:sz w:val="14"/>
        <w:szCs w:val="14"/>
      </w:rPr>
      <w:t xml:space="preserve"> •</w:t>
    </w:r>
    <w:r w:rsidR="000874EF">
      <w:rPr>
        <w:b w:val="0"/>
        <w:color w:val="002957"/>
        <w:sz w:val="14"/>
        <w:szCs w:val="14"/>
      </w:rPr>
      <w:t xml:space="preserve"> </w:t>
    </w:r>
    <w:r>
      <w:rPr>
        <w:b w:val="0"/>
        <w:color w:val="002957"/>
        <w:sz w:val="14"/>
        <w:szCs w:val="14"/>
      </w:rPr>
      <w:t>Policy Advisor, Conduct of Business</w:t>
    </w:r>
    <w:r w:rsidR="000874EF" w:rsidRPr="002803C0">
      <w:rPr>
        <w:b w:val="0"/>
        <w:color w:val="002957"/>
        <w:sz w:val="14"/>
        <w:szCs w:val="14"/>
      </w:rPr>
      <w:t xml:space="preserve"> </w:t>
    </w:r>
    <w:r w:rsidR="001C366D" w:rsidRPr="002803C0">
      <w:rPr>
        <w:b w:val="0"/>
        <w:color w:val="002957"/>
        <w:sz w:val="14"/>
        <w:szCs w:val="14"/>
      </w:rPr>
      <w:t xml:space="preserve"> </w:t>
    </w:r>
  </w:p>
  <w:p w14:paraId="218C52B0" w14:textId="1F360774" w:rsidR="008303BF" w:rsidRPr="00881C3F" w:rsidRDefault="001C366D" w:rsidP="008303BF">
    <w:pPr>
      <w:pStyle w:val="CEAFooterauthorinfo"/>
      <w:ind w:left="0"/>
      <w:rPr>
        <w:b w:val="0"/>
        <w:color w:val="002957"/>
        <w:sz w:val="14"/>
        <w:szCs w:val="14"/>
        <w:lang w:val="fr-BE"/>
      </w:rPr>
    </w:pPr>
    <w:r w:rsidRPr="00881C3F">
      <w:rPr>
        <w:b w:val="0"/>
        <w:color w:val="002957"/>
        <w:sz w:val="14"/>
        <w:szCs w:val="14"/>
        <w:lang w:val="fr-BE"/>
      </w:rPr>
      <w:t xml:space="preserve">Insurance Europe aisbl </w:t>
    </w:r>
    <w:r w:rsidRPr="00CE6BD9">
      <w:rPr>
        <w:b w:val="0"/>
        <w:color w:val="002957"/>
        <w:sz w:val="14"/>
        <w:szCs w:val="14"/>
        <w:lang w:val="pt-PT"/>
      </w:rPr>
      <w:t>•</w:t>
    </w:r>
    <w:r w:rsidRPr="00881C3F">
      <w:rPr>
        <w:b w:val="0"/>
        <w:color w:val="002957"/>
        <w:sz w:val="14"/>
        <w:szCs w:val="14"/>
        <w:lang w:val="fr-BE"/>
      </w:rPr>
      <w:t xml:space="preserve"> </w:t>
    </w:r>
    <w:r w:rsidR="00676E2C" w:rsidRPr="00881C3F">
      <w:rPr>
        <w:b w:val="0"/>
        <w:color w:val="002957"/>
        <w:sz w:val="14"/>
        <w:szCs w:val="14"/>
        <w:lang w:val="fr-BE"/>
      </w:rPr>
      <w:t>Rue Montoyer 51</w:t>
    </w:r>
    <w:r w:rsidR="006F0606" w:rsidRPr="00881C3F">
      <w:rPr>
        <w:b w:val="0"/>
        <w:color w:val="002957"/>
        <w:sz w:val="14"/>
        <w:szCs w:val="14"/>
        <w:lang w:val="fr-BE"/>
      </w:rPr>
      <w:t xml:space="preserve">, </w:t>
    </w:r>
    <w:r w:rsidR="00676E2C" w:rsidRPr="00881C3F">
      <w:rPr>
        <w:b w:val="0"/>
        <w:color w:val="002957"/>
        <w:sz w:val="14"/>
        <w:szCs w:val="14"/>
        <w:lang w:val="fr-BE"/>
      </w:rPr>
      <w:t>B-1000 Brussels</w:t>
    </w:r>
  </w:p>
  <w:p w14:paraId="1F4CEFD9" w14:textId="6470EB45" w:rsidR="008303BF" w:rsidRDefault="001C366D" w:rsidP="008303BF">
    <w:pPr>
      <w:pStyle w:val="CEAFooterauthorinfo"/>
      <w:ind w:left="0"/>
      <w:rPr>
        <w:b w:val="0"/>
        <w:color w:val="002957"/>
        <w:sz w:val="14"/>
        <w:szCs w:val="14"/>
        <w:lang w:val="pt-PT"/>
      </w:rPr>
    </w:pPr>
    <w:r w:rsidRPr="00CE6BD9">
      <w:rPr>
        <w:b w:val="0"/>
        <w:color w:val="002957"/>
        <w:sz w:val="14"/>
        <w:szCs w:val="14"/>
        <w:lang w:val="pt-PT"/>
      </w:rPr>
      <w:t>Tel:</w:t>
    </w:r>
    <w:r w:rsidR="000874EF">
      <w:rPr>
        <w:b w:val="0"/>
        <w:color w:val="002957"/>
        <w:sz w:val="14"/>
        <w:szCs w:val="14"/>
        <w:lang w:val="pt-PT"/>
      </w:rPr>
      <w:t xml:space="preserve"> </w:t>
    </w:r>
    <w:r w:rsidR="00676E2C">
      <w:rPr>
        <w:b w:val="0"/>
        <w:color w:val="002957"/>
        <w:sz w:val="14"/>
        <w:szCs w:val="14"/>
        <w:lang w:val="pt-PT"/>
      </w:rPr>
      <w:t>+32 2 894 30 53</w:t>
    </w:r>
    <w:r w:rsidR="000874EF">
      <w:rPr>
        <w:b w:val="0"/>
        <w:color w:val="002957"/>
        <w:sz w:val="14"/>
        <w:szCs w:val="14"/>
        <w:lang w:val="pt-PT"/>
      </w:rPr>
      <w:t xml:space="preserve">  • E-mail: </w:t>
    </w:r>
    <w:r w:rsidR="00676E2C">
      <w:rPr>
        <w:b w:val="0"/>
        <w:color w:val="002957"/>
        <w:sz w:val="14"/>
        <w:szCs w:val="14"/>
        <w:lang w:val="pt-PT"/>
      </w:rPr>
      <w:t>coles@insuranceeurope.eu</w:t>
    </w:r>
  </w:p>
  <w:p w14:paraId="659A1D5D" w14:textId="77777777" w:rsidR="00CE2D41" w:rsidRDefault="00CE2D41" w:rsidP="008303BF">
    <w:pPr>
      <w:pStyle w:val="CEAFooterauthorinfo"/>
      <w:ind w:left="0"/>
      <w:rPr>
        <w:b w:val="0"/>
        <w:color w:val="002957"/>
        <w:sz w:val="14"/>
        <w:szCs w:val="14"/>
        <w:lang w:val="pt-PT"/>
      </w:rPr>
    </w:pPr>
  </w:p>
  <w:p w14:paraId="64656834" w14:textId="77777777" w:rsidR="000D7957" w:rsidRPr="00954F9B" w:rsidRDefault="000D7957" w:rsidP="008303BF">
    <w:pPr>
      <w:pStyle w:val="CEAFooterauthorinfo"/>
      <w:ind w:left="0"/>
      <w:rPr>
        <w:rFonts w:cs="Frutiger LT Std 55 Roman"/>
        <w:b w:val="0"/>
        <w:color w:val="82C55B"/>
        <w:sz w:val="14"/>
        <w:szCs w:val="14"/>
        <w:lang w:val="pt-PT"/>
      </w:rPr>
    </w:pPr>
    <w:r w:rsidRPr="00954F9B">
      <w:rPr>
        <w:rFonts w:cs="Frutiger LT Std 55 Roman"/>
        <w:b w:val="0"/>
        <w:color w:val="82C55B"/>
        <w:sz w:val="14"/>
        <w:szCs w:val="14"/>
        <w:lang w:val="pt-PT"/>
      </w:rPr>
      <w:t>www.insuranceeurope.eu</w:t>
    </w:r>
  </w:p>
  <w:p w14:paraId="215B708E" w14:textId="77777777" w:rsidR="008303BF" w:rsidRPr="00730E61" w:rsidRDefault="004F2F7A">
    <w:pPr>
      <w:pStyle w:val="Pta"/>
      <w:rPr>
        <w:color w:val="002957"/>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9AD02" w14:textId="77777777" w:rsidR="00BE6E55" w:rsidRDefault="00BE6E55" w:rsidP="0016089A">
      <w:pPr>
        <w:spacing w:line="240" w:lineRule="auto"/>
      </w:pPr>
      <w:r>
        <w:separator/>
      </w:r>
    </w:p>
  </w:footnote>
  <w:footnote w:type="continuationSeparator" w:id="0">
    <w:p w14:paraId="446F131F" w14:textId="77777777" w:rsidR="00BE6E55" w:rsidRDefault="00BE6E55" w:rsidP="001608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6C5B3" w14:textId="77777777" w:rsidR="00CE2D41" w:rsidRDefault="00CE2D4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52882" w14:textId="77777777" w:rsidR="00AE797B" w:rsidRPr="000846C0" w:rsidRDefault="004F2F7A" w:rsidP="000846C0">
    <w:pPr>
      <w:pStyle w:val="Noparagraphstyle"/>
      <w:jc w:val="right"/>
      <w:rPr>
        <w:sz w:val="18"/>
        <w:szCs w:val="18"/>
      </w:rPr>
    </w:pPr>
  </w:p>
  <w:p w14:paraId="3D6FA7F1" w14:textId="77777777" w:rsidR="00AE797B" w:rsidRPr="00CE6BD9" w:rsidRDefault="001C366D" w:rsidP="000846C0">
    <w:pPr>
      <w:pStyle w:val="Noparagraphstyle"/>
      <w:jc w:val="right"/>
      <w:rPr>
        <w:rFonts w:ascii="Arial" w:hAnsi="Arial" w:cs="Arial"/>
        <w:i/>
        <w:iCs/>
        <w:color w:val="034EA2"/>
      </w:rPr>
    </w:pPr>
    <w:r>
      <w:tab/>
    </w:r>
  </w:p>
  <w:p w14:paraId="7F8AA289" w14:textId="77777777" w:rsidR="00AE797B" w:rsidRDefault="001C366D" w:rsidP="005C0D74">
    <w:pPr>
      <w:pStyle w:val="Hlavika"/>
      <w:tabs>
        <w:tab w:val="clear" w:pos="4320"/>
        <w:tab w:val="clear" w:pos="8640"/>
        <w:tab w:val="center" w:pos="0"/>
        <w:tab w:val="right" w:pos="10440"/>
      </w:tabs>
      <w:jc w:val="right"/>
      <w:rPr>
        <w:b/>
        <w:color w:val="034EA2"/>
        <w:sz w:val="40"/>
        <w:szCs w:val="40"/>
      </w:rPr>
    </w:pPr>
    <w:r w:rsidRPr="00763D6E">
      <w:rPr>
        <w:b/>
        <w:noProof/>
        <w:sz w:val="40"/>
        <w:szCs w:val="40"/>
        <w:lang w:val="fr-BE" w:eastAsia="fr-BE"/>
      </w:rPr>
      <w:drawing>
        <wp:anchor distT="0" distB="0" distL="114300" distR="114300" simplePos="0" relativeHeight="251660288" behindDoc="0" locked="0" layoutInCell="1" allowOverlap="1" wp14:anchorId="42212B25" wp14:editId="0D81137F">
          <wp:simplePos x="0" y="0"/>
          <wp:positionH relativeFrom="page">
            <wp:posOffset>521970</wp:posOffset>
          </wp:positionH>
          <wp:positionV relativeFrom="page">
            <wp:posOffset>521970</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Pr="005C0D74">
      <w:rPr>
        <w:b/>
        <w:color w:val="034EA2"/>
        <w:sz w:val="28"/>
        <w:szCs w:val="28"/>
      </w:rPr>
      <w:t xml:space="preserve"> </w:t>
    </w:r>
  </w:p>
  <w:p w14:paraId="048A67BF" w14:textId="77777777" w:rsidR="00AE797B" w:rsidRDefault="004F2F7A" w:rsidP="00665E76">
    <w:pPr>
      <w:pStyle w:val="Noparagraphsty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D10E9" w14:textId="77777777" w:rsidR="00732B64" w:rsidRPr="00CE615B" w:rsidRDefault="001C366D" w:rsidP="00732B64">
    <w:pPr>
      <w:pStyle w:val="Noparagraphstyle"/>
      <w:tabs>
        <w:tab w:val="left" w:pos="-1800"/>
      </w:tabs>
      <w:jc w:val="right"/>
      <w:rPr>
        <w:rFonts w:ascii="Verdana" w:hAnsi="Verdana"/>
        <w:sz w:val="22"/>
        <w:szCs w:val="22"/>
      </w:rPr>
    </w:pPr>
    <w:r w:rsidRPr="00CE615B">
      <w:rPr>
        <w:rFonts w:ascii="Verdana" w:hAnsi="Verdana"/>
        <w:sz w:val="18"/>
        <w:szCs w:val="18"/>
      </w:rPr>
      <w:br/>
    </w:r>
  </w:p>
  <w:p w14:paraId="163E9875" w14:textId="77777777" w:rsidR="00CF35FD" w:rsidRPr="00730E61" w:rsidRDefault="002E16F6" w:rsidP="00732B64">
    <w:pPr>
      <w:pStyle w:val="Noparagraphstyle"/>
      <w:tabs>
        <w:tab w:val="left" w:pos="-1800"/>
      </w:tabs>
      <w:jc w:val="right"/>
      <w:rPr>
        <w:rFonts w:ascii="Verdana" w:hAnsi="Verdana"/>
        <w:color w:val="002957"/>
        <w:sz w:val="36"/>
        <w:szCs w:val="36"/>
      </w:rPr>
    </w:pPr>
    <w:r w:rsidRPr="00730E61">
      <w:rPr>
        <w:rFonts w:ascii="Verdana" w:hAnsi="Verdana"/>
        <w:color w:val="002957"/>
        <w:sz w:val="36"/>
        <w:szCs w:val="36"/>
      </w:rPr>
      <w:t>Memo for</w:t>
    </w:r>
  </w:p>
  <w:p w14:paraId="7A6B83DC" w14:textId="77777777" w:rsidR="00732B64" w:rsidRPr="00CF35FD" w:rsidRDefault="001C366D" w:rsidP="003A3206">
    <w:pPr>
      <w:pStyle w:val="CEADocumentTitle"/>
      <w:tabs>
        <w:tab w:val="clear" w:pos="10440"/>
      </w:tabs>
      <w:spacing w:line="240" w:lineRule="auto"/>
      <w:rPr>
        <w:b w:val="0"/>
        <w:color w:val="002957"/>
        <w:sz w:val="36"/>
        <w:szCs w:val="36"/>
      </w:rPr>
    </w:pPr>
    <w:r w:rsidRPr="00763D6E">
      <w:rPr>
        <w:b w:val="0"/>
        <w:color w:val="auto"/>
        <w:sz w:val="36"/>
        <w:szCs w:val="36"/>
      </w:rPr>
      <w:tab/>
    </w:r>
    <w:sdt>
      <w:sdtPr>
        <w:rPr>
          <w:b w:val="0"/>
          <w:color w:val="002957"/>
          <w:sz w:val="36"/>
          <w:szCs w:val="36"/>
        </w:rPr>
        <w:alias w:val="Type of memo"/>
        <w:tag w:val="Type_x0020_of_x0020_memo"/>
        <w:id w:val="1058216501"/>
        <w:placeholder>
          <w:docPart w:val="12F649FA024F494A84593278DEC39629"/>
        </w:placeholder>
        <w:dataBinding w:prefixMappings="xmlns:ns0='http://schemas.microsoft.com/office/2006/metadata/properties' xmlns:ns1='http://www.w3.org/2001/XMLSchema-instance' xmlns:ns2='http://schemas.microsoft.com/office/infopath/2007/PartnerControls' xmlns:ns3='d113e6c9-68c2-4198-bb3a-f8ecf571e120' xmlns:ns4='e0da4f5e-37e5-4fce-b2cf-d2352e4e27d6' " w:xpath="/ns0:properties[1]/documentManagement[1]/ns3:Type_x0020_of_x0020_memo[1]" w:storeItemID="{16BE8AC2-BC04-484A-AE5F-6753D3DE5469}"/>
        <w:dropDownList>
          <w:listItem w:value="[Type of memo]"/>
        </w:dropDownList>
      </w:sdtPr>
      <w:sdtEndPr/>
      <w:sdtContent>
        <w:r w:rsidR="00A77B2B" w:rsidRPr="00730E61">
          <w:rPr>
            <w:b w:val="0"/>
            <w:color w:val="002957"/>
            <w:sz w:val="36"/>
            <w:szCs w:val="36"/>
          </w:rPr>
          <w:t>action</w:t>
        </w:r>
      </w:sdtContent>
    </w:sdt>
    <w:r w:rsidRPr="00CF35FD">
      <w:rPr>
        <w:b w:val="0"/>
        <w:color w:val="002957"/>
        <w:sz w:val="36"/>
        <w:szCs w:val="36"/>
        <w:lang w:val="fr-BE" w:eastAsia="fr-BE"/>
      </w:rPr>
      <w:drawing>
        <wp:anchor distT="0" distB="0" distL="114300" distR="114300" simplePos="0" relativeHeight="251659264" behindDoc="0" locked="0" layoutInCell="1" allowOverlap="1" wp14:anchorId="73A57463" wp14:editId="2D6EE75D">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14:paraId="09AE9A71" w14:textId="5AFEAFD3" w:rsidR="009C515F" w:rsidRDefault="009C515F" w:rsidP="009C515F">
    <w:pPr>
      <w:jc w:val="right"/>
      <w:rPr>
        <w:b/>
        <w:i/>
        <w:color w:val="002957"/>
        <w:sz w:val="32"/>
        <w:szCs w:val="32"/>
      </w:rPr>
    </w:pPr>
    <w:r>
      <w:rPr>
        <w:b/>
        <w:color w:val="002957"/>
        <w:sz w:val="36"/>
        <w:szCs w:val="36"/>
      </w:rPr>
      <w:t xml:space="preserve"> </w:t>
    </w:r>
  </w:p>
  <w:p w14:paraId="0A679CEC" w14:textId="77777777" w:rsidR="00732B64" w:rsidRPr="009C515F" w:rsidRDefault="004F2F7A" w:rsidP="00732B64">
    <w:pPr>
      <w:pStyle w:val="CEADocumentTitle"/>
      <w:tabs>
        <w:tab w:val="clear" w:pos="10440"/>
      </w:tabs>
      <w:rPr>
        <w:b w:val="0"/>
        <w:color w:val="002957"/>
        <w:sz w:val="36"/>
        <w:szCs w:val="36"/>
      </w:rPr>
    </w:pPr>
  </w:p>
  <w:p w14:paraId="43FBC23B" w14:textId="77777777" w:rsidR="00732B64" w:rsidRPr="00CE6BD9" w:rsidRDefault="004F2F7A" w:rsidP="00732B64">
    <w:pPr>
      <w:pStyle w:val="BodyText-CEA"/>
      <w:jc w:val="left"/>
    </w:pPr>
    <w:bookmarkStart w:id="0" w:name="Draft1st"/>
    <w:bookmarkStart w:id="1" w:name="Header"/>
    <w:bookmarkEnd w:id="0"/>
  </w:p>
  <w:tbl>
    <w:tblPr>
      <w:tblW w:w="0" w:type="auto"/>
      <w:tblInd w:w="-1026" w:type="dxa"/>
      <w:tblLook w:val="04A0" w:firstRow="1" w:lastRow="0" w:firstColumn="1" w:lastColumn="0" w:noHBand="0" w:noVBand="1"/>
    </w:tblPr>
    <w:tblGrid>
      <w:gridCol w:w="1012"/>
      <w:gridCol w:w="9596"/>
    </w:tblGrid>
    <w:tr w:rsidR="00732B64" w14:paraId="2E651B3E" w14:textId="77777777" w:rsidTr="00A05835">
      <w:trPr>
        <w:trHeight w:val="289"/>
      </w:trPr>
      <w:tc>
        <w:tcPr>
          <w:tcW w:w="992" w:type="dxa"/>
        </w:tcPr>
        <w:p w14:paraId="2C5729A0" w14:textId="77777777" w:rsidR="00732B64" w:rsidRPr="00CE6BD9" w:rsidRDefault="001C366D" w:rsidP="00A05835">
          <w:pPr>
            <w:pStyle w:val="CEALabel"/>
            <w:rPr>
              <w:b w:val="0"/>
              <w:color w:val="002957"/>
              <w:sz w:val="17"/>
              <w:szCs w:val="17"/>
            </w:rPr>
          </w:pPr>
          <w:r w:rsidRPr="00CE6BD9">
            <w:rPr>
              <w:b w:val="0"/>
              <w:color w:val="002957"/>
              <w:sz w:val="17"/>
              <w:szCs w:val="17"/>
            </w:rPr>
            <w:t>To:</w:t>
          </w:r>
        </w:p>
      </w:tc>
      <w:tc>
        <w:tcPr>
          <w:tcW w:w="9837" w:type="dxa"/>
        </w:tcPr>
        <w:p w14:paraId="26E4B0F3" w14:textId="09980F22" w:rsidR="00732B64" w:rsidRPr="001D1C85" w:rsidRDefault="00676E2C" w:rsidP="00A87BE2">
          <w:pPr>
            <w:jc w:val="left"/>
            <w:rPr>
              <w:color w:val="002957"/>
              <w:sz w:val="17"/>
              <w:szCs w:val="17"/>
            </w:rPr>
          </w:pPr>
          <w:r>
            <w:rPr>
              <w:color w:val="002957"/>
              <w:sz w:val="17"/>
              <w:szCs w:val="17"/>
            </w:rPr>
            <w:t>Distribution PG</w:t>
          </w:r>
        </w:p>
      </w:tc>
    </w:tr>
    <w:tr w:rsidR="00732B64" w14:paraId="64A0ACF1" w14:textId="77777777" w:rsidTr="00A05835">
      <w:trPr>
        <w:trHeight w:hRule="exact" w:val="288"/>
      </w:trPr>
      <w:tc>
        <w:tcPr>
          <w:tcW w:w="992" w:type="dxa"/>
          <w:vAlign w:val="center"/>
        </w:tcPr>
        <w:p w14:paraId="77D2DF81" w14:textId="77777777" w:rsidR="00732B64" w:rsidRPr="00CE6BD9" w:rsidRDefault="001C366D" w:rsidP="00A05835">
          <w:pPr>
            <w:pStyle w:val="CEALabel"/>
            <w:rPr>
              <w:b w:val="0"/>
              <w:color w:val="002957"/>
              <w:sz w:val="17"/>
              <w:szCs w:val="17"/>
            </w:rPr>
          </w:pPr>
          <w:r w:rsidRPr="00CE6BD9">
            <w:rPr>
              <w:b w:val="0"/>
              <w:color w:val="002957"/>
              <w:sz w:val="17"/>
              <w:szCs w:val="17"/>
            </w:rPr>
            <w:t>From:</w:t>
          </w:r>
        </w:p>
      </w:tc>
      <w:tc>
        <w:tcPr>
          <w:tcW w:w="9837" w:type="dxa"/>
        </w:tcPr>
        <w:p w14:paraId="6FD54ABA" w14:textId="1056CCE1" w:rsidR="00732B64" w:rsidRPr="001D1C85" w:rsidRDefault="00676E2C" w:rsidP="00C22B0F">
          <w:pPr>
            <w:tabs>
              <w:tab w:val="left" w:pos="1755"/>
            </w:tabs>
            <w:jc w:val="left"/>
            <w:rPr>
              <w:color w:val="002957"/>
              <w:sz w:val="17"/>
              <w:szCs w:val="17"/>
            </w:rPr>
          </w:pPr>
          <w:r>
            <w:rPr>
              <w:color w:val="002957"/>
              <w:sz w:val="17"/>
              <w:szCs w:val="17"/>
            </w:rPr>
            <w:t>Conduct of Business Department</w:t>
          </w:r>
          <w:bookmarkStart w:id="2" w:name="AuthSep"/>
          <w:bookmarkEnd w:id="2"/>
          <w:r w:rsidR="00A87BE2" w:rsidRPr="001D1C85">
            <w:rPr>
              <w:color w:val="002957"/>
              <w:sz w:val="17"/>
              <w:szCs w:val="17"/>
            </w:rPr>
            <w:t xml:space="preserve"> </w:t>
          </w:r>
        </w:p>
      </w:tc>
    </w:tr>
    <w:tr w:rsidR="00EF7C50" w14:paraId="3C4D05FE" w14:textId="77777777" w:rsidTr="00A05835">
      <w:trPr>
        <w:trHeight w:hRule="exact" w:val="288"/>
      </w:trPr>
      <w:tc>
        <w:tcPr>
          <w:tcW w:w="992" w:type="dxa"/>
          <w:vAlign w:val="center"/>
        </w:tcPr>
        <w:p w14:paraId="03177EA2" w14:textId="741C4011" w:rsidR="00EF7C50" w:rsidRPr="00CE6BD9" w:rsidRDefault="004F2F7A" w:rsidP="00A05835">
          <w:pPr>
            <w:pStyle w:val="CEALabel"/>
            <w:rPr>
              <w:b w:val="0"/>
              <w:color w:val="002957"/>
              <w:sz w:val="17"/>
              <w:szCs w:val="17"/>
            </w:rPr>
          </w:pPr>
        </w:p>
      </w:tc>
      <w:tc>
        <w:tcPr>
          <w:tcW w:w="9837" w:type="dxa"/>
        </w:tcPr>
        <w:p w14:paraId="3761C19A" w14:textId="6CFE9F7D" w:rsidR="00EF7C50" w:rsidRPr="001D1C85" w:rsidRDefault="00A87BE2" w:rsidP="00A87BE2">
          <w:pPr>
            <w:jc w:val="left"/>
            <w:rPr>
              <w:color w:val="002957"/>
              <w:sz w:val="17"/>
              <w:szCs w:val="17"/>
            </w:rPr>
          </w:pPr>
          <w:r w:rsidRPr="001D1C85">
            <w:rPr>
              <w:color w:val="002957"/>
              <w:sz w:val="17"/>
              <w:szCs w:val="17"/>
            </w:rPr>
            <w:t xml:space="preserve"> </w:t>
          </w:r>
        </w:p>
      </w:tc>
    </w:tr>
    <w:tr w:rsidR="00732B64" w14:paraId="6F2368FB" w14:textId="77777777" w:rsidTr="00A05835">
      <w:trPr>
        <w:trHeight w:hRule="exact" w:val="288"/>
      </w:trPr>
      <w:tc>
        <w:tcPr>
          <w:tcW w:w="992" w:type="dxa"/>
          <w:vAlign w:val="center"/>
        </w:tcPr>
        <w:p w14:paraId="71EBB1F8" w14:textId="77777777" w:rsidR="00732B64" w:rsidRPr="00CE6BD9" w:rsidRDefault="001C366D" w:rsidP="00A05835">
          <w:pPr>
            <w:pStyle w:val="CEALabel"/>
            <w:rPr>
              <w:b w:val="0"/>
              <w:color w:val="002957"/>
              <w:sz w:val="17"/>
              <w:szCs w:val="17"/>
            </w:rPr>
          </w:pPr>
          <w:r w:rsidRPr="00CE6BD9">
            <w:rPr>
              <w:b w:val="0"/>
              <w:color w:val="002957"/>
              <w:sz w:val="17"/>
              <w:szCs w:val="17"/>
            </w:rPr>
            <w:t>Date:</w:t>
          </w:r>
        </w:p>
      </w:tc>
      <w:tc>
        <w:tcPr>
          <w:tcW w:w="9837" w:type="dxa"/>
        </w:tcPr>
        <w:p w14:paraId="7A1768FB" w14:textId="4085186B" w:rsidR="00732B64" w:rsidRPr="001D1C85" w:rsidRDefault="004F2F7A" w:rsidP="00B60C64">
          <w:pPr>
            <w:jc w:val="left"/>
            <w:rPr>
              <w:color w:val="002957"/>
              <w:sz w:val="17"/>
              <w:szCs w:val="17"/>
            </w:rPr>
          </w:pPr>
          <w:sdt>
            <w:sdtPr>
              <w:rPr>
                <w:color w:val="002957"/>
                <w:sz w:val="17"/>
                <w:szCs w:val="17"/>
              </w:rPr>
              <w:alias w:val="Document Date"/>
              <w:tag w:val="Document_x0020_Date"/>
              <w:id w:val="-1787430870"/>
              <w:placeholder>
                <w:docPart w:val="F69F608D0C2C4430ADD14AC7D9D55FCD"/>
              </w:placeholder>
              <w:dataBinding w:prefixMappings="xmlns:ns0='http://schemas.microsoft.com/office/2006/metadata/properties' xmlns:ns1='http://www.w3.org/2001/XMLSchema-instance' xmlns:ns2='http://schemas.microsoft.com/office/infopath/2007/PartnerControls' xmlns:ns3='d113e6c9-68c2-4198-bb3a-f8ecf571e120' xmlns:ns4='2cf4c643-76e1-4123-a2fd-a3aedb3c16df' xmlns:ns5='http://schemas.microsoft.com/sharepoint/v3/fields' " w:xpath="/ns0:properties[1]/documentManagement[1]/ns3:Document_x0020_Date[1]" w:storeItemID="{16BE8AC2-BC04-484A-AE5F-6753D3DE5469}"/>
              <w:text/>
            </w:sdtPr>
            <w:sdtEndPr/>
            <w:sdtContent>
              <w:r w:rsidR="00676E2C">
                <w:rPr>
                  <w:color w:val="002957"/>
                  <w:sz w:val="17"/>
                  <w:szCs w:val="17"/>
                </w:rPr>
                <w:t>15-06-2020</w:t>
              </w:r>
            </w:sdtContent>
          </w:sdt>
        </w:p>
      </w:tc>
    </w:tr>
    <w:tr w:rsidR="00732B64" w14:paraId="6A44E207" w14:textId="77777777" w:rsidTr="00A05835">
      <w:trPr>
        <w:trHeight w:hRule="exact" w:val="288"/>
      </w:trPr>
      <w:tc>
        <w:tcPr>
          <w:tcW w:w="992" w:type="dxa"/>
          <w:vAlign w:val="center"/>
        </w:tcPr>
        <w:p w14:paraId="3C7F5281" w14:textId="77777777" w:rsidR="00732B64" w:rsidRPr="00CE6BD9" w:rsidRDefault="001C366D" w:rsidP="00A05835">
          <w:pPr>
            <w:pStyle w:val="CEALabel"/>
            <w:rPr>
              <w:b w:val="0"/>
              <w:color w:val="002957"/>
              <w:sz w:val="17"/>
              <w:szCs w:val="17"/>
            </w:rPr>
          </w:pPr>
          <w:r w:rsidRPr="00CE6BD9">
            <w:rPr>
              <w:b w:val="0"/>
              <w:color w:val="002957"/>
              <w:sz w:val="17"/>
              <w:szCs w:val="17"/>
            </w:rPr>
            <w:t>Reference:</w:t>
          </w:r>
        </w:p>
      </w:tc>
      <w:tc>
        <w:tcPr>
          <w:tcW w:w="9837" w:type="dxa"/>
        </w:tcPr>
        <w:p w14:paraId="7B8CF94C" w14:textId="2CF7DBAB" w:rsidR="00732B64" w:rsidRPr="001D1C85" w:rsidRDefault="004F2F7A" w:rsidP="0029625B">
          <w:pPr>
            <w:jc w:val="left"/>
            <w:rPr>
              <w:color w:val="002957"/>
              <w:sz w:val="17"/>
              <w:szCs w:val="17"/>
            </w:rPr>
          </w:pPr>
          <w:sdt>
            <w:sdtPr>
              <w:rPr>
                <w:color w:val="002957"/>
                <w:sz w:val="17"/>
                <w:szCs w:val="17"/>
              </w:rPr>
              <w:alias w:val="Reference"/>
              <w:tag w:val="Reference"/>
              <w:id w:val="314001295"/>
              <w:placeholder>
                <w:docPart w:val="89164C105DEA40BE829A7FAA4D12F94B"/>
              </w:placeholder>
              <w:dataBinding w:prefixMappings="xmlns:ns0='http://schemas.microsoft.com/office/2006/metadata/properties' xmlns:ns1='http://www.w3.org/2001/XMLSchema-instance' xmlns:ns2='http://schemas.microsoft.com/office/infopath/2007/PartnerControls' xmlns:ns3='d113e6c9-68c2-4198-bb3a-f8ecf571e120' xmlns:ns4='b806e272-cee1-4f9c-a03e-da69a8eb5e4e' " w:xpath="/ns0:properties[1]/documentManagement[1]/ns3:Reference[1]" w:storeItemID="{16BE8AC2-BC04-484A-AE5F-6753D3DE5469}"/>
              <w:text/>
            </w:sdtPr>
            <w:sdtEndPr/>
            <w:sdtContent>
              <w:r w:rsidR="00676E2C">
                <w:rPr>
                  <w:color w:val="002957"/>
                  <w:sz w:val="17"/>
                  <w:szCs w:val="17"/>
                </w:rPr>
                <w:t>COB-DIS-20</w:t>
              </w:r>
            </w:sdtContent>
          </w:sdt>
        </w:p>
      </w:tc>
    </w:tr>
    <w:tr w:rsidR="00732B64" w14:paraId="188F5489" w14:textId="77777777" w:rsidTr="00A05835">
      <w:trPr>
        <w:trHeight w:hRule="exact" w:val="288"/>
      </w:trPr>
      <w:tc>
        <w:tcPr>
          <w:tcW w:w="992" w:type="dxa"/>
          <w:vAlign w:val="center"/>
        </w:tcPr>
        <w:p w14:paraId="6FA00579" w14:textId="77777777" w:rsidR="00732B64" w:rsidRPr="00CE6BD9" w:rsidRDefault="004F2F7A" w:rsidP="00A05835">
          <w:pPr>
            <w:pStyle w:val="CEALabel"/>
            <w:rPr>
              <w:b w:val="0"/>
              <w:color w:val="002957"/>
              <w:sz w:val="17"/>
              <w:szCs w:val="17"/>
            </w:rPr>
          </w:pPr>
        </w:p>
      </w:tc>
      <w:tc>
        <w:tcPr>
          <w:tcW w:w="9837" w:type="dxa"/>
        </w:tcPr>
        <w:p w14:paraId="68FEF87A" w14:textId="77777777" w:rsidR="00732B64" w:rsidRPr="001D1C85" w:rsidRDefault="004F2F7A" w:rsidP="00164083">
          <w:pPr>
            <w:jc w:val="left"/>
            <w:rPr>
              <w:color w:val="002957"/>
              <w:sz w:val="17"/>
              <w:szCs w:val="17"/>
            </w:rPr>
          </w:pPr>
        </w:p>
      </w:tc>
    </w:tr>
    <w:tr w:rsidR="00732B64" w14:paraId="1B22ADC7" w14:textId="77777777" w:rsidTr="00A05835">
      <w:trPr>
        <w:trHeight w:hRule="exact" w:val="288"/>
      </w:trPr>
      <w:tc>
        <w:tcPr>
          <w:tcW w:w="992" w:type="dxa"/>
          <w:vAlign w:val="center"/>
        </w:tcPr>
        <w:p w14:paraId="4DAADB0B" w14:textId="77777777" w:rsidR="00732B64" w:rsidRPr="00CE6BD9" w:rsidRDefault="001C366D" w:rsidP="00A05835">
          <w:pPr>
            <w:pStyle w:val="CEALabel"/>
            <w:rPr>
              <w:b w:val="0"/>
              <w:color w:val="002957"/>
              <w:sz w:val="17"/>
              <w:szCs w:val="17"/>
            </w:rPr>
          </w:pPr>
          <w:r w:rsidRPr="00CE6BD9">
            <w:rPr>
              <w:b w:val="0"/>
              <w:color w:val="002957"/>
              <w:sz w:val="17"/>
              <w:szCs w:val="17"/>
            </w:rPr>
            <w:t>Subject:</w:t>
          </w:r>
        </w:p>
      </w:tc>
      <w:tc>
        <w:tcPr>
          <w:tcW w:w="9837" w:type="dxa"/>
        </w:tcPr>
        <w:p w14:paraId="2EA21594" w14:textId="59A756C8" w:rsidR="00732B64" w:rsidRPr="00CE6BD9" w:rsidRDefault="004F2F7A" w:rsidP="0029625B">
          <w:pPr>
            <w:pStyle w:val="CEASubjectLine"/>
            <w:jc w:val="left"/>
            <w:rPr>
              <w:b w:val="0"/>
              <w:color w:val="002957"/>
              <w:sz w:val="17"/>
              <w:szCs w:val="17"/>
            </w:rPr>
          </w:pPr>
          <w:sdt>
            <w:sdtPr>
              <w:rPr>
                <w:b w:val="0"/>
                <w:color w:val="002957"/>
                <w:sz w:val="17"/>
                <w:szCs w:val="17"/>
              </w:rPr>
              <w:alias w:val="Title"/>
              <w:tag w:val=""/>
              <w:id w:val="1845366650"/>
              <w:placeholder>
                <w:docPart w:val="584EF38CAE9A4F80AF2F6FA01859F6AD"/>
              </w:placeholder>
              <w:dataBinding w:prefixMappings="xmlns:ns0='http://purl.org/dc/elements/1.1/' xmlns:ns1='http://schemas.openxmlformats.org/package/2006/metadata/core-properties' " w:xpath="/ns1:coreProperties[1]/ns0:title[1]" w:storeItemID="{6C3C8BC8-F283-45AE-878A-BAB7291924A1}"/>
              <w:text/>
            </w:sdtPr>
            <w:sdtEndPr/>
            <w:sdtContent>
              <w:r w:rsidR="00676E2C">
                <w:rPr>
                  <w:b w:val="0"/>
                  <w:color w:val="002957"/>
                  <w:sz w:val="17"/>
                  <w:szCs w:val="17"/>
                </w:rPr>
                <w:t>Input Requested - 1st Draft Response on IDD ESG DAs</w:t>
              </w:r>
            </w:sdtContent>
          </w:sdt>
          <w:bookmarkEnd w:id="1"/>
        </w:p>
      </w:tc>
    </w:tr>
  </w:tbl>
  <w:p w14:paraId="1C716B0F" w14:textId="77777777" w:rsidR="00732B64" w:rsidRPr="00CE6BD9" w:rsidRDefault="004F2F7A" w:rsidP="00732B64">
    <w:pPr>
      <w:pStyle w:val="Noparagraphstyle"/>
      <w:rPr>
        <w:rFonts w:ascii="Verdana" w:hAnsi="Verdana" w:cs="Arial"/>
        <w:i/>
        <w:iCs/>
        <w:color w:val="034EA2"/>
      </w:rPr>
    </w:pPr>
  </w:p>
  <w:p w14:paraId="4624E807" w14:textId="77777777" w:rsidR="00732B64" w:rsidRDefault="004F2F7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9" type="#_x0000_t75" style="width:11.25pt;height:11.25pt" o:bullet="t">
        <v:imagedata r:id="rId1" o:title="CEA - Bullets Rounded Squares_BulletLevel1_forMS"/>
      </v:shape>
    </w:pict>
  </w:numPicBullet>
  <w:numPicBullet w:numPicBulletId="1">
    <w:pict>
      <v:shape id="_x0000_i1210" type="#_x0000_t75" style="width:7.5pt;height:7.5pt" o:bullet="t">
        <v:imagedata r:id="rId2" o:title="CEA - Bullets Rounded Squares_BulletLevel2_forMS"/>
      </v:shape>
    </w:pict>
  </w:numPicBullet>
  <w:numPicBullet w:numPicBulletId="2">
    <w:pict>
      <v:shape id="_x0000_i1211" type="#_x0000_t75" style="width:9pt;height:9pt" o:bullet="t">
        <v:imagedata r:id="rId3" o:title="CEA - Bullets Rounded Squares_BulletLevel3_forMS"/>
      </v:shape>
    </w:pict>
  </w:numPicBullet>
  <w:abstractNum w:abstractNumId="0" w15:restartNumberingAfterBreak="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15:restartNumberingAfterBreak="0">
    <w:nsid w:val="17D3FFA7"/>
    <w:multiLevelType w:val="hybridMultilevel"/>
    <w:tmpl w:val="433085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3" w15:restartNumberingAfterBreak="0">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735"/>
    <w:rsid w:val="00036662"/>
    <w:rsid w:val="00065170"/>
    <w:rsid w:val="000874EF"/>
    <w:rsid w:val="000D7957"/>
    <w:rsid w:val="0016089A"/>
    <w:rsid w:val="001A7050"/>
    <w:rsid w:val="001C366D"/>
    <w:rsid w:val="002E16F6"/>
    <w:rsid w:val="00312ECE"/>
    <w:rsid w:val="003D7BCE"/>
    <w:rsid w:val="00425286"/>
    <w:rsid w:val="00440FEE"/>
    <w:rsid w:val="004C1A27"/>
    <w:rsid w:val="004E6023"/>
    <w:rsid w:val="004F2F7A"/>
    <w:rsid w:val="005A4655"/>
    <w:rsid w:val="005B1678"/>
    <w:rsid w:val="005C7563"/>
    <w:rsid w:val="005E189A"/>
    <w:rsid w:val="005F70A9"/>
    <w:rsid w:val="00637932"/>
    <w:rsid w:val="00654E37"/>
    <w:rsid w:val="00676E2C"/>
    <w:rsid w:val="006D68B8"/>
    <w:rsid w:val="006F0606"/>
    <w:rsid w:val="00730E61"/>
    <w:rsid w:val="0082235C"/>
    <w:rsid w:val="0083203B"/>
    <w:rsid w:val="00836D1B"/>
    <w:rsid w:val="00881C3F"/>
    <w:rsid w:val="008C7DEE"/>
    <w:rsid w:val="008D30B5"/>
    <w:rsid w:val="008E697F"/>
    <w:rsid w:val="009406F7"/>
    <w:rsid w:val="00954F9B"/>
    <w:rsid w:val="009771DD"/>
    <w:rsid w:val="0097768E"/>
    <w:rsid w:val="009870D9"/>
    <w:rsid w:val="009A7505"/>
    <w:rsid w:val="009C515F"/>
    <w:rsid w:val="009C6FD1"/>
    <w:rsid w:val="009F424A"/>
    <w:rsid w:val="00A5434D"/>
    <w:rsid w:val="00A63735"/>
    <w:rsid w:val="00A77B2B"/>
    <w:rsid w:val="00A87BE2"/>
    <w:rsid w:val="00B60C64"/>
    <w:rsid w:val="00B74C8A"/>
    <w:rsid w:val="00BD707B"/>
    <w:rsid w:val="00BE697C"/>
    <w:rsid w:val="00BE6E55"/>
    <w:rsid w:val="00BF3499"/>
    <w:rsid w:val="00BF6346"/>
    <w:rsid w:val="00C22B0F"/>
    <w:rsid w:val="00C24DDB"/>
    <w:rsid w:val="00C765D8"/>
    <w:rsid w:val="00C9321B"/>
    <w:rsid w:val="00CE2D41"/>
    <w:rsid w:val="00CE5F22"/>
    <w:rsid w:val="00D01071"/>
    <w:rsid w:val="00E822CD"/>
    <w:rsid w:val="00ED6DE9"/>
    <w:rsid w:val="00F05AEF"/>
    <w:rsid w:val="00F70E3A"/>
    <w:rsid w:val="00F807A8"/>
    <w:rsid w:val="00F8705B"/>
    <w:rsid w:val="00FC1F52"/>
    <w:rsid w:val="00FD44C7"/>
    <w:rsid w:val="00FF5C1A"/>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D76FB"/>
  <w15:docId w15:val="{2546BD31-8894-4E0A-8B07-F50ACDE6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6089A"/>
    <w:pPr>
      <w:tabs>
        <w:tab w:val="center" w:pos="4320"/>
        <w:tab w:val="right" w:pos="8640"/>
      </w:tabs>
    </w:pPr>
  </w:style>
  <w:style w:type="character" w:customStyle="1" w:styleId="HlavikaChar">
    <w:name w:val="Hlavička Char"/>
    <w:basedOn w:val="Predvolenpsmoodseku"/>
    <w:link w:val="Hlavika"/>
    <w:semiHidden/>
    <w:rsid w:val="0016089A"/>
    <w:rPr>
      <w:rFonts w:ascii="Verdana" w:eastAsia="Times New Roman" w:hAnsi="Verdana" w:cs="Times New Roman"/>
      <w:sz w:val="20"/>
      <w:szCs w:val="24"/>
      <w:lang w:val="en-GB"/>
    </w:rPr>
  </w:style>
  <w:style w:type="paragraph" w:styleId="Pta">
    <w:name w:val="footer"/>
    <w:basedOn w:val="Normlny"/>
    <w:link w:val="PtaChar"/>
    <w:semiHidden/>
    <w:rsid w:val="0016089A"/>
    <w:pPr>
      <w:tabs>
        <w:tab w:val="center" w:pos="4320"/>
        <w:tab w:val="right" w:pos="8640"/>
      </w:tabs>
    </w:pPr>
  </w:style>
  <w:style w:type="character" w:customStyle="1" w:styleId="PtaChar">
    <w:name w:val="Päta Char"/>
    <w:basedOn w:val="Predvolenpsmoodseku"/>
    <w:link w:val="Pta"/>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16089A"/>
  </w:style>
  <w:style w:type="paragraph" w:customStyle="1" w:styleId="BodyText-CEA">
    <w:name w:val="Body Text - CEA"/>
    <w:basedOn w:val="Normlny"/>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Zstupntext">
    <w:name w:val="Placeholder Text"/>
    <w:basedOn w:val="Predvolenpsmoodseku"/>
    <w:uiPriority w:val="99"/>
    <w:semiHidden/>
    <w:rsid w:val="0016089A"/>
    <w:rPr>
      <w:color w:val="808080"/>
    </w:rPr>
  </w:style>
  <w:style w:type="paragraph" w:customStyle="1" w:styleId="CEADraft">
    <w:name w:val="CEA Draft"/>
    <w:basedOn w:val="Normlny"/>
    <w:semiHidden/>
    <w:qFormat/>
    <w:rsid w:val="0016089A"/>
    <w:pPr>
      <w:jc w:val="right"/>
    </w:pPr>
    <w:rPr>
      <w:rFonts w:cs="Arial"/>
      <w:b/>
      <w:color w:val="034EA2"/>
      <w:sz w:val="32"/>
      <w:szCs w:val="40"/>
    </w:rPr>
  </w:style>
  <w:style w:type="paragraph" w:customStyle="1" w:styleId="CEAFooterauthorinfo">
    <w:name w:val="CEA Footer (author info)"/>
    <w:basedOn w:val="Normlny"/>
    <w:semiHidden/>
    <w:qFormat/>
    <w:rsid w:val="0016089A"/>
    <w:pPr>
      <w:autoSpaceDE w:val="0"/>
      <w:autoSpaceDN w:val="0"/>
      <w:adjustRightInd w:val="0"/>
      <w:ind w:left="546"/>
      <w:textAlignment w:val="center"/>
    </w:pPr>
    <w:rPr>
      <w:rFonts w:cs="Arial"/>
      <w:b/>
      <w:color w:val="034EA2"/>
      <w:sz w:val="16"/>
      <w:szCs w:val="16"/>
    </w:rPr>
  </w:style>
  <w:style w:type="paragraph" w:customStyle="1" w:styleId="CEALabel">
    <w:name w:val="CEA Label"/>
    <w:basedOn w:val="Normlny"/>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lny"/>
    <w:semiHidden/>
    <w:qFormat/>
    <w:rsid w:val="0016089A"/>
    <w:rPr>
      <w:rFonts w:cs="Arial"/>
      <w:b/>
      <w:szCs w:val="20"/>
    </w:rPr>
  </w:style>
  <w:style w:type="paragraph" w:customStyle="1" w:styleId="CEADocumentTitle">
    <w:name w:val="CEA Document Title"/>
    <w:basedOn w:val="Hlavika"/>
    <w:semiHidden/>
    <w:qFormat/>
    <w:rsid w:val="0016089A"/>
    <w:pPr>
      <w:tabs>
        <w:tab w:val="clear" w:pos="4320"/>
        <w:tab w:val="clear" w:pos="8640"/>
        <w:tab w:val="center" w:pos="0"/>
        <w:tab w:val="right" w:pos="10440"/>
      </w:tabs>
      <w:jc w:val="right"/>
    </w:pPr>
    <w:rPr>
      <w:b/>
      <w:noProof/>
      <w:color w:val="034EA2"/>
      <w:sz w:val="40"/>
      <w:szCs w:val="40"/>
      <w:lang w:eastAsia="nl-NL"/>
    </w:rPr>
  </w:style>
  <w:style w:type="paragraph" w:customStyle="1" w:styleId="CEAStandardHeading">
    <w:name w:val="CEA Standard Heading"/>
    <w:basedOn w:val="Normlny"/>
    <w:qFormat/>
    <w:rsid w:val="0016089A"/>
    <w:pPr>
      <w:autoSpaceDE w:val="0"/>
      <w:autoSpaceDN w:val="0"/>
      <w:adjustRightInd w:val="0"/>
      <w:textAlignment w:val="center"/>
    </w:pPr>
    <w:rPr>
      <w:rFonts w:cs="Arial"/>
      <w:color w:val="002957"/>
      <w:szCs w:val="22"/>
    </w:rPr>
  </w:style>
  <w:style w:type="paragraph" w:styleId="Textbubliny">
    <w:name w:val="Balloon Text"/>
    <w:basedOn w:val="Normlny"/>
    <w:link w:val="TextbublinyChar"/>
    <w:uiPriority w:val="99"/>
    <w:semiHidden/>
    <w:unhideWhenUsed/>
    <w:rsid w:val="0016089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089A"/>
    <w:rPr>
      <w:rFonts w:ascii="Tahoma" w:eastAsia="Times New Roman" w:hAnsi="Tahoma" w:cs="Tahoma"/>
      <w:sz w:val="16"/>
      <w:szCs w:val="16"/>
      <w:lang w:val="en-GB"/>
    </w:rPr>
  </w:style>
  <w:style w:type="paragraph" w:customStyle="1" w:styleId="CEABullet-Level1">
    <w:name w:val="CEA Bullet - Level 1"/>
    <w:basedOn w:val="Normlny"/>
    <w:qFormat/>
    <w:rsid w:val="00425286"/>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lny"/>
    <w:qFormat/>
    <w:rsid w:val="00425286"/>
    <w:pPr>
      <w:numPr>
        <w:numId w:val="2"/>
      </w:numPr>
    </w:pPr>
  </w:style>
  <w:style w:type="paragraph" w:customStyle="1" w:styleId="CEABullet-Level3">
    <w:name w:val="CEA Bullet - Level 3"/>
    <w:basedOn w:val="Normlny"/>
    <w:qFormat/>
    <w:rsid w:val="00425286"/>
    <w:pPr>
      <w:numPr>
        <w:numId w:val="3"/>
      </w:numPr>
      <w:autoSpaceDE w:val="0"/>
      <w:autoSpaceDN w:val="0"/>
      <w:adjustRightInd w:val="0"/>
    </w:pPr>
    <w:rPr>
      <w:rFonts w:cs="Frutiger LT Std 45 Light"/>
      <w:color w:val="000000"/>
      <w:sz w:val="17"/>
      <w:szCs w:val="20"/>
    </w:rPr>
  </w:style>
  <w:style w:type="paragraph" w:customStyle="1" w:styleId="CEADirectorGeneral">
    <w:name w:val="CEA Director General"/>
    <w:basedOn w:val="Normlny"/>
    <w:semiHidden/>
    <w:qFormat/>
    <w:rsid w:val="00425286"/>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425286"/>
    <w:pPr>
      <w:jc w:val="right"/>
    </w:pPr>
    <w:rPr>
      <w:rFonts w:cs="Frutiger LT Std 55 Roman"/>
      <w:b/>
      <w:color w:val="0032FF"/>
      <w:sz w:val="40"/>
      <w:szCs w:val="40"/>
    </w:rPr>
  </w:style>
  <w:style w:type="paragraph" w:customStyle="1" w:styleId="CEAFootnote">
    <w:name w:val="CEA Footnote"/>
    <w:basedOn w:val="Normlny"/>
    <w:semiHidden/>
    <w:qFormat/>
    <w:rsid w:val="00425286"/>
    <w:pPr>
      <w:spacing w:line="240" w:lineRule="auto"/>
    </w:pPr>
    <w:rPr>
      <w:sz w:val="16"/>
    </w:rPr>
  </w:style>
  <w:style w:type="character" w:customStyle="1" w:styleId="CEAGraphTitle">
    <w:name w:val="CEA Graph Title"/>
    <w:uiPriority w:val="1"/>
    <w:qFormat/>
    <w:rsid w:val="00425286"/>
    <w:rPr>
      <w:rFonts w:ascii="Verdana" w:hAnsi="Verdana"/>
      <w:smallCaps w:val="0"/>
      <w:sz w:val="19"/>
      <w:lang w:val="en-GB"/>
    </w:rPr>
  </w:style>
  <w:style w:type="character" w:customStyle="1" w:styleId="CEAGraphX">
    <w:name w:val="CEA Graph X"/>
    <w:uiPriority w:val="1"/>
    <w:qFormat/>
    <w:rsid w:val="00425286"/>
    <w:rPr>
      <w:rFonts w:ascii="Verdana" w:hAnsi="Verdana"/>
      <w:smallCaps/>
      <w:sz w:val="19"/>
      <w:lang w:val="en-GB"/>
    </w:rPr>
  </w:style>
  <w:style w:type="paragraph" w:customStyle="1" w:styleId="CEAPositionPaperTitle">
    <w:name w:val="CEA Position Paper Title"/>
    <w:basedOn w:val="Normlny"/>
    <w:semiHidden/>
    <w:qFormat/>
    <w:rsid w:val="00425286"/>
    <w:pPr>
      <w:ind w:left="-27"/>
    </w:pPr>
    <w:rPr>
      <w:b/>
      <w:color w:val="034EA2"/>
      <w:sz w:val="32"/>
      <w:szCs w:val="32"/>
    </w:rPr>
  </w:style>
  <w:style w:type="paragraph" w:customStyle="1" w:styleId="CEAPressReleaseSubtitle">
    <w:name w:val="CEA Press Release Subtitle"/>
    <w:basedOn w:val="Normlny"/>
    <w:semiHidden/>
    <w:qFormat/>
    <w:rsid w:val="00425286"/>
    <w:rPr>
      <w:sz w:val="22"/>
      <w:szCs w:val="22"/>
    </w:rPr>
  </w:style>
  <w:style w:type="paragraph" w:customStyle="1" w:styleId="CEAPressReleaseTitle">
    <w:name w:val="CEA Press Release Title"/>
    <w:basedOn w:val="Normlny"/>
    <w:semiHidden/>
    <w:qFormat/>
    <w:rsid w:val="00425286"/>
    <w:pPr>
      <w:autoSpaceDE w:val="0"/>
      <w:autoSpaceDN w:val="0"/>
      <w:adjustRightInd w:val="0"/>
      <w:spacing w:line="240" w:lineRule="auto"/>
    </w:pPr>
    <w:rPr>
      <w:rFonts w:ascii="Frutiger LT Com 45 Light" w:hAnsi="Frutiger LT Com 45 Light"/>
      <w:b/>
      <w:color w:val="034EA2"/>
      <w:sz w:val="36"/>
      <w:szCs w:val="36"/>
    </w:rPr>
  </w:style>
  <w:style w:type="character" w:styleId="Hypertextovprepojenie">
    <w:name w:val="Hyperlink"/>
    <w:basedOn w:val="Predvolenpsmoodseku"/>
    <w:uiPriority w:val="99"/>
    <w:unhideWhenUsed/>
    <w:rsid w:val="00676E2C"/>
    <w:rPr>
      <w:color w:val="0000FF" w:themeColor="hyperlink"/>
      <w:u w:val="single"/>
    </w:rPr>
  </w:style>
  <w:style w:type="character" w:styleId="Nevyrieenzmienka">
    <w:name w:val="Unresolved Mention"/>
    <w:basedOn w:val="Predvolenpsmoodseku"/>
    <w:uiPriority w:val="99"/>
    <w:semiHidden/>
    <w:unhideWhenUsed/>
    <w:rsid w:val="00676E2C"/>
    <w:rPr>
      <w:color w:val="605E5C"/>
      <w:shd w:val="clear" w:color="auto" w:fill="E1DFDD"/>
    </w:rPr>
  </w:style>
  <w:style w:type="character" w:styleId="PouitHypertextovPrepojenie">
    <w:name w:val="FollowedHyperlink"/>
    <w:basedOn w:val="Predvolenpsmoodseku"/>
    <w:uiPriority w:val="99"/>
    <w:semiHidden/>
    <w:unhideWhenUsed/>
    <w:rsid w:val="00676E2C"/>
    <w:rPr>
      <w:color w:val="800080" w:themeColor="followedHyperlink"/>
      <w:u w:val="single"/>
    </w:rPr>
  </w:style>
  <w:style w:type="paragraph" w:customStyle="1" w:styleId="Default">
    <w:name w:val="Default"/>
    <w:rsid w:val="00676E2C"/>
    <w:pPr>
      <w:autoSpaceDE w:val="0"/>
      <w:autoSpaceDN w:val="0"/>
      <w:adjustRightInd w:val="0"/>
      <w:spacing w:after="0" w:line="240" w:lineRule="auto"/>
    </w:pPr>
    <w:rPr>
      <w:rFonts w:ascii="Verdana" w:hAnsi="Verdana" w:cs="Verdana"/>
      <w:color w:val="000000"/>
      <w:sz w:val="24"/>
      <w:szCs w:val="24"/>
      <w:lang w:val="en-GB"/>
    </w:rPr>
  </w:style>
  <w:style w:type="paragraph" w:styleId="Textkomentra">
    <w:name w:val="annotation text"/>
    <w:basedOn w:val="Normlny"/>
    <w:link w:val="TextkomentraChar"/>
    <w:uiPriority w:val="99"/>
    <w:semiHidden/>
    <w:unhideWhenUsed/>
    <w:rsid w:val="00676E2C"/>
    <w:pPr>
      <w:spacing w:line="240" w:lineRule="auto"/>
    </w:pPr>
    <w:rPr>
      <w:szCs w:val="20"/>
    </w:rPr>
  </w:style>
  <w:style w:type="character" w:customStyle="1" w:styleId="TextkomentraChar">
    <w:name w:val="Text komentára Char"/>
    <w:basedOn w:val="Predvolenpsmoodseku"/>
    <w:link w:val="Textkomentra"/>
    <w:uiPriority w:val="99"/>
    <w:semiHidden/>
    <w:rsid w:val="00676E2C"/>
    <w:rPr>
      <w:rFonts w:ascii="Verdana" w:eastAsia="Times New Roman" w:hAnsi="Verdana" w:cs="Times New Roman"/>
      <w:sz w:val="20"/>
      <w:szCs w:val="20"/>
      <w:lang w:val="en-GB"/>
    </w:rPr>
  </w:style>
  <w:style w:type="paragraph" w:customStyle="1" w:styleId="default0">
    <w:name w:val="default"/>
    <w:basedOn w:val="Normlny"/>
    <w:rsid w:val="00676E2C"/>
    <w:pPr>
      <w:autoSpaceDE w:val="0"/>
      <w:autoSpaceDN w:val="0"/>
      <w:spacing w:line="240" w:lineRule="auto"/>
      <w:jc w:val="left"/>
    </w:pPr>
    <w:rPr>
      <w:rFonts w:ascii="Times New Roman" w:eastAsiaTheme="minorHAnsi" w:hAnsi="Times New Roman"/>
      <w:color w:val="000000"/>
      <w:sz w:val="24"/>
      <w:lang w:val="fr-FR" w:eastAsia="fr-FR"/>
    </w:rPr>
  </w:style>
  <w:style w:type="paragraph" w:customStyle="1" w:styleId="default00">
    <w:name w:val="default0"/>
    <w:basedOn w:val="Normlny"/>
    <w:rsid w:val="00676E2C"/>
    <w:pPr>
      <w:spacing w:before="100" w:beforeAutospacing="1" w:after="100" w:afterAutospacing="1" w:line="240" w:lineRule="auto"/>
      <w:jc w:val="left"/>
    </w:pPr>
    <w:rPr>
      <w:rFonts w:ascii="Calibri" w:eastAsiaTheme="minorHAnsi" w:hAnsi="Calibri" w:cs="Calibri"/>
      <w:sz w:val="22"/>
      <w:szCs w:val="22"/>
      <w:lang w:val="fr-FR" w:eastAsia="fr-FR"/>
    </w:rPr>
  </w:style>
  <w:style w:type="paragraph" w:styleId="Bezriadkovania">
    <w:name w:val="No Spacing"/>
    <w:uiPriority w:val="1"/>
    <w:qFormat/>
    <w:rsid w:val="00676E2C"/>
    <w:pPr>
      <w:spacing w:after="0" w:line="240" w:lineRule="auto"/>
      <w:jc w:val="both"/>
    </w:pPr>
    <w:rPr>
      <w:rFonts w:ascii="Verdana" w:eastAsia="Times New Roman" w:hAnsi="Verdana"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873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xtranet.insuranceeurope.eu/Distribution%20PG/PublishedDocuments/ECO-LTI-19-018.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tranet.insuranceeurope.eu/Distribution%20PG/PublishedDocuments/COB-DIS-20-007.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9164C105DEA40BE829A7FAA4D12F94B"/>
        <w:category>
          <w:name w:val="General"/>
          <w:gallery w:val="placeholder"/>
        </w:category>
        <w:types>
          <w:type w:val="bbPlcHdr"/>
        </w:types>
        <w:behaviors>
          <w:behavior w:val="content"/>
        </w:behaviors>
        <w:guid w:val="{C10F8ED5-D29A-4F85-BFF6-CA4EC1CF0D20}"/>
      </w:docPartPr>
      <w:docPartBody>
        <w:p w:rsidR="00D92B7A" w:rsidRDefault="005F6EC7" w:rsidP="005F6EC7">
          <w:pPr>
            <w:pStyle w:val="89164C105DEA40BE829A7FAA4D12F94B"/>
          </w:pPr>
          <w:r w:rsidRPr="00714930">
            <w:rPr>
              <w:rStyle w:val="Zstupntext"/>
            </w:rPr>
            <w:t>[Document Date]</w:t>
          </w:r>
        </w:p>
      </w:docPartBody>
    </w:docPart>
    <w:docPart>
      <w:docPartPr>
        <w:name w:val="584EF38CAE9A4F80AF2F6FA01859F6AD"/>
        <w:category>
          <w:name w:val="General"/>
          <w:gallery w:val="placeholder"/>
        </w:category>
        <w:types>
          <w:type w:val="bbPlcHdr"/>
        </w:types>
        <w:behaviors>
          <w:behavior w:val="content"/>
        </w:behaviors>
        <w:guid w:val="{728CBCCC-8DFB-4F0E-A3A0-D9B9750E4ED6}"/>
      </w:docPartPr>
      <w:docPartBody>
        <w:p w:rsidR="00D92B7A" w:rsidRDefault="005F6EC7" w:rsidP="005F6EC7">
          <w:pPr>
            <w:pStyle w:val="584EF38CAE9A4F80AF2F6FA01859F6AD"/>
          </w:pPr>
          <w:r w:rsidRPr="00714930">
            <w:rPr>
              <w:rStyle w:val="Zstupntext"/>
            </w:rPr>
            <w:t>[Reference]</w:t>
          </w:r>
        </w:p>
      </w:docPartBody>
    </w:docPart>
    <w:docPart>
      <w:docPartPr>
        <w:name w:val="12F649FA024F494A84593278DEC39629"/>
        <w:category>
          <w:name w:val="General"/>
          <w:gallery w:val="placeholder"/>
        </w:category>
        <w:types>
          <w:type w:val="bbPlcHdr"/>
        </w:types>
        <w:behaviors>
          <w:behavior w:val="content"/>
        </w:behaviors>
        <w:guid w:val="{1BDA2BDC-8C9F-456B-984D-86F05CC9D819}"/>
      </w:docPartPr>
      <w:docPartBody>
        <w:p w:rsidR="00DF362A" w:rsidRDefault="008C581B">
          <w:r w:rsidRPr="005E60B9">
            <w:rPr>
              <w:rStyle w:val="Zstupntext"/>
            </w:rPr>
            <w:t>[Type of memo]</w:t>
          </w:r>
        </w:p>
      </w:docPartBody>
    </w:docPart>
    <w:docPart>
      <w:docPartPr>
        <w:name w:val="F69F608D0C2C4430ADD14AC7D9D55FCD"/>
        <w:category>
          <w:name w:val="General"/>
          <w:gallery w:val="placeholder"/>
        </w:category>
        <w:types>
          <w:type w:val="bbPlcHdr"/>
        </w:types>
        <w:behaviors>
          <w:behavior w:val="content"/>
        </w:behaviors>
        <w:guid w:val="{F758992C-F3FD-416F-8491-8FDFB225D034}"/>
      </w:docPartPr>
      <w:docPartBody>
        <w:p w:rsidR="0025136D" w:rsidRDefault="00CE18CD">
          <w:r w:rsidRPr="00207097">
            <w:rPr>
              <w:rStyle w:val="Zstupntext"/>
            </w:rPr>
            <w:t>[Document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Leelawadee UI Semilight"/>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EC7"/>
    <w:rsid w:val="00070455"/>
    <w:rsid w:val="000C72E8"/>
    <w:rsid w:val="00157260"/>
    <w:rsid w:val="0025136D"/>
    <w:rsid w:val="002F3188"/>
    <w:rsid w:val="00341B8D"/>
    <w:rsid w:val="005F6EC7"/>
    <w:rsid w:val="006704B4"/>
    <w:rsid w:val="00810417"/>
    <w:rsid w:val="008900A2"/>
    <w:rsid w:val="008C581B"/>
    <w:rsid w:val="00925F9C"/>
    <w:rsid w:val="00931FEF"/>
    <w:rsid w:val="009C2D5E"/>
    <w:rsid w:val="00A33A87"/>
    <w:rsid w:val="00A638E5"/>
    <w:rsid w:val="00B17031"/>
    <w:rsid w:val="00B4295B"/>
    <w:rsid w:val="00C96AA8"/>
    <w:rsid w:val="00CE18CD"/>
    <w:rsid w:val="00D92B7A"/>
    <w:rsid w:val="00DD3CE1"/>
    <w:rsid w:val="00DF362A"/>
    <w:rsid w:val="00EF3787"/>
    <w:rsid w:val="00F674CA"/>
    <w:rsid w:val="00F85B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E18CD"/>
    <w:rPr>
      <w:color w:val="808080"/>
    </w:rPr>
  </w:style>
  <w:style w:type="paragraph" w:customStyle="1" w:styleId="A76E347B004D4ADE88FA498075F946F3">
    <w:name w:val="A76E347B004D4ADE88FA498075F946F3"/>
    <w:rsid w:val="005F6EC7"/>
  </w:style>
  <w:style w:type="paragraph" w:customStyle="1" w:styleId="89164C105DEA40BE829A7FAA4D12F94B">
    <w:name w:val="89164C105DEA40BE829A7FAA4D12F94B"/>
    <w:rsid w:val="005F6EC7"/>
  </w:style>
  <w:style w:type="paragraph" w:customStyle="1" w:styleId="584EF38CAE9A4F80AF2F6FA01859F6AD">
    <w:name w:val="584EF38CAE9A4F80AF2F6FA01859F6AD"/>
    <w:rsid w:val="005F6EC7"/>
  </w:style>
  <w:style w:type="paragraph" w:customStyle="1" w:styleId="6442B7B8354F4769A48DF92CA6B84260">
    <w:name w:val="6442B7B8354F4769A48DF92CA6B84260"/>
    <w:rsid w:val="005F6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F4E0F9BE1094429A9B4C495C57985E" ma:contentTypeVersion="2" ma:contentTypeDescription="Create a new document." ma:contentTypeScope="" ma:versionID="5bc4388df332367b785170d95732621a">
  <xsd:schema xmlns:xsd="http://www.w3.org/2001/XMLSchema" xmlns:xs="http://www.w3.org/2001/XMLSchema" xmlns:p="http://schemas.microsoft.com/office/2006/metadata/properties" targetNamespace="http://schemas.microsoft.com/office/2006/metadata/properties" ma:root="true" ma:fieldsID="7a5149d8299a2db1c0c0ab1eee83fd7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543F7-D990-4A6E-8CB8-19DE2D01605D}">
  <ds:schemaRefs>
    <ds:schemaRef ds:uri="http://schemas.microsoft.com/sharepoint/v3/contenttype/forms"/>
  </ds:schemaRefs>
</ds:datastoreItem>
</file>

<file path=customXml/itemProps2.xml><?xml version="1.0" encoding="utf-8"?>
<ds:datastoreItem xmlns:ds="http://schemas.openxmlformats.org/officeDocument/2006/customXml" ds:itemID="{16BE8AC2-BC04-484A-AE5F-6753D3DE5469}">
  <ds:schemaRefs>
    <ds:schemaRef ds:uri="http://www.w3.org/XML/1998/namespace"/>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E58C33B-E2DC-4D8D-8127-FDDC22921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4EDB7C-7872-4302-BE7D-66F02A5EF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2248</Words>
  <Characters>12819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Input Requested - 1st Draft Response on IDD ESG DAs</vt:lpstr>
    </vt:vector>
  </TitlesOfParts>
  <Company>Insurance Europe</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Input Requested - 1st Draft Response on IDD ESG DAs</dc:title>
  <dc:creator>Insurance Europe</dc:creator>
  <cp:lastModifiedBy>Jurkovičová Monika</cp:lastModifiedBy>
  <cp:revision>2</cp:revision>
  <dcterms:created xsi:type="dcterms:W3CDTF">2020-06-17T09:12:00Z</dcterms:created>
  <dcterms:modified xsi:type="dcterms:W3CDTF">2020-06-17T09:12:00Z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0x010100D5F4E0F9BE1094429A9B4C495C57985E</vt:lpwstr>
  </property>
  <property fmtid="{D5CDD505-2E9C-101B-9397-08002B2CF9AE}" pid="3" name="Can be edited">
    <vt:bool>true</vt:bool>
  </property>
  <property fmtid="{D5CDD505-2E9C-101B-9397-08002B2CF9AE}" pid="4" name="Type of document">
    <vt:lpwstr>Memo</vt:lpwstr>
  </property>
  <property fmtid="{D5CDD505-2E9C-101B-9397-08002B2CF9AE}" pid="5" name="isAnnex">
    <vt:lpwstr>False</vt:lpwstr>
  </property>
  <property fmtid="{D5CDD505-2E9C-101B-9397-08002B2CF9AE}" pid="6" name="Validated">
    <vt:bool>false</vt:bool>
  </property>
  <property fmtid="{D5CDD505-2E9C-101B-9397-08002B2CF9AE}" pid="7" name="Deadline">
    <vt:filetime>2020-06-24T10:00:00Z</vt:filetime>
  </property>
  <property fmtid="{D5CDD505-2E9C-101B-9397-08002B2CF9AE}" pid="8" name="Display validated documents library button">
    <vt:bool>true</vt:bool>
  </property>
  <property fmtid="{D5CDD505-2E9C-101B-9397-08002B2CF9AE}" pid="9" name="AllowComments">
    <vt:bool>false</vt:bool>
  </property>
  <property fmtid="{D5CDD505-2E9C-101B-9397-08002B2CF9AE}" pid="10" name="Uploads">
    <vt:bool>true</vt:bool>
  </property>
</Properties>
</file>