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F3C49" w14:textId="77777777" w:rsidR="00EF5508" w:rsidRPr="006528D6" w:rsidRDefault="00EF5508" w:rsidP="00513A2B">
      <w:pPr>
        <w:autoSpaceDE w:val="0"/>
        <w:autoSpaceDN w:val="0"/>
        <w:adjustRightInd w:val="0"/>
        <w:rPr>
          <w:b/>
          <w:color w:val="002957"/>
          <w:sz w:val="17"/>
          <w:szCs w:val="17"/>
        </w:rPr>
      </w:pPr>
    </w:p>
    <w:p w14:paraId="1F886BF3" w14:textId="6C856651" w:rsidR="00DD14F3" w:rsidRPr="006528D6" w:rsidRDefault="00DD14F3" w:rsidP="00DD14F3">
      <w:pPr>
        <w:autoSpaceDE w:val="0"/>
        <w:autoSpaceDN w:val="0"/>
        <w:adjustRightInd w:val="0"/>
        <w:rPr>
          <w:rFonts w:eastAsiaTheme="minorHAnsi" w:cs="Verdana"/>
          <w:color w:val="365F91" w:themeColor="accent1" w:themeShade="BF"/>
          <w:sz w:val="17"/>
          <w:szCs w:val="17"/>
        </w:rPr>
      </w:pPr>
      <w:bookmarkStart w:id="0" w:name="_Hlk39063065"/>
      <w:r w:rsidRPr="006528D6">
        <w:rPr>
          <w:rFonts w:eastAsiaTheme="minorHAnsi" w:cs="Verdana"/>
          <w:color w:val="365F91" w:themeColor="accent1" w:themeShade="BF"/>
          <w:sz w:val="17"/>
          <w:szCs w:val="17"/>
        </w:rPr>
        <w:t>Insurance Europe supports the efforts of European co-legislators towards financing a more sustainable economy and welcomes the recent regulation on disclosures relating to sustainable investments and sustainability risks.</w:t>
      </w:r>
    </w:p>
    <w:p w14:paraId="4FA203F2" w14:textId="77777777" w:rsidR="00DD14F3" w:rsidRPr="006528D6" w:rsidRDefault="00DD14F3" w:rsidP="00DD14F3">
      <w:pPr>
        <w:autoSpaceDE w:val="0"/>
        <w:autoSpaceDN w:val="0"/>
        <w:adjustRightInd w:val="0"/>
        <w:rPr>
          <w:rFonts w:eastAsiaTheme="minorHAnsi" w:cs="Verdana"/>
          <w:color w:val="365F91" w:themeColor="accent1" w:themeShade="BF"/>
          <w:sz w:val="17"/>
          <w:szCs w:val="17"/>
        </w:rPr>
      </w:pPr>
    </w:p>
    <w:p w14:paraId="157E3D5F" w14:textId="77777777" w:rsidR="00DD14F3" w:rsidRPr="006528D6" w:rsidRDefault="00DD14F3" w:rsidP="00DD14F3">
      <w:pPr>
        <w:autoSpaceDE w:val="0"/>
        <w:autoSpaceDN w:val="0"/>
        <w:adjustRightInd w:val="0"/>
        <w:rPr>
          <w:rFonts w:eastAsiaTheme="minorHAnsi" w:cs="Verdana"/>
          <w:color w:val="365F91" w:themeColor="accent1" w:themeShade="BF"/>
          <w:sz w:val="17"/>
          <w:szCs w:val="17"/>
        </w:rPr>
      </w:pPr>
      <w:r w:rsidRPr="006528D6">
        <w:rPr>
          <w:rFonts w:eastAsiaTheme="minorHAnsi" w:cs="Verdana"/>
          <w:color w:val="365F91" w:themeColor="accent1" w:themeShade="BF"/>
          <w:sz w:val="17"/>
          <w:szCs w:val="17"/>
        </w:rPr>
        <w:t xml:space="preserve">With more than €10tn of assets under management, the insurance industry is the largest institutional investor in Europe. As a result of their business model, insurers invest their assets with a long-term perspective and already consider sustainability as a key factor in their investment decisions. </w:t>
      </w:r>
    </w:p>
    <w:p w14:paraId="270532EA" w14:textId="77777777" w:rsidR="00DD14F3" w:rsidRPr="006528D6" w:rsidRDefault="00DD14F3" w:rsidP="00DD14F3">
      <w:pPr>
        <w:autoSpaceDE w:val="0"/>
        <w:autoSpaceDN w:val="0"/>
        <w:adjustRightInd w:val="0"/>
        <w:rPr>
          <w:rFonts w:eastAsiaTheme="minorHAnsi" w:cs="Verdana"/>
          <w:color w:val="365F91" w:themeColor="accent1" w:themeShade="BF"/>
          <w:sz w:val="17"/>
          <w:szCs w:val="17"/>
        </w:rPr>
      </w:pPr>
    </w:p>
    <w:p w14:paraId="0D7F06D7" w14:textId="77777777" w:rsidR="00DD14F3" w:rsidRPr="006528D6" w:rsidRDefault="00DD14F3" w:rsidP="00DD14F3">
      <w:pPr>
        <w:autoSpaceDE w:val="0"/>
        <w:autoSpaceDN w:val="0"/>
        <w:adjustRightInd w:val="0"/>
        <w:rPr>
          <w:rFonts w:eastAsiaTheme="minorHAnsi" w:cs="Verdana"/>
          <w:color w:val="365F91" w:themeColor="accent1" w:themeShade="BF"/>
          <w:sz w:val="17"/>
          <w:szCs w:val="17"/>
        </w:rPr>
      </w:pPr>
      <w:r w:rsidRPr="006528D6">
        <w:rPr>
          <w:rFonts w:eastAsiaTheme="minorHAnsi" w:cs="Verdana"/>
          <w:color w:val="365F91" w:themeColor="accent1" w:themeShade="BF"/>
          <w:sz w:val="17"/>
          <w:szCs w:val="17"/>
        </w:rPr>
        <w:t>The European insurance sector welcomes increased transparency in sustainable investments and sustainability risks, provided disclosures are balanced and help consumers make informed financial decisions aligned with their objectives.</w:t>
      </w:r>
    </w:p>
    <w:p w14:paraId="5D3612B0" w14:textId="77777777" w:rsidR="00DD14F3" w:rsidRPr="006528D6" w:rsidRDefault="00DD14F3" w:rsidP="00DD14F3">
      <w:pPr>
        <w:shd w:val="clear" w:color="auto" w:fill="FFFFFF"/>
        <w:rPr>
          <w:rFonts w:cs="Arial"/>
          <w:color w:val="365F91" w:themeColor="accent1" w:themeShade="BF"/>
          <w:sz w:val="17"/>
          <w:szCs w:val="17"/>
          <w:u w:val="single"/>
        </w:rPr>
      </w:pPr>
    </w:p>
    <w:p w14:paraId="7E77C6B2" w14:textId="77777777" w:rsidR="00DD14F3" w:rsidRPr="006528D6" w:rsidRDefault="00DD14F3" w:rsidP="00DD14F3">
      <w:pPr>
        <w:shd w:val="clear" w:color="auto" w:fill="FFFFFF"/>
        <w:jc w:val="center"/>
        <w:rPr>
          <w:rFonts w:cs="Arial"/>
          <w:i/>
          <w:iCs/>
          <w:color w:val="365F91" w:themeColor="accent1" w:themeShade="BF"/>
          <w:sz w:val="17"/>
          <w:szCs w:val="17"/>
          <w:u w:val="single"/>
        </w:rPr>
      </w:pPr>
      <w:r w:rsidRPr="006528D6">
        <w:rPr>
          <w:rFonts w:cs="Arial"/>
          <w:i/>
          <w:iCs/>
          <w:color w:val="365F91" w:themeColor="accent1" w:themeShade="BF"/>
          <w:sz w:val="17"/>
          <w:szCs w:val="17"/>
          <w:u w:val="single"/>
        </w:rPr>
        <w:t>General comments to be added here at a later stage</w:t>
      </w:r>
    </w:p>
    <w:p w14:paraId="1B4E34C6" w14:textId="77777777" w:rsidR="00085A67" w:rsidRPr="006528D6" w:rsidRDefault="00085A67" w:rsidP="00085A67">
      <w:pPr>
        <w:ind w:right="313"/>
        <w:rPr>
          <w:i/>
          <w:sz w:val="17"/>
          <w:szCs w:val="17"/>
        </w:rPr>
      </w:pPr>
    </w:p>
    <w:p w14:paraId="224B53BE" w14:textId="77777777" w:rsidR="00085A67" w:rsidRPr="006528D6" w:rsidRDefault="00085A67" w:rsidP="00085A67">
      <w:pPr>
        <w:ind w:right="313"/>
        <w:rPr>
          <w:i/>
          <w:sz w:val="17"/>
          <w:szCs w:val="17"/>
        </w:rPr>
        <w:sectPr w:rsidR="00085A67" w:rsidRPr="006528D6" w:rsidSect="00A91B4E">
          <w:headerReference w:type="default" r:id="rId11"/>
          <w:footerReference w:type="even" r:id="rId12"/>
          <w:footerReference w:type="default" r:id="rId13"/>
          <w:headerReference w:type="first" r:id="rId14"/>
          <w:footerReference w:type="first" r:id="rId15"/>
          <w:type w:val="continuous"/>
          <w:pgSz w:w="11907" w:h="16839" w:code="9"/>
          <w:pgMar w:top="2712" w:right="902" w:bottom="1599" w:left="902" w:header="709" w:footer="238" w:gutter="0"/>
          <w:cols w:space="708"/>
          <w:titlePg/>
          <w:docGrid w:linePitch="360"/>
        </w:sectPr>
      </w:pPr>
    </w:p>
    <w:p w14:paraId="111F9E45" w14:textId="77777777" w:rsidR="00DD14F3" w:rsidRPr="006528D6" w:rsidRDefault="00DD14F3" w:rsidP="006528D6">
      <w:pPr>
        <w:shd w:val="clear" w:color="auto" w:fill="C6D9F1" w:themeFill="text2" w:themeFillTint="33"/>
        <w:rPr>
          <w:b/>
          <w:color w:val="1F497D" w:themeColor="text2"/>
          <w:sz w:val="17"/>
          <w:szCs w:val="17"/>
        </w:rPr>
      </w:pPr>
      <w:r w:rsidRPr="006528D6">
        <w:rPr>
          <w:b/>
          <w:color w:val="1F497D" w:themeColor="text2"/>
          <w:sz w:val="17"/>
          <w:szCs w:val="17"/>
        </w:rPr>
        <w:lastRenderedPageBreak/>
        <w:t>Questions</w:t>
      </w:r>
    </w:p>
    <w:p w14:paraId="05076E73" w14:textId="77777777" w:rsidR="00DD14F3" w:rsidRPr="006528D6" w:rsidRDefault="00DD14F3" w:rsidP="006528D6">
      <w:pPr>
        <w:shd w:val="clear" w:color="auto" w:fill="FFFFFF"/>
        <w:rPr>
          <w:rFonts w:cs="Arial"/>
          <w:b/>
          <w:bCs/>
          <w:i/>
          <w:iCs/>
          <w:color w:val="333333"/>
          <w:sz w:val="17"/>
          <w:szCs w:val="17"/>
          <w:u w:val="single"/>
        </w:rPr>
      </w:pPr>
    </w:p>
    <w:p w14:paraId="65C3F412" w14:textId="77777777" w:rsidR="00DD14F3" w:rsidRPr="006528D6" w:rsidRDefault="00DD14F3" w:rsidP="006528D6">
      <w:pPr>
        <w:ind w:right="313"/>
        <w:rPr>
          <w:i/>
          <w:sz w:val="17"/>
          <w:szCs w:val="17"/>
        </w:rPr>
      </w:pPr>
      <w:r w:rsidRPr="006528D6">
        <w:rPr>
          <w:i/>
          <w:sz w:val="17"/>
          <w:szCs w:val="17"/>
        </w:rPr>
        <w:t>Question 1</w:t>
      </w:r>
      <w:r w:rsidRPr="006528D6">
        <w:rPr>
          <w:sz w:val="17"/>
          <w:szCs w:val="17"/>
        </w:rPr>
        <w:t xml:space="preserve">: </w:t>
      </w:r>
      <w:r w:rsidRPr="006528D6">
        <w:rPr>
          <w:i/>
          <w:sz w:val="17"/>
          <w:szCs w:val="17"/>
        </w:rPr>
        <w:t xml:space="preserve">Do you agree with the </w:t>
      </w:r>
      <w:r w:rsidRPr="006528D6">
        <w:rPr>
          <w:b/>
          <w:bCs/>
          <w:i/>
          <w:sz w:val="17"/>
          <w:szCs w:val="17"/>
        </w:rPr>
        <w:t>approach proposed in Chapter II and Annex I</w:t>
      </w:r>
      <w:r w:rsidRPr="006528D6">
        <w:rPr>
          <w:i/>
          <w:sz w:val="17"/>
          <w:szCs w:val="17"/>
        </w:rPr>
        <w:t xml:space="preserve"> – where the indicators in Table 1 always lead to </w:t>
      </w:r>
      <w:r w:rsidRPr="006528D6">
        <w:rPr>
          <w:b/>
          <w:bCs/>
          <w:i/>
          <w:sz w:val="17"/>
          <w:szCs w:val="17"/>
        </w:rPr>
        <w:t>principal adverse impacts irrespective of the value of the metrics</w:t>
      </w:r>
      <w:r w:rsidRPr="006528D6">
        <w:rPr>
          <w:i/>
          <w:sz w:val="17"/>
          <w:szCs w:val="17"/>
        </w:rPr>
        <w:t xml:space="preserve">, requiring consistent disclosure, and the indicators in Table 2 and 3 are subject to an </w:t>
      </w:r>
      <w:r w:rsidRPr="006528D6">
        <w:rPr>
          <w:b/>
          <w:bCs/>
          <w:i/>
          <w:sz w:val="17"/>
          <w:szCs w:val="17"/>
        </w:rPr>
        <w:t>“opt- in” regime</w:t>
      </w:r>
      <w:r w:rsidRPr="006528D6">
        <w:rPr>
          <w:i/>
          <w:sz w:val="17"/>
          <w:szCs w:val="17"/>
        </w:rPr>
        <w:t xml:space="preserve"> for disclosure?</w:t>
      </w:r>
    </w:p>
    <w:p w14:paraId="297740A4" w14:textId="77777777" w:rsidR="00DD14F3" w:rsidRPr="006528D6" w:rsidRDefault="00DD14F3" w:rsidP="006528D6">
      <w:pPr>
        <w:ind w:right="313"/>
        <w:rPr>
          <w:i/>
          <w:sz w:val="17"/>
          <w:szCs w:val="17"/>
        </w:rPr>
      </w:pPr>
    </w:p>
    <w:p w14:paraId="5EF78ED8" w14:textId="0962577F"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European insurers welcome the EC objectives to make the economy more sustainable</w:t>
      </w:r>
      <w:r w:rsidR="00354AAB" w:rsidRPr="006528D6">
        <w:rPr>
          <w:color w:val="365F91" w:themeColor="accent1" w:themeShade="BF"/>
          <w:szCs w:val="17"/>
        </w:rPr>
        <w:t xml:space="preserve">. It should be noted that </w:t>
      </w:r>
      <w:r w:rsidRPr="006528D6">
        <w:rPr>
          <w:color w:val="365F91" w:themeColor="accent1" w:themeShade="BF"/>
          <w:szCs w:val="17"/>
        </w:rPr>
        <w:t xml:space="preserve">this process needs to be coherent with ongoing policy developments on sustainable finance and market reality. In this respect, the approach taken in the draft RTS and in the proposed level of standardisation is premature and requires a detail of disclosures </w:t>
      </w:r>
      <w:r w:rsidR="001969EE">
        <w:rPr>
          <w:color w:val="365F91" w:themeColor="accent1" w:themeShade="BF"/>
          <w:szCs w:val="17"/>
        </w:rPr>
        <w:t xml:space="preserve">that </w:t>
      </w:r>
      <w:r w:rsidRPr="006528D6">
        <w:rPr>
          <w:color w:val="365F91" w:themeColor="accent1" w:themeShade="BF"/>
          <w:szCs w:val="17"/>
        </w:rPr>
        <w:t>is not consistent with available market information. In addition, it risks put</w:t>
      </w:r>
      <w:r w:rsidR="00354AAB" w:rsidRPr="006528D6">
        <w:rPr>
          <w:color w:val="365F91" w:themeColor="accent1" w:themeShade="BF"/>
          <w:szCs w:val="17"/>
        </w:rPr>
        <w:t>ting</w:t>
      </w:r>
      <w:r w:rsidRPr="006528D6">
        <w:rPr>
          <w:color w:val="365F91" w:themeColor="accent1" w:themeShade="BF"/>
          <w:szCs w:val="17"/>
        </w:rPr>
        <w:t xml:space="preserve"> an extreme pressure on financial market participants, without delivering sufficient benefits for users of this information. </w:t>
      </w:r>
    </w:p>
    <w:p w14:paraId="5A2FE84E" w14:textId="77777777" w:rsidR="00DD14F3" w:rsidRPr="006528D6" w:rsidRDefault="00DD14F3" w:rsidP="006528D6">
      <w:pPr>
        <w:pStyle w:val="CEABullet-Level1"/>
        <w:numPr>
          <w:ilvl w:val="0"/>
          <w:numId w:val="0"/>
        </w:numPr>
        <w:ind w:right="317"/>
        <w:rPr>
          <w:color w:val="365F91" w:themeColor="accent1" w:themeShade="BF"/>
          <w:szCs w:val="17"/>
        </w:rPr>
      </w:pPr>
    </w:p>
    <w:p w14:paraId="7AEFF17E" w14:textId="24A85ECC"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While the insurance sector is </w:t>
      </w:r>
      <w:r w:rsidR="00354AAB" w:rsidRPr="006528D6">
        <w:rPr>
          <w:color w:val="365F91" w:themeColor="accent1" w:themeShade="BF"/>
          <w:szCs w:val="17"/>
        </w:rPr>
        <w:t>ready</w:t>
      </w:r>
      <w:r w:rsidRPr="006528D6">
        <w:rPr>
          <w:color w:val="365F91" w:themeColor="accent1" w:themeShade="BF"/>
          <w:szCs w:val="17"/>
        </w:rPr>
        <w:t xml:space="preserve"> to contribute to the transition to a more sustainable economy and is fully aware of the role of disclosures, it encourages the ESAs to adopt a more flexible approach - at least until related legislation has been </w:t>
      </w:r>
      <w:r w:rsidR="00354AAB" w:rsidRPr="006528D6">
        <w:rPr>
          <w:color w:val="365F91" w:themeColor="accent1" w:themeShade="BF"/>
          <w:szCs w:val="17"/>
        </w:rPr>
        <w:t>finalised</w:t>
      </w:r>
      <w:r w:rsidRPr="006528D6">
        <w:rPr>
          <w:color w:val="365F91" w:themeColor="accent1" w:themeShade="BF"/>
          <w:szCs w:val="17"/>
        </w:rPr>
        <w:t xml:space="preserve"> (eg taxonomy, non-financial reporting, etc) - and to better take into account the following implementation challenges:</w:t>
      </w:r>
    </w:p>
    <w:p w14:paraId="621063F6" w14:textId="77777777" w:rsidR="00DD14F3" w:rsidRPr="006528D6" w:rsidRDefault="00DD14F3" w:rsidP="006528D6">
      <w:pPr>
        <w:pStyle w:val="CEABullet-Level1"/>
        <w:ind w:right="317"/>
        <w:rPr>
          <w:color w:val="365F91" w:themeColor="accent1" w:themeShade="BF"/>
          <w:szCs w:val="17"/>
        </w:rPr>
      </w:pPr>
      <w:r w:rsidRPr="006528D6">
        <w:rPr>
          <w:b/>
          <w:bCs/>
          <w:color w:val="365F91" w:themeColor="accent1" w:themeShade="BF"/>
          <w:szCs w:val="17"/>
        </w:rPr>
        <w:t>Clarity of definitions</w:t>
      </w:r>
      <w:r w:rsidRPr="006528D6">
        <w:rPr>
          <w:color w:val="365F91" w:themeColor="accent1" w:themeShade="BF"/>
          <w:szCs w:val="17"/>
        </w:rPr>
        <w:t xml:space="preserve">: Transparency of adverse sustainability impacts at entity level is a relatively new concept, which requires a </w:t>
      </w:r>
      <w:r w:rsidRPr="006528D6">
        <w:rPr>
          <w:bCs/>
          <w:color w:val="365F91" w:themeColor="accent1" w:themeShade="BF"/>
          <w:szCs w:val="17"/>
        </w:rPr>
        <w:t>common understanding of adverse sustainability impacts</w:t>
      </w:r>
      <w:r w:rsidRPr="006528D6">
        <w:rPr>
          <w:color w:val="365F91" w:themeColor="accent1" w:themeShade="BF"/>
          <w:szCs w:val="17"/>
        </w:rPr>
        <w:t xml:space="preserve"> (ASIs) if financial market participants are expected to identify such impacts of investments and report on them. Therefore, the ESAs should elaborate on the concept of adverse impact indicators before proposing mandatory indicators. This will also help insurers to better comply with proposed requirements, eg for tracking the effectiveness of their actions in terms of adverse impacts. </w:t>
      </w:r>
    </w:p>
    <w:p w14:paraId="29D7B181" w14:textId="4CB2BF38" w:rsidR="00DD14F3" w:rsidRPr="006528D6" w:rsidRDefault="00DD14F3" w:rsidP="006528D6">
      <w:pPr>
        <w:pStyle w:val="CEABullet-Level1"/>
        <w:ind w:right="317"/>
        <w:rPr>
          <w:color w:val="365F91" w:themeColor="accent1" w:themeShade="BF"/>
          <w:szCs w:val="17"/>
        </w:rPr>
      </w:pPr>
      <w:r w:rsidRPr="006528D6">
        <w:rPr>
          <w:b/>
          <w:bCs/>
          <w:color w:val="365F91" w:themeColor="accent1" w:themeShade="BF"/>
          <w:szCs w:val="17"/>
        </w:rPr>
        <w:t>Materiality</w:t>
      </w:r>
      <w:r w:rsidRPr="006528D6">
        <w:rPr>
          <w:color w:val="365F91" w:themeColor="accent1" w:themeShade="BF"/>
          <w:szCs w:val="17"/>
        </w:rPr>
        <w:t>: The draft RTS link the concept of adverse sustainability impacts to a risk dimension (eg see problem definition). However, the draft RTS appears to prioritise standardisation over a risk-based approach. An assessment of the principal adverse impacts should take into account the likelihood and the severity of a risk materialising, which is strongly dependent on entity-specific portfolios. The assumption that all investment processes lead to principal adverse impacts is not justified. In practice, while standardisation is relevant to the presentation and harmonisation of indicators, not all proposed indicators m</w:t>
      </w:r>
      <w:r w:rsidR="00354AAB" w:rsidRPr="006528D6">
        <w:rPr>
          <w:color w:val="365F91" w:themeColor="accent1" w:themeShade="BF"/>
          <w:szCs w:val="17"/>
        </w:rPr>
        <w:t>ay</w:t>
      </w:r>
      <w:r w:rsidRPr="006528D6">
        <w:rPr>
          <w:color w:val="365F91" w:themeColor="accent1" w:themeShade="BF"/>
          <w:szCs w:val="17"/>
        </w:rPr>
        <w:t xml:space="preserve"> be relevant for a given entity or portfolio. In addition, financial market players are better place</w:t>
      </w:r>
      <w:r w:rsidR="00354AAB" w:rsidRPr="006528D6">
        <w:rPr>
          <w:color w:val="365F91" w:themeColor="accent1" w:themeShade="BF"/>
          <w:szCs w:val="17"/>
        </w:rPr>
        <w:t>d</w:t>
      </w:r>
      <w:r w:rsidRPr="006528D6">
        <w:rPr>
          <w:color w:val="365F91" w:themeColor="accent1" w:themeShade="BF"/>
          <w:szCs w:val="17"/>
        </w:rPr>
        <w:t xml:space="preserve"> to assess what impacts are principal. This is why the approach proposed for the indication of principal adverse impact indicators as per article 6(d) appears to be more appropriate: it requires a materiality assessment and a risk-based prioritisation based on severity and frequency of occurrences in the portfolio of a given entity, without ignoring portfolio-specific characteristics, geographies, etc. </w:t>
      </w:r>
    </w:p>
    <w:p w14:paraId="52C1733C" w14:textId="77777777" w:rsidR="00DD14F3" w:rsidRPr="006528D6" w:rsidRDefault="00DD14F3" w:rsidP="006528D6">
      <w:pPr>
        <w:pStyle w:val="CEABullet-Level1"/>
        <w:ind w:right="317"/>
        <w:rPr>
          <w:color w:val="365F91" w:themeColor="accent1" w:themeShade="BF"/>
          <w:szCs w:val="17"/>
        </w:rPr>
      </w:pPr>
      <w:r w:rsidRPr="006528D6">
        <w:rPr>
          <w:b/>
          <w:bCs/>
          <w:color w:val="365F91" w:themeColor="accent1" w:themeShade="BF"/>
          <w:szCs w:val="17"/>
        </w:rPr>
        <w:t>Information and data</w:t>
      </w:r>
      <w:r w:rsidRPr="006528D6">
        <w:rPr>
          <w:color w:val="365F91" w:themeColor="accent1" w:themeShade="BF"/>
          <w:szCs w:val="17"/>
        </w:rPr>
        <w:t xml:space="preserve">: All </w:t>
      </w:r>
      <w:r w:rsidRPr="006528D6">
        <w:rPr>
          <w:rFonts w:cs="Arial"/>
          <w:bCs/>
          <w:color w:val="365F91" w:themeColor="accent1" w:themeShade="BF"/>
          <w:szCs w:val="17"/>
        </w:rPr>
        <w:t xml:space="preserve">indicators should be </w:t>
      </w:r>
      <w:r w:rsidRPr="006528D6">
        <w:rPr>
          <w:bCs/>
          <w:color w:val="365F91" w:themeColor="accent1" w:themeShade="BF"/>
          <w:szCs w:val="17"/>
        </w:rPr>
        <w:t xml:space="preserve">technically feasible and adequately consider existing issues with ESG data quality and availability. Therefore, while the industry appreciates guidance on presentation of existing adverse sustainability impacts, </w:t>
      </w:r>
      <w:r w:rsidRPr="006528D6">
        <w:rPr>
          <w:rFonts w:cs="Arial"/>
          <w:bCs/>
          <w:color w:val="365F91" w:themeColor="accent1" w:themeShade="BF"/>
          <w:szCs w:val="17"/>
        </w:rPr>
        <w:t xml:space="preserve">proposed indicators should not be mandatory at this stage unless </w:t>
      </w:r>
      <w:r w:rsidRPr="006528D6">
        <w:rPr>
          <w:bCs/>
          <w:color w:val="365F91" w:themeColor="accent1" w:themeShade="BF"/>
          <w:szCs w:val="17"/>
        </w:rPr>
        <w:t xml:space="preserve">ESG data necessary to produce indicators </w:t>
      </w:r>
      <w:r w:rsidRPr="006528D6">
        <w:rPr>
          <w:color w:val="365F91" w:themeColor="accent1" w:themeShade="BF"/>
          <w:szCs w:val="17"/>
        </w:rPr>
        <w:t xml:space="preserve">is available in a standardised format and electronically in a way that facilitates access and minimises the cost for the investors and other users of the information. At present, such ESG-related data, and even less so for adverse impacts, is not readily available or sufficiently reliable at the level of investee companies to be disclosed with the level of precision proposed in the draft RTS. Information received by investee companies is often of poor quality, while that provided by ESG data providers is often inconsistent. This issue is exacerbated by the global nature of investment portfolios. </w:t>
      </w:r>
    </w:p>
    <w:p w14:paraId="626EA8AD" w14:textId="2EE4096F" w:rsidR="00DD14F3" w:rsidRPr="006528D6" w:rsidRDefault="00DD14F3" w:rsidP="006528D6">
      <w:pPr>
        <w:pStyle w:val="CEABullet-Level1"/>
        <w:ind w:right="317"/>
        <w:rPr>
          <w:color w:val="365F91" w:themeColor="accent1" w:themeShade="BF"/>
          <w:szCs w:val="17"/>
        </w:rPr>
      </w:pPr>
      <w:r w:rsidRPr="006528D6">
        <w:rPr>
          <w:b/>
          <w:bCs/>
          <w:color w:val="365F91" w:themeColor="accent1" w:themeShade="BF"/>
          <w:szCs w:val="17"/>
        </w:rPr>
        <w:t>Timing</w:t>
      </w:r>
      <w:r w:rsidRPr="006528D6">
        <w:rPr>
          <w:color w:val="365F91" w:themeColor="accent1" w:themeShade="BF"/>
          <w:szCs w:val="17"/>
        </w:rPr>
        <w:t xml:space="preserve">: The Regulation will apply from 10 March 2021. However, the Regulation is very likely to become applicable before the related, final Level 2 measures are even adopted, thus creating significant compliance challenges and liability risks for market players, as well as confusion for investors. The industry suggests that the ESAs consider </w:t>
      </w:r>
      <w:r w:rsidR="00354AAB" w:rsidRPr="006528D6">
        <w:rPr>
          <w:color w:val="365F91" w:themeColor="accent1" w:themeShade="BF"/>
          <w:szCs w:val="17"/>
        </w:rPr>
        <w:t>potential implementation challenges and related implications</w:t>
      </w:r>
      <w:r w:rsidR="00EB5B58" w:rsidRPr="006528D6">
        <w:rPr>
          <w:color w:val="365F91" w:themeColor="accent1" w:themeShade="BF"/>
          <w:szCs w:val="17"/>
        </w:rPr>
        <w:t>, eg the timeline</w:t>
      </w:r>
      <w:r w:rsidR="00354AAB" w:rsidRPr="006528D6">
        <w:rPr>
          <w:color w:val="365F91" w:themeColor="accent1" w:themeShade="BF"/>
          <w:szCs w:val="17"/>
        </w:rPr>
        <w:t>.</w:t>
      </w:r>
    </w:p>
    <w:p w14:paraId="4A49D38F" w14:textId="77777777" w:rsidR="00DD14F3" w:rsidRPr="006528D6" w:rsidRDefault="00DD14F3" w:rsidP="006528D6">
      <w:pPr>
        <w:pStyle w:val="CEABullet-Level1"/>
        <w:numPr>
          <w:ilvl w:val="0"/>
          <w:numId w:val="0"/>
        </w:numPr>
        <w:ind w:left="360" w:right="317"/>
        <w:rPr>
          <w:color w:val="365F91" w:themeColor="accent1" w:themeShade="BF"/>
          <w:szCs w:val="17"/>
        </w:rPr>
      </w:pPr>
    </w:p>
    <w:p w14:paraId="0D45DF35" w14:textId="77777777" w:rsidR="00DD14F3" w:rsidRPr="006528D6" w:rsidRDefault="00DD14F3" w:rsidP="006528D6">
      <w:pPr>
        <w:pStyle w:val="CEABullet-Level1"/>
        <w:numPr>
          <w:ilvl w:val="0"/>
          <w:numId w:val="0"/>
        </w:numPr>
        <w:ind w:left="360" w:right="317"/>
        <w:rPr>
          <w:color w:val="365F91" w:themeColor="accent1" w:themeShade="BF"/>
          <w:szCs w:val="17"/>
        </w:rPr>
      </w:pPr>
      <w:r w:rsidRPr="006528D6">
        <w:rPr>
          <w:color w:val="365F91" w:themeColor="accent1" w:themeShade="BF"/>
          <w:szCs w:val="17"/>
        </w:rPr>
        <w:t xml:space="preserve">Given the above-mentioned challenges, the industry suggests that at his stage indicators in Table 1 are used as guidance and remain subject to an “opt- in” regime, accounting for materiality considerations </w:t>
      </w:r>
      <w:r w:rsidRPr="006528D6">
        <w:rPr>
          <w:color w:val="365F91" w:themeColor="accent1" w:themeShade="BF"/>
          <w:szCs w:val="17"/>
        </w:rPr>
        <w:lastRenderedPageBreak/>
        <w:t>(see question 3). The industry would also appreciate that financial market participants be able to limit disclosures for the share of their portfolio for which information is available.</w:t>
      </w:r>
    </w:p>
    <w:p w14:paraId="4C90A7F4" w14:textId="77777777" w:rsidR="00DD14F3" w:rsidRPr="006528D6" w:rsidRDefault="00DD14F3" w:rsidP="006528D6">
      <w:pPr>
        <w:pStyle w:val="CEABullet-Level1"/>
        <w:numPr>
          <w:ilvl w:val="0"/>
          <w:numId w:val="0"/>
        </w:numPr>
        <w:rPr>
          <w:rFonts w:cs="Arial"/>
          <w:b/>
          <w:bCs/>
          <w:i/>
          <w:iCs/>
          <w:color w:val="333333"/>
          <w:szCs w:val="17"/>
          <w:u w:val="single"/>
        </w:rPr>
      </w:pPr>
    </w:p>
    <w:p w14:paraId="64882237" w14:textId="77777777" w:rsidR="00DD14F3" w:rsidRPr="006528D6" w:rsidRDefault="00DD14F3" w:rsidP="006528D6">
      <w:pPr>
        <w:pStyle w:val="CEABullet-Level1"/>
        <w:numPr>
          <w:ilvl w:val="0"/>
          <w:numId w:val="0"/>
        </w:numPr>
        <w:ind w:left="720" w:hanging="360"/>
        <w:rPr>
          <w:i/>
          <w:szCs w:val="17"/>
        </w:rPr>
      </w:pPr>
    </w:p>
    <w:p w14:paraId="55958B5E" w14:textId="77777777" w:rsidR="00DD14F3" w:rsidRPr="006528D6" w:rsidRDefault="00DD14F3" w:rsidP="006528D6">
      <w:pPr>
        <w:ind w:right="313"/>
        <w:rPr>
          <w:i/>
          <w:sz w:val="17"/>
          <w:szCs w:val="17"/>
        </w:rPr>
      </w:pPr>
      <w:r w:rsidRPr="006528D6">
        <w:rPr>
          <w:i/>
          <w:sz w:val="17"/>
          <w:szCs w:val="17"/>
        </w:rPr>
        <w:t>Question 2: Does the approach laid out in Chapter II and Annex I, take sufficiently into account the</w:t>
      </w:r>
      <w:r w:rsidRPr="006528D6">
        <w:rPr>
          <w:b/>
          <w:bCs/>
          <w:i/>
          <w:sz w:val="17"/>
          <w:szCs w:val="17"/>
        </w:rPr>
        <w:t xml:space="preserve"> size, nature, and scale of financial market participants activities and the type of products they make available</w:t>
      </w:r>
      <w:r w:rsidRPr="006528D6">
        <w:rPr>
          <w:i/>
          <w:sz w:val="17"/>
          <w:szCs w:val="17"/>
        </w:rPr>
        <w:t>?</w:t>
      </w:r>
    </w:p>
    <w:p w14:paraId="65108ADC" w14:textId="77777777" w:rsidR="00DD14F3" w:rsidRPr="006528D6" w:rsidRDefault="00DD14F3" w:rsidP="006528D6">
      <w:pPr>
        <w:pStyle w:val="CEABullet-Level1"/>
        <w:numPr>
          <w:ilvl w:val="0"/>
          <w:numId w:val="0"/>
        </w:numPr>
        <w:rPr>
          <w:color w:val="365F91" w:themeColor="accent1" w:themeShade="BF"/>
          <w:szCs w:val="17"/>
        </w:rPr>
      </w:pPr>
    </w:p>
    <w:p w14:paraId="46AC0179" w14:textId="7D4AB8C5"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The European insurance industry believes that the development of the RTS needs to consider insurers’ different size, nature and scale of activities. Specifically, the industry notes that:</w:t>
      </w:r>
    </w:p>
    <w:p w14:paraId="4FC159D8" w14:textId="77777777" w:rsidR="00DD14F3" w:rsidRPr="006528D6" w:rsidRDefault="00DD14F3" w:rsidP="006528D6">
      <w:pPr>
        <w:pStyle w:val="CEABullet-Level1"/>
        <w:numPr>
          <w:ilvl w:val="0"/>
          <w:numId w:val="0"/>
        </w:numPr>
        <w:ind w:right="317"/>
        <w:rPr>
          <w:color w:val="365F91" w:themeColor="accent1" w:themeShade="BF"/>
          <w:szCs w:val="17"/>
        </w:rPr>
      </w:pPr>
    </w:p>
    <w:p w14:paraId="47A099F8" w14:textId="77777777" w:rsidR="00DD14F3" w:rsidRPr="006528D6" w:rsidRDefault="00DD14F3" w:rsidP="006528D6">
      <w:pPr>
        <w:pStyle w:val="CEABullet-Level1"/>
        <w:ind w:right="317"/>
        <w:rPr>
          <w:color w:val="365F91" w:themeColor="accent1" w:themeShade="BF"/>
          <w:szCs w:val="17"/>
        </w:rPr>
      </w:pPr>
      <w:r w:rsidRPr="006528D6">
        <w:rPr>
          <w:color w:val="365F91" w:themeColor="accent1" w:themeShade="BF"/>
          <w:szCs w:val="17"/>
        </w:rPr>
        <w:t xml:space="preserve">Requirements should be </w:t>
      </w:r>
      <w:r w:rsidRPr="006528D6">
        <w:rPr>
          <w:b/>
          <w:bCs/>
          <w:color w:val="365F91" w:themeColor="accent1" w:themeShade="BF"/>
          <w:szCs w:val="17"/>
        </w:rPr>
        <w:t xml:space="preserve">proportional. The ESAs </w:t>
      </w:r>
      <w:r w:rsidRPr="006528D6">
        <w:rPr>
          <w:color w:val="365F91" w:themeColor="accent1" w:themeShade="BF"/>
          <w:szCs w:val="17"/>
        </w:rPr>
        <w:t xml:space="preserve">should consider the possibility of differentiating between financial market participants. Administrative burden for financial players and disadvantages to investors need to be fully assessed to ensure feasibility and proportionality. For example, some players may be requested to issue periodic reports only in case of material changes or with a different frequency, based on the risk profile. </w:t>
      </w:r>
    </w:p>
    <w:p w14:paraId="773FAB83" w14:textId="77777777" w:rsidR="00DD14F3" w:rsidRPr="006528D6" w:rsidRDefault="00DD14F3" w:rsidP="006528D6">
      <w:pPr>
        <w:pStyle w:val="CEABullet-Level1"/>
        <w:ind w:right="317"/>
        <w:rPr>
          <w:color w:val="365F91" w:themeColor="accent1" w:themeShade="BF"/>
          <w:szCs w:val="17"/>
        </w:rPr>
      </w:pPr>
      <w:r w:rsidRPr="006528D6">
        <w:rPr>
          <w:color w:val="365F91" w:themeColor="accent1" w:themeShade="BF"/>
          <w:szCs w:val="17"/>
        </w:rPr>
        <w:t xml:space="preserve">Insurers should have sufficient </w:t>
      </w:r>
      <w:r w:rsidRPr="006528D6">
        <w:rPr>
          <w:b/>
          <w:bCs/>
          <w:color w:val="365F91" w:themeColor="accent1" w:themeShade="BF"/>
          <w:szCs w:val="17"/>
        </w:rPr>
        <w:t>flexibility in implementing and dealing with the proposed requirements</w:t>
      </w:r>
      <w:r w:rsidRPr="006528D6">
        <w:rPr>
          <w:color w:val="365F91" w:themeColor="accent1" w:themeShade="BF"/>
          <w:szCs w:val="17"/>
        </w:rPr>
        <w:t xml:space="preserve"> in line with their specific risk profile of their activities and portfolios, including investment allocations and geographies. A certain degree of discretion at the level of financial market participants can result in more practical and cost-effective disclosures, without reducing the information value for consumers. </w:t>
      </w:r>
    </w:p>
    <w:p w14:paraId="60A3BA6C" w14:textId="77777777" w:rsidR="00DD14F3" w:rsidRPr="006528D6" w:rsidRDefault="00DD14F3" w:rsidP="006528D6">
      <w:pPr>
        <w:pStyle w:val="CEABullet-Level1"/>
        <w:ind w:right="317"/>
        <w:rPr>
          <w:i/>
          <w:color w:val="365F91" w:themeColor="accent1" w:themeShade="BF"/>
          <w:szCs w:val="17"/>
        </w:rPr>
      </w:pPr>
      <w:r w:rsidRPr="006528D6">
        <w:rPr>
          <w:color w:val="365F91" w:themeColor="accent1" w:themeShade="BF"/>
          <w:szCs w:val="17"/>
        </w:rPr>
        <w:t xml:space="preserve">Proposed disclosures should remain sufficiently stable over time and consider upcoming work under the taxonomy framework, ie </w:t>
      </w:r>
      <w:r w:rsidRPr="006528D6">
        <w:rPr>
          <w:b/>
          <w:bCs/>
          <w:color w:val="365F91" w:themeColor="accent1" w:themeShade="BF"/>
          <w:szCs w:val="17"/>
        </w:rPr>
        <w:t>the empowerment under Article 8 of the draft taxonomy regulation</w:t>
      </w:r>
      <w:r w:rsidRPr="006528D6">
        <w:rPr>
          <w:color w:val="365F91" w:themeColor="accent1" w:themeShade="BF"/>
          <w:szCs w:val="17"/>
        </w:rPr>
        <w:t xml:space="preserve">, and </w:t>
      </w:r>
      <w:r w:rsidRPr="006528D6">
        <w:rPr>
          <w:b/>
          <w:bCs/>
          <w:color w:val="365F91" w:themeColor="accent1" w:themeShade="BF"/>
          <w:szCs w:val="17"/>
        </w:rPr>
        <w:t xml:space="preserve">ongoing developments, ie the review of the NFRD. This will avoid that market participants have to </w:t>
      </w:r>
      <w:r w:rsidRPr="006528D6">
        <w:rPr>
          <w:color w:val="365F91" w:themeColor="accent1" w:themeShade="BF"/>
          <w:szCs w:val="17"/>
        </w:rPr>
        <w:t>change their disclosures twice within a relatively short time and will facilitate implementation.</w:t>
      </w:r>
    </w:p>
    <w:p w14:paraId="0433A891" w14:textId="77777777" w:rsidR="00DD14F3" w:rsidRPr="006528D6" w:rsidRDefault="00DD14F3" w:rsidP="006528D6">
      <w:pPr>
        <w:ind w:right="313"/>
        <w:rPr>
          <w:i/>
          <w:sz w:val="17"/>
          <w:szCs w:val="17"/>
        </w:rPr>
      </w:pPr>
    </w:p>
    <w:p w14:paraId="4CD6624C" w14:textId="77777777" w:rsidR="00DD14F3" w:rsidRPr="006528D6" w:rsidRDefault="00DD14F3" w:rsidP="006528D6">
      <w:pPr>
        <w:ind w:right="313"/>
        <w:rPr>
          <w:i/>
          <w:sz w:val="17"/>
          <w:szCs w:val="17"/>
        </w:rPr>
      </w:pPr>
    </w:p>
    <w:p w14:paraId="5785CA1C" w14:textId="77777777" w:rsidR="00DD14F3" w:rsidRPr="006528D6" w:rsidRDefault="00DD14F3" w:rsidP="006528D6">
      <w:pPr>
        <w:ind w:right="313"/>
        <w:rPr>
          <w:b/>
          <w:bCs/>
          <w:i/>
          <w:sz w:val="17"/>
          <w:szCs w:val="17"/>
        </w:rPr>
      </w:pPr>
      <w:r w:rsidRPr="006528D6">
        <w:rPr>
          <w:i/>
          <w:sz w:val="17"/>
          <w:szCs w:val="17"/>
        </w:rPr>
        <w:t xml:space="preserve">Question 3: If you do not agree with the approach in Chapter II and Annex I, is there another way to ensure </w:t>
      </w:r>
      <w:r w:rsidRPr="006528D6">
        <w:rPr>
          <w:b/>
          <w:bCs/>
          <w:i/>
          <w:sz w:val="17"/>
          <w:szCs w:val="17"/>
        </w:rPr>
        <w:t>sufficiently comparable disclosure against key indicators?</w:t>
      </w:r>
    </w:p>
    <w:p w14:paraId="42A77F78" w14:textId="77777777" w:rsidR="00DD14F3" w:rsidRPr="006528D6" w:rsidRDefault="00DD14F3" w:rsidP="006528D6">
      <w:pPr>
        <w:pStyle w:val="CEABullet-Level2"/>
        <w:numPr>
          <w:ilvl w:val="0"/>
          <w:numId w:val="0"/>
        </w:numPr>
        <w:rPr>
          <w:rFonts w:eastAsiaTheme="minorHAnsi"/>
          <w:szCs w:val="17"/>
          <w:highlight w:val="green"/>
        </w:rPr>
      </w:pPr>
    </w:p>
    <w:p w14:paraId="2ED1FCA1" w14:textId="77777777" w:rsidR="00DD14F3" w:rsidRPr="006528D6" w:rsidRDefault="00DD14F3" w:rsidP="006528D6">
      <w:pPr>
        <w:pStyle w:val="CEABullet-Level1"/>
        <w:numPr>
          <w:ilvl w:val="0"/>
          <w:numId w:val="0"/>
        </w:numPr>
        <w:rPr>
          <w:color w:val="365F91" w:themeColor="accent1" w:themeShade="BF"/>
          <w:szCs w:val="17"/>
        </w:rPr>
      </w:pPr>
      <w:commentRangeStart w:id="1"/>
      <w:r w:rsidRPr="006528D6">
        <w:rPr>
          <w:color w:val="365F91" w:themeColor="accent1" w:themeShade="BF"/>
          <w:szCs w:val="17"/>
        </w:rPr>
        <w:t>The industry proposes either that:</w:t>
      </w:r>
      <w:commentRangeEnd w:id="1"/>
      <w:r w:rsidRPr="006528D6">
        <w:rPr>
          <w:color w:val="365F91" w:themeColor="accent1" w:themeShade="BF"/>
          <w:szCs w:val="17"/>
        </w:rPr>
        <w:commentReference w:id="1"/>
      </w:r>
    </w:p>
    <w:p w14:paraId="48D584C1" w14:textId="77777777" w:rsidR="00DD14F3" w:rsidRPr="006528D6" w:rsidRDefault="00DD14F3" w:rsidP="006528D6">
      <w:pPr>
        <w:pStyle w:val="CEABullet-Level1"/>
        <w:ind w:right="317"/>
        <w:rPr>
          <w:i/>
          <w:color w:val="365F91" w:themeColor="accent1" w:themeShade="BF"/>
          <w:szCs w:val="17"/>
        </w:rPr>
      </w:pPr>
      <w:r w:rsidRPr="006528D6">
        <w:rPr>
          <w:rFonts w:eastAsiaTheme="minorHAnsi"/>
          <w:b/>
          <w:bCs/>
          <w:color w:val="365F91" w:themeColor="accent1" w:themeShade="BF"/>
          <w:szCs w:val="17"/>
        </w:rPr>
        <w:t>the adverse impacts as defined in Table 1 remain voluntary for a transitional period</w:t>
      </w:r>
      <w:r w:rsidRPr="006528D6">
        <w:rPr>
          <w:rFonts w:eastAsiaTheme="minorHAnsi"/>
          <w:color w:val="365F91" w:themeColor="accent1" w:themeShade="BF"/>
          <w:szCs w:val="17"/>
        </w:rPr>
        <w:t xml:space="preserve">, eg until non-financial reporting standards are sufficiently defined (in view of the review of the NFRD), or </w:t>
      </w:r>
    </w:p>
    <w:p w14:paraId="4252B8E7" w14:textId="77777777" w:rsidR="00DD14F3" w:rsidRPr="006528D6" w:rsidRDefault="00DD14F3" w:rsidP="006528D6">
      <w:pPr>
        <w:pStyle w:val="CEABullet-Level1"/>
        <w:ind w:right="317"/>
        <w:rPr>
          <w:i/>
          <w:color w:val="365F91" w:themeColor="accent1" w:themeShade="BF"/>
          <w:szCs w:val="17"/>
        </w:rPr>
      </w:pPr>
      <w:r w:rsidRPr="006528D6">
        <w:rPr>
          <w:rFonts w:eastAsiaTheme="minorHAnsi"/>
          <w:b/>
          <w:bCs/>
          <w:color w:val="365F91" w:themeColor="accent1" w:themeShade="BF"/>
          <w:szCs w:val="17"/>
        </w:rPr>
        <w:t>only indicators that are truly principal, based on a materiality assessment run by the financial market participant, are disclosed</w:t>
      </w:r>
      <w:r w:rsidRPr="006528D6">
        <w:rPr>
          <w:rFonts w:eastAsiaTheme="minorHAnsi"/>
          <w:color w:val="365F91" w:themeColor="accent1" w:themeShade="BF"/>
          <w:szCs w:val="17"/>
        </w:rPr>
        <w:t xml:space="preserve">. In addition, disclosure of adverse impact could be compulsory for all adverse impact indicators on greenhouse gas emissions and for one indicator per each of the other areas – even if not classified as principal. </w:t>
      </w:r>
    </w:p>
    <w:p w14:paraId="7A8C591F" w14:textId="29E5442B"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Both approaches will help</w:t>
      </w:r>
      <w:r w:rsidR="00A24A5B" w:rsidRPr="006528D6">
        <w:rPr>
          <w:color w:val="365F91" w:themeColor="accent1" w:themeShade="BF"/>
          <w:szCs w:val="17"/>
        </w:rPr>
        <w:t xml:space="preserve"> achieve</w:t>
      </w:r>
      <w:r w:rsidRPr="006528D6">
        <w:rPr>
          <w:color w:val="365F91" w:themeColor="accent1" w:themeShade="BF"/>
          <w:szCs w:val="17"/>
        </w:rPr>
        <w:t xml:space="preserve"> standardisation and facilitate implementation given the other challenges mentioned before.</w:t>
      </w:r>
    </w:p>
    <w:p w14:paraId="7543E6FB" w14:textId="77777777" w:rsidR="00DD14F3" w:rsidRPr="006528D6" w:rsidRDefault="00DD14F3" w:rsidP="006528D6">
      <w:pPr>
        <w:pStyle w:val="CEABullet-Level1"/>
        <w:numPr>
          <w:ilvl w:val="0"/>
          <w:numId w:val="0"/>
        </w:numPr>
        <w:ind w:right="317"/>
        <w:rPr>
          <w:color w:val="365F91" w:themeColor="accent1" w:themeShade="BF"/>
          <w:szCs w:val="17"/>
        </w:rPr>
      </w:pPr>
    </w:p>
    <w:p w14:paraId="49011A9A" w14:textId="289D01FE"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While the recognition in Article 7(2) that there are instances when information might not be obtained from investee companies is welcome, it is key that market participants are not pressured to disclose information and indicators which are not considered sufficiently reliable. Otherwise, these disclosures may end up having limited benefit to information users and even be misleading. Therefore, the industry suggests </w:t>
      </w:r>
      <w:r w:rsidR="00A24A5B" w:rsidRPr="006528D6">
        <w:rPr>
          <w:color w:val="365F91" w:themeColor="accent1" w:themeShade="BF"/>
          <w:szCs w:val="17"/>
        </w:rPr>
        <w:t>introducing</w:t>
      </w:r>
      <w:r w:rsidRPr="006528D6">
        <w:rPr>
          <w:color w:val="365F91" w:themeColor="accent1" w:themeShade="BF"/>
          <w:szCs w:val="17"/>
        </w:rPr>
        <w:t xml:space="preserve"> ”reasonable best efforts” as a wording for Article 7. </w:t>
      </w:r>
    </w:p>
    <w:p w14:paraId="4A6663AE" w14:textId="77777777" w:rsidR="00DD14F3" w:rsidRPr="006528D6" w:rsidRDefault="00DD14F3" w:rsidP="006528D6">
      <w:pPr>
        <w:pStyle w:val="CEABullet-Level1"/>
        <w:numPr>
          <w:ilvl w:val="0"/>
          <w:numId w:val="0"/>
        </w:numPr>
        <w:ind w:right="317"/>
        <w:rPr>
          <w:color w:val="365F91" w:themeColor="accent1" w:themeShade="BF"/>
          <w:szCs w:val="17"/>
        </w:rPr>
      </w:pPr>
    </w:p>
    <w:p w14:paraId="550AECF7" w14:textId="032F8E7C"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In addition, it is key that proposed disclosures do not rely on third party providers of ESG data and research. </w:t>
      </w:r>
      <w:r w:rsidR="00A24A5B" w:rsidRPr="006528D6">
        <w:rPr>
          <w:color w:val="365F91" w:themeColor="accent1" w:themeShade="BF"/>
          <w:szCs w:val="17"/>
        </w:rPr>
        <w:t>Such reliance on third party providers</w:t>
      </w:r>
      <w:r w:rsidRPr="006528D6">
        <w:rPr>
          <w:color w:val="365F91" w:themeColor="accent1" w:themeShade="BF"/>
          <w:szCs w:val="17"/>
        </w:rPr>
        <w:t xml:space="preserve"> would not be cost effective and would not consider existing issues related to consistency and comparability of information, which are currently being assessed by policymakers. Required information should be available in a standardised format and electronically to minimise the cost for investors and other information users. </w:t>
      </w:r>
    </w:p>
    <w:p w14:paraId="1F31A902" w14:textId="77777777" w:rsidR="00DD14F3" w:rsidRPr="006528D6" w:rsidRDefault="00DD14F3" w:rsidP="006528D6">
      <w:pPr>
        <w:pStyle w:val="CEABullet-Level1"/>
        <w:numPr>
          <w:ilvl w:val="0"/>
          <w:numId w:val="0"/>
        </w:numPr>
        <w:ind w:right="317"/>
        <w:rPr>
          <w:color w:val="365F91" w:themeColor="accent1" w:themeShade="BF"/>
          <w:szCs w:val="17"/>
        </w:rPr>
      </w:pPr>
    </w:p>
    <w:p w14:paraId="4F2D6D12" w14:textId="77777777" w:rsidR="00DD14F3" w:rsidRPr="006528D6" w:rsidRDefault="00DD14F3" w:rsidP="006528D6">
      <w:pPr>
        <w:pStyle w:val="CEABullet-Level1"/>
        <w:numPr>
          <w:ilvl w:val="0"/>
          <w:numId w:val="0"/>
        </w:numPr>
        <w:ind w:right="317"/>
        <w:rPr>
          <w:color w:val="365F91" w:themeColor="accent1" w:themeShade="BF"/>
          <w:szCs w:val="17"/>
        </w:rPr>
      </w:pPr>
    </w:p>
    <w:p w14:paraId="1CBE1FFC" w14:textId="77777777" w:rsidR="00DD14F3" w:rsidRPr="006528D6" w:rsidRDefault="00DD14F3" w:rsidP="006528D6">
      <w:pPr>
        <w:ind w:right="313"/>
        <w:rPr>
          <w:i/>
          <w:sz w:val="17"/>
          <w:szCs w:val="17"/>
        </w:rPr>
      </w:pPr>
      <w:r w:rsidRPr="006528D6">
        <w:rPr>
          <w:i/>
          <w:sz w:val="17"/>
          <w:szCs w:val="17"/>
        </w:rPr>
        <w:t xml:space="preserve">Question 4: Do you have any views on the </w:t>
      </w:r>
      <w:r w:rsidRPr="006528D6">
        <w:rPr>
          <w:b/>
          <w:bCs/>
          <w:i/>
          <w:sz w:val="17"/>
          <w:szCs w:val="17"/>
        </w:rPr>
        <w:t>reporting template provided in Table 1 of Annex I</w:t>
      </w:r>
      <w:r w:rsidRPr="006528D6">
        <w:rPr>
          <w:i/>
          <w:sz w:val="17"/>
          <w:szCs w:val="17"/>
        </w:rPr>
        <w:t>?</w:t>
      </w:r>
    </w:p>
    <w:p w14:paraId="44DDD539" w14:textId="77777777" w:rsidR="00DD14F3" w:rsidRPr="006528D6" w:rsidRDefault="00DD14F3" w:rsidP="006528D6">
      <w:pPr>
        <w:ind w:right="313"/>
        <w:rPr>
          <w:i/>
          <w:sz w:val="17"/>
          <w:szCs w:val="17"/>
        </w:rPr>
      </w:pPr>
    </w:p>
    <w:p w14:paraId="0D49BAE9" w14:textId="77777777" w:rsidR="00DD14F3" w:rsidRPr="006528D6" w:rsidRDefault="00DD14F3" w:rsidP="006528D6">
      <w:pPr>
        <w:pStyle w:val="CEABullet-Level1"/>
        <w:ind w:right="317"/>
        <w:rPr>
          <w:rFonts w:eastAsiaTheme="minorHAnsi"/>
          <w:color w:val="365F91" w:themeColor="accent1" w:themeShade="BF"/>
          <w:szCs w:val="17"/>
        </w:rPr>
      </w:pPr>
      <w:r w:rsidRPr="006528D6">
        <w:rPr>
          <w:rFonts w:eastAsiaTheme="minorHAnsi"/>
          <w:b/>
          <w:bCs/>
          <w:color w:val="365F91" w:themeColor="accent1" w:themeShade="BF"/>
          <w:szCs w:val="17"/>
        </w:rPr>
        <w:t xml:space="preserve">Summary: </w:t>
      </w:r>
      <w:r w:rsidRPr="006528D6">
        <w:rPr>
          <w:rFonts w:eastAsiaTheme="minorHAnsi"/>
          <w:color w:val="365F91" w:themeColor="accent1" w:themeShade="BF"/>
          <w:szCs w:val="17"/>
        </w:rPr>
        <w:t xml:space="preserve">The summary section required under Article 5(1)(d) is a duplication of the more detailed information already required to be disclosed and in its current form provides no added value. A single disclosure standard should be created that contains only the information that is truly necessary. This should not preclude additional information from being provided on an optional basis. </w:t>
      </w:r>
    </w:p>
    <w:p w14:paraId="60942FE5" w14:textId="77777777" w:rsidR="00DD14F3" w:rsidRPr="006528D6" w:rsidRDefault="00DD14F3" w:rsidP="006528D6">
      <w:pPr>
        <w:pStyle w:val="CEABullet-Level1"/>
        <w:ind w:right="317"/>
        <w:rPr>
          <w:rFonts w:eastAsiaTheme="minorHAnsi"/>
          <w:b/>
          <w:bCs/>
          <w:color w:val="365F91" w:themeColor="accent1" w:themeShade="BF"/>
          <w:szCs w:val="17"/>
        </w:rPr>
      </w:pPr>
      <w:r w:rsidRPr="006528D6">
        <w:rPr>
          <w:rFonts w:eastAsiaTheme="minorHAnsi"/>
          <w:b/>
          <w:bCs/>
          <w:color w:val="365F91" w:themeColor="accent1" w:themeShade="BF"/>
          <w:szCs w:val="17"/>
        </w:rPr>
        <w:t xml:space="preserve">Description of principal adverse sustainability impacts: </w:t>
      </w:r>
    </w:p>
    <w:p w14:paraId="2FFE4753" w14:textId="7B49E217" w:rsidR="00DD14F3" w:rsidRPr="006528D6" w:rsidRDefault="00DD14F3" w:rsidP="006528D6">
      <w:pPr>
        <w:pStyle w:val="CEABullet-Level2"/>
        <w:ind w:right="317"/>
        <w:rPr>
          <w:rFonts w:eastAsiaTheme="minorHAnsi"/>
          <w:b/>
          <w:bCs/>
          <w:color w:val="365F91" w:themeColor="accent1" w:themeShade="BF"/>
          <w:szCs w:val="17"/>
        </w:rPr>
      </w:pPr>
      <w:r w:rsidRPr="006528D6">
        <w:rPr>
          <w:rFonts w:eastAsiaTheme="minorHAnsi"/>
          <w:color w:val="365F91" w:themeColor="accent1" w:themeShade="BF"/>
          <w:szCs w:val="17"/>
        </w:rPr>
        <w:t xml:space="preserve">The assumption that certain key areas of adverse impacts are always principal is not justified. Financial market participants should be able to identify </w:t>
      </w:r>
      <w:r w:rsidR="00576787" w:rsidRPr="006528D6">
        <w:rPr>
          <w:rFonts w:eastAsiaTheme="minorHAnsi"/>
          <w:color w:val="365F91" w:themeColor="accent1" w:themeShade="BF"/>
          <w:szCs w:val="17"/>
        </w:rPr>
        <w:t>the</w:t>
      </w:r>
      <w:r w:rsidRPr="006528D6">
        <w:rPr>
          <w:rFonts w:eastAsiaTheme="minorHAnsi"/>
          <w:color w:val="365F91" w:themeColor="accent1" w:themeShade="BF"/>
          <w:szCs w:val="17"/>
        </w:rPr>
        <w:t xml:space="preserve"> most relevant indicators based on materiality assessment and a risk-based prioritisation.</w:t>
      </w:r>
    </w:p>
    <w:p w14:paraId="4902FA8B" w14:textId="77777777" w:rsidR="00DD14F3" w:rsidRPr="006528D6" w:rsidRDefault="00DD14F3" w:rsidP="006528D6">
      <w:pPr>
        <w:pStyle w:val="CEABullet-Level2"/>
        <w:ind w:right="317"/>
        <w:rPr>
          <w:rFonts w:eastAsiaTheme="minorHAnsi"/>
          <w:color w:val="365F91" w:themeColor="accent1" w:themeShade="BF"/>
          <w:szCs w:val="17"/>
        </w:rPr>
      </w:pPr>
      <w:r w:rsidRPr="006528D6">
        <w:rPr>
          <w:rFonts w:eastAsiaTheme="minorHAnsi"/>
          <w:color w:val="365F91" w:themeColor="accent1" w:themeShade="BF"/>
          <w:szCs w:val="17"/>
        </w:rPr>
        <w:t>While the industry supports transparent disclosures and understands the need to assess investment portfolio against EC objectives of mitigation and adaptation, it does not consider that all 32 mandatory indicators are necessarily principal, according to a robust risk-based approach. The approach is considered excessively burdensome for market participants, without having counterbalancing benefits for information users.</w:t>
      </w:r>
    </w:p>
    <w:p w14:paraId="1252739A" w14:textId="77777777" w:rsidR="00DD14F3" w:rsidRPr="006528D6" w:rsidRDefault="00DD14F3" w:rsidP="006528D6">
      <w:pPr>
        <w:pStyle w:val="CEABullet-Level2"/>
        <w:ind w:right="317"/>
        <w:rPr>
          <w:rFonts w:eastAsiaTheme="minorHAnsi"/>
          <w:color w:val="365F91" w:themeColor="accent1" w:themeShade="BF"/>
          <w:szCs w:val="17"/>
        </w:rPr>
      </w:pPr>
      <w:r w:rsidRPr="006528D6">
        <w:rPr>
          <w:rFonts w:eastAsiaTheme="minorHAnsi"/>
          <w:color w:val="365F91" w:themeColor="accent1" w:themeShade="BF"/>
          <w:szCs w:val="17"/>
        </w:rPr>
        <w:t xml:space="preserve">In addition, it is not sufficiently clear what the indicator is trying to capture. In some cases, the very name of some indicators is biased towards value judgement and not grounded on a commonly accepted understanding of sustainability, especially for some social indicators. For this reason, such detail indicator dashboard risks being misleading for information users and prone to window dressing. </w:t>
      </w:r>
    </w:p>
    <w:p w14:paraId="00298AE7" w14:textId="77777777" w:rsidR="00DD14F3" w:rsidRPr="006528D6" w:rsidRDefault="00DD14F3" w:rsidP="006528D6">
      <w:pPr>
        <w:pStyle w:val="CEABullet-Level1"/>
        <w:ind w:right="317"/>
        <w:rPr>
          <w:color w:val="365F91" w:themeColor="accent1" w:themeShade="BF"/>
          <w:szCs w:val="17"/>
        </w:rPr>
      </w:pPr>
      <w:r w:rsidRPr="006528D6">
        <w:rPr>
          <w:rFonts w:eastAsiaTheme="minorHAnsi"/>
          <w:b/>
          <w:bCs/>
          <w:color w:val="365F91" w:themeColor="accent1" w:themeShade="BF"/>
          <w:szCs w:val="17"/>
        </w:rPr>
        <w:t xml:space="preserve">Description of policies to </w:t>
      </w:r>
      <w:r w:rsidRPr="006528D6">
        <w:rPr>
          <w:color w:val="365F91" w:themeColor="accent1" w:themeShade="BF"/>
          <w:szCs w:val="17"/>
        </w:rPr>
        <w:t>identify</w:t>
      </w:r>
      <w:r w:rsidRPr="006528D6">
        <w:rPr>
          <w:rFonts w:eastAsiaTheme="minorHAnsi"/>
          <w:b/>
          <w:bCs/>
          <w:color w:val="365F91" w:themeColor="accent1" w:themeShade="BF"/>
          <w:szCs w:val="17"/>
        </w:rPr>
        <w:t xml:space="preserve"> and prioritise principal adverse sustainability impacts: </w:t>
      </w:r>
      <w:r w:rsidRPr="006528D6">
        <w:rPr>
          <w:color w:val="365F91" w:themeColor="accent1" w:themeShade="BF"/>
          <w:szCs w:val="17"/>
        </w:rPr>
        <w:t xml:space="preserve">The industry considers the information in Article 7(1) as appropriate for publication in the website and appreciate the fact that Article 7(2) accounts for instances when information might not be obtained from investee companies. To avoid that market participants are pressured to disclose information and indicators not sufficiently reliable, the industry suggests adopting ”reasonable best efforts” as a wording for Article 7. </w:t>
      </w:r>
    </w:p>
    <w:p w14:paraId="54C27CFC" w14:textId="77777777" w:rsidR="00DD14F3" w:rsidRPr="006528D6" w:rsidRDefault="00DD14F3" w:rsidP="006528D6">
      <w:pPr>
        <w:pStyle w:val="CEABullet-Level1"/>
        <w:ind w:right="317"/>
        <w:rPr>
          <w:color w:val="365F91" w:themeColor="accent1" w:themeShade="BF"/>
          <w:szCs w:val="17"/>
        </w:rPr>
      </w:pPr>
      <w:r w:rsidRPr="006528D6">
        <w:rPr>
          <w:rFonts w:eastAsiaTheme="minorHAnsi"/>
          <w:b/>
          <w:bCs/>
          <w:color w:val="365F91" w:themeColor="accent1" w:themeShade="BF"/>
          <w:szCs w:val="17"/>
        </w:rPr>
        <w:t xml:space="preserve">Description of actions to address principal adverse sustainability impacts: </w:t>
      </w:r>
    </w:p>
    <w:p w14:paraId="4441AAD0" w14:textId="77777777" w:rsidR="00DD14F3" w:rsidRPr="006528D6" w:rsidRDefault="00DD14F3" w:rsidP="006528D6">
      <w:pPr>
        <w:pStyle w:val="CEABullet-Level2"/>
        <w:ind w:right="317"/>
        <w:rPr>
          <w:color w:val="365F91" w:themeColor="accent1" w:themeShade="BF"/>
          <w:szCs w:val="17"/>
        </w:rPr>
      </w:pPr>
      <w:r w:rsidRPr="006528D6">
        <w:rPr>
          <w:color w:val="365F91" w:themeColor="accent1" w:themeShade="BF"/>
          <w:szCs w:val="17"/>
        </w:rPr>
        <w:t>The industry encourages the ESAs to maintain the wording of the Regulation. Therefore, the industry proposes that the following wording is added in Article 8: ”</w:t>
      </w:r>
      <w:r w:rsidRPr="006528D6">
        <w:rPr>
          <w:i/>
          <w:iCs/>
          <w:color w:val="365F91" w:themeColor="accent1" w:themeShade="BF"/>
          <w:szCs w:val="17"/>
        </w:rPr>
        <w:t xml:space="preserve">The section referred to in point </w:t>
      </w:r>
      <w:r w:rsidRPr="006528D6">
        <w:rPr>
          <w:color w:val="365F91" w:themeColor="accent1" w:themeShade="BF"/>
          <w:szCs w:val="17"/>
        </w:rPr>
        <w:t>(d) of Article 4(2) shall contain the following information, where relevant:”.</w:t>
      </w:r>
    </w:p>
    <w:p w14:paraId="2642B891" w14:textId="77777777" w:rsidR="00DD14F3" w:rsidRPr="006528D6" w:rsidRDefault="00DD14F3" w:rsidP="006528D6">
      <w:pPr>
        <w:pStyle w:val="CEABullet-Level2"/>
        <w:ind w:right="317"/>
        <w:rPr>
          <w:color w:val="365F91" w:themeColor="accent1" w:themeShade="BF"/>
          <w:szCs w:val="17"/>
        </w:rPr>
      </w:pPr>
      <w:r w:rsidRPr="006528D6">
        <w:rPr>
          <w:color w:val="365F91" w:themeColor="accent1" w:themeShade="BF"/>
          <w:szCs w:val="17"/>
        </w:rPr>
        <w:t>The industry is also concerned that the level of detail required on tracking the effectiveness of actions taken to reduced adverse impacts is excessive and prone to window-dressing. The effectiveness of some actions can be highly subjective. Therefore, disclosures should be limited to robust evidence and concrete actions.</w:t>
      </w:r>
    </w:p>
    <w:p w14:paraId="62229076" w14:textId="77777777" w:rsidR="00DD14F3" w:rsidRPr="006528D6" w:rsidRDefault="00DD14F3" w:rsidP="006528D6">
      <w:pPr>
        <w:pStyle w:val="CEABullet-Level1"/>
        <w:ind w:right="317"/>
        <w:rPr>
          <w:rFonts w:eastAsiaTheme="minorHAnsi"/>
          <w:b/>
          <w:bCs/>
          <w:color w:val="365F91" w:themeColor="accent1" w:themeShade="BF"/>
          <w:szCs w:val="17"/>
        </w:rPr>
      </w:pPr>
      <w:r w:rsidRPr="006528D6">
        <w:rPr>
          <w:rFonts w:eastAsiaTheme="minorHAnsi"/>
          <w:b/>
          <w:bCs/>
          <w:color w:val="365F91" w:themeColor="accent1" w:themeShade="BF"/>
          <w:szCs w:val="17"/>
        </w:rPr>
        <w:t xml:space="preserve">Engagement policies: </w:t>
      </w:r>
      <w:r w:rsidRPr="006528D6">
        <w:rPr>
          <w:color w:val="365F91" w:themeColor="accent1" w:themeShade="BF"/>
          <w:szCs w:val="17"/>
        </w:rPr>
        <w:t>The industry considers the information in Article 9 as appropriate for publication in the website and appreciates the coherence with existing legislation in this respect.</w:t>
      </w:r>
    </w:p>
    <w:p w14:paraId="630CF7BA" w14:textId="77777777" w:rsidR="00DD14F3" w:rsidRPr="006528D6" w:rsidRDefault="00DD14F3" w:rsidP="006528D6">
      <w:pPr>
        <w:pStyle w:val="CEABullet-Level1"/>
        <w:ind w:right="317"/>
        <w:rPr>
          <w:rFonts w:eastAsiaTheme="minorHAnsi"/>
          <w:b/>
          <w:bCs/>
          <w:color w:val="365F91" w:themeColor="accent1" w:themeShade="BF"/>
          <w:szCs w:val="17"/>
        </w:rPr>
      </w:pPr>
      <w:r w:rsidRPr="006528D6">
        <w:rPr>
          <w:rFonts w:eastAsiaTheme="minorHAnsi"/>
          <w:b/>
          <w:bCs/>
          <w:color w:val="365F91" w:themeColor="accent1" w:themeShade="BF"/>
          <w:szCs w:val="17"/>
        </w:rPr>
        <w:t xml:space="preserve">References to international standards: </w:t>
      </w:r>
      <w:r w:rsidRPr="006528D6">
        <w:rPr>
          <w:color w:val="365F91" w:themeColor="accent1" w:themeShade="BF"/>
          <w:szCs w:val="17"/>
        </w:rPr>
        <w:t>The industry agrees with Article 9 on the disclosure of responsible business conduct codes and internationally recognised standards for due diligence and reporting. However, it notes that inclusion of forward-looking climate scenarios is premature and usually not robust enough for website publication.</w:t>
      </w:r>
    </w:p>
    <w:p w14:paraId="038873E4" w14:textId="77777777" w:rsidR="00DD14F3" w:rsidRPr="006528D6" w:rsidRDefault="00DD14F3" w:rsidP="006528D6">
      <w:pPr>
        <w:ind w:right="317"/>
        <w:rPr>
          <w:i/>
          <w:sz w:val="17"/>
          <w:szCs w:val="17"/>
        </w:rPr>
      </w:pPr>
    </w:p>
    <w:p w14:paraId="24D292B9" w14:textId="77777777" w:rsidR="00DD14F3" w:rsidRPr="006528D6" w:rsidRDefault="00DD14F3" w:rsidP="006528D6">
      <w:pPr>
        <w:ind w:right="313"/>
        <w:rPr>
          <w:i/>
          <w:sz w:val="17"/>
          <w:szCs w:val="17"/>
        </w:rPr>
      </w:pPr>
    </w:p>
    <w:p w14:paraId="3D539315" w14:textId="77777777" w:rsidR="00DD14F3" w:rsidRPr="006528D6" w:rsidRDefault="00DD14F3" w:rsidP="006528D6">
      <w:pPr>
        <w:ind w:right="313"/>
        <w:rPr>
          <w:i/>
          <w:sz w:val="17"/>
          <w:szCs w:val="17"/>
        </w:rPr>
      </w:pPr>
      <w:r w:rsidRPr="006528D6">
        <w:rPr>
          <w:i/>
          <w:sz w:val="17"/>
          <w:szCs w:val="17"/>
        </w:rPr>
        <w:t xml:space="preserve">Question 5: </w:t>
      </w:r>
      <w:r w:rsidRPr="006528D6">
        <w:rPr>
          <w:b/>
          <w:bCs/>
          <w:i/>
          <w:sz w:val="17"/>
          <w:szCs w:val="17"/>
        </w:rPr>
        <w:t>Do you agree with the indicators</w:t>
      </w:r>
      <w:r w:rsidRPr="006528D6">
        <w:rPr>
          <w:i/>
          <w:sz w:val="17"/>
          <w:szCs w:val="17"/>
        </w:rPr>
        <w:t xml:space="preserve">? Would you recommend any other indicators? Do you see merit in including </w:t>
      </w:r>
      <w:bookmarkStart w:id="2" w:name="_Hlk39843089"/>
      <w:r w:rsidRPr="006528D6">
        <w:rPr>
          <w:b/>
          <w:bCs/>
          <w:i/>
          <w:sz w:val="17"/>
          <w:szCs w:val="17"/>
        </w:rPr>
        <w:t>forward-looking indicators</w:t>
      </w:r>
      <w:r w:rsidRPr="006528D6">
        <w:rPr>
          <w:i/>
          <w:sz w:val="17"/>
          <w:szCs w:val="17"/>
        </w:rPr>
        <w:t xml:space="preserve"> such as emission reduction pathways, or scope 4 emissions </w:t>
      </w:r>
      <w:bookmarkEnd w:id="2"/>
      <w:r w:rsidRPr="006528D6">
        <w:rPr>
          <w:i/>
          <w:sz w:val="17"/>
          <w:szCs w:val="17"/>
        </w:rPr>
        <w:t>(saving other companies´ GHG emissions)?</w:t>
      </w:r>
    </w:p>
    <w:p w14:paraId="4A3E583B" w14:textId="77777777" w:rsidR="00DD14F3" w:rsidRPr="006528D6" w:rsidRDefault="00DD14F3" w:rsidP="006528D6">
      <w:pPr>
        <w:ind w:right="313"/>
        <w:rPr>
          <w:i/>
          <w:sz w:val="17"/>
          <w:szCs w:val="17"/>
        </w:rPr>
      </w:pPr>
    </w:p>
    <w:p w14:paraId="54CBB3D6" w14:textId="1110BFC3"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While the sector agrees on the importance of transparency, the concept of adverse impact is risk-based and does not correspond to a sustainability assessment. The Regulation and ongoing policy developments do not appear to imply such characterisation and they distinguish adverse impacts, sustainability risks and the degree of sustainability assessment. </w:t>
      </w:r>
    </w:p>
    <w:p w14:paraId="25BF01DE" w14:textId="77777777" w:rsidR="00DD14F3" w:rsidRPr="006528D6" w:rsidRDefault="00DD14F3" w:rsidP="006528D6">
      <w:pPr>
        <w:pStyle w:val="CEABullet-Level1"/>
        <w:numPr>
          <w:ilvl w:val="0"/>
          <w:numId w:val="0"/>
        </w:numPr>
        <w:ind w:right="317"/>
        <w:rPr>
          <w:color w:val="365F91" w:themeColor="accent1" w:themeShade="BF"/>
          <w:szCs w:val="17"/>
        </w:rPr>
      </w:pPr>
    </w:p>
    <w:p w14:paraId="2BB7756B" w14:textId="77777777"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The industry notes that:</w:t>
      </w:r>
    </w:p>
    <w:p w14:paraId="3820668F" w14:textId="56B792E1" w:rsidR="00DD14F3" w:rsidRPr="006528D6" w:rsidRDefault="00576787" w:rsidP="006528D6">
      <w:pPr>
        <w:pStyle w:val="CEABullet-Level1"/>
        <w:ind w:right="317"/>
        <w:rPr>
          <w:color w:val="365F91" w:themeColor="accent1" w:themeShade="BF"/>
          <w:szCs w:val="17"/>
        </w:rPr>
      </w:pPr>
      <w:r w:rsidRPr="006528D6">
        <w:rPr>
          <w:rFonts w:eastAsiaTheme="minorHAnsi"/>
          <w:color w:val="365F91" w:themeColor="accent1" w:themeShade="BF"/>
          <w:szCs w:val="17"/>
        </w:rPr>
        <w:lastRenderedPageBreak/>
        <w:t>C</w:t>
      </w:r>
      <w:r w:rsidR="00DD14F3" w:rsidRPr="006528D6">
        <w:rPr>
          <w:rFonts w:eastAsiaTheme="minorHAnsi"/>
          <w:color w:val="365F91" w:themeColor="accent1" w:themeShade="BF"/>
          <w:szCs w:val="17"/>
        </w:rPr>
        <w:t>ertain key areas of adverse impacts, notwithstanding their importance, should not be necessarily classified as “principal” without prior assessment (s</w:t>
      </w:r>
      <w:r w:rsidR="00DD14F3" w:rsidRPr="006528D6">
        <w:rPr>
          <w:color w:val="365F91" w:themeColor="accent1" w:themeShade="BF"/>
          <w:szCs w:val="17"/>
        </w:rPr>
        <w:t xml:space="preserve">ee also response to question 1 on materiality). </w:t>
      </w:r>
    </w:p>
    <w:p w14:paraId="4E0B49E0" w14:textId="77777777" w:rsidR="00DD14F3" w:rsidRPr="006528D6" w:rsidRDefault="00DD14F3" w:rsidP="006528D6">
      <w:pPr>
        <w:pStyle w:val="CEABullet-Level1"/>
        <w:ind w:right="317"/>
        <w:rPr>
          <w:color w:val="365F91" w:themeColor="accent1" w:themeShade="BF"/>
          <w:szCs w:val="17"/>
        </w:rPr>
      </w:pPr>
      <w:r w:rsidRPr="006528D6">
        <w:rPr>
          <w:color w:val="365F91" w:themeColor="accent1" w:themeShade="BF"/>
          <w:szCs w:val="17"/>
        </w:rPr>
        <w:t xml:space="preserve">Pending a clarification of the meaning of adverse impacts in different areas, it is not completely clear under which assumptions some of the proposed indicators capture </w:t>
      </w:r>
      <w:r w:rsidRPr="006528D6">
        <w:rPr>
          <w:i/>
          <w:color w:val="365F91" w:themeColor="accent1" w:themeShade="BF"/>
          <w:szCs w:val="17"/>
        </w:rPr>
        <w:t>adverse</w:t>
      </w:r>
      <w:r w:rsidRPr="006528D6">
        <w:rPr>
          <w:color w:val="365F91" w:themeColor="accent1" w:themeShade="BF"/>
          <w:szCs w:val="17"/>
        </w:rPr>
        <w:t xml:space="preserve"> impacts. The industry recommends that the ESAs elaborate on the concept of adverse impact and limit proposed public disclosures to </w:t>
      </w:r>
      <w:r w:rsidRPr="006528D6">
        <w:rPr>
          <w:b/>
          <w:color w:val="365F91" w:themeColor="accent1" w:themeShade="BF"/>
          <w:szCs w:val="17"/>
        </w:rPr>
        <w:t xml:space="preserve">observable and verifiable facts. </w:t>
      </w:r>
      <w:r w:rsidRPr="006528D6">
        <w:rPr>
          <w:color w:val="365F91" w:themeColor="accent1" w:themeShade="BF"/>
          <w:szCs w:val="17"/>
        </w:rPr>
        <w:t>Accordingly,</w:t>
      </w:r>
      <w:r w:rsidRPr="006528D6">
        <w:rPr>
          <w:b/>
          <w:bCs/>
          <w:color w:val="365F91" w:themeColor="accent1" w:themeShade="BF"/>
          <w:szCs w:val="17"/>
        </w:rPr>
        <w:t xml:space="preserve"> </w:t>
      </w:r>
      <w:r w:rsidRPr="006528D6">
        <w:rPr>
          <w:color w:val="365F91" w:themeColor="accent1" w:themeShade="BF"/>
          <w:szCs w:val="17"/>
        </w:rPr>
        <w:t xml:space="preserve">the name of indicators should not risk being biased or leading to value judgments: in the absence of a full-spectrum ESG taxonomy, the name of the indicators should not qualify their outcomes, eg </w:t>
      </w:r>
      <w:r w:rsidRPr="006528D6">
        <w:rPr>
          <w:color w:val="365F91" w:themeColor="accent1" w:themeShade="BF"/>
          <w:szCs w:val="17"/>
          <w:u w:val="single"/>
        </w:rPr>
        <w:t>excessive</w:t>
      </w:r>
      <w:r w:rsidRPr="006528D6">
        <w:rPr>
          <w:color w:val="365F91" w:themeColor="accent1" w:themeShade="BF"/>
          <w:szCs w:val="17"/>
        </w:rPr>
        <w:t xml:space="preserve"> CEO pay, </w:t>
      </w:r>
      <w:r w:rsidRPr="006528D6">
        <w:rPr>
          <w:color w:val="365F91" w:themeColor="accent1" w:themeShade="BF"/>
          <w:szCs w:val="17"/>
          <w:u w:val="single"/>
        </w:rPr>
        <w:t>insufficient</w:t>
      </w:r>
      <w:r w:rsidRPr="006528D6">
        <w:rPr>
          <w:color w:val="365F91" w:themeColor="accent1" w:themeShade="BF"/>
          <w:szCs w:val="17"/>
        </w:rPr>
        <w:t xml:space="preserve"> whistle-blower protection, etc.</w:t>
      </w:r>
    </w:p>
    <w:p w14:paraId="221DEC9F" w14:textId="77777777" w:rsidR="00DD14F3" w:rsidRPr="006528D6" w:rsidRDefault="00DD14F3" w:rsidP="006528D6">
      <w:pPr>
        <w:pStyle w:val="CEABullet-Level1"/>
        <w:ind w:right="317"/>
        <w:rPr>
          <w:color w:val="365F91" w:themeColor="accent1" w:themeShade="BF"/>
          <w:szCs w:val="17"/>
        </w:rPr>
      </w:pPr>
      <w:r w:rsidRPr="006528D6">
        <w:rPr>
          <w:color w:val="365F91" w:themeColor="accent1" w:themeShade="BF"/>
          <w:szCs w:val="17"/>
        </w:rPr>
        <w:t xml:space="preserve">As the ESAs recognise, data issues can be particularly problematic. Therefore, proposed indicators should not necessarily be quantitative and data-intensive but could also be qualitative. An assessment at the level of the various investment instruments would also be necessary to verify their feasibility. Producing and disclosing proposed indicators is challenging without </w:t>
      </w:r>
      <w:r w:rsidRPr="006528D6">
        <w:rPr>
          <w:b/>
          <w:bCs/>
          <w:color w:val="365F91" w:themeColor="accent1" w:themeShade="BF"/>
          <w:szCs w:val="17"/>
        </w:rPr>
        <w:t>non-financial reporting standards in place to allow financial market participants to fulfil their disclosure obligations and to better assess the risks linked to sustainability-related factors</w:t>
      </w:r>
      <w:r w:rsidRPr="006528D6">
        <w:rPr>
          <w:color w:val="365F91" w:themeColor="accent1" w:themeShade="BF"/>
          <w:szCs w:val="17"/>
        </w:rPr>
        <w:t xml:space="preserve">. </w:t>
      </w:r>
    </w:p>
    <w:p w14:paraId="710B45DB" w14:textId="77777777" w:rsidR="00DD14F3" w:rsidRPr="006528D6" w:rsidRDefault="00DD14F3" w:rsidP="006528D6">
      <w:pPr>
        <w:pStyle w:val="CEABullet-Level1"/>
        <w:numPr>
          <w:ilvl w:val="0"/>
          <w:numId w:val="0"/>
        </w:numPr>
        <w:ind w:right="317"/>
        <w:rPr>
          <w:color w:val="365F91" w:themeColor="accent1" w:themeShade="BF"/>
          <w:szCs w:val="17"/>
        </w:rPr>
      </w:pPr>
    </w:p>
    <w:p w14:paraId="5883E84E" w14:textId="6C2296FF" w:rsidR="00DD14F3" w:rsidRPr="006528D6"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Finally, to avoid information </w:t>
      </w:r>
      <w:r w:rsidR="00CD5417" w:rsidRPr="006528D6">
        <w:rPr>
          <w:color w:val="365F91" w:themeColor="accent1" w:themeShade="BF"/>
          <w:szCs w:val="17"/>
        </w:rPr>
        <w:t>which lacks accuracy and objectivity</w:t>
      </w:r>
      <w:r w:rsidRPr="006528D6">
        <w:rPr>
          <w:color w:val="365F91" w:themeColor="accent1" w:themeShade="BF"/>
          <w:szCs w:val="17"/>
        </w:rPr>
        <w:t xml:space="preserve"> to the detriment of information users, forward-looking indicators such as emission reduction pathways, or scope 4 emissions should remain on an optional basis, and should be further investigated in the context of the NFRD review and of the empowerment under Article 8 of the draft taxonomy regulation.</w:t>
      </w:r>
    </w:p>
    <w:p w14:paraId="5773DB04" w14:textId="77777777" w:rsidR="00DD14F3" w:rsidRPr="006528D6" w:rsidRDefault="00DD14F3" w:rsidP="006528D6">
      <w:pPr>
        <w:pStyle w:val="CEABullet-Level1"/>
        <w:numPr>
          <w:ilvl w:val="0"/>
          <w:numId w:val="0"/>
        </w:numPr>
        <w:ind w:right="317"/>
        <w:rPr>
          <w:color w:val="365F91" w:themeColor="accent1" w:themeShade="BF"/>
          <w:szCs w:val="17"/>
        </w:rPr>
      </w:pPr>
    </w:p>
    <w:p w14:paraId="12A60AC3" w14:textId="5DBE5A52" w:rsidR="00DD14F3" w:rsidRDefault="00DD14F3" w:rsidP="006528D6">
      <w:pPr>
        <w:pStyle w:val="CEABullet-Level1"/>
        <w:numPr>
          <w:ilvl w:val="0"/>
          <w:numId w:val="0"/>
        </w:numPr>
        <w:ind w:right="317"/>
        <w:rPr>
          <w:color w:val="365F91" w:themeColor="accent1" w:themeShade="BF"/>
          <w:szCs w:val="17"/>
        </w:rPr>
      </w:pPr>
      <w:r w:rsidRPr="006528D6">
        <w:rPr>
          <w:color w:val="365F91" w:themeColor="accent1" w:themeShade="BF"/>
          <w:szCs w:val="17"/>
        </w:rPr>
        <w:t>Please see also responses to question 1 and 4.</w:t>
      </w:r>
    </w:p>
    <w:p w14:paraId="6A9BECA1" w14:textId="77777777" w:rsidR="006528D6" w:rsidRPr="006528D6" w:rsidRDefault="006528D6" w:rsidP="006528D6">
      <w:pPr>
        <w:pStyle w:val="CEABullet-Level1"/>
        <w:numPr>
          <w:ilvl w:val="0"/>
          <w:numId w:val="0"/>
        </w:numPr>
        <w:ind w:right="317"/>
        <w:rPr>
          <w:color w:val="365F91" w:themeColor="accent1" w:themeShade="BF"/>
          <w:szCs w:val="17"/>
        </w:rPr>
      </w:pPr>
    </w:p>
    <w:p w14:paraId="06F79A4F" w14:textId="77777777" w:rsidR="00DD14F3" w:rsidRPr="006528D6" w:rsidRDefault="00DD14F3" w:rsidP="006528D6">
      <w:pPr>
        <w:ind w:right="313"/>
        <w:rPr>
          <w:i/>
          <w:sz w:val="17"/>
          <w:szCs w:val="17"/>
        </w:rPr>
      </w:pPr>
    </w:p>
    <w:p w14:paraId="63E77667" w14:textId="77777777" w:rsidR="00DD14F3" w:rsidRPr="006528D6" w:rsidRDefault="00DD14F3" w:rsidP="006528D6">
      <w:pPr>
        <w:ind w:right="313"/>
        <w:rPr>
          <w:i/>
          <w:sz w:val="17"/>
          <w:szCs w:val="17"/>
        </w:rPr>
      </w:pPr>
      <w:r w:rsidRPr="006528D6">
        <w:rPr>
          <w:i/>
          <w:sz w:val="17"/>
          <w:szCs w:val="17"/>
        </w:rPr>
        <w:t xml:space="preserve">Question 6: In addition to the proposed indicators on carbon emissions in Annex I, do you see merit in also requesting a) a </w:t>
      </w:r>
      <w:r w:rsidRPr="006528D6">
        <w:rPr>
          <w:b/>
          <w:bCs/>
          <w:i/>
          <w:sz w:val="17"/>
          <w:szCs w:val="17"/>
        </w:rPr>
        <w:t>relative measure of carbon emissions relative to the EU 2030 climate and energy framework</w:t>
      </w:r>
      <w:r w:rsidRPr="006528D6">
        <w:rPr>
          <w:i/>
          <w:sz w:val="17"/>
          <w:szCs w:val="17"/>
        </w:rPr>
        <w:t xml:space="preserve"> target and b) a </w:t>
      </w:r>
      <w:r w:rsidRPr="006528D6">
        <w:rPr>
          <w:b/>
          <w:bCs/>
          <w:i/>
          <w:sz w:val="17"/>
          <w:szCs w:val="17"/>
        </w:rPr>
        <w:t>relative measure of carbon emissions relative to the prevailing carbon price</w:t>
      </w:r>
      <w:r w:rsidRPr="006528D6">
        <w:rPr>
          <w:i/>
          <w:sz w:val="17"/>
          <w:szCs w:val="17"/>
        </w:rPr>
        <w:t>?</w:t>
      </w:r>
    </w:p>
    <w:p w14:paraId="41B645FA" w14:textId="77777777" w:rsidR="00DD14F3" w:rsidRPr="006528D6" w:rsidRDefault="00DD14F3" w:rsidP="006528D6">
      <w:pPr>
        <w:pStyle w:val="CEABullet-Level1"/>
        <w:numPr>
          <w:ilvl w:val="0"/>
          <w:numId w:val="0"/>
        </w:numPr>
        <w:rPr>
          <w:color w:val="365F91" w:themeColor="accent1" w:themeShade="BF"/>
          <w:szCs w:val="17"/>
        </w:rPr>
      </w:pPr>
    </w:p>
    <w:p w14:paraId="08A76BA1" w14:textId="77777777" w:rsidR="00DD14F3" w:rsidRPr="006528D6" w:rsidRDefault="00DD14F3" w:rsidP="00F95D8E">
      <w:pPr>
        <w:pStyle w:val="CEABullet-Level1"/>
        <w:numPr>
          <w:ilvl w:val="0"/>
          <w:numId w:val="0"/>
        </w:numPr>
        <w:ind w:right="317"/>
        <w:rPr>
          <w:color w:val="365F91" w:themeColor="accent1" w:themeShade="BF"/>
          <w:szCs w:val="17"/>
        </w:rPr>
      </w:pPr>
      <w:r w:rsidRPr="006528D6">
        <w:rPr>
          <w:color w:val="365F91" w:themeColor="accent1" w:themeShade="BF"/>
          <w:szCs w:val="17"/>
        </w:rPr>
        <w:t>As noted above, producing and disclosing proposed indicators is challenging without non-financial reporting standards in place. The industry believes that this should be further investigated in the context of the NFRD review, the empowerments under Articles 8 and 25 of the draft taxonomy regulation.</w:t>
      </w:r>
    </w:p>
    <w:p w14:paraId="19D8B0DE" w14:textId="77777777" w:rsidR="00DD14F3" w:rsidRPr="006528D6" w:rsidRDefault="00DD14F3" w:rsidP="006528D6">
      <w:pPr>
        <w:pStyle w:val="CEABullet-Level1"/>
        <w:numPr>
          <w:ilvl w:val="0"/>
          <w:numId w:val="0"/>
        </w:numPr>
        <w:rPr>
          <w:color w:val="365F91" w:themeColor="accent1" w:themeShade="BF"/>
          <w:szCs w:val="17"/>
        </w:rPr>
      </w:pPr>
    </w:p>
    <w:p w14:paraId="29060306" w14:textId="77777777" w:rsidR="00DD14F3" w:rsidRPr="006528D6" w:rsidRDefault="00DD14F3" w:rsidP="006528D6">
      <w:pPr>
        <w:ind w:right="313"/>
        <w:rPr>
          <w:i/>
          <w:sz w:val="17"/>
          <w:szCs w:val="17"/>
        </w:rPr>
      </w:pPr>
    </w:p>
    <w:p w14:paraId="66AED6DE" w14:textId="77777777" w:rsidR="00DD14F3" w:rsidRPr="006528D6" w:rsidRDefault="00DD14F3" w:rsidP="006528D6">
      <w:pPr>
        <w:ind w:right="313"/>
        <w:rPr>
          <w:i/>
          <w:sz w:val="17"/>
          <w:szCs w:val="17"/>
        </w:rPr>
      </w:pPr>
      <w:r w:rsidRPr="006528D6">
        <w:rPr>
          <w:i/>
          <w:sz w:val="17"/>
          <w:szCs w:val="17"/>
        </w:rPr>
        <w:t xml:space="preserve">Question 7: The ESAs saw merit in requiring </w:t>
      </w:r>
      <w:r w:rsidRPr="006528D6">
        <w:rPr>
          <w:b/>
          <w:bCs/>
          <w:i/>
          <w:sz w:val="17"/>
          <w:szCs w:val="17"/>
        </w:rPr>
        <w:t>measurement</w:t>
      </w:r>
      <w:r w:rsidRPr="006528D6">
        <w:rPr>
          <w:i/>
          <w:sz w:val="17"/>
          <w:szCs w:val="17"/>
        </w:rPr>
        <w:t xml:space="preserve"> of both (1) the share of the investments in companies without a particular issue required by the indicator and (2) the share of all companies in the investments without that issue. Do you have any feedback on this proposal?</w:t>
      </w:r>
    </w:p>
    <w:p w14:paraId="5C75ECBF" w14:textId="77777777" w:rsidR="00DD14F3" w:rsidRPr="006528D6" w:rsidRDefault="00DD14F3" w:rsidP="006528D6">
      <w:pPr>
        <w:ind w:right="313"/>
        <w:rPr>
          <w:i/>
          <w:sz w:val="17"/>
          <w:szCs w:val="17"/>
        </w:rPr>
      </w:pPr>
    </w:p>
    <w:p w14:paraId="33083D05" w14:textId="77777777" w:rsidR="00DD14F3" w:rsidRPr="006528D6" w:rsidRDefault="00DD14F3" w:rsidP="00F95D8E">
      <w:pPr>
        <w:pStyle w:val="CEABullet-Level1"/>
        <w:numPr>
          <w:ilvl w:val="0"/>
          <w:numId w:val="0"/>
        </w:numPr>
        <w:ind w:right="317"/>
        <w:rPr>
          <w:color w:val="365F91" w:themeColor="accent1" w:themeShade="BF"/>
          <w:szCs w:val="17"/>
        </w:rPr>
      </w:pPr>
      <w:r w:rsidRPr="006528D6">
        <w:rPr>
          <w:color w:val="365F91" w:themeColor="accent1" w:themeShade="BF"/>
          <w:szCs w:val="17"/>
        </w:rPr>
        <w:t>As noted above, non-financial reporting standards are key to be able to precisely measure such share of investments, especially considering the different types of investment instruments used in financial markets. European insurers believe that a finalised taxonomy and available ESG data at the level of investee companies would be necessary for a consistent and robust assessment.</w:t>
      </w:r>
    </w:p>
    <w:p w14:paraId="5E19B64A" w14:textId="77777777" w:rsidR="00DD14F3" w:rsidRPr="006528D6" w:rsidRDefault="00DD14F3" w:rsidP="006528D6">
      <w:pPr>
        <w:pStyle w:val="CEABullet-Level1"/>
        <w:numPr>
          <w:ilvl w:val="0"/>
          <w:numId w:val="0"/>
        </w:numPr>
        <w:rPr>
          <w:color w:val="365F91" w:themeColor="accent1" w:themeShade="BF"/>
          <w:szCs w:val="17"/>
        </w:rPr>
      </w:pPr>
    </w:p>
    <w:p w14:paraId="1B732E0B" w14:textId="77777777" w:rsidR="00DD14F3" w:rsidRPr="006528D6" w:rsidRDefault="00DD14F3" w:rsidP="006528D6">
      <w:pPr>
        <w:ind w:right="313"/>
        <w:rPr>
          <w:i/>
          <w:sz w:val="17"/>
          <w:szCs w:val="17"/>
        </w:rPr>
      </w:pPr>
    </w:p>
    <w:p w14:paraId="2CBA2AD2" w14:textId="77777777" w:rsidR="00DD14F3" w:rsidRPr="006528D6" w:rsidRDefault="00DD14F3" w:rsidP="006528D6">
      <w:pPr>
        <w:ind w:right="313"/>
        <w:rPr>
          <w:i/>
          <w:sz w:val="17"/>
          <w:szCs w:val="17"/>
        </w:rPr>
      </w:pPr>
      <w:r w:rsidRPr="006528D6">
        <w:rPr>
          <w:i/>
          <w:sz w:val="17"/>
          <w:szCs w:val="17"/>
        </w:rPr>
        <w:t xml:space="preserve">Question 8: Would you see merit in including more advanced indicators or metrics to allow financial market participants to capture </w:t>
      </w:r>
      <w:r w:rsidRPr="006528D6">
        <w:rPr>
          <w:b/>
          <w:bCs/>
          <w:i/>
          <w:sz w:val="17"/>
          <w:szCs w:val="17"/>
        </w:rPr>
        <w:t>activities by investee companies to reduce GHG emissions</w:t>
      </w:r>
      <w:r w:rsidRPr="006528D6">
        <w:rPr>
          <w:i/>
          <w:sz w:val="17"/>
          <w:szCs w:val="17"/>
        </w:rPr>
        <w:t>? If yes, how would such advanced metrics capture adverse impacts?</w:t>
      </w:r>
    </w:p>
    <w:p w14:paraId="7D09976C" w14:textId="77777777" w:rsidR="00DD14F3" w:rsidRPr="006528D6" w:rsidRDefault="00DD14F3" w:rsidP="006528D6">
      <w:pPr>
        <w:ind w:right="313"/>
        <w:rPr>
          <w:i/>
          <w:sz w:val="17"/>
          <w:szCs w:val="17"/>
        </w:rPr>
      </w:pPr>
    </w:p>
    <w:p w14:paraId="740301F8" w14:textId="77777777" w:rsidR="00DD14F3" w:rsidRPr="006528D6" w:rsidRDefault="00DD14F3" w:rsidP="00F95D8E">
      <w:pPr>
        <w:pStyle w:val="CEABullet-Level1"/>
        <w:numPr>
          <w:ilvl w:val="0"/>
          <w:numId w:val="0"/>
        </w:numPr>
        <w:ind w:right="317"/>
        <w:rPr>
          <w:color w:val="365F91" w:themeColor="accent1" w:themeShade="BF"/>
          <w:szCs w:val="17"/>
        </w:rPr>
      </w:pPr>
      <w:r w:rsidRPr="006528D6">
        <w:rPr>
          <w:color w:val="365F91" w:themeColor="accent1" w:themeShade="BF"/>
          <w:szCs w:val="17"/>
        </w:rPr>
        <w:t>European insurers believe that a finalised taxonomy and available ESG data at the level of investee companies would be necessary for a consistent and robust assessment of activities by investee companies to reduce GHG emissions. Regulatory requirements related to such classification should therefore remain voluntary until all aspects of the taxonomy are sufficiently developed, especially those related on enabling and transitional activities. This will ensure that financial market participants deliver a realistic picture and avoid penalising unfairly some economic activities.</w:t>
      </w:r>
    </w:p>
    <w:p w14:paraId="326F6B20" w14:textId="77777777" w:rsidR="00DD14F3" w:rsidRPr="006528D6" w:rsidRDefault="00DD14F3" w:rsidP="006528D6">
      <w:pPr>
        <w:ind w:right="313"/>
        <w:rPr>
          <w:i/>
          <w:sz w:val="17"/>
          <w:szCs w:val="17"/>
        </w:rPr>
      </w:pPr>
    </w:p>
    <w:p w14:paraId="776D70FB" w14:textId="77777777" w:rsidR="00DD14F3" w:rsidRPr="006528D6" w:rsidRDefault="00DD14F3" w:rsidP="006528D6">
      <w:pPr>
        <w:ind w:right="313"/>
        <w:rPr>
          <w:i/>
          <w:sz w:val="17"/>
          <w:szCs w:val="17"/>
        </w:rPr>
      </w:pPr>
    </w:p>
    <w:p w14:paraId="3C943C87" w14:textId="77777777" w:rsidR="00DD14F3" w:rsidRPr="006528D6" w:rsidRDefault="00DD14F3" w:rsidP="006528D6">
      <w:pPr>
        <w:ind w:right="313"/>
        <w:rPr>
          <w:i/>
          <w:sz w:val="17"/>
          <w:szCs w:val="17"/>
        </w:rPr>
      </w:pPr>
      <w:r w:rsidRPr="006528D6">
        <w:rPr>
          <w:i/>
          <w:sz w:val="17"/>
          <w:szCs w:val="17"/>
        </w:rPr>
        <w:t xml:space="preserve">Question 9: Do you agree with the goal of trying to deliver </w:t>
      </w:r>
      <w:r w:rsidRPr="006528D6">
        <w:rPr>
          <w:b/>
          <w:bCs/>
          <w:i/>
          <w:sz w:val="17"/>
          <w:szCs w:val="17"/>
        </w:rPr>
        <w:t xml:space="preserve">indicators for social and employee matters, respect for human rights, anti-corruption and anti-bribery matters </w:t>
      </w:r>
      <w:r w:rsidRPr="006528D6">
        <w:rPr>
          <w:i/>
          <w:sz w:val="17"/>
          <w:szCs w:val="17"/>
        </w:rPr>
        <w:t>at the same time as the environmental indicators?</w:t>
      </w:r>
    </w:p>
    <w:p w14:paraId="1DE2DDE3" w14:textId="77777777" w:rsidR="00DD14F3" w:rsidRPr="006528D6" w:rsidRDefault="00DD14F3" w:rsidP="006528D6">
      <w:pPr>
        <w:ind w:right="313"/>
        <w:rPr>
          <w:i/>
          <w:sz w:val="17"/>
          <w:szCs w:val="17"/>
        </w:rPr>
      </w:pPr>
    </w:p>
    <w:p w14:paraId="236714F3" w14:textId="7E8D5491" w:rsidR="00DD14F3" w:rsidRPr="006528D6" w:rsidRDefault="00DD14F3" w:rsidP="00176A64">
      <w:pPr>
        <w:pStyle w:val="CEABullet-Level1"/>
        <w:numPr>
          <w:ilvl w:val="0"/>
          <w:numId w:val="0"/>
        </w:numPr>
        <w:ind w:right="317"/>
        <w:rPr>
          <w:color w:val="365F91" w:themeColor="accent1" w:themeShade="BF"/>
          <w:szCs w:val="17"/>
        </w:rPr>
      </w:pPr>
      <w:r w:rsidRPr="006528D6">
        <w:rPr>
          <w:color w:val="365F91" w:themeColor="accent1" w:themeShade="BF"/>
          <w:szCs w:val="17"/>
        </w:rPr>
        <w:t>The European insurance industry agrees with the goal of trying to deliver indicators for social and employee matters, respect for human rights, anti-corruption and anti-bribery matters (“social considerations”). The sector looks at sustainability in a holistic sense, considering all environmental, social and governance (ESG) factors contributing to sustainable investments, in recognition of the implicit connection of these components.</w:t>
      </w:r>
    </w:p>
    <w:p w14:paraId="449B6CB1" w14:textId="77777777" w:rsidR="00DD14F3" w:rsidRPr="006528D6" w:rsidRDefault="00DD14F3" w:rsidP="00176A64">
      <w:pPr>
        <w:pStyle w:val="CEABullet-Level1"/>
        <w:numPr>
          <w:ilvl w:val="0"/>
          <w:numId w:val="0"/>
        </w:numPr>
        <w:ind w:right="317"/>
        <w:rPr>
          <w:color w:val="365F91" w:themeColor="accent1" w:themeShade="BF"/>
          <w:szCs w:val="17"/>
        </w:rPr>
      </w:pPr>
    </w:p>
    <w:p w14:paraId="19A5A7E8" w14:textId="37A9CC8E" w:rsidR="00DD14F3" w:rsidRPr="006528D6" w:rsidRDefault="00DD14F3" w:rsidP="00176A64">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At the same time, the industry acknowledges the urgency to take action on the E aspect and </w:t>
      </w:r>
      <w:r w:rsidR="005B5DBE" w:rsidRPr="006528D6">
        <w:rPr>
          <w:color w:val="365F91" w:themeColor="accent1" w:themeShade="BF"/>
          <w:szCs w:val="17"/>
        </w:rPr>
        <w:t>the current</w:t>
      </w:r>
      <w:r w:rsidRPr="006528D6">
        <w:rPr>
          <w:color w:val="365F91" w:themeColor="accent1" w:themeShade="BF"/>
          <w:szCs w:val="17"/>
        </w:rPr>
        <w:t xml:space="preserve"> EU polic</w:t>
      </w:r>
      <w:r w:rsidR="005B5DBE" w:rsidRPr="006528D6">
        <w:rPr>
          <w:color w:val="365F91" w:themeColor="accent1" w:themeShade="BF"/>
          <w:szCs w:val="17"/>
        </w:rPr>
        <w:t>ies</w:t>
      </w:r>
      <w:r w:rsidRPr="006528D6">
        <w:rPr>
          <w:color w:val="365F91" w:themeColor="accent1" w:themeShade="BF"/>
          <w:szCs w:val="17"/>
        </w:rPr>
        <w:t xml:space="preserve"> focus on this aspect. For this reason, the industry suggests that the adverse impacts for social considerations as defined in Table 1 remain voluntary:</w:t>
      </w:r>
    </w:p>
    <w:p w14:paraId="03272E73" w14:textId="77777777" w:rsidR="00DD14F3" w:rsidRPr="006528D6" w:rsidRDefault="00DD14F3" w:rsidP="00176A64">
      <w:pPr>
        <w:pStyle w:val="CEABullet-Level1"/>
        <w:ind w:right="317"/>
        <w:rPr>
          <w:i/>
          <w:color w:val="365F91" w:themeColor="accent1" w:themeShade="BF"/>
          <w:szCs w:val="17"/>
        </w:rPr>
      </w:pPr>
      <w:r w:rsidRPr="006528D6">
        <w:rPr>
          <w:rFonts w:eastAsiaTheme="minorHAnsi"/>
          <w:color w:val="365F91" w:themeColor="accent1" w:themeShade="BF"/>
          <w:szCs w:val="17"/>
        </w:rPr>
        <w:t>for a transitional period, eg until necessary data is available under the non-financial reporting standards.</w:t>
      </w:r>
    </w:p>
    <w:p w14:paraId="112DA9FA" w14:textId="77777777" w:rsidR="00DD14F3" w:rsidRPr="006528D6" w:rsidRDefault="00DD14F3" w:rsidP="00176A64">
      <w:pPr>
        <w:pStyle w:val="CEABullet-Level1"/>
        <w:ind w:right="317"/>
        <w:rPr>
          <w:i/>
          <w:color w:val="365F91" w:themeColor="accent1" w:themeShade="BF"/>
          <w:szCs w:val="17"/>
        </w:rPr>
      </w:pPr>
      <w:r w:rsidRPr="006528D6">
        <w:rPr>
          <w:rFonts w:eastAsiaTheme="minorHAnsi"/>
          <w:color w:val="365F91" w:themeColor="accent1" w:themeShade="BF"/>
          <w:szCs w:val="17"/>
        </w:rPr>
        <w:t xml:space="preserve">until the assessment of </w:t>
      </w:r>
      <w:r w:rsidRPr="006528D6">
        <w:rPr>
          <w:color w:val="365F91" w:themeColor="accent1" w:themeShade="BF"/>
          <w:szCs w:val="17"/>
          <w:lang w:eastAsia="nl-BE"/>
        </w:rPr>
        <w:t>social objectives is evaluated under Article 26 of the draft taxonomy regulation and minimum safeguards are developed as per Article 18 of the draft taxonomy Regulation.</w:t>
      </w:r>
    </w:p>
    <w:p w14:paraId="1FDE9824" w14:textId="0568D03A" w:rsidR="00DD14F3" w:rsidRPr="006528D6" w:rsidRDefault="00DD14F3" w:rsidP="00176A64">
      <w:pPr>
        <w:pStyle w:val="CEABullet-Level1"/>
        <w:numPr>
          <w:ilvl w:val="0"/>
          <w:numId w:val="0"/>
        </w:numPr>
        <w:ind w:right="317"/>
        <w:rPr>
          <w:color w:val="365F91" w:themeColor="accent1" w:themeShade="BF"/>
          <w:szCs w:val="17"/>
        </w:rPr>
      </w:pPr>
      <w:r w:rsidRPr="006528D6">
        <w:rPr>
          <w:color w:val="365F91" w:themeColor="accent1" w:themeShade="BF"/>
          <w:szCs w:val="17"/>
        </w:rPr>
        <w:t>This will ensure consistency with EU legislation</w:t>
      </w:r>
      <w:r w:rsidR="005B5DBE" w:rsidRPr="006528D6">
        <w:rPr>
          <w:color w:val="365F91" w:themeColor="accent1" w:themeShade="BF"/>
          <w:szCs w:val="17"/>
        </w:rPr>
        <w:t>.</w:t>
      </w:r>
    </w:p>
    <w:p w14:paraId="397F7006" w14:textId="77777777" w:rsidR="00DD14F3" w:rsidRPr="006528D6" w:rsidRDefault="00DD14F3" w:rsidP="00176A64">
      <w:pPr>
        <w:pStyle w:val="CEABullet-Level1"/>
        <w:numPr>
          <w:ilvl w:val="0"/>
          <w:numId w:val="0"/>
        </w:numPr>
        <w:ind w:right="317"/>
        <w:rPr>
          <w:rFonts w:eastAsiaTheme="minorHAnsi"/>
          <w:b/>
          <w:bCs/>
          <w:color w:val="365F91" w:themeColor="accent1" w:themeShade="BF"/>
          <w:szCs w:val="17"/>
        </w:rPr>
      </w:pPr>
    </w:p>
    <w:p w14:paraId="68F972F0" w14:textId="77777777" w:rsidR="00DD14F3" w:rsidRPr="006528D6" w:rsidRDefault="00DD14F3" w:rsidP="00176A64">
      <w:pPr>
        <w:pStyle w:val="CEABullet-Level1"/>
        <w:numPr>
          <w:ilvl w:val="0"/>
          <w:numId w:val="0"/>
        </w:numPr>
        <w:ind w:right="317"/>
        <w:rPr>
          <w:rFonts w:eastAsiaTheme="minorHAnsi"/>
          <w:color w:val="365F91" w:themeColor="accent1" w:themeShade="BF"/>
          <w:szCs w:val="17"/>
        </w:rPr>
      </w:pPr>
      <w:r w:rsidRPr="006528D6">
        <w:rPr>
          <w:rFonts w:eastAsiaTheme="minorHAnsi"/>
          <w:b/>
          <w:bCs/>
          <w:color w:val="365F91" w:themeColor="accent1" w:themeShade="BF"/>
          <w:szCs w:val="17"/>
        </w:rPr>
        <w:t>In addition, the industry recommends consideration of indicators that are truly principal, based on a materiality assessment run by the financial market participant</w:t>
      </w:r>
      <w:r w:rsidRPr="006528D6">
        <w:rPr>
          <w:rFonts w:eastAsiaTheme="minorHAnsi"/>
          <w:color w:val="365F91" w:themeColor="accent1" w:themeShade="BF"/>
          <w:szCs w:val="17"/>
        </w:rPr>
        <w:t>. Similarly, the industry encourages the ESAs to evaluate and prioritise the qualitative aspects of those indicators.</w:t>
      </w:r>
    </w:p>
    <w:p w14:paraId="44BB5C72" w14:textId="7FC88051" w:rsidR="00DD14F3" w:rsidRPr="006528D6" w:rsidRDefault="00DD14F3" w:rsidP="006528D6">
      <w:pPr>
        <w:ind w:right="313"/>
        <w:rPr>
          <w:i/>
          <w:sz w:val="17"/>
          <w:szCs w:val="17"/>
        </w:rPr>
      </w:pPr>
    </w:p>
    <w:p w14:paraId="49EFB191" w14:textId="77777777" w:rsidR="00EA1EBD" w:rsidRPr="006528D6" w:rsidRDefault="00EA1EBD" w:rsidP="006528D6">
      <w:pPr>
        <w:ind w:right="313"/>
        <w:rPr>
          <w:i/>
          <w:sz w:val="17"/>
          <w:szCs w:val="17"/>
        </w:rPr>
      </w:pPr>
    </w:p>
    <w:p w14:paraId="62D65389" w14:textId="77777777" w:rsidR="00DD14F3" w:rsidRPr="006528D6" w:rsidRDefault="00DD14F3" w:rsidP="006528D6">
      <w:pPr>
        <w:ind w:right="313"/>
        <w:rPr>
          <w:i/>
          <w:sz w:val="17"/>
          <w:szCs w:val="17"/>
        </w:rPr>
      </w:pPr>
      <w:r w:rsidRPr="006528D6">
        <w:rPr>
          <w:i/>
          <w:sz w:val="17"/>
          <w:szCs w:val="17"/>
        </w:rPr>
        <w:t xml:space="preserve">Question 10: Do you agree with the proposal that financial market participants should provide a </w:t>
      </w:r>
      <w:r w:rsidRPr="006528D6">
        <w:rPr>
          <w:b/>
          <w:bCs/>
          <w:i/>
          <w:sz w:val="17"/>
          <w:szCs w:val="17"/>
        </w:rPr>
        <w:t>historical comparison of principal adverse impact disclosures up to ten years</w:t>
      </w:r>
      <w:r w:rsidRPr="006528D6">
        <w:rPr>
          <w:i/>
          <w:sz w:val="17"/>
          <w:szCs w:val="17"/>
        </w:rPr>
        <w:t>? If not, what timespan would you suggest?</w:t>
      </w:r>
    </w:p>
    <w:p w14:paraId="534F8B9B" w14:textId="77777777" w:rsidR="00DD14F3" w:rsidRPr="006528D6" w:rsidRDefault="00DD14F3" w:rsidP="006528D6">
      <w:pPr>
        <w:ind w:right="313"/>
        <w:rPr>
          <w:i/>
          <w:sz w:val="17"/>
          <w:szCs w:val="17"/>
        </w:rPr>
      </w:pPr>
    </w:p>
    <w:p w14:paraId="2DAB952C" w14:textId="77777777" w:rsidR="00DD14F3" w:rsidRPr="006528D6" w:rsidRDefault="00DD14F3" w:rsidP="00FA0FF8">
      <w:pPr>
        <w:pStyle w:val="CEABullet-Level1"/>
        <w:numPr>
          <w:ilvl w:val="0"/>
          <w:numId w:val="0"/>
        </w:numPr>
        <w:ind w:right="317"/>
        <w:rPr>
          <w:rFonts w:eastAsiaTheme="minorHAnsi"/>
          <w:color w:val="365F91" w:themeColor="accent1" w:themeShade="BF"/>
          <w:szCs w:val="17"/>
        </w:rPr>
      </w:pPr>
      <w:r w:rsidRPr="006528D6">
        <w:rPr>
          <w:rFonts w:eastAsiaTheme="minorHAnsi"/>
          <w:color w:val="365F91" w:themeColor="accent1" w:themeShade="BF"/>
          <w:szCs w:val="17"/>
        </w:rPr>
        <w:t xml:space="preserve">The insurance industry believes that the duration of the historical comparison should consider a </w:t>
      </w:r>
      <w:r w:rsidRPr="006528D6">
        <w:rPr>
          <w:rFonts w:eastAsiaTheme="minorHAnsi"/>
          <w:b/>
          <w:bCs/>
          <w:color w:val="365F91" w:themeColor="accent1" w:themeShade="BF"/>
          <w:szCs w:val="17"/>
        </w:rPr>
        <w:t>5-year horizon</w:t>
      </w:r>
      <w:r w:rsidRPr="006528D6">
        <w:rPr>
          <w:rFonts w:eastAsiaTheme="minorHAnsi"/>
          <w:color w:val="365F91" w:themeColor="accent1" w:themeShade="BF"/>
          <w:szCs w:val="17"/>
        </w:rPr>
        <w:t xml:space="preserve">. This will help comparison in terms of data stability. In addition, this will make the requirement less burdensome in terms of records of information, without affecting the quality of information provided to information users. </w:t>
      </w:r>
    </w:p>
    <w:p w14:paraId="2A8686FD" w14:textId="3D1CE55A" w:rsidR="00DD14F3" w:rsidRPr="006528D6" w:rsidRDefault="00DD14F3" w:rsidP="006528D6">
      <w:pPr>
        <w:ind w:right="313"/>
        <w:rPr>
          <w:i/>
          <w:sz w:val="17"/>
          <w:szCs w:val="17"/>
        </w:rPr>
      </w:pPr>
    </w:p>
    <w:p w14:paraId="189776FA" w14:textId="77777777" w:rsidR="00EA1EBD" w:rsidRPr="006528D6" w:rsidRDefault="00EA1EBD" w:rsidP="006528D6">
      <w:pPr>
        <w:ind w:right="313"/>
        <w:rPr>
          <w:i/>
          <w:sz w:val="17"/>
          <w:szCs w:val="17"/>
        </w:rPr>
      </w:pPr>
    </w:p>
    <w:p w14:paraId="05F54EC3" w14:textId="77777777" w:rsidR="00DD14F3" w:rsidRPr="006528D6" w:rsidRDefault="00DD14F3" w:rsidP="006528D6">
      <w:pPr>
        <w:ind w:right="313"/>
        <w:rPr>
          <w:i/>
          <w:sz w:val="17"/>
          <w:szCs w:val="17"/>
        </w:rPr>
      </w:pPr>
      <w:r w:rsidRPr="006528D6">
        <w:rPr>
          <w:i/>
          <w:sz w:val="17"/>
          <w:szCs w:val="17"/>
        </w:rPr>
        <w:t>Question 11: Are there any ways to discourage potential “</w:t>
      </w:r>
      <w:r w:rsidRPr="006528D6">
        <w:rPr>
          <w:b/>
          <w:bCs/>
          <w:i/>
          <w:sz w:val="17"/>
          <w:szCs w:val="17"/>
        </w:rPr>
        <w:t>window dressing” techniques</w:t>
      </w:r>
      <w:r w:rsidRPr="006528D6">
        <w:rPr>
          <w:i/>
          <w:sz w:val="17"/>
          <w:szCs w:val="17"/>
        </w:rPr>
        <w:t xml:space="preserve"> in the principal adverse impact reporting? Should the ESAs consider </w:t>
      </w:r>
      <w:r w:rsidRPr="006528D6">
        <w:rPr>
          <w:b/>
          <w:bCs/>
          <w:i/>
          <w:sz w:val="17"/>
          <w:szCs w:val="17"/>
        </w:rPr>
        <w:t>harmonising the methodology and timing of reporting across the reference period</w:t>
      </w:r>
      <w:r w:rsidRPr="006528D6">
        <w:rPr>
          <w:i/>
          <w:sz w:val="17"/>
          <w:szCs w:val="17"/>
        </w:rPr>
        <w:t>, e.g. on what dates the composition of investments must be taken into account? If not, what alternative would you suggest to curtail window dressing techniques?</w:t>
      </w:r>
    </w:p>
    <w:p w14:paraId="2EDB40D2" w14:textId="77777777" w:rsidR="00DD14F3" w:rsidRPr="006528D6" w:rsidRDefault="00DD14F3" w:rsidP="006528D6">
      <w:pPr>
        <w:ind w:right="313"/>
        <w:rPr>
          <w:color w:val="365F91" w:themeColor="accent1" w:themeShade="BF"/>
          <w:sz w:val="17"/>
          <w:szCs w:val="17"/>
        </w:rPr>
      </w:pPr>
    </w:p>
    <w:p w14:paraId="2C5271B0" w14:textId="77777777" w:rsidR="00DD14F3" w:rsidRPr="006528D6" w:rsidRDefault="00DD14F3" w:rsidP="006528D6">
      <w:pPr>
        <w:ind w:right="313"/>
        <w:rPr>
          <w:color w:val="365F91" w:themeColor="accent1" w:themeShade="BF"/>
          <w:sz w:val="17"/>
          <w:szCs w:val="17"/>
        </w:rPr>
      </w:pPr>
      <w:r w:rsidRPr="006528D6">
        <w:rPr>
          <w:color w:val="365F91" w:themeColor="accent1" w:themeShade="BF"/>
          <w:sz w:val="17"/>
          <w:szCs w:val="17"/>
        </w:rPr>
        <w:t>The selection of indicators risks encouraging window dressing if they are not based on observable and verifiable facts. This is why it is crucial that a common understanding of adverse impact is reached and that proposed indicators are consistent with ongoing policy work on the EU taxonomy. The evaluation of actions taken to reduced adverse impacts is also to a great extent subjective.</w:t>
      </w:r>
    </w:p>
    <w:p w14:paraId="71E025A8" w14:textId="77777777" w:rsidR="00DD14F3" w:rsidRPr="006528D6" w:rsidRDefault="00DD14F3" w:rsidP="006528D6">
      <w:pPr>
        <w:ind w:right="313"/>
        <w:rPr>
          <w:color w:val="365F91" w:themeColor="accent1" w:themeShade="BF"/>
          <w:sz w:val="17"/>
          <w:szCs w:val="17"/>
        </w:rPr>
      </w:pPr>
    </w:p>
    <w:p w14:paraId="3F118B21" w14:textId="77777777" w:rsidR="00DD14F3" w:rsidRPr="006528D6" w:rsidRDefault="00DD14F3" w:rsidP="006528D6">
      <w:pPr>
        <w:ind w:right="313"/>
        <w:rPr>
          <w:color w:val="365F91" w:themeColor="accent1" w:themeShade="BF"/>
          <w:sz w:val="17"/>
          <w:szCs w:val="17"/>
        </w:rPr>
      </w:pPr>
      <w:r w:rsidRPr="006528D6">
        <w:rPr>
          <w:color w:val="365F91" w:themeColor="accent1" w:themeShade="BF"/>
          <w:sz w:val="17"/>
          <w:szCs w:val="17"/>
        </w:rPr>
        <w:t>The industry does not believe that more granular requirements and harmonisation of methodologies will be a suitable solution to these issues. While guidance on disclosures is useful, financial market players should retain sufficient flexibility in implementation of the Regulation and be able to adopt the methodologies most suited to their specificities and risk profiles.</w:t>
      </w:r>
    </w:p>
    <w:p w14:paraId="1F133673" w14:textId="77777777" w:rsidR="00DD14F3" w:rsidRPr="006528D6" w:rsidRDefault="00DD14F3" w:rsidP="006528D6">
      <w:pPr>
        <w:ind w:right="313"/>
        <w:rPr>
          <w:color w:val="365F91" w:themeColor="accent1" w:themeShade="BF"/>
          <w:sz w:val="17"/>
          <w:szCs w:val="17"/>
        </w:rPr>
      </w:pPr>
    </w:p>
    <w:p w14:paraId="3F1C9BDD" w14:textId="77777777" w:rsidR="00DD14F3" w:rsidRPr="006528D6" w:rsidRDefault="00DD14F3" w:rsidP="006528D6">
      <w:pPr>
        <w:ind w:right="313"/>
        <w:rPr>
          <w:color w:val="365F91" w:themeColor="accent1" w:themeShade="BF"/>
          <w:sz w:val="17"/>
          <w:szCs w:val="17"/>
        </w:rPr>
      </w:pPr>
      <w:r w:rsidRPr="006528D6">
        <w:rPr>
          <w:color w:val="365F91" w:themeColor="accent1" w:themeShade="BF"/>
          <w:sz w:val="17"/>
          <w:szCs w:val="17"/>
        </w:rPr>
        <w:t xml:space="preserve">As noted above, non-financial reporting standards will be key for reliable disclosures. At the same time, they will help the fight against green-washing and window dressing. </w:t>
      </w:r>
    </w:p>
    <w:p w14:paraId="51988B8D" w14:textId="77777777" w:rsidR="00EF5508" w:rsidRPr="006528D6" w:rsidRDefault="00EF5508" w:rsidP="006528D6">
      <w:pPr>
        <w:shd w:val="clear" w:color="auto" w:fill="FFFFFF"/>
        <w:rPr>
          <w:rFonts w:cs="Arial"/>
          <w:color w:val="333333"/>
          <w:sz w:val="17"/>
          <w:szCs w:val="17"/>
          <w:u w:val="single"/>
        </w:rPr>
      </w:pPr>
    </w:p>
    <w:p w14:paraId="19D03C43" w14:textId="77777777" w:rsidR="00EF5508" w:rsidRPr="006528D6" w:rsidRDefault="00EF5508" w:rsidP="006528D6">
      <w:pPr>
        <w:ind w:right="313"/>
        <w:rPr>
          <w:i/>
          <w:sz w:val="17"/>
          <w:szCs w:val="17"/>
        </w:rPr>
      </w:pPr>
    </w:p>
    <w:p w14:paraId="632BF042" w14:textId="1092AEB7" w:rsidR="00EF5508" w:rsidRPr="006528D6" w:rsidRDefault="00EF5508" w:rsidP="006528D6">
      <w:pPr>
        <w:ind w:right="313"/>
        <w:rPr>
          <w:i/>
          <w:sz w:val="17"/>
          <w:szCs w:val="17"/>
        </w:rPr>
      </w:pPr>
      <w:r w:rsidRPr="006528D6">
        <w:rPr>
          <w:i/>
          <w:sz w:val="17"/>
          <w:szCs w:val="17"/>
        </w:rPr>
        <w:t xml:space="preserve">Question 12: Do you agree with the approach to have </w:t>
      </w:r>
      <w:r w:rsidRPr="006528D6">
        <w:rPr>
          <w:b/>
          <w:bCs/>
          <w:i/>
          <w:sz w:val="17"/>
          <w:szCs w:val="17"/>
        </w:rPr>
        <w:t>mandatory (1) pre-contractual and (2) periodic templates</w:t>
      </w:r>
      <w:r w:rsidRPr="006528D6">
        <w:rPr>
          <w:i/>
          <w:sz w:val="17"/>
          <w:szCs w:val="17"/>
        </w:rPr>
        <w:t xml:space="preserve"> for financial products?</w:t>
      </w:r>
    </w:p>
    <w:p w14:paraId="6645634B" w14:textId="0825F8D5" w:rsidR="006826D5" w:rsidRPr="006528D6" w:rsidRDefault="006826D5" w:rsidP="006528D6">
      <w:pPr>
        <w:ind w:right="313"/>
        <w:rPr>
          <w:i/>
          <w:sz w:val="17"/>
          <w:szCs w:val="17"/>
        </w:rPr>
      </w:pPr>
    </w:p>
    <w:p w14:paraId="537A9DC4" w14:textId="2AE4B108" w:rsidR="00037BBE" w:rsidRPr="006528D6" w:rsidRDefault="00037BBE" w:rsidP="00FA0FF8">
      <w:pPr>
        <w:pStyle w:val="CEABullet-Level1"/>
        <w:numPr>
          <w:ilvl w:val="0"/>
          <w:numId w:val="0"/>
        </w:numPr>
        <w:ind w:right="317"/>
        <w:rPr>
          <w:color w:val="365F91" w:themeColor="accent1" w:themeShade="BF"/>
          <w:szCs w:val="17"/>
        </w:rPr>
      </w:pPr>
      <w:r w:rsidRPr="006528D6">
        <w:rPr>
          <w:color w:val="365F91" w:themeColor="accent1" w:themeShade="BF"/>
          <w:szCs w:val="17"/>
        </w:rPr>
        <w:t>This level of prescriptiveness is unprecedented and inappropriate for interim and periodic reports.</w:t>
      </w:r>
    </w:p>
    <w:p w14:paraId="22683A47" w14:textId="77777777" w:rsidR="00037BBE" w:rsidRPr="006528D6" w:rsidRDefault="00037BBE" w:rsidP="00FA0FF8">
      <w:pPr>
        <w:pStyle w:val="CEABullet-Level1"/>
        <w:numPr>
          <w:ilvl w:val="0"/>
          <w:numId w:val="0"/>
        </w:numPr>
        <w:ind w:right="317"/>
        <w:rPr>
          <w:color w:val="365F91" w:themeColor="accent1" w:themeShade="BF"/>
          <w:szCs w:val="17"/>
        </w:rPr>
      </w:pPr>
    </w:p>
    <w:p w14:paraId="03AF6EF4" w14:textId="7E75C14C" w:rsidR="006826D5" w:rsidRPr="006528D6" w:rsidRDefault="006826D5" w:rsidP="00FA0FF8">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The SFDR requires that disclosures of information for insurance products </w:t>
      </w:r>
      <w:r w:rsidR="00DD1C55" w:rsidRPr="006528D6">
        <w:rPr>
          <w:color w:val="365F91" w:themeColor="accent1" w:themeShade="BF"/>
          <w:szCs w:val="17"/>
        </w:rPr>
        <w:t>are</w:t>
      </w:r>
      <w:r w:rsidRPr="006528D6">
        <w:rPr>
          <w:color w:val="365F91" w:themeColor="accent1" w:themeShade="BF"/>
          <w:szCs w:val="17"/>
        </w:rPr>
        <w:t xml:space="preserve"> done according to Article 185(2) of the Solvency II Directive and Article 29(1) of IDD. These disclosures allow for a degree of flexibility and are sometimes detailed at national level. Therefore, the industry notes that inflexible requirements under SFDR are not compatible with the general rules of IDD or Solvency II and should not be introduced through these RTS</w:t>
      </w:r>
      <w:r w:rsidR="00C01B50" w:rsidRPr="006528D6">
        <w:rPr>
          <w:color w:val="365F91" w:themeColor="accent1" w:themeShade="BF"/>
          <w:szCs w:val="17"/>
        </w:rPr>
        <w:t>. The following would</w:t>
      </w:r>
      <w:r w:rsidRPr="006528D6">
        <w:rPr>
          <w:color w:val="365F91" w:themeColor="accent1" w:themeShade="BF"/>
          <w:szCs w:val="17"/>
        </w:rPr>
        <w:t>, for example</w:t>
      </w:r>
      <w:r w:rsidR="00C01B50" w:rsidRPr="006528D6">
        <w:rPr>
          <w:color w:val="365F91" w:themeColor="accent1" w:themeShade="BF"/>
          <w:szCs w:val="17"/>
        </w:rPr>
        <w:t>, be more appropriate for customer disclosures</w:t>
      </w:r>
      <w:r w:rsidRPr="006528D6">
        <w:rPr>
          <w:color w:val="365F91" w:themeColor="accent1" w:themeShade="BF"/>
          <w:szCs w:val="17"/>
        </w:rPr>
        <w:t>:</w:t>
      </w:r>
    </w:p>
    <w:p w14:paraId="7C403ACA" w14:textId="77777777" w:rsidR="006826D5" w:rsidRPr="006528D6" w:rsidRDefault="006826D5" w:rsidP="00FA0FF8">
      <w:pPr>
        <w:pStyle w:val="CEABullet-Level2"/>
        <w:ind w:left="567" w:right="317"/>
        <w:rPr>
          <w:color w:val="365F91" w:themeColor="accent1" w:themeShade="BF"/>
          <w:szCs w:val="17"/>
        </w:rPr>
      </w:pPr>
      <w:r w:rsidRPr="006528D6">
        <w:rPr>
          <w:color w:val="365F91" w:themeColor="accent1" w:themeShade="BF"/>
          <w:szCs w:val="17"/>
        </w:rPr>
        <w:t>National disclosure format resulting from Solvency II and the minimum harmonisation approach taken in IDD.</w:t>
      </w:r>
    </w:p>
    <w:p w14:paraId="471C4168" w14:textId="1B53B730" w:rsidR="006826D5" w:rsidRPr="006528D6" w:rsidRDefault="006826D5" w:rsidP="00FA0FF8">
      <w:pPr>
        <w:pStyle w:val="CEABullet-Level2"/>
        <w:ind w:left="567" w:right="317"/>
        <w:rPr>
          <w:color w:val="365F91" w:themeColor="accent1" w:themeShade="BF"/>
          <w:szCs w:val="17"/>
        </w:rPr>
      </w:pPr>
      <w:r w:rsidRPr="006528D6">
        <w:rPr>
          <w:color w:val="365F91" w:themeColor="accent1" w:themeShade="BF"/>
          <w:szCs w:val="17"/>
        </w:rPr>
        <w:t>PRIIPs KID “Other information” section – note that the KID “What is the product?” section already provides for the possibility to indicate whether a product has sustainability objectives.</w:t>
      </w:r>
    </w:p>
    <w:p w14:paraId="75A76F0C" w14:textId="77777777" w:rsidR="00713085" w:rsidRPr="006528D6" w:rsidRDefault="00713085" w:rsidP="00FA0FF8">
      <w:pPr>
        <w:ind w:right="317"/>
        <w:rPr>
          <w:sz w:val="17"/>
          <w:szCs w:val="17"/>
        </w:rPr>
      </w:pPr>
    </w:p>
    <w:p w14:paraId="59EA3C6C" w14:textId="382E8947" w:rsidR="0053389F" w:rsidRPr="006528D6" w:rsidRDefault="006826D5" w:rsidP="00FA0FF8">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Accordingly, no new specific pre-contractual information template should be introduced, unless its use is optional. </w:t>
      </w:r>
      <w:r w:rsidR="0053389F" w:rsidRPr="006528D6">
        <w:rPr>
          <w:color w:val="365F91" w:themeColor="accent1" w:themeShade="BF"/>
          <w:szCs w:val="17"/>
        </w:rPr>
        <w:t>Should the ESAs</w:t>
      </w:r>
      <w:r w:rsidRPr="006528D6">
        <w:rPr>
          <w:color w:val="365F91" w:themeColor="accent1" w:themeShade="BF"/>
          <w:szCs w:val="17"/>
        </w:rPr>
        <w:t xml:space="preserve"> pursue the introduction of templates, the insurance industry would urge the ESAs not to provide mandatory prescriptive templates. While the need for a minimum level of standardisation is clear, </w:t>
      </w:r>
      <w:r w:rsidRPr="006528D6">
        <w:rPr>
          <w:b/>
          <w:color w:val="365F91" w:themeColor="accent1" w:themeShade="BF"/>
          <w:szCs w:val="17"/>
        </w:rPr>
        <w:t>optional use of templates</w:t>
      </w:r>
      <w:r w:rsidRPr="006528D6">
        <w:rPr>
          <w:color w:val="365F91" w:themeColor="accent1" w:themeShade="BF"/>
          <w:szCs w:val="17"/>
        </w:rPr>
        <w:t xml:space="preserve"> (provided all the required information is clearly provided) should be considered, as this better respects the minimum harmonisation principle of IDD. </w:t>
      </w:r>
    </w:p>
    <w:p w14:paraId="109CBAC4" w14:textId="77777777" w:rsidR="0053389F" w:rsidRPr="006528D6" w:rsidRDefault="0053389F" w:rsidP="00FA0FF8">
      <w:pPr>
        <w:pStyle w:val="CEABullet-Level1"/>
        <w:numPr>
          <w:ilvl w:val="0"/>
          <w:numId w:val="0"/>
        </w:numPr>
        <w:ind w:right="317"/>
        <w:rPr>
          <w:color w:val="365F91" w:themeColor="accent1" w:themeShade="BF"/>
          <w:szCs w:val="17"/>
        </w:rPr>
      </w:pPr>
    </w:p>
    <w:p w14:paraId="22060D86" w14:textId="60F54608" w:rsidR="006826D5" w:rsidRPr="006528D6" w:rsidRDefault="006826D5" w:rsidP="00FA0FF8">
      <w:pPr>
        <w:pStyle w:val="CEABullet-Level1"/>
        <w:numPr>
          <w:ilvl w:val="0"/>
          <w:numId w:val="0"/>
        </w:numPr>
        <w:ind w:right="317"/>
        <w:rPr>
          <w:color w:val="365F91" w:themeColor="accent1" w:themeShade="BF"/>
          <w:szCs w:val="17"/>
        </w:rPr>
      </w:pPr>
      <w:r w:rsidRPr="006528D6">
        <w:rPr>
          <w:color w:val="365F91" w:themeColor="accent1" w:themeShade="BF"/>
          <w:szCs w:val="17"/>
        </w:rPr>
        <w:t>It is also crucial that any templates provided do not follow the restrictive approach used in PRIIPs. A degree of flexibility allows financial market participants to tailor disclosed information to the type of product offered. This would allow manufacturers to provide appropriate information to customers and adapt information to be suited to the full range of products in scope. In this respect, the use of references and links to pre-existing and available information, if already reported elsewhere, is welcome and should be encouraged.</w:t>
      </w:r>
    </w:p>
    <w:p w14:paraId="032A647A" w14:textId="1970DA38" w:rsidR="00DD1C55" w:rsidRPr="006528D6" w:rsidRDefault="00DD1C55" w:rsidP="00FA0FF8">
      <w:pPr>
        <w:pStyle w:val="CEABullet-Level1"/>
        <w:numPr>
          <w:ilvl w:val="0"/>
          <w:numId w:val="0"/>
        </w:numPr>
        <w:ind w:right="317"/>
        <w:rPr>
          <w:color w:val="365F91" w:themeColor="accent1" w:themeShade="BF"/>
          <w:szCs w:val="17"/>
        </w:rPr>
      </w:pPr>
    </w:p>
    <w:p w14:paraId="19704B05" w14:textId="74DE418A" w:rsidR="00DD1C55" w:rsidRPr="006528D6" w:rsidRDefault="00775558" w:rsidP="00FA0FF8">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The insurance industry </w:t>
      </w:r>
      <w:r w:rsidR="00DD1C55" w:rsidRPr="006528D6">
        <w:rPr>
          <w:color w:val="365F91" w:themeColor="accent1" w:themeShade="BF"/>
          <w:szCs w:val="17"/>
        </w:rPr>
        <w:t>also note</w:t>
      </w:r>
      <w:r w:rsidRPr="006528D6">
        <w:rPr>
          <w:color w:val="365F91" w:themeColor="accent1" w:themeShade="BF"/>
          <w:szCs w:val="17"/>
        </w:rPr>
        <w:t>s</w:t>
      </w:r>
      <w:r w:rsidR="00DD1C55" w:rsidRPr="006528D6">
        <w:rPr>
          <w:color w:val="365F91" w:themeColor="accent1" w:themeShade="BF"/>
          <w:szCs w:val="17"/>
        </w:rPr>
        <w:t xml:space="preserve">, and </w:t>
      </w:r>
      <w:r w:rsidRPr="006528D6">
        <w:rPr>
          <w:color w:val="365F91" w:themeColor="accent1" w:themeShade="BF"/>
          <w:szCs w:val="17"/>
        </w:rPr>
        <w:t xml:space="preserve">is </w:t>
      </w:r>
      <w:r w:rsidR="00DD1C55" w:rsidRPr="006528D6">
        <w:rPr>
          <w:color w:val="365F91" w:themeColor="accent1" w:themeShade="BF"/>
          <w:szCs w:val="17"/>
        </w:rPr>
        <w:t xml:space="preserve">sympathetic to, the concerns raised by the ESAs on page 9-10 of the consultation paper regarding the different nature of the various pre-existing documents where the SFDR disclosures will need to be incorporated. </w:t>
      </w:r>
      <w:r w:rsidRPr="006528D6">
        <w:rPr>
          <w:color w:val="365F91" w:themeColor="accent1" w:themeShade="BF"/>
          <w:szCs w:val="17"/>
        </w:rPr>
        <w:t xml:space="preserve">The industry </w:t>
      </w:r>
      <w:r w:rsidR="00DD1C55" w:rsidRPr="006528D6">
        <w:rPr>
          <w:color w:val="365F91" w:themeColor="accent1" w:themeShade="BF"/>
          <w:szCs w:val="17"/>
        </w:rPr>
        <w:t>do</w:t>
      </w:r>
      <w:r w:rsidRPr="006528D6">
        <w:rPr>
          <w:color w:val="365F91" w:themeColor="accent1" w:themeShade="BF"/>
          <w:szCs w:val="17"/>
        </w:rPr>
        <w:t>es</w:t>
      </w:r>
      <w:r w:rsidR="00DD1C55" w:rsidRPr="006528D6">
        <w:rPr>
          <w:color w:val="365F91" w:themeColor="accent1" w:themeShade="BF"/>
          <w:szCs w:val="17"/>
        </w:rPr>
        <w:t xml:space="preserve"> not believe it will be possible to create a single template that is appropriate for use in consumer facing documents such as the PEPP KID, but also appropriate for use alongside a market-focused prospectus. </w:t>
      </w:r>
      <w:r w:rsidRPr="006528D6">
        <w:rPr>
          <w:color w:val="365F91" w:themeColor="accent1" w:themeShade="BF"/>
          <w:szCs w:val="17"/>
        </w:rPr>
        <w:t xml:space="preserve">Insurance Europe </w:t>
      </w:r>
      <w:r w:rsidR="00DD1C55" w:rsidRPr="006528D6">
        <w:rPr>
          <w:color w:val="365F91" w:themeColor="accent1" w:themeShade="BF"/>
          <w:szCs w:val="17"/>
        </w:rPr>
        <w:t>appreciate</w:t>
      </w:r>
      <w:r w:rsidRPr="006528D6">
        <w:rPr>
          <w:color w:val="365F91" w:themeColor="accent1" w:themeShade="BF"/>
          <w:szCs w:val="17"/>
        </w:rPr>
        <w:t>s</w:t>
      </w:r>
      <w:r w:rsidR="00DD1C55" w:rsidRPr="006528D6">
        <w:rPr>
          <w:color w:val="365F91" w:themeColor="accent1" w:themeShade="BF"/>
          <w:szCs w:val="17"/>
        </w:rPr>
        <w:t xml:space="preserve"> that the </w:t>
      </w:r>
      <w:r w:rsidRPr="006528D6">
        <w:rPr>
          <w:color w:val="365F91" w:themeColor="accent1" w:themeShade="BF"/>
          <w:szCs w:val="17"/>
        </w:rPr>
        <w:t>L</w:t>
      </w:r>
      <w:r w:rsidR="00DD1C55" w:rsidRPr="006528D6">
        <w:rPr>
          <w:color w:val="365F91" w:themeColor="accent1" w:themeShade="BF"/>
          <w:szCs w:val="17"/>
        </w:rPr>
        <w:t xml:space="preserve">evel </w:t>
      </w:r>
      <w:r w:rsidRPr="006528D6">
        <w:rPr>
          <w:color w:val="365F91" w:themeColor="accent1" w:themeShade="BF"/>
          <w:szCs w:val="17"/>
        </w:rPr>
        <w:t xml:space="preserve">1 </w:t>
      </w:r>
      <w:r w:rsidR="00DD1C55" w:rsidRPr="006528D6">
        <w:rPr>
          <w:color w:val="365F91" w:themeColor="accent1" w:themeShade="BF"/>
          <w:szCs w:val="17"/>
        </w:rPr>
        <w:t xml:space="preserve">requirements present a significant challenge for the ESAs, </w:t>
      </w:r>
      <w:r w:rsidR="0053389F" w:rsidRPr="006528D6">
        <w:rPr>
          <w:color w:val="365F91" w:themeColor="accent1" w:themeShade="BF"/>
          <w:szCs w:val="17"/>
        </w:rPr>
        <w:t xml:space="preserve">but </w:t>
      </w:r>
      <w:r w:rsidR="00DD1C55" w:rsidRPr="006528D6">
        <w:rPr>
          <w:color w:val="365F91" w:themeColor="accent1" w:themeShade="BF"/>
          <w:szCs w:val="17"/>
        </w:rPr>
        <w:t>believe</w:t>
      </w:r>
      <w:r w:rsidRPr="006528D6">
        <w:rPr>
          <w:color w:val="365F91" w:themeColor="accent1" w:themeShade="BF"/>
          <w:szCs w:val="17"/>
        </w:rPr>
        <w:t>s</w:t>
      </w:r>
      <w:r w:rsidR="00DD1C55" w:rsidRPr="006528D6">
        <w:rPr>
          <w:color w:val="365F91" w:themeColor="accent1" w:themeShade="BF"/>
          <w:szCs w:val="17"/>
        </w:rPr>
        <w:t xml:space="preserve"> this needs to be solved through maximum flexibility for</w:t>
      </w:r>
      <w:r w:rsidR="00E43840" w:rsidRPr="006528D6">
        <w:rPr>
          <w:color w:val="365F91" w:themeColor="accent1" w:themeShade="BF"/>
          <w:szCs w:val="17"/>
        </w:rPr>
        <w:t xml:space="preserve"> companies rather than prescriptive standards. </w:t>
      </w:r>
    </w:p>
    <w:p w14:paraId="33C7AE04" w14:textId="52910F47" w:rsidR="006826D5" w:rsidRPr="006528D6" w:rsidRDefault="006826D5" w:rsidP="00FA0FF8">
      <w:pPr>
        <w:ind w:right="317"/>
        <w:rPr>
          <w:i/>
          <w:color w:val="365F91" w:themeColor="accent1" w:themeShade="BF"/>
          <w:sz w:val="17"/>
          <w:szCs w:val="17"/>
        </w:rPr>
      </w:pPr>
    </w:p>
    <w:p w14:paraId="2204040A" w14:textId="4A6099C0" w:rsidR="00C41762" w:rsidRPr="006528D6" w:rsidRDefault="00C41762" w:rsidP="00FA0FF8">
      <w:pPr>
        <w:ind w:right="317"/>
        <w:rPr>
          <w:i/>
          <w:color w:val="365F91" w:themeColor="accent1" w:themeShade="BF"/>
          <w:sz w:val="17"/>
          <w:szCs w:val="17"/>
        </w:rPr>
      </w:pPr>
      <w:r w:rsidRPr="006528D6">
        <w:rPr>
          <w:iCs/>
          <w:color w:val="365F91" w:themeColor="accent1" w:themeShade="BF"/>
          <w:sz w:val="17"/>
          <w:szCs w:val="17"/>
        </w:rPr>
        <w:t>Finally, the time pressure the ESAs are under to finalise the RTS</w:t>
      </w:r>
      <w:r w:rsidR="00775558" w:rsidRPr="006528D6">
        <w:rPr>
          <w:iCs/>
          <w:color w:val="365F91" w:themeColor="accent1" w:themeShade="BF"/>
          <w:sz w:val="17"/>
          <w:szCs w:val="17"/>
        </w:rPr>
        <w:t xml:space="preserve"> is well understood</w:t>
      </w:r>
      <w:r w:rsidRPr="006528D6">
        <w:rPr>
          <w:iCs/>
          <w:color w:val="365F91" w:themeColor="accent1" w:themeShade="BF"/>
          <w:sz w:val="17"/>
          <w:szCs w:val="17"/>
        </w:rPr>
        <w:t xml:space="preserve">, however, </w:t>
      </w:r>
      <w:r w:rsidR="00775558" w:rsidRPr="006528D6">
        <w:rPr>
          <w:iCs/>
          <w:color w:val="365F91" w:themeColor="accent1" w:themeShade="BF"/>
          <w:sz w:val="17"/>
          <w:szCs w:val="17"/>
        </w:rPr>
        <w:t xml:space="preserve">the industry </w:t>
      </w:r>
      <w:r w:rsidRPr="006528D6">
        <w:rPr>
          <w:iCs/>
          <w:color w:val="365F91" w:themeColor="accent1" w:themeShade="BF"/>
          <w:sz w:val="17"/>
          <w:szCs w:val="17"/>
        </w:rPr>
        <w:t>regret</w:t>
      </w:r>
      <w:r w:rsidR="00775558" w:rsidRPr="006528D6">
        <w:rPr>
          <w:iCs/>
          <w:color w:val="365F91" w:themeColor="accent1" w:themeShade="BF"/>
          <w:sz w:val="17"/>
          <w:szCs w:val="17"/>
        </w:rPr>
        <w:t>s</w:t>
      </w:r>
      <w:r w:rsidRPr="006528D6">
        <w:rPr>
          <w:iCs/>
          <w:color w:val="365F91" w:themeColor="accent1" w:themeShade="BF"/>
          <w:sz w:val="17"/>
          <w:szCs w:val="17"/>
        </w:rPr>
        <w:t xml:space="preserve"> that </w:t>
      </w:r>
      <w:r w:rsidR="00DB5D98" w:rsidRPr="006528D6">
        <w:rPr>
          <w:iCs/>
          <w:color w:val="365F91" w:themeColor="accent1" w:themeShade="BF"/>
          <w:sz w:val="17"/>
          <w:szCs w:val="17"/>
        </w:rPr>
        <w:t>draft templates were not provided for comments as part of this consultation. If mandatory templates are to be produced at a later date</w:t>
      </w:r>
      <w:r w:rsidR="00775558" w:rsidRPr="006528D6">
        <w:rPr>
          <w:iCs/>
          <w:color w:val="365F91" w:themeColor="accent1" w:themeShade="BF"/>
          <w:sz w:val="17"/>
          <w:szCs w:val="17"/>
        </w:rPr>
        <w:t>,</w:t>
      </w:r>
      <w:r w:rsidR="00DB5D98" w:rsidRPr="006528D6">
        <w:rPr>
          <w:iCs/>
          <w:color w:val="365F91" w:themeColor="accent1" w:themeShade="BF"/>
          <w:sz w:val="17"/>
          <w:szCs w:val="17"/>
        </w:rPr>
        <w:t xml:space="preserve"> there will need to be </w:t>
      </w:r>
      <w:r w:rsidR="00DB5D98" w:rsidRPr="006528D6">
        <w:rPr>
          <w:b/>
          <w:color w:val="365F91" w:themeColor="accent1" w:themeShade="BF"/>
          <w:sz w:val="17"/>
          <w:szCs w:val="17"/>
        </w:rPr>
        <w:t>a second consultation so that stakeholders can provide feedback on the usefulness and feasibility of these templates</w:t>
      </w:r>
      <w:r w:rsidR="00DB5D98" w:rsidRPr="006528D6">
        <w:rPr>
          <w:iCs/>
          <w:color w:val="365F91" w:themeColor="accent1" w:themeShade="BF"/>
          <w:sz w:val="17"/>
          <w:szCs w:val="17"/>
        </w:rPr>
        <w:t xml:space="preserve">. </w:t>
      </w:r>
    </w:p>
    <w:p w14:paraId="27AD0D5D" w14:textId="77777777" w:rsidR="00EF5508" w:rsidRPr="006528D6" w:rsidRDefault="00EF5508" w:rsidP="006528D6">
      <w:pPr>
        <w:ind w:right="313"/>
        <w:rPr>
          <w:i/>
          <w:sz w:val="17"/>
          <w:szCs w:val="17"/>
        </w:rPr>
      </w:pPr>
    </w:p>
    <w:p w14:paraId="688CAF60" w14:textId="77777777" w:rsidR="004D2ADB" w:rsidRPr="006528D6" w:rsidRDefault="004D2ADB" w:rsidP="006528D6">
      <w:pPr>
        <w:ind w:right="313"/>
        <w:rPr>
          <w:i/>
          <w:sz w:val="17"/>
          <w:szCs w:val="17"/>
        </w:rPr>
      </w:pPr>
    </w:p>
    <w:p w14:paraId="3953BBAD" w14:textId="77777777" w:rsidR="00EF5508" w:rsidRPr="006528D6" w:rsidRDefault="00EF5508" w:rsidP="006528D6">
      <w:pPr>
        <w:ind w:right="313"/>
        <w:rPr>
          <w:i/>
          <w:sz w:val="17"/>
          <w:szCs w:val="17"/>
        </w:rPr>
      </w:pPr>
      <w:r w:rsidRPr="006528D6">
        <w:rPr>
          <w:i/>
          <w:sz w:val="17"/>
          <w:szCs w:val="17"/>
        </w:rPr>
        <w:t xml:space="preserve">Question 13: If the ESAs develop such pre-contractual and periodic templates, </w:t>
      </w:r>
      <w:r w:rsidRPr="006528D6">
        <w:rPr>
          <w:b/>
          <w:i/>
          <w:sz w:val="17"/>
          <w:szCs w:val="17"/>
        </w:rPr>
        <w:t>what elements should the ESAs include and how should they be formatted</w:t>
      </w:r>
      <w:r w:rsidRPr="006528D6">
        <w:rPr>
          <w:i/>
          <w:sz w:val="17"/>
          <w:szCs w:val="17"/>
        </w:rPr>
        <w:t>?</w:t>
      </w:r>
    </w:p>
    <w:p w14:paraId="5C53A31A" w14:textId="77777777" w:rsidR="00EF5508" w:rsidRPr="006528D6" w:rsidRDefault="00EF5508" w:rsidP="006528D6">
      <w:pPr>
        <w:ind w:right="313"/>
        <w:rPr>
          <w:i/>
          <w:sz w:val="17"/>
          <w:szCs w:val="17"/>
        </w:rPr>
      </w:pPr>
    </w:p>
    <w:p w14:paraId="0FA512AF" w14:textId="09101CD7" w:rsidR="00EF5508" w:rsidRPr="006528D6" w:rsidRDefault="00DD1C55" w:rsidP="006528D6">
      <w:pPr>
        <w:ind w:right="313"/>
        <w:rPr>
          <w:rFonts w:cs="Frutiger LT Std 45 Light"/>
          <w:color w:val="365F91" w:themeColor="accent1" w:themeShade="BF"/>
          <w:sz w:val="17"/>
          <w:szCs w:val="17"/>
        </w:rPr>
      </w:pPr>
      <w:r w:rsidRPr="006528D6">
        <w:rPr>
          <w:rFonts w:cs="Frutiger LT Std 45 Light"/>
          <w:color w:val="365F91" w:themeColor="accent1" w:themeShade="BF"/>
          <w:sz w:val="17"/>
          <w:szCs w:val="17"/>
        </w:rPr>
        <w:t>As stated above</w:t>
      </w:r>
      <w:r w:rsidR="00775558" w:rsidRPr="006528D6">
        <w:rPr>
          <w:rFonts w:cs="Frutiger LT Std 45 Light"/>
          <w:color w:val="365F91" w:themeColor="accent1" w:themeShade="BF"/>
          <w:sz w:val="17"/>
          <w:szCs w:val="17"/>
        </w:rPr>
        <w:t xml:space="preserve">, </w:t>
      </w:r>
      <w:r w:rsidRPr="006528D6">
        <w:rPr>
          <w:rFonts w:cs="Frutiger LT Std 45 Light"/>
          <w:color w:val="365F91" w:themeColor="accent1" w:themeShade="BF"/>
          <w:sz w:val="17"/>
          <w:szCs w:val="17"/>
        </w:rPr>
        <w:t xml:space="preserve">mandatory templates should </w:t>
      </w:r>
      <w:r w:rsidR="00775558" w:rsidRPr="006528D6">
        <w:rPr>
          <w:rFonts w:cs="Frutiger LT Std 45 Light"/>
          <w:color w:val="365F91" w:themeColor="accent1" w:themeShade="BF"/>
          <w:sz w:val="17"/>
          <w:szCs w:val="17"/>
        </w:rPr>
        <w:t xml:space="preserve">not </w:t>
      </w:r>
      <w:r w:rsidRPr="006528D6">
        <w:rPr>
          <w:rFonts w:cs="Frutiger LT Std 45 Light"/>
          <w:color w:val="365F91" w:themeColor="accent1" w:themeShade="BF"/>
          <w:sz w:val="17"/>
          <w:szCs w:val="17"/>
        </w:rPr>
        <w:t xml:space="preserve">be introduced for SFDR disclosures. </w:t>
      </w:r>
      <w:r w:rsidR="00865694" w:rsidRPr="006528D6">
        <w:rPr>
          <w:rFonts w:cs="Frutiger LT Std 45 Light"/>
          <w:color w:val="365F91" w:themeColor="accent1" w:themeShade="BF"/>
          <w:sz w:val="17"/>
          <w:szCs w:val="17"/>
        </w:rPr>
        <w:t>In case o</w:t>
      </w:r>
      <w:r w:rsidR="009F3476" w:rsidRPr="006528D6">
        <w:rPr>
          <w:rFonts w:cs="Frutiger LT Std 45 Light"/>
          <w:color w:val="365F91" w:themeColor="accent1" w:themeShade="BF"/>
          <w:sz w:val="17"/>
          <w:szCs w:val="17"/>
        </w:rPr>
        <w:t xml:space="preserve">ptional templates </w:t>
      </w:r>
      <w:r w:rsidR="00865694" w:rsidRPr="006528D6">
        <w:rPr>
          <w:rFonts w:cs="Frutiger LT Std 45 Light"/>
          <w:color w:val="365F91" w:themeColor="accent1" w:themeShade="BF"/>
          <w:sz w:val="17"/>
          <w:szCs w:val="17"/>
        </w:rPr>
        <w:t xml:space="preserve">are developed, they </w:t>
      </w:r>
      <w:r w:rsidR="009F3476" w:rsidRPr="006528D6">
        <w:rPr>
          <w:rFonts w:cs="Frutiger LT Std 45 Light"/>
          <w:color w:val="365F91" w:themeColor="accent1" w:themeShade="BF"/>
          <w:sz w:val="17"/>
          <w:szCs w:val="17"/>
        </w:rPr>
        <w:t xml:space="preserve">should include the minimum data fields to be included, the order in which information should appear, and potentially key definition. This would ensure a degree of comparability between products while respecting the minimum harmonisation principle of IDD and respecting </w:t>
      </w:r>
      <w:commentRangeStart w:id="3"/>
      <w:r w:rsidR="009F3476" w:rsidRPr="006528D6">
        <w:rPr>
          <w:rFonts w:cs="Frutiger LT Std 45 Light"/>
          <w:color w:val="365F91" w:themeColor="accent1" w:themeShade="BF"/>
          <w:sz w:val="17"/>
          <w:szCs w:val="17"/>
        </w:rPr>
        <w:t>national specificities in IDD implementation</w:t>
      </w:r>
      <w:commentRangeEnd w:id="3"/>
      <w:r w:rsidR="009F3476" w:rsidRPr="006528D6">
        <w:rPr>
          <w:rStyle w:val="Odkaznakomentr"/>
          <w:color w:val="365F91" w:themeColor="accent1" w:themeShade="BF"/>
          <w:sz w:val="17"/>
          <w:szCs w:val="17"/>
        </w:rPr>
        <w:commentReference w:id="3"/>
      </w:r>
      <w:r w:rsidR="009F3476" w:rsidRPr="006528D6">
        <w:rPr>
          <w:rFonts w:cs="Frutiger LT Std 45 Light"/>
          <w:color w:val="365F91" w:themeColor="accent1" w:themeShade="BF"/>
          <w:sz w:val="17"/>
          <w:szCs w:val="17"/>
        </w:rPr>
        <w:t xml:space="preserve">. </w:t>
      </w:r>
    </w:p>
    <w:p w14:paraId="4ACA8F2D" w14:textId="77777777" w:rsidR="00EF5508" w:rsidRPr="006528D6" w:rsidRDefault="00EF5508" w:rsidP="006528D6">
      <w:pPr>
        <w:ind w:right="313"/>
        <w:rPr>
          <w:i/>
          <w:color w:val="365F91" w:themeColor="accent1" w:themeShade="BF"/>
          <w:sz w:val="17"/>
          <w:szCs w:val="17"/>
        </w:rPr>
      </w:pPr>
    </w:p>
    <w:p w14:paraId="57E395C0" w14:textId="77777777" w:rsidR="00EF5508" w:rsidRPr="006528D6" w:rsidRDefault="00EF5508" w:rsidP="006528D6">
      <w:pPr>
        <w:ind w:right="313"/>
        <w:rPr>
          <w:i/>
          <w:sz w:val="17"/>
          <w:szCs w:val="17"/>
        </w:rPr>
      </w:pPr>
    </w:p>
    <w:p w14:paraId="50F4CFE0" w14:textId="77777777" w:rsidR="00EF5508" w:rsidRPr="006528D6" w:rsidRDefault="00EF5508" w:rsidP="006528D6">
      <w:pPr>
        <w:ind w:right="313"/>
        <w:rPr>
          <w:i/>
          <w:sz w:val="17"/>
          <w:szCs w:val="17"/>
        </w:rPr>
      </w:pPr>
      <w:r w:rsidRPr="006528D6">
        <w:rPr>
          <w:i/>
          <w:sz w:val="17"/>
          <w:szCs w:val="17"/>
        </w:rPr>
        <w:t xml:space="preserve">Question 14: If you do not agree with harmonised reporting templates for financial products, please suggest what </w:t>
      </w:r>
      <w:r w:rsidRPr="006528D6">
        <w:rPr>
          <w:b/>
          <w:i/>
          <w:sz w:val="17"/>
          <w:szCs w:val="17"/>
        </w:rPr>
        <w:t>other approach</w:t>
      </w:r>
      <w:r w:rsidRPr="006528D6">
        <w:rPr>
          <w:i/>
          <w:sz w:val="17"/>
          <w:szCs w:val="17"/>
        </w:rPr>
        <w:t xml:space="preserve"> you would propose that would ensure comparability between products.</w:t>
      </w:r>
    </w:p>
    <w:p w14:paraId="5AD79825" w14:textId="77777777" w:rsidR="00EF5508" w:rsidRPr="006528D6" w:rsidRDefault="00EF5508" w:rsidP="006528D6">
      <w:pPr>
        <w:ind w:right="313"/>
        <w:rPr>
          <w:i/>
          <w:sz w:val="17"/>
          <w:szCs w:val="17"/>
        </w:rPr>
      </w:pPr>
    </w:p>
    <w:p w14:paraId="1BF4A021" w14:textId="5C13B3DE" w:rsidR="00EF5508" w:rsidRPr="006528D6" w:rsidRDefault="00E43840" w:rsidP="006528D6">
      <w:pPr>
        <w:ind w:right="313"/>
        <w:rPr>
          <w:rFonts w:cs="Frutiger LT Std 45 Light"/>
          <w:color w:val="365F91" w:themeColor="accent1" w:themeShade="BF"/>
          <w:sz w:val="17"/>
          <w:szCs w:val="17"/>
        </w:rPr>
      </w:pPr>
      <w:r w:rsidRPr="006528D6">
        <w:rPr>
          <w:rFonts w:cs="Frutiger LT Std 45 Light"/>
          <w:color w:val="365F91" w:themeColor="accent1" w:themeShade="BF"/>
          <w:sz w:val="17"/>
          <w:szCs w:val="17"/>
        </w:rPr>
        <w:t xml:space="preserve">Rather than producing templates, the RTS should specify only what information needs to be disclosed without specifying the format of these disclosures. Guidance on best practice for making these disclosures within the various existing disclosure regimes could then be provided to assist companies in making these disclosures in the most effective way, while still allowing the format to be adapted to reflect the specific nature of the product and any applicable national rules. </w:t>
      </w:r>
    </w:p>
    <w:p w14:paraId="12AFDFEB" w14:textId="77777777" w:rsidR="00EF5508" w:rsidRPr="006528D6" w:rsidRDefault="00EF5508" w:rsidP="006528D6">
      <w:pPr>
        <w:ind w:right="313"/>
        <w:rPr>
          <w:i/>
          <w:color w:val="365F91" w:themeColor="accent1" w:themeShade="BF"/>
          <w:sz w:val="17"/>
          <w:szCs w:val="17"/>
        </w:rPr>
      </w:pPr>
    </w:p>
    <w:p w14:paraId="002DEA41" w14:textId="77777777" w:rsidR="00EF5508" w:rsidRPr="006528D6" w:rsidRDefault="00EF5508" w:rsidP="006528D6">
      <w:pPr>
        <w:ind w:right="313"/>
        <w:rPr>
          <w:i/>
          <w:color w:val="365F91" w:themeColor="accent1" w:themeShade="BF"/>
          <w:sz w:val="17"/>
          <w:szCs w:val="17"/>
        </w:rPr>
      </w:pPr>
    </w:p>
    <w:p w14:paraId="7C8075B5" w14:textId="0A8321F6" w:rsidR="00EF5508" w:rsidRPr="006528D6" w:rsidRDefault="00EF5508" w:rsidP="006528D6">
      <w:pPr>
        <w:ind w:right="313"/>
        <w:rPr>
          <w:i/>
          <w:sz w:val="17"/>
          <w:szCs w:val="17"/>
        </w:rPr>
      </w:pPr>
      <w:r w:rsidRPr="006528D6">
        <w:rPr>
          <w:i/>
          <w:sz w:val="17"/>
          <w:szCs w:val="17"/>
        </w:rPr>
        <w:t xml:space="preserve">Question 15: Do you agree with the </w:t>
      </w:r>
      <w:r w:rsidRPr="006528D6">
        <w:rPr>
          <w:b/>
          <w:bCs/>
          <w:i/>
          <w:sz w:val="17"/>
          <w:szCs w:val="17"/>
        </w:rPr>
        <w:t>balance of information between pre-contractual and website information requirements</w:t>
      </w:r>
      <w:r w:rsidRPr="006528D6">
        <w:rPr>
          <w:i/>
          <w:sz w:val="17"/>
          <w:szCs w:val="17"/>
        </w:rPr>
        <w:t>? Apart from the items listed under Questions 25 and 26, is there anything you would add or subtract from these proposals?</w:t>
      </w:r>
    </w:p>
    <w:p w14:paraId="6730A680" w14:textId="77777777" w:rsidR="00EF5508" w:rsidRPr="006528D6" w:rsidRDefault="00EF5508" w:rsidP="006528D6">
      <w:pPr>
        <w:ind w:right="313"/>
        <w:rPr>
          <w:i/>
          <w:sz w:val="17"/>
          <w:szCs w:val="17"/>
        </w:rPr>
      </w:pPr>
    </w:p>
    <w:p w14:paraId="25798823" w14:textId="0DC7CE45" w:rsidR="00C55D64" w:rsidRPr="006528D6" w:rsidRDefault="00C55D64" w:rsidP="006528D6">
      <w:pPr>
        <w:pStyle w:val="CEABullet-Level1"/>
        <w:numPr>
          <w:ilvl w:val="0"/>
          <w:numId w:val="0"/>
        </w:numPr>
        <w:ind w:right="317"/>
        <w:rPr>
          <w:color w:val="365F91" w:themeColor="accent1" w:themeShade="BF"/>
          <w:szCs w:val="17"/>
        </w:rPr>
      </w:pPr>
      <w:r w:rsidRPr="006528D6">
        <w:rPr>
          <w:color w:val="365F91" w:themeColor="accent1" w:themeShade="BF"/>
          <w:szCs w:val="17"/>
        </w:rPr>
        <w:t xml:space="preserve">In general, the information required to be disclosed on the website seems reasonable and proportionate. </w:t>
      </w:r>
      <w:r w:rsidR="00824377" w:rsidRPr="006528D6">
        <w:rPr>
          <w:color w:val="365F91" w:themeColor="accent1" w:themeShade="BF"/>
          <w:szCs w:val="17"/>
        </w:rPr>
        <w:t xml:space="preserve">In order to avoid duplication of information, a single disclosure </w:t>
      </w:r>
      <w:r w:rsidR="00AF79B7" w:rsidRPr="006528D6">
        <w:rPr>
          <w:color w:val="365F91" w:themeColor="accent1" w:themeShade="BF"/>
          <w:szCs w:val="17"/>
        </w:rPr>
        <w:t xml:space="preserve">requirement </w:t>
      </w:r>
      <w:r w:rsidR="00824377" w:rsidRPr="006528D6">
        <w:rPr>
          <w:color w:val="365F91" w:themeColor="accent1" w:themeShade="BF"/>
          <w:szCs w:val="17"/>
        </w:rPr>
        <w:t xml:space="preserve">should be created where possible, containing only the information that is absolutely necessary. </w:t>
      </w:r>
      <w:r w:rsidRPr="006528D6">
        <w:rPr>
          <w:color w:val="365F91" w:themeColor="accent1" w:themeShade="BF"/>
          <w:szCs w:val="17"/>
        </w:rPr>
        <w:t>The insurance sector questions the need for the provision of any further information to be mandatory</w:t>
      </w:r>
      <w:r w:rsidR="00796F21" w:rsidRPr="006528D6">
        <w:rPr>
          <w:color w:val="365F91" w:themeColor="accent1" w:themeShade="BF"/>
          <w:szCs w:val="17"/>
        </w:rPr>
        <w:t xml:space="preserve"> and </w:t>
      </w:r>
      <w:r w:rsidRPr="006528D6">
        <w:rPr>
          <w:color w:val="365F91" w:themeColor="accent1" w:themeShade="BF"/>
          <w:szCs w:val="17"/>
        </w:rPr>
        <w:t xml:space="preserve">welcomes the possibility for market participants to provide supplementary information </w:t>
      </w:r>
      <w:r w:rsidR="00824377" w:rsidRPr="006528D6">
        <w:rPr>
          <w:color w:val="365F91" w:themeColor="accent1" w:themeShade="BF"/>
          <w:szCs w:val="17"/>
        </w:rPr>
        <w:t xml:space="preserve">on an optional basis, </w:t>
      </w:r>
      <w:r w:rsidRPr="006528D6">
        <w:rPr>
          <w:color w:val="365F91" w:themeColor="accent1" w:themeShade="BF"/>
          <w:szCs w:val="17"/>
        </w:rPr>
        <w:t xml:space="preserve">where relevant. </w:t>
      </w:r>
    </w:p>
    <w:p w14:paraId="14F3CC4A" w14:textId="49BBBA95" w:rsidR="00EF5508" w:rsidRPr="006528D6" w:rsidRDefault="00EF5508" w:rsidP="006528D6">
      <w:pPr>
        <w:pStyle w:val="CEABullet-Level1"/>
        <w:numPr>
          <w:ilvl w:val="0"/>
          <w:numId w:val="0"/>
        </w:numPr>
        <w:ind w:right="317"/>
        <w:rPr>
          <w:color w:val="365F91" w:themeColor="accent1" w:themeShade="BF"/>
          <w:szCs w:val="17"/>
        </w:rPr>
      </w:pPr>
    </w:p>
    <w:p w14:paraId="6F32F47B" w14:textId="7CFD0C6D" w:rsidR="00C55D64" w:rsidRPr="006528D6" w:rsidRDefault="007B0BA1" w:rsidP="006528D6">
      <w:pPr>
        <w:pStyle w:val="CEABullet-Level1"/>
        <w:numPr>
          <w:ilvl w:val="0"/>
          <w:numId w:val="0"/>
        </w:numPr>
        <w:ind w:right="317"/>
        <w:rPr>
          <w:color w:val="365F91" w:themeColor="accent1" w:themeShade="BF"/>
          <w:szCs w:val="17"/>
        </w:rPr>
      </w:pPr>
      <w:r w:rsidRPr="006528D6">
        <w:rPr>
          <w:color w:val="365F91" w:themeColor="accent1" w:themeShade="BF"/>
          <w:szCs w:val="17"/>
        </w:rPr>
        <w:t>T</w:t>
      </w:r>
      <w:r w:rsidR="00C55D64" w:rsidRPr="006528D6">
        <w:rPr>
          <w:color w:val="365F91" w:themeColor="accent1" w:themeShade="BF"/>
          <w:szCs w:val="17"/>
        </w:rPr>
        <w:t xml:space="preserve">he requirement to use a ‘language customary in the sphere of international finance’ is unclear. Depending on what is meant by this requirement, it is also potentially at odds with existing EU legislation and national rules requiring customer information to be provided in the language in which the product is marketed. This requirement should be removed. Existing rules on the language in which product information is provided should be relied upon instead. </w:t>
      </w:r>
    </w:p>
    <w:p w14:paraId="184C00C4" w14:textId="3F8F9ADE" w:rsidR="00C55D64" w:rsidRPr="006528D6" w:rsidRDefault="00C55D64" w:rsidP="006528D6">
      <w:pPr>
        <w:pStyle w:val="CEABullet-Level1"/>
        <w:numPr>
          <w:ilvl w:val="0"/>
          <w:numId w:val="0"/>
        </w:numPr>
        <w:ind w:right="317"/>
        <w:rPr>
          <w:color w:val="365F91" w:themeColor="accent1" w:themeShade="BF"/>
          <w:szCs w:val="17"/>
        </w:rPr>
      </w:pPr>
    </w:p>
    <w:p w14:paraId="1803DB70" w14:textId="2D9F823A" w:rsidR="00C55D64" w:rsidRPr="006528D6" w:rsidRDefault="00C55D64" w:rsidP="006528D6">
      <w:pPr>
        <w:pStyle w:val="CEABullet-Level1"/>
        <w:numPr>
          <w:ilvl w:val="0"/>
          <w:numId w:val="0"/>
        </w:numPr>
        <w:ind w:right="317"/>
        <w:rPr>
          <w:iCs/>
          <w:color w:val="365F91" w:themeColor="accent1" w:themeShade="BF"/>
          <w:szCs w:val="17"/>
        </w:rPr>
      </w:pPr>
      <w:r w:rsidRPr="006528D6">
        <w:rPr>
          <w:color w:val="365F91" w:themeColor="accent1" w:themeShade="BF"/>
          <w:szCs w:val="17"/>
        </w:rPr>
        <w:t>In addition, the requirement that summary information is</w:t>
      </w:r>
      <w:r w:rsidRPr="006528D6">
        <w:rPr>
          <w:iCs/>
          <w:color w:val="365F91" w:themeColor="accent1" w:themeShade="BF"/>
          <w:szCs w:val="17"/>
        </w:rPr>
        <w:t xml:space="preserve"> 2 sides of A4 when printed is unnecessarily restrictive and not digital friendly. In other areas of precontractual information legislators are looking to move away from paper-based requirements to allow for truly digital distribution. Requirements relating to paper-based measures should be removed as they are not ‘future-proof’ and will not allow for the layering of information or the incorporation of information by reference. </w:t>
      </w:r>
    </w:p>
    <w:p w14:paraId="03350DDE" w14:textId="77777777" w:rsidR="00C55D64" w:rsidRPr="006528D6" w:rsidRDefault="00C55D64" w:rsidP="006528D6">
      <w:pPr>
        <w:ind w:right="313"/>
        <w:rPr>
          <w:i/>
          <w:sz w:val="17"/>
          <w:szCs w:val="17"/>
        </w:rPr>
      </w:pPr>
    </w:p>
    <w:p w14:paraId="48523C60" w14:textId="77777777" w:rsidR="004D2ADB" w:rsidRPr="006528D6" w:rsidRDefault="004D2ADB" w:rsidP="006528D6">
      <w:pPr>
        <w:ind w:right="313"/>
        <w:rPr>
          <w:i/>
          <w:sz w:val="17"/>
          <w:szCs w:val="17"/>
        </w:rPr>
      </w:pPr>
    </w:p>
    <w:p w14:paraId="67F10228" w14:textId="77777777" w:rsidR="00EF5508" w:rsidRPr="006528D6" w:rsidRDefault="00EF5508" w:rsidP="006528D6">
      <w:pPr>
        <w:ind w:right="313"/>
        <w:rPr>
          <w:i/>
          <w:sz w:val="17"/>
          <w:szCs w:val="17"/>
        </w:rPr>
      </w:pPr>
      <w:r w:rsidRPr="006528D6">
        <w:rPr>
          <w:i/>
          <w:sz w:val="17"/>
          <w:szCs w:val="17"/>
        </w:rPr>
        <w:t xml:space="preserve">Question 16: Do you think </w:t>
      </w:r>
      <w:r w:rsidRPr="006528D6">
        <w:rPr>
          <w:b/>
          <w:bCs/>
          <w:i/>
          <w:sz w:val="17"/>
          <w:szCs w:val="17"/>
        </w:rPr>
        <w:t>the differences between Article 8 and Article 9 products are sufficiently well captured by the proposed provisions</w:t>
      </w:r>
      <w:r w:rsidRPr="006528D6">
        <w:rPr>
          <w:i/>
          <w:sz w:val="17"/>
          <w:szCs w:val="17"/>
        </w:rPr>
        <w:t>? If not, please suggest how the disclosures could be further distinguished.</w:t>
      </w:r>
    </w:p>
    <w:p w14:paraId="23EC991E" w14:textId="77777777" w:rsidR="00EF5508" w:rsidRPr="006528D6" w:rsidRDefault="00EF5508" w:rsidP="006528D6">
      <w:pPr>
        <w:ind w:right="313"/>
        <w:rPr>
          <w:i/>
          <w:sz w:val="17"/>
          <w:szCs w:val="17"/>
        </w:rPr>
      </w:pPr>
    </w:p>
    <w:p w14:paraId="1644D7BE" w14:textId="77777777" w:rsidR="00796F21" w:rsidRPr="006528D6" w:rsidRDefault="00231024" w:rsidP="006528D6">
      <w:pPr>
        <w:ind w:right="313"/>
        <w:rPr>
          <w:iCs/>
          <w:color w:val="365F91" w:themeColor="accent1" w:themeShade="BF"/>
          <w:sz w:val="17"/>
          <w:szCs w:val="17"/>
        </w:rPr>
      </w:pPr>
      <w:r w:rsidRPr="006528D6">
        <w:rPr>
          <w:iCs/>
          <w:color w:val="365F91" w:themeColor="accent1" w:themeShade="BF"/>
          <w:sz w:val="17"/>
          <w:szCs w:val="17"/>
        </w:rPr>
        <w:t>The distinction between “sustainable investment products” and “products that promote environmental or social characteristics” is not clear. More guidance in Level 2 is needed to determine when a product will qualify for either product category</w:t>
      </w:r>
      <w:r w:rsidR="00796F21" w:rsidRPr="006528D6">
        <w:rPr>
          <w:iCs/>
          <w:color w:val="365F91" w:themeColor="accent1" w:themeShade="BF"/>
          <w:sz w:val="17"/>
          <w:szCs w:val="17"/>
        </w:rPr>
        <w:t xml:space="preserve"> and</w:t>
      </w:r>
      <w:r w:rsidRPr="006528D6">
        <w:rPr>
          <w:iCs/>
          <w:color w:val="365F91" w:themeColor="accent1" w:themeShade="BF"/>
          <w:sz w:val="17"/>
          <w:szCs w:val="17"/>
        </w:rPr>
        <w:t xml:space="preserve"> facilitate compliance from insurers</w:t>
      </w:r>
      <w:r w:rsidR="00796F21" w:rsidRPr="006528D6">
        <w:rPr>
          <w:iCs/>
          <w:color w:val="365F91" w:themeColor="accent1" w:themeShade="BF"/>
          <w:sz w:val="17"/>
          <w:szCs w:val="17"/>
        </w:rPr>
        <w:t>.</w:t>
      </w:r>
    </w:p>
    <w:p w14:paraId="4CC0F28B" w14:textId="77777777" w:rsidR="00796F21" w:rsidRPr="006528D6" w:rsidRDefault="00796F21" w:rsidP="006528D6">
      <w:pPr>
        <w:ind w:right="313"/>
        <w:rPr>
          <w:iCs/>
          <w:color w:val="365F91" w:themeColor="accent1" w:themeShade="BF"/>
          <w:sz w:val="17"/>
          <w:szCs w:val="17"/>
        </w:rPr>
      </w:pPr>
    </w:p>
    <w:p w14:paraId="0745D6A1" w14:textId="58110577" w:rsidR="00EF5508" w:rsidRPr="006528D6" w:rsidRDefault="00796F21" w:rsidP="006528D6">
      <w:pPr>
        <w:ind w:right="313"/>
        <w:rPr>
          <w:iCs/>
          <w:color w:val="365F91" w:themeColor="accent1" w:themeShade="BF"/>
          <w:sz w:val="17"/>
          <w:szCs w:val="17"/>
        </w:rPr>
      </w:pPr>
      <w:r w:rsidRPr="006528D6">
        <w:rPr>
          <w:iCs/>
          <w:color w:val="365F91" w:themeColor="accent1" w:themeShade="BF"/>
          <w:sz w:val="17"/>
          <w:szCs w:val="17"/>
        </w:rPr>
        <w:t xml:space="preserve">In the absence of such clear definition, it is difficult to assess </w:t>
      </w:r>
      <w:r w:rsidR="007B0BA1" w:rsidRPr="006528D6">
        <w:rPr>
          <w:iCs/>
          <w:color w:val="365F91" w:themeColor="accent1" w:themeShade="BF"/>
          <w:sz w:val="17"/>
          <w:szCs w:val="17"/>
        </w:rPr>
        <w:t>which information are necessary</w:t>
      </w:r>
      <w:r w:rsidRPr="006528D6">
        <w:rPr>
          <w:iCs/>
          <w:color w:val="365F91" w:themeColor="accent1" w:themeShade="BF"/>
          <w:sz w:val="17"/>
          <w:szCs w:val="17"/>
        </w:rPr>
        <w:t xml:space="preserve"> to well capture and distinguish the features of the two categories</w:t>
      </w:r>
      <w:r w:rsidR="00231024" w:rsidRPr="006528D6">
        <w:rPr>
          <w:iCs/>
          <w:color w:val="365F91" w:themeColor="accent1" w:themeShade="BF"/>
          <w:sz w:val="17"/>
          <w:szCs w:val="17"/>
        </w:rPr>
        <w:t>.</w:t>
      </w:r>
      <w:r w:rsidR="00FA39C2" w:rsidRPr="006528D6">
        <w:rPr>
          <w:iCs/>
          <w:color w:val="365F91" w:themeColor="accent1" w:themeShade="BF"/>
          <w:sz w:val="17"/>
          <w:szCs w:val="17"/>
        </w:rPr>
        <w:t xml:space="preserve"> While the industry understands that the RTS are subject to the definition of sustainable investments provided in the Regulation, a better qualification is needed for products that promote environmental or social characteristics. The confusion is exacerbated by a number of requirements, eg Article 15(2) on the sustainable investments with environmental or social objectives, or Article 18 on the attainment of the environmental or social characteristics.</w:t>
      </w:r>
    </w:p>
    <w:p w14:paraId="6EF0B5D7" w14:textId="77777777" w:rsidR="00AF79B7" w:rsidRPr="006528D6" w:rsidRDefault="00AF79B7" w:rsidP="006528D6">
      <w:pPr>
        <w:ind w:right="313"/>
        <w:rPr>
          <w:i/>
          <w:color w:val="365F91" w:themeColor="accent1" w:themeShade="BF"/>
          <w:sz w:val="17"/>
          <w:szCs w:val="17"/>
        </w:rPr>
      </w:pPr>
    </w:p>
    <w:p w14:paraId="1D4781B5" w14:textId="77777777" w:rsidR="00EF5508" w:rsidRPr="006528D6" w:rsidRDefault="00EF5508" w:rsidP="006528D6">
      <w:pPr>
        <w:ind w:right="313"/>
        <w:rPr>
          <w:i/>
          <w:sz w:val="17"/>
          <w:szCs w:val="17"/>
        </w:rPr>
      </w:pPr>
    </w:p>
    <w:p w14:paraId="5B47BE77" w14:textId="77777777" w:rsidR="00EF5508" w:rsidRPr="006528D6" w:rsidRDefault="00EF5508" w:rsidP="006528D6">
      <w:pPr>
        <w:ind w:right="313"/>
        <w:rPr>
          <w:i/>
          <w:sz w:val="17"/>
          <w:szCs w:val="17"/>
        </w:rPr>
      </w:pPr>
      <w:r w:rsidRPr="006528D6">
        <w:rPr>
          <w:i/>
          <w:sz w:val="17"/>
          <w:szCs w:val="17"/>
        </w:rPr>
        <w:t xml:space="preserve">Question 17: Do the graphical and narrative descriptions of investment proportions capture </w:t>
      </w:r>
      <w:r w:rsidRPr="006528D6">
        <w:rPr>
          <w:b/>
          <w:bCs/>
          <w:i/>
          <w:sz w:val="17"/>
          <w:szCs w:val="17"/>
        </w:rPr>
        <w:t>indirect investments</w:t>
      </w:r>
      <w:r w:rsidRPr="006528D6">
        <w:rPr>
          <w:i/>
          <w:sz w:val="17"/>
          <w:szCs w:val="17"/>
        </w:rPr>
        <w:t xml:space="preserve"> sufficiently?</w:t>
      </w:r>
    </w:p>
    <w:p w14:paraId="6A62C088" w14:textId="77777777" w:rsidR="00EF5508" w:rsidRPr="006528D6" w:rsidRDefault="00EF5508" w:rsidP="006528D6">
      <w:pPr>
        <w:ind w:right="313"/>
        <w:rPr>
          <w:i/>
          <w:sz w:val="17"/>
          <w:szCs w:val="17"/>
        </w:rPr>
      </w:pPr>
    </w:p>
    <w:p w14:paraId="4F24ECBE" w14:textId="77777777" w:rsidR="004906AC" w:rsidRPr="006528D6" w:rsidRDefault="00452E84" w:rsidP="006528D6">
      <w:pPr>
        <w:ind w:right="313"/>
        <w:rPr>
          <w:iCs/>
          <w:color w:val="365F91" w:themeColor="accent1" w:themeShade="BF"/>
          <w:sz w:val="17"/>
          <w:szCs w:val="17"/>
        </w:rPr>
      </w:pPr>
      <w:r w:rsidRPr="006528D6">
        <w:rPr>
          <w:iCs/>
          <w:color w:val="365F91" w:themeColor="accent1" w:themeShade="BF"/>
          <w:sz w:val="17"/>
          <w:szCs w:val="17"/>
        </w:rPr>
        <w:t xml:space="preserve">The </w:t>
      </w:r>
      <w:r w:rsidR="00351FF9" w:rsidRPr="006528D6">
        <w:rPr>
          <w:iCs/>
          <w:color w:val="365F91" w:themeColor="accent1" w:themeShade="BF"/>
          <w:sz w:val="17"/>
          <w:szCs w:val="17"/>
        </w:rPr>
        <w:t>RTS are not sufficiently clear with respect to the graphical representation</w:t>
      </w:r>
      <w:r w:rsidR="00AF5E2B" w:rsidRPr="006528D6">
        <w:rPr>
          <w:iCs/>
          <w:color w:val="365F91" w:themeColor="accent1" w:themeShade="BF"/>
          <w:sz w:val="17"/>
          <w:szCs w:val="17"/>
        </w:rPr>
        <w:t xml:space="preserve"> and </w:t>
      </w:r>
      <w:r w:rsidR="00351FF9" w:rsidRPr="006528D6">
        <w:rPr>
          <w:iCs/>
          <w:color w:val="365F91" w:themeColor="accent1" w:themeShade="BF"/>
          <w:sz w:val="17"/>
          <w:szCs w:val="17"/>
        </w:rPr>
        <w:t>to the narrative</w:t>
      </w:r>
      <w:r w:rsidR="00AF5E2B" w:rsidRPr="006528D6">
        <w:rPr>
          <w:iCs/>
          <w:color w:val="365F91" w:themeColor="accent1" w:themeShade="BF"/>
          <w:sz w:val="17"/>
          <w:szCs w:val="17"/>
        </w:rPr>
        <w:t>. T</w:t>
      </w:r>
      <w:r w:rsidR="00351FF9" w:rsidRPr="006528D6">
        <w:rPr>
          <w:iCs/>
          <w:color w:val="365F91" w:themeColor="accent1" w:themeShade="BF"/>
          <w:sz w:val="17"/>
          <w:szCs w:val="17"/>
        </w:rPr>
        <w:t xml:space="preserve">he </w:t>
      </w:r>
      <w:r w:rsidR="004906AC" w:rsidRPr="006528D6">
        <w:rPr>
          <w:iCs/>
          <w:color w:val="365F91" w:themeColor="accent1" w:themeShade="BF"/>
          <w:sz w:val="17"/>
          <w:szCs w:val="17"/>
        </w:rPr>
        <w:t xml:space="preserve">insurance </w:t>
      </w:r>
      <w:r w:rsidR="00351FF9" w:rsidRPr="006528D6">
        <w:rPr>
          <w:iCs/>
          <w:color w:val="365F91" w:themeColor="accent1" w:themeShade="BF"/>
          <w:sz w:val="17"/>
          <w:szCs w:val="17"/>
        </w:rPr>
        <w:t xml:space="preserve">sector does not understand the rationale for the requirement to distinguish between direct and indirect holdings, and wonders what the added value would be for customers. </w:t>
      </w:r>
    </w:p>
    <w:p w14:paraId="14CCDA7A" w14:textId="77777777" w:rsidR="004906AC" w:rsidRPr="006528D6" w:rsidRDefault="004906AC" w:rsidP="006528D6">
      <w:pPr>
        <w:ind w:right="313"/>
        <w:rPr>
          <w:iCs/>
          <w:color w:val="365F91" w:themeColor="accent1" w:themeShade="BF"/>
          <w:sz w:val="17"/>
          <w:szCs w:val="17"/>
        </w:rPr>
      </w:pPr>
    </w:p>
    <w:p w14:paraId="076DF218" w14:textId="569B099E" w:rsidR="00351FF9" w:rsidRPr="006528D6" w:rsidRDefault="00094DC2" w:rsidP="006528D6">
      <w:pPr>
        <w:ind w:right="313"/>
        <w:rPr>
          <w:iCs/>
          <w:color w:val="365F91" w:themeColor="accent1" w:themeShade="BF"/>
          <w:sz w:val="17"/>
          <w:szCs w:val="17"/>
        </w:rPr>
      </w:pPr>
      <w:r w:rsidRPr="006528D6">
        <w:rPr>
          <w:iCs/>
          <w:color w:val="365F91" w:themeColor="accent1" w:themeShade="BF"/>
          <w:sz w:val="17"/>
          <w:szCs w:val="17"/>
        </w:rPr>
        <w:t>The industry also questions what the sectorial criteria would be to classify investments in companies involved in different sectors</w:t>
      </w:r>
      <w:r w:rsidR="00325CC5" w:rsidRPr="006528D6">
        <w:rPr>
          <w:iCs/>
          <w:color w:val="365F91" w:themeColor="accent1" w:themeShade="BF"/>
          <w:sz w:val="17"/>
          <w:szCs w:val="17"/>
        </w:rPr>
        <w:t xml:space="preserve"> (see also response to question 18)</w:t>
      </w:r>
      <w:r w:rsidRPr="006528D6">
        <w:rPr>
          <w:iCs/>
          <w:color w:val="365F91" w:themeColor="accent1" w:themeShade="BF"/>
          <w:sz w:val="17"/>
          <w:szCs w:val="17"/>
        </w:rPr>
        <w:t>. Additionally, how should instruments, such as government bonds be classified?</w:t>
      </w:r>
    </w:p>
    <w:p w14:paraId="17864B48" w14:textId="77777777" w:rsidR="00EF5508" w:rsidRPr="006528D6" w:rsidRDefault="00EF5508" w:rsidP="006528D6">
      <w:pPr>
        <w:ind w:right="313"/>
        <w:rPr>
          <w:i/>
          <w:color w:val="365F91" w:themeColor="accent1" w:themeShade="BF"/>
          <w:sz w:val="17"/>
          <w:szCs w:val="17"/>
        </w:rPr>
      </w:pPr>
    </w:p>
    <w:p w14:paraId="1602C3FA" w14:textId="77777777" w:rsidR="00EF5508" w:rsidRPr="006528D6" w:rsidRDefault="00EF5508" w:rsidP="006528D6">
      <w:pPr>
        <w:ind w:right="313"/>
        <w:rPr>
          <w:i/>
          <w:sz w:val="17"/>
          <w:szCs w:val="17"/>
        </w:rPr>
      </w:pPr>
    </w:p>
    <w:p w14:paraId="032517DA" w14:textId="77777777" w:rsidR="00EF5508" w:rsidRPr="006528D6" w:rsidRDefault="00EF5508" w:rsidP="006528D6">
      <w:pPr>
        <w:ind w:right="313"/>
        <w:rPr>
          <w:i/>
          <w:sz w:val="17"/>
          <w:szCs w:val="17"/>
        </w:rPr>
      </w:pPr>
      <w:r w:rsidRPr="006528D6">
        <w:rPr>
          <w:i/>
          <w:sz w:val="17"/>
          <w:szCs w:val="17"/>
        </w:rPr>
        <w:t xml:space="preserve">Question 18: The draft RTS require in Article 15(2) that for Article 8 products </w:t>
      </w:r>
      <w:r w:rsidRPr="006528D6">
        <w:rPr>
          <w:b/>
          <w:bCs/>
          <w:i/>
          <w:sz w:val="17"/>
          <w:szCs w:val="17"/>
        </w:rPr>
        <w:t>graphical representations illustrate the proportion of investments screened against the environmental or social characteristics of the financial product</w:t>
      </w:r>
      <w:r w:rsidRPr="006528D6">
        <w:rPr>
          <w:i/>
          <w:sz w:val="17"/>
          <w:szCs w:val="17"/>
        </w:rPr>
        <w:t>. However, as characteristics can widely vary from product to product do you think using the same graphical representation for very different types of products could be misleading to end-investors? If yes, how should such graphic representation be adapted?</w:t>
      </w:r>
    </w:p>
    <w:p w14:paraId="4110CB5B" w14:textId="450F621D" w:rsidR="00EF5508" w:rsidRPr="006528D6" w:rsidRDefault="00EF5508" w:rsidP="006528D6">
      <w:pPr>
        <w:pStyle w:val="Zkladntext"/>
        <w:spacing w:after="0"/>
        <w:rPr>
          <w:i/>
          <w:szCs w:val="17"/>
        </w:rPr>
      </w:pPr>
    </w:p>
    <w:p w14:paraId="107D949B" w14:textId="77777777" w:rsidR="00D358C6" w:rsidRPr="006528D6" w:rsidRDefault="00D358C6" w:rsidP="006528D6">
      <w:pPr>
        <w:pStyle w:val="Zkladntext"/>
        <w:spacing w:after="0"/>
        <w:ind w:right="317"/>
        <w:rPr>
          <w:iCs/>
          <w:color w:val="365F91" w:themeColor="accent1" w:themeShade="BF"/>
          <w:szCs w:val="17"/>
        </w:rPr>
      </w:pPr>
      <w:r w:rsidRPr="006528D6">
        <w:rPr>
          <w:iCs/>
          <w:color w:val="365F91" w:themeColor="accent1" w:themeShade="BF"/>
          <w:szCs w:val="17"/>
        </w:rPr>
        <w:t>The requirement in the graphical representation to differentiate between sustainable investments and investments contributing to the attainment of the characteristics of the product is confusing and it implies that a product under Article 8 could still have environmental or social objectives.</w:t>
      </w:r>
    </w:p>
    <w:p w14:paraId="3CBAAD24" w14:textId="77777777" w:rsidR="00D358C6" w:rsidRPr="006528D6" w:rsidRDefault="00D358C6" w:rsidP="006528D6">
      <w:pPr>
        <w:pStyle w:val="Zkladntext"/>
        <w:spacing w:after="0"/>
        <w:ind w:right="317"/>
        <w:rPr>
          <w:iCs/>
          <w:color w:val="365F91" w:themeColor="accent1" w:themeShade="BF"/>
          <w:szCs w:val="17"/>
        </w:rPr>
      </w:pPr>
    </w:p>
    <w:p w14:paraId="4AAF746E" w14:textId="52CBCA92" w:rsidR="00D358C6" w:rsidRPr="006528D6" w:rsidRDefault="00D358C6" w:rsidP="006528D6">
      <w:pPr>
        <w:pStyle w:val="Zkladntext"/>
        <w:spacing w:after="0"/>
        <w:ind w:right="317"/>
        <w:rPr>
          <w:iCs/>
          <w:color w:val="365F91" w:themeColor="accent1" w:themeShade="BF"/>
          <w:szCs w:val="17"/>
        </w:rPr>
      </w:pPr>
      <w:commentRangeStart w:id="4"/>
      <w:r w:rsidRPr="006528D6">
        <w:rPr>
          <w:iCs/>
          <w:color w:val="365F91" w:themeColor="accent1" w:themeShade="BF"/>
          <w:szCs w:val="17"/>
        </w:rPr>
        <w:t>In addition,</w:t>
      </w:r>
      <w:commentRangeEnd w:id="4"/>
      <w:r w:rsidRPr="006528D6">
        <w:rPr>
          <w:iCs/>
          <w:color w:val="365F91" w:themeColor="accent1" w:themeShade="BF"/>
          <w:szCs w:val="17"/>
        </w:rPr>
        <w:commentReference w:id="4"/>
      </w:r>
      <w:r w:rsidRPr="006528D6">
        <w:rPr>
          <w:iCs/>
          <w:color w:val="365F91" w:themeColor="accent1" w:themeShade="BF"/>
          <w:szCs w:val="17"/>
        </w:rPr>
        <w:t xml:space="preserve"> the industry observes that the same graphical representation for very different types of products will end up misleading end-investors, as it does not consider the constraints and the allocation of different products types. The allocation of different</w:t>
      </w:r>
      <w:r w:rsidR="00984B1B" w:rsidRPr="006528D6">
        <w:rPr>
          <w:iCs/>
          <w:color w:val="365F91" w:themeColor="accent1" w:themeShade="BF"/>
          <w:szCs w:val="17"/>
        </w:rPr>
        <w:t xml:space="preserve"> types of</w:t>
      </w:r>
      <w:r w:rsidRPr="006528D6">
        <w:rPr>
          <w:iCs/>
          <w:color w:val="365F91" w:themeColor="accent1" w:themeShade="BF"/>
          <w:szCs w:val="17"/>
        </w:rPr>
        <w:t xml:space="preserve"> products in different financial instruments risks misleading customers</w:t>
      </w:r>
      <w:r w:rsidR="00BA40AC" w:rsidRPr="006528D6">
        <w:rPr>
          <w:iCs/>
          <w:color w:val="365F91" w:themeColor="accent1" w:themeShade="BF"/>
          <w:szCs w:val="17"/>
        </w:rPr>
        <w:t xml:space="preserve">, potentially to the detriment of other </w:t>
      </w:r>
      <w:r w:rsidR="00984B1B" w:rsidRPr="006528D6">
        <w:rPr>
          <w:iCs/>
          <w:color w:val="365F91" w:themeColor="accent1" w:themeShade="BF"/>
          <w:szCs w:val="17"/>
        </w:rPr>
        <w:t xml:space="preserve">relevant </w:t>
      </w:r>
      <w:r w:rsidR="00BA40AC" w:rsidRPr="006528D6">
        <w:rPr>
          <w:iCs/>
          <w:color w:val="365F91" w:themeColor="accent1" w:themeShade="BF"/>
          <w:szCs w:val="17"/>
        </w:rPr>
        <w:t>information to make an investment decision.</w:t>
      </w:r>
    </w:p>
    <w:p w14:paraId="17222670" w14:textId="77777777" w:rsidR="00BA40AC" w:rsidRPr="006528D6" w:rsidRDefault="00BA40AC" w:rsidP="006528D6">
      <w:pPr>
        <w:pStyle w:val="Zkladntext"/>
        <w:spacing w:after="0"/>
        <w:ind w:right="317"/>
        <w:rPr>
          <w:iCs/>
          <w:color w:val="365F91" w:themeColor="accent1" w:themeShade="BF"/>
          <w:szCs w:val="17"/>
        </w:rPr>
      </w:pPr>
    </w:p>
    <w:p w14:paraId="3580831A" w14:textId="64FA1E1C" w:rsidR="00B125AD" w:rsidRPr="006528D6" w:rsidRDefault="00A82B87" w:rsidP="006528D6">
      <w:pPr>
        <w:pStyle w:val="Zkladntext"/>
        <w:spacing w:after="0"/>
        <w:ind w:right="317"/>
        <w:rPr>
          <w:iCs/>
          <w:color w:val="365F91" w:themeColor="accent1" w:themeShade="BF"/>
          <w:szCs w:val="17"/>
        </w:rPr>
      </w:pPr>
      <w:r w:rsidRPr="006528D6">
        <w:rPr>
          <w:iCs/>
          <w:color w:val="365F91" w:themeColor="accent1" w:themeShade="BF"/>
          <w:szCs w:val="17"/>
        </w:rPr>
        <w:t>Finally, i</w:t>
      </w:r>
      <w:r w:rsidR="00B125AD" w:rsidRPr="006528D6">
        <w:rPr>
          <w:iCs/>
          <w:color w:val="365F91" w:themeColor="accent1" w:themeShade="BF"/>
          <w:szCs w:val="17"/>
        </w:rPr>
        <w:t xml:space="preserve">t is not clear how the graphical representation would be produced for multi-option products (MOPs), where a retail investor can choose between a large number of underlying funds. It is not feasible for the graphic to capture the nature of the overall product, but equally a graphic representation at the level of each underlying fund is of very little use to retail investors. </w:t>
      </w:r>
    </w:p>
    <w:p w14:paraId="3C562EA3" w14:textId="77777777" w:rsidR="00EF5508" w:rsidRPr="006528D6" w:rsidRDefault="00EF5508" w:rsidP="006528D6">
      <w:pPr>
        <w:pStyle w:val="Zkladntext"/>
        <w:spacing w:after="0"/>
        <w:rPr>
          <w:i/>
          <w:szCs w:val="17"/>
        </w:rPr>
      </w:pPr>
    </w:p>
    <w:p w14:paraId="531FA41C" w14:textId="77777777" w:rsidR="00EF5508" w:rsidRPr="006528D6" w:rsidRDefault="00EF5508" w:rsidP="006528D6">
      <w:pPr>
        <w:pStyle w:val="Zkladntext"/>
        <w:spacing w:after="0"/>
        <w:rPr>
          <w:i/>
          <w:szCs w:val="17"/>
        </w:rPr>
      </w:pPr>
    </w:p>
    <w:p w14:paraId="7FE79FA2" w14:textId="7BB839C4" w:rsidR="00EF5508" w:rsidRPr="006528D6" w:rsidRDefault="00EF5508" w:rsidP="006528D6">
      <w:pPr>
        <w:ind w:right="313"/>
        <w:rPr>
          <w:i/>
          <w:sz w:val="17"/>
          <w:szCs w:val="17"/>
        </w:rPr>
      </w:pPr>
      <w:commentRangeStart w:id="5"/>
      <w:r w:rsidRPr="006528D6">
        <w:rPr>
          <w:i/>
          <w:sz w:val="17"/>
          <w:szCs w:val="17"/>
        </w:rPr>
        <w:t>Question 19: Do you agree with always disclosing exposure to solid fossil-fuel sectors? Are there other sectors that should be captured in such a way, such as nuclear energy?</w:t>
      </w:r>
      <w:commentRangeEnd w:id="5"/>
      <w:r w:rsidR="00BD1A71" w:rsidRPr="006528D6">
        <w:rPr>
          <w:rStyle w:val="Odkaznakomentr"/>
          <w:sz w:val="17"/>
          <w:szCs w:val="17"/>
        </w:rPr>
        <w:commentReference w:id="5"/>
      </w:r>
    </w:p>
    <w:p w14:paraId="07F92CAD" w14:textId="77777777" w:rsidR="00325CC5" w:rsidRPr="006528D6" w:rsidRDefault="00325CC5" w:rsidP="006528D6">
      <w:pPr>
        <w:ind w:right="313"/>
        <w:rPr>
          <w:i/>
          <w:sz w:val="17"/>
          <w:szCs w:val="17"/>
        </w:rPr>
      </w:pPr>
    </w:p>
    <w:p w14:paraId="0DB054DB" w14:textId="3459C20A" w:rsidR="00EF5508" w:rsidRPr="006528D6" w:rsidRDefault="00325CC5" w:rsidP="006528D6">
      <w:pPr>
        <w:ind w:right="313"/>
        <w:rPr>
          <w:i/>
          <w:sz w:val="17"/>
          <w:szCs w:val="17"/>
        </w:rPr>
      </w:pPr>
      <w:r w:rsidRPr="006528D6">
        <w:rPr>
          <w:iCs/>
          <w:color w:val="365F91" w:themeColor="accent1" w:themeShade="BF"/>
          <w:sz w:val="17"/>
          <w:szCs w:val="17"/>
        </w:rPr>
        <w:t xml:space="preserve">The industry suggests that sectorial disclosures are developed in line with the taxonomy regulation and based on the classification </w:t>
      </w:r>
      <w:r w:rsidR="004D53D0" w:rsidRPr="006528D6">
        <w:rPr>
          <w:iCs/>
          <w:color w:val="365F91" w:themeColor="accent1" w:themeShade="BF"/>
          <w:sz w:val="17"/>
          <w:szCs w:val="17"/>
        </w:rPr>
        <w:t xml:space="preserve">at activity level </w:t>
      </w:r>
      <w:r w:rsidRPr="006528D6">
        <w:rPr>
          <w:iCs/>
          <w:color w:val="365F91" w:themeColor="accent1" w:themeShade="BF"/>
          <w:sz w:val="17"/>
          <w:szCs w:val="17"/>
        </w:rPr>
        <w:t>as provided by investee companies. Guidance on more detailed disclosures should be investigated at a later stage, in the context of the empowerment under</w:t>
      </w:r>
      <w:r w:rsidRPr="006528D6">
        <w:rPr>
          <w:i/>
          <w:sz w:val="17"/>
          <w:szCs w:val="17"/>
        </w:rPr>
        <w:t xml:space="preserve"> </w:t>
      </w:r>
      <w:r w:rsidRPr="006528D6">
        <w:rPr>
          <w:color w:val="365F91" w:themeColor="accent1" w:themeShade="BF"/>
          <w:sz w:val="17"/>
          <w:szCs w:val="17"/>
        </w:rPr>
        <w:t>Article 25 of the draft taxonomy regulation.</w:t>
      </w:r>
    </w:p>
    <w:p w14:paraId="40B40297" w14:textId="77777777" w:rsidR="00EF5508" w:rsidRPr="006528D6" w:rsidRDefault="00EF5508" w:rsidP="006528D6">
      <w:pPr>
        <w:ind w:right="313"/>
        <w:rPr>
          <w:i/>
          <w:sz w:val="17"/>
          <w:szCs w:val="17"/>
        </w:rPr>
      </w:pPr>
    </w:p>
    <w:p w14:paraId="54D43B10" w14:textId="77777777" w:rsidR="00EF5508" w:rsidRPr="006528D6" w:rsidRDefault="00EF5508" w:rsidP="006528D6">
      <w:pPr>
        <w:ind w:right="313"/>
        <w:rPr>
          <w:i/>
          <w:sz w:val="17"/>
          <w:szCs w:val="17"/>
        </w:rPr>
      </w:pPr>
    </w:p>
    <w:p w14:paraId="6CEAB757" w14:textId="77777777" w:rsidR="00EF5508" w:rsidRPr="006528D6" w:rsidRDefault="00EF5508" w:rsidP="006528D6">
      <w:pPr>
        <w:ind w:right="313"/>
        <w:rPr>
          <w:i/>
          <w:sz w:val="17"/>
          <w:szCs w:val="17"/>
        </w:rPr>
      </w:pPr>
      <w:r w:rsidRPr="006528D6">
        <w:rPr>
          <w:i/>
          <w:sz w:val="17"/>
          <w:szCs w:val="17"/>
        </w:rPr>
        <w:t>Question 20: Do the product disclosure rules take sufficient account of the differences between products, such as multi-option products or portfolio management products?</w:t>
      </w:r>
    </w:p>
    <w:p w14:paraId="03887F58" w14:textId="77777777" w:rsidR="00EF5508" w:rsidRPr="006528D6" w:rsidRDefault="00EF5508" w:rsidP="006528D6">
      <w:pPr>
        <w:ind w:right="313"/>
        <w:rPr>
          <w:i/>
          <w:color w:val="365F91" w:themeColor="accent1" w:themeShade="BF"/>
          <w:sz w:val="17"/>
          <w:szCs w:val="17"/>
        </w:rPr>
      </w:pPr>
    </w:p>
    <w:p w14:paraId="3FC43C59" w14:textId="21C28DAF" w:rsidR="00D60846" w:rsidRPr="006528D6" w:rsidRDefault="001D5997" w:rsidP="006528D6">
      <w:pPr>
        <w:ind w:right="313"/>
        <w:rPr>
          <w:iCs/>
          <w:color w:val="365F91" w:themeColor="accent1" w:themeShade="BF"/>
          <w:sz w:val="17"/>
          <w:szCs w:val="17"/>
        </w:rPr>
      </w:pPr>
      <w:r w:rsidRPr="006528D6">
        <w:rPr>
          <w:iCs/>
          <w:color w:val="365F91" w:themeColor="accent1" w:themeShade="BF"/>
          <w:sz w:val="17"/>
          <w:szCs w:val="17"/>
        </w:rPr>
        <w:t xml:space="preserve">The industry </w:t>
      </w:r>
      <w:r w:rsidR="009475A9" w:rsidRPr="006528D6">
        <w:rPr>
          <w:iCs/>
          <w:color w:val="365F91" w:themeColor="accent1" w:themeShade="BF"/>
          <w:sz w:val="17"/>
          <w:szCs w:val="17"/>
        </w:rPr>
        <w:t xml:space="preserve">understands </w:t>
      </w:r>
      <w:r w:rsidRPr="006528D6">
        <w:rPr>
          <w:iCs/>
          <w:color w:val="365F91" w:themeColor="accent1" w:themeShade="BF"/>
          <w:sz w:val="17"/>
          <w:szCs w:val="17"/>
        </w:rPr>
        <w:t xml:space="preserve">that </w:t>
      </w:r>
      <w:r w:rsidR="009475A9" w:rsidRPr="006528D6">
        <w:rPr>
          <w:iCs/>
          <w:color w:val="365F91" w:themeColor="accent1" w:themeShade="BF"/>
          <w:sz w:val="17"/>
          <w:szCs w:val="17"/>
        </w:rPr>
        <w:t xml:space="preserve">a </w:t>
      </w:r>
      <w:r w:rsidRPr="006528D6">
        <w:rPr>
          <w:iCs/>
          <w:color w:val="365F91" w:themeColor="accent1" w:themeShade="BF"/>
          <w:sz w:val="17"/>
          <w:szCs w:val="17"/>
        </w:rPr>
        <w:t>multi-option product</w:t>
      </w:r>
      <w:r w:rsidR="009475A9" w:rsidRPr="006528D6">
        <w:rPr>
          <w:iCs/>
          <w:color w:val="365F91" w:themeColor="accent1" w:themeShade="BF"/>
          <w:sz w:val="17"/>
          <w:szCs w:val="17"/>
        </w:rPr>
        <w:t xml:space="preserve"> qualifies under Article 8 of the Regulation only when some of its </w:t>
      </w:r>
      <w:r w:rsidRPr="006528D6">
        <w:rPr>
          <w:iCs/>
          <w:color w:val="365F91" w:themeColor="accent1" w:themeShade="BF"/>
          <w:sz w:val="17"/>
          <w:szCs w:val="17"/>
        </w:rPr>
        <w:t>investment options promote environmental or social characteristics or have sustainable objectives</w:t>
      </w:r>
      <w:r w:rsidR="009475A9" w:rsidRPr="006528D6">
        <w:rPr>
          <w:iCs/>
          <w:color w:val="365F91" w:themeColor="accent1" w:themeShade="BF"/>
          <w:sz w:val="17"/>
          <w:szCs w:val="17"/>
        </w:rPr>
        <w:t xml:space="preserve">. As </w:t>
      </w:r>
      <w:r w:rsidR="00101D74" w:rsidRPr="006528D6">
        <w:rPr>
          <w:iCs/>
          <w:color w:val="365F91" w:themeColor="accent1" w:themeShade="BF"/>
          <w:sz w:val="17"/>
          <w:szCs w:val="17"/>
        </w:rPr>
        <w:t>such</w:t>
      </w:r>
      <w:r w:rsidR="009475A9" w:rsidRPr="006528D6">
        <w:rPr>
          <w:iCs/>
          <w:color w:val="365F91" w:themeColor="accent1" w:themeShade="BF"/>
          <w:sz w:val="17"/>
          <w:szCs w:val="17"/>
        </w:rPr>
        <w:t>, the industry appreciates that</w:t>
      </w:r>
      <w:r w:rsidR="00101D74" w:rsidRPr="006528D6">
        <w:rPr>
          <w:iCs/>
          <w:color w:val="365F91" w:themeColor="accent1" w:themeShade="BF"/>
          <w:sz w:val="17"/>
          <w:szCs w:val="17"/>
        </w:rPr>
        <w:t xml:space="preserve"> only those </w:t>
      </w:r>
      <w:r w:rsidR="009475A9" w:rsidRPr="006528D6">
        <w:rPr>
          <w:iCs/>
          <w:color w:val="365F91" w:themeColor="accent1" w:themeShade="BF"/>
          <w:sz w:val="17"/>
          <w:szCs w:val="17"/>
        </w:rPr>
        <w:t xml:space="preserve">sustainability-related </w:t>
      </w:r>
      <w:r w:rsidR="00101D74" w:rsidRPr="006528D6">
        <w:rPr>
          <w:iCs/>
          <w:color w:val="365F91" w:themeColor="accent1" w:themeShade="BF"/>
          <w:sz w:val="17"/>
          <w:szCs w:val="17"/>
        </w:rPr>
        <w:t>options have to comply with Article</w:t>
      </w:r>
      <w:r w:rsidRPr="006528D6">
        <w:rPr>
          <w:iCs/>
          <w:color w:val="365F91" w:themeColor="accent1" w:themeShade="BF"/>
          <w:sz w:val="17"/>
          <w:szCs w:val="17"/>
        </w:rPr>
        <w:t xml:space="preserve"> 22</w:t>
      </w:r>
      <w:r w:rsidR="00101D74" w:rsidRPr="006528D6">
        <w:rPr>
          <w:iCs/>
          <w:color w:val="365F91" w:themeColor="accent1" w:themeShade="BF"/>
          <w:sz w:val="17"/>
          <w:szCs w:val="17"/>
        </w:rPr>
        <w:t xml:space="preserve"> of the RTS</w:t>
      </w:r>
      <w:r w:rsidRPr="006528D6">
        <w:rPr>
          <w:iCs/>
          <w:color w:val="365F91" w:themeColor="accent1" w:themeShade="BF"/>
          <w:sz w:val="17"/>
          <w:szCs w:val="17"/>
        </w:rPr>
        <w:t>.</w:t>
      </w:r>
    </w:p>
    <w:p w14:paraId="6428F1CD" w14:textId="493B568A" w:rsidR="001D5997" w:rsidRPr="006528D6" w:rsidRDefault="001D5997" w:rsidP="006528D6">
      <w:pPr>
        <w:ind w:right="313"/>
        <w:rPr>
          <w:iCs/>
          <w:color w:val="365F91" w:themeColor="accent1" w:themeShade="BF"/>
          <w:sz w:val="17"/>
          <w:szCs w:val="17"/>
        </w:rPr>
      </w:pPr>
    </w:p>
    <w:p w14:paraId="6E8871D3" w14:textId="439F4DCC" w:rsidR="00DC2305" w:rsidRPr="006528D6" w:rsidRDefault="009475A9" w:rsidP="006528D6">
      <w:pPr>
        <w:ind w:right="313"/>
        <w:rPr>
          <w:iCs/>
          <w:color w:val="365F91" w:themeColor="accent1" w:themeShade="BF"/>
          <w:sz w:val="17"/>
          <w:szCs w:val="17"/>
        </w:rPr>
      </w:pPr>
      <w:r w:rsidRPr="006528D6">
        <w:rPr>
          <w:iCs/>
          <w:color w:val="365F91" w:themeColor="accent1" w:themeShade="BF"/>
          <w:sz w:val="17"/>
          <w:szCs w:val="17"/>
        </w:rPr>
        <w:t>I</w:t>
      </w:r>
      <w:r w:rsidR="005929AF" w:rsidRPr="006528D6">
        <w:rPr>
          <w:iCs/>
          <w:color w:val="365F91" w:themeColor="accent1" w:themeShade="BF"/>
          <w:sz w:val="17"/>
          <w:szCs w:val="17"/>
        </w:rPr>
        <w:t>n</w:t>
      </w:r>
      <w:r w:rsidR="004A790A" w:rsidRPr="006528D6">
        <w:rPr>
          <w:iCs/>
          <w:color w:val="365F91" w:themeColor="accent1" w:themeShade="BF"/>
          <w:sz w:val="17"/>
          <w:szCs w:val="17"/>
        </w:rPr>
        <w:t xml:space="preserve"> </w:t>
      </w:r>
      <w:r w:rsidR="005929AF" w:rsidRPr="006528D6">
        <w:rPr>
          <w:iCs/>
          <w:color w:val="365F91" w:themeColor="accent1" w:themeShade="BF"/>
          <w:sz w:val="17"/>
          <w:szCs w:val="17"/>
        </w:rPr>
        <w:t>the case of MOP</w:t>
      </w:r>
      <w:r w:rsidR="00CC1650" w:rsidRPr="006528D6">
        <w:rPr>
          <w:iCs/>
          <w:color w:val="365F91" w:themeColor="accent1" w:themeShade="BF"/>
          <w:sz w:val="17"/>
          <w:szCs w:val="17"/>
        </w:rPr>
        <w:t>s</w:t>
      </w:r>
      <w:r w:rsidR="005929AF" w:rsidRPr="006528D6">
        <w:rPr>
          <w:iCs/>
          <w:color w:val="365F91" w:themeColor="accent1" w:themeShade="BF"/>
          <w:sz w:val="17"/>
          <w:szCs w:val="17"/>
        </w:rPr>
        <w:t xml:space="preserve"> that qualify as financial product</w:t>
      </w:r>
      <w:r w:rsidR="00CC1650" w:rsidRPr="006528D6">
        <w:rPr>
          <w:iCs/>
          <w:color w:val="365F91" w:themeColor="accent1" w:themeShade="BF"/>
          <w:sz w:val="17"/>
          <w:szCs w:val="17"/>
        </w:rPr>
        <w:t>s</w:t>
      </w:r>
      <w:r w:rsidR="000C3F82" w:rsidRPr="006528D6">
        <w:rPr>
          <w:iCs/>
          <w:color w:val="365F91" w:themeColor="accent1" w:themeShade="BF"/>
          <w:sz w:val="17"/>
          <w:szCs w:val="17"/>
        </w:rPr>
        <w:t xml:space="preserve"> under Article 9</w:t>
      </w:r>
      <w:r w:rsidR="005929AF" w:rsidRPr="006528D6">
        <w:rPr>
          <w:iCs/>
          <w:color w:val="365F91" w:themeColor="accent1" w:themeShade="BF"/>
          <w:sz w:val="17"/>
          <w:szCs w:val="17"/>
        </w:rPr>
        <w:t xml:space="preserve">, </w:t>
      </w:r>
      <w:r w:rsidR="00DC2305" w:rsidRPr="006528D6">
        <w:rPr>
          <w:iCs/>
          <w:color w:val="365F91" w:themeColor="accent1" w:themeShade="BF"/>
          <w:sz w:val="17"/>
          <w:szCs w:val="17"/>
        </w:rPr>
        <w:t xml:space="preserve">recital 35 </w:t>
      </w:r>
      <w:r w:rsidR="005929AF" w:rsidRPr="006528D6">
        <w:rPr>
          <w:iCs/>
          <w:color w:val="365F91" w:themeColor="accent1" w:themeShade="BF"/>
          <w:sz w:val="17"/>
          <w:szCs w:val="17"/>
        </w:rPr>
        <w:t>says that “all its investment options should qualify as financial products”</w:t>
      </w:r>
      <w:r w:rsidR="000C3F82" w:rsidRPr="006528D6">
        <w:rPr>
          <w:iCs/>
          <w:color w:val="365F91" w:themeColor="accent1" w:themeShade="BF"/>
          <w:sz w:val="17"/>
          <w:szCs w:val="17"/>
        </w:rPr>
        <w:t>,</w:t>
      </w:r>
      <w:r w:rsidR="005929AF" w:rsidRPr="006528D6">
        <w:rPr>
          <w:iCs/>
          <w:color w:val="365F91" w:themeColor="accent1" w:themeShade="BF"/>
          <w:sz w:val="17"/>
          <w:szCs w:val="17"/>
        </w:rPr>
        <w:t xml:space="preserve"> while Article 32 refers to “a range of investment options” that qualify as Article 9 financial products.</w:t>
      </w:r>
      <w:r w:rsidR="000C3F82" w:rsidRPr="006528D6">
        <w:rPr>
          <w:iCs/>
          <w:color w:val="365F91" w:themeColor="accent1" w:themeShade="BF"/>
          <w:sz w:val="17"/>
          <w:szCs w:val="17"/>
        </w:rPr>
        <w:t xml:space="preserve"> The industry suggests that f</w:t>
      </w:r>
      <w:r w:rsidR="00DC2305" w:rsidRPr="006528D6">
        <w:rPr>
          <w:iCs/>
          <w:color w:val="365F91" w:themeColor="accent1" w:themeShade="BF"/>
          <w:sz w:val="17"/>
          <w:szCs w:val="17"/>
        </w:rPr>
        <w:t xml:space="preserve">or a </w:t>
      </w:r>
      <w:r w:rsidR="000C3F82" w:rsidRPr="006528D6">
        <w:rPr>
          <w:iCs/>
          <w:color w:val="365F91" w:themeColor="accent1" w:themeShade="BF"/>
          <w:sz w:val="17"/>
          <w:szCs w:val="17"/>
        </w:rPr>
        <w:t xml:space="preserve">MOP </w:t>
      </w:r>
      <w:r w:rsidR="00DC2305" w:rsidRPr="006528D6">
        <w:rPr>
          <w:iCs/>
          <w:color w:val="365F91" w:themeColor="accent1" w:themeShade="BF"/>
          <w:sz w:val="17"/>
          <w:szCs w:val="17"/>
        </w:rPr>
        <w:t xml:space="preserve">to qualify as a financial product referred to in Article 9, all its investment options should qualify as </w:t>
      </w:r>
      <w:r w:rsidR="00184526" w:rsidRPr="006528D6">
        <w:rPr>
          <w:iCs/>
          <w:color w:val="365F91" w:themeColor="accent1" w:themeShade="BF"/>
          <w:sz w:val="17"/>
          <w:szCs w:val="17"/>
        </w:rPr>
        <w:t xml:space="preserve">Article 9 </w:t>
      </w:r>
      <w:r w:rsidR="00DC2305" w:rsidRPr="006528D6">
        <w:rPr>
          <w:iCs/>
          <w:color w:val="365F91" w:themeColor="accent1" w:themeShade="BF"/>
          <w:sz w:val="17"/>
          <w:szCs w:val="17"/>
        </w:rPr>
        <w:t>financial products. In that case, end-investors should be provided with the summary list of t</w:t>
      </w:r>
      <w:r w:rsidR="00A357D8" w:rsidRPr="006528D6">
        <w:rPr>
          <w:iCs/>
          <w:color w:val="365F91" w:themeColor="accent1" w:themeShade="BF"/>
          <w:sz w:val="17"/>
          <w:szCs w:val="17"/>
        </w:rPr>
        <w:t xml:space="preserve">hese </w:t>
      </w:r>
      <w:r w:rsidR="00DC2305" w:rsidRPr="006528D6">
        <w:rPr>
          <w:iCs/>
          <w:color w:val="365F91" w:themeColor="accent1" w:themeShade="BF"/>
          <w:sz w:val="17"/>
          <w:szCs w:val="17"/>
        </w:rPr>
        <w:t xml:space="preserve">investment options in accordance with this Regulation </w:t>
      </w:r>
      <w:r w:rsidR="00B2609F" w:rsidRPr="006528D6">
        <w:rPr>
          <w:iCs/>
          <w:color w:val="365F91" w:themeColor="accent1" w:themeShade="BF"/>
          <w:sz w:val="17"/>
          <w:szCs w:val="17"/>
        </w:rPr>
        <w:t xml:space="preserve">and </w:t>
      </w:r>
      <w:r w:rsidR="00DC2305" w:rsidRPr="006528D6">
        <w:rPr>
          <w:iCs/>
          <w:color w:val="365F91" w:themeColor="accent1" w:themeShade="BF"/>
          <w:sz w:val="17"/>
          <w:szCs w:val="17"/>
        </w:rPr>
        <w:t xml:space="preserve">with clear indications to which investment options the information relates. </w:t>
      </w:r>
    </w:p>
    <w:p w14:paraId="2BACF40E" w14:textId="065E4192" w:rsidR="00DC2305" w:rsidRPr="006528D6" w:rsidRDefault="00DC2305" w:rsidP="006528D6">
      <w:pPr>
        <w:ind w:right="313"/>
        <w:rPr>
          <w:iCs/>
          <w:color w:val="365F91" w:themeColor="accent1" w:themeShade="BF"/>
          <w:sz w:val="17"/>
          <w:szCs w:val="17"/>
        </w:rPr>
      </w:pPr>
    </w:p>
    <w:p w14:paraId="60EED915" w14:textId="262519A9" w:rsidR="00D60846" w:rsidRPr="006528D6" w:rsidRDefault="00D60846" w:rsidP="006528D6">
      <w:pPr>
        <w:ind w:right="313"/>
        <w:rPr>
          <w:iCs/>
          <w:color w:val="365F91" w:themeColor="accent1" w:themeShade="BF"/>
          <w:sz w:val="17"/>
          <w:szCs w:val="17"/>
        </w:rPr>
      </w:pPr>
      <w:r w:rsidRPr="006528D6">
        <w:rPr>
          <w:iCs/>
          <w:color w:val="365F91" w:themeColor="accent1" w:themeShade="BF"/>
          <w:sz w:val="17"/>
          <w:szCs w:val="17"/>
        </w:rPr>
        <w:t xml:space="preserve">The acknowledgement in Recital 36 that overall disclosures for MOPs will be lengthy is </w:t>
      </w:r>
      <w:r w:rsidR="004446B5" w:rsidRPr="006528D6">
        <w:rPr>
          <w:iCs/>
          <w:color w:val="365F91" w:themeColor="accent1" w:themeShade="BF"/>
          <w:sz w:val="17"/>
          <w:szCs w:val="17"/>
        </w:rPr>
        <w:t>appreciated</w:t>
      </w:r>
      <w:r w:rsidRPr="006528D6">
        <w:rPr>
          <w:iCs/>
          <w:color w:val="365F91" w:themeColor="accent1" w:themeShade="BF"/>
          <w:sz w:val="17"/>
          <w:szCs w:val="17"/>
        </w:rPr>
        <w:t xml:space="preserve">. However, </w:t>
      </w:r>
      <w:r w:rsidR="008451AB" w:rsidRPr="006528D6">
        <w:rPr>
          <w:iCs/>
          <w:color w:val="365F91" w:themeColor="accent1" w:themeShade="BF"/>
          <w:sz w:val="17"/>
          <w:szCs w:val="17"/>
        </w:rPr>
        <w:t>there</w:t>
      </w:r>
      <w:r w:rsidR="00934F64" w:rsidRPr="006528D6">
        <w:rPr>
          <w:iCs/>
          <w:color w:val="365F91" w:themeColor="accent1" w:themeShade="BF"/>
          <w:sz w:val="17"/>
          <w:szCs w:val="17"/>
        </w:rPr>
        <w:t xml:space="preserve"> is no specific </w:t>
      </w:r>
      <w:r w:rsidR="008451AB" w:rsidRPr="006528D6">
        <w:rPr>
          <w:iCs/>
          <w:color w:val="365F91" w:themeColor="accent1" w:themeShade="BF"/>
          <w:sz w:val="17"/>
          <w:szCs w:val="17"/>
        </w:rPr>
        <w:t xml:space="preserve">obligation </w:t>
      </w:r>
      <w:r w:rsidR="00934F64" w:rsidRPr="006528D6">
        <w:rPr>
          <w:iCs/>
          <w:color w:val="365F91" w:themeColor="accent1" w:themeShade="BF"/>
          <w:sz w:val="17"/>
          <w:szCs w:val="17"/>
        </w:rPr>
        <w:t xml:space="preserve">under Article 29(1) IDD to </w:t>
      </w:r>
      <w:r w:rsidR="00274072" w:rsidRPr="006528D6">
        <w:rPr>
          <w:iCs/>
          <w:color w:val="365F91" w:themeColor="accent1" w:themeShade="BF"/>
          <w:sz w:val="17"/>
          <w:szCs w:val="17"/>
        </w:rPr>
        <w:t xml:space="preserve">give preference to </w:t>
      </w:r>
      <w:r w:rsidR="00934F64" w:rsidRPr="006528D6">
        <w:rPr>
          <w:iCs/>
          <w:color w:val="365F91" w:themeColor="accent1" w:themeShade="BF"/>
          <w:sz w:val="17"/>
          <w:szCs w:val="17"/>
        </w:rPr>
        <w:t xml:space="preserve">certain underlying options when selling a multi-option product. </w:t>
      </w:r>
      <w:r w:rsidR="003A3EAA" w:rsidRPr="006528D6">
        <w:rPr>
          <w:iCs/>
          <w:color w:val="365F91" w:themeColor="accent1" w:themeShade="BF"/>
          <w:sz w:val="17"/>
          <w:szCs w:val="17"/>
        </w:rPr>
        <w:t xml:space="preserve">It appears that </w:t>
      </w:r>
      <w:r w:rsidR="00934F64" w:rsidRPr="006528D6">
        <w:rPr>
          <w:iCs/>
          <w:color w:val="365F91" w:themeColor="accent1" w:themeShade="BF"/>
          <w:sz w:val="17"/>
          <w:szCs w:val="17"/>
        </w:rPr>
        <w:t xml:space="preserve">this </w:t>
      </w:r>
      <w:r w:rsidR="003A3EAA" w:rsidRPr="006528D6">
        <w:rPr>
          <w:iCs/>
          <w:color w:val="365F91" w:themeColor="accent1" w:themeShade="BF"/>
          <w:sz w:val="17"/>
          <w:szCs w:val="17"/>
        </w:rPr>
        <w:t xml:space="preserve">is </w:t>
      </w:r>
      <w:r w:rsidR="00934F64" w:rsidRPr="006528D6">
        <w:rPr>
          <w:iCs/>
          <w:color w:val="365F91" w:themeColor="accent1" w:themeShade="BF"/>
          <w:sz w:val="17"/>
          <w:szCs w:val="17"/>
        </w:rPr>
        <w:t xml:space="preserve">a general reference to the requirement to provide ‘appropriate information’ rather than implying a specific regulatory requirement for MOPs. </w:t>
      </w:r>
    </w:p>
    <w:p w14:paraId="1D38F3C5" w14:textId="77777777" w:rsidR="00D60846" w:rsidRPr="006528D6" w:rsidRDefault="00D60846" w:rsidP="006528D6">
      <w:pPr>
        <w:ind w:right="313"/>
        <w:rPr>
          <w:iCs/>
          <w:sz w:val="17"/>
          <w:szCs w:val="17"/>
        </w:rPr>
      </w:pPr>
    </w:p>
    <w:p w14:paraId="2689F477" w14:textId="5F8A6941" w:rsidR="00EF5508" w:rsidRPr="006528D6" w:rsidRDefault="00281AF5" w:rsidP="006528D6">
      <w:pPr>
        <w:ind w:right="313"/>
        <w:rPr>
          <w:iCs/>
          <w:color w:val="365F91" w:themeColor="accent1" w:themeShade="BF"/>
          <w:sz w:val="17"/>
          <w:szCs w:val="17"/>
        </w:rPr>
      </w:pPr>
      <w:r w:rsidRPr="006528D6">
        <w:rPr>
          <w:iCs/>
          <w:color w:val="365F91" w:themeColor="accent1" w:themeShade="BF"/>
          <w:sz w:val="17"/>
          <w:szCs w:val="17"/>
        </w:rPr>
        <w:t xml:space="preserve">It has to be noted that </w:t>
      </w:r>
      <w:r w:rsidR="00B125AD" w:rsidRPr="006528D6">
        <w:rPr>
          <w:iCs/>
          <w:color w:val="365F91" w:themeColor="accent1" w:themeShade="BF"/>
          <w:sz w:val="17"/>
          <w:szCs w:val="17"/>
        </w:rPr>
        <w:t>disclosures that relate to the overall composition of the product are not applicable to products with a large number of underlying options. See also out comments on graphical representations above.</w:t>
      </w:r>
    </w:p>
    <w:p w14:paraId="15743421" w14:textId="77777777" w:rsidR="00EF5508" w:rsidRPr="006528D6" w:rsidRDefault="00EF5508" w:rsidP="006528D6">
      <w:pPr>
        <w:ind w:right="313"/>
        <w:rPr>
          <w:i/>
          <w:sz w:val="17"/>
          <w:szCs w:val="17"/>
        </w:rPr>
      </w:pPr>
    </w:p>
    <w:p w14:paraId="260080A0" w14:textId="77777777" w:rsidR="00EF5508" w:rsidRPr="006528D6" w:rsidRDefault="00EF5508" w:rsidP="006528D6">
      <w:pPr>
        <w:ind w:right="313"/>
        <w:rPr>
          <w:i/>
          <w:sz w:val="17"/>
          <w:szCs w:val="17"/>
        </w:rPr>
      </w:pPr>
    </w:p>
    <w:p w14:paraId="7C533B29" w14:textId="77777777" w:rsidR="00EF5508" w:rsidRPr="006528D6" w:rsidRDefault="00EF5508" w:rsidP="006528D6">
      <w:pPr>
        <w:ind w:right="313"/>
        <w:rPr>
          <w:i/>
          <w:sz w:val="17"/>
          <w:szCs w:val="17"/>
        </w:rPr>
      </w:pPr>
      <w:commentRangeStart w:id="6"/>
      <w:r w:rsidRPr="006528D6">
        <w:rPr>
          <w:i/>
          <w:sz w:val="17"/>
          <w:szCs w:val="17"/>
        </w:rPr>
        <w:t xml:space="preserve">Question 21: </w:t>
      </w:r>
      <w:commentRangeEnd w:id="6"/>
      <w:r w:rsidR="00EF4EB0" w:rsidRPr="006528D6">
        <w:rPr>
          <w:rStyle w:val="Odkaznakomentr"/>
          <w:sz w:val="17"/>
          <w:szCs w:val="17"/>
        </w:rPr>
        <w:commentReference w:id="6"/>
      </w:r>
      <w:r w:rsidRPr="006528D6">
        <w:rPr>
          <w:i/>
          <w:sz w:val="17"/>
          <w:szCs w:val="17"/>
        </w:rPr>
        <w:t>While Article 8 SFDR suggests investee companies should have “</w:t>
      </w:r>
      <w:r w:rsidRPr="006528D6">
        <w:rPr>
          <w:b/>
          <w:bCs/>
          <w:i/>
          <w:sz w:val="17"/>
          <w:szCs w:val="17"/>
        </w:rPr>
        <w:t>good governance practices</w:t>
      </w:r>
      <w:r w:rsidRPr="006528D6">
        <w:rPr>
          <w:i/>
          <w:sz w:val="17"/>
          <w:szCs w:val="17"/>
        </w:rPr>
        <w:t>”, Article 2(17) SFDR includes specific details for good governance practices for sustainable investment investee companies including “sound management structures, employee relations, remuneration of staff and tax compliance”. Should the requirements in the RTS for good governance practices for Article 8 products also capture these elements, bearing in mind Article 8 products may not be undertaking sustainable investments?</w:t>
      </w:r>
    </w:p>
    <w:p w14:paraId="6253042D" w14:textId="77777777" w:rsidR="00EF5508" w:rsidRPr="006528D6" w:rsidRDefault="00EF5508" w:rsidP="006528D6">
      <w:pPr>
        <w:ind w:right="313"/>
        <w:rPr>
          <w:i/>
          <w:sz w:val="17"/>
          <w:szCs w:val="17"/>
        </w:rPr>
      </w:pPr>
    </w:p>
    <w:p w14:paraId="25D42F1B" w14:textId="77777777" w:rsidR="00EF5508" w:rsidRPr="006528D6" w:rsidRDefault="00EF5508" w:rsidP="006528D6">
      <w:pPr>
        <w:ind w:right="313"/>
        <w:rPr>
          <w:i/>
          <w:sz w:val="17"/>
          <w:szCs w:val="17"/>
        </w:rPr>
      </w:pPr>
    </w:p>
    <w:p w14:paraId="581FE2D8" w14:textId="77777777" w:rsidR="00EF5508" w:rsidRPr="006528D6" w:rsidRDefault="00EF5508" w:rsidP="006528D6">
      <w:pPr>
        <w:ind w:right="313"/>
        <w:rPr>
          <w:i/>
          <w:sz w:val="17"/>
          <w:szCs w:val="17"/>
        </w:rPr>
      </w:pPr>
      <w:r w:rsidRPr="006528D6">
        <w:rPr>
          <w:i/>
          <w:sz w:val="17"/>
          <w:szCs w:val="17"/>
        </w:rPr>
        <w:t>Question 22: What are your views on the preliminary proposals on “</w:t>
      </w:r>
      <w:r w:rsidRPr="006528D6">
        <w:rPr>
          <w:b/>
          <w:bCs/>
          <w:i/>
          <w:sz w:val="17"/>
          <w:szCs w:val="17"/>
        </w:rPr>
        <w:t>do not significantly harm” principle</w:t>
      </w:r>
      <w:r w:rsidRPr="006528D6">
        <w:rPr>
          <w:i/>
          <w:sz w:val="17"/>
          <w:szCs w:val="17"/>
        </w:rPr>
        <w:t xml:space="preserve"> disclosures in line with the new empowerment under the taxonomy regulation, which can be found in Recital (33), Articles 16(2), 25, 34(3), 35(3), 38 and 45 in the draft RTS?</w:t>
      </w:r>
    </w:p>
    <w:p w14:paraId="5A4E4F9C" w14:textId="77777777" w:rsidR="00EF5508" w:rsidRPr="006528D6" w:rsidRDefault="00EF5508" w:rsidP="006528D6">
      <w:pPr>
        <w:ind w:right="313"/>
        <w:rPr>
          <w:i/>
          <w:sz w:val="17"/>
          <w:szCs w:val="17"/>
        </w:rPr>
      </w:pPr>
    </w:p>
    <w:p w14:paraId="0950F708" w14:textId="4C837310" w:rsidR="00EF5508" w:rsidRPr="00133102" w:rsidRDefault="00382934" w:rsidP="006528D6">
      <w:pPr>
        <w:ind w:right="313"/>
        <w:rPr>
          <w:iCs/>
          <w:color w:val="365F91" w:themeColor="accent1" w:themeShade="BF"/>
          <w:sz w:val="17"/>
          <w:szCs w:val="17"/>
        </w:rPr>
      </w:pPr>
      <w:r w:rsidRPr="00133102">
        <w:rPr>
          <w:iCs/>
          <w:color w:val="365F91" w:themeColor="accent1" w:themeShade="BF"/>
          <w:sz w:val="17"/>
          <w:szCs w:val="17"/>
        </w:rPr>
        <w:t>On one hand, t</w:t>
      </w:r>
      <w:r w:rsidR="00EF4EB0" w:rsidRPr="00133102">
        <w:rPr>
          <w:iCs/>
          <w:color w:val="365F91" w:themeColor="accent1" w:themeShade="BF"/>
          <w:sz w:val="17"/>
          <w:szCs w:val="17"/>
        </w:rPr>
        <w:t xml:space="preserve">he </w:t>
      </w:r>
      <w:r w:rsidRPr="00133102">
        <w:rPr>
          <w:iCs/>
          <w:color w:val="365F91" w:themeColor="accent1" w:themeShade="BF"/>
          <w:sz w:val="17"/>
          <w:szCs w:val="17"/>
        </w:rPr>
        <w:t xml:space="preserve">“do not significantly harm” principle of the taxonomy appears to be narrower and related to thresholds about the sustainability assessment of economic activities. On the other hand, the adverse impact appears to be a risk-based concept related to how investment affect sustainability factors. The </w:t>
      </w:r>
      <w:r w:rsidR="00EF4EB0" w:rsidRPr="00133102">
        <w:rPr>
          <w:iCs/>
          <w:color w:val="365F91" w:themeColor="accent1" w:themeShade="BF"/>
          <w:sz w:val="17"/>
          <w:szCs w:val="17"/>
        </w:rPr>
        <w:t xml:space="preserve">industry believes that </w:t>
      </w:r>
      <w:r w:rsidRPr="00133102">
        <w:rPr>
          <w:iCs/>
          <w:color w:val="365F91" w:themeColor="accent1" w:themeShade="BF"/>
          <w:sz w:val="17"/>
          <w:szCs w:val="17"/>
        </w:rPr>
        <w:t xml:space="preserve">the current drafting should clarify these concepts and provide </w:t>
      </w:r>
      <w:r w:rsidR="00EF4EB0" w:rsidRPr="00133102">
        <w:rPr>
          <w:iCs/>
          <w:color w:val="365F91" w:themeColor="accent1" w:themeShade="BF"/>
          <w:sz w:val="17"/>
          <w:szCs w:val="17"/>
        </w:rPr>
        <w:t>guidance on the difference between principal adverse impact and the concept of “do not significantly harm”.</w:t>
      </w:r>
      <w:r w:rsidR="009E6EB4" w:rsidRPr="00133102">
        <w:rPr>
          <w:iCs/>
          <w:color w:val="365F91" w:themeColor="accent1" w:themeShade="BF"/>
          <w:sz w:val="17"/>
          <w:szCs w:val="17"/>
        </w:rPr>
        <w:t xml:space="preserve"> </w:t>
      </w:r>
    </w:p>
    <w:p w14:paraId="69E216C2" w14:textId="1AE2F27F" w:rsidR="004C5FF4" w:rsidRPr="00133102" w:rsidRDefault="004C5FF4" w:rsidP="006528D6">
      <w:pPr>
        <w:ind w:right="313"/>
        <w:rPr>
          <w:iCs/>
          <w:color w:val="365F91" w:themeColor="accent1" w:themeShade="BF"/>
          <w:sz w:val="17"/>
          <w:szCs w:val="17"/>
        </w:rPr>
      </w:pPr>
    </w:p>
    <w:p w14:paraId="0F7DBFC4" w14:textId="6AF2E558" w:rsidR="004C5FF4" w:rsidRPr="006528D6" w:rsidRDefault="004C5FF4" w:rsidP="006528D6">
      <w:pPr>
        <w:ind w:right="313"/>
        <w:rPr>
          <w:i/>
          <w:color w:val="365F91" w:themeColor="accent1" w:themeShade="BF"/>
          <w:sz w:val="17"/>
          <w:szCs w:val="17"/>
        </w:rPr>
      </w:pPr>
      <w:r w:rsidRPr="00133102">
        <w:rPr>
          <w:iCs/>
          <w:color w:val="365F91" w:themeColor="accent1" w:themeShade="BF"/>
          <w:sz w:val="17"/>
          <w:szCs w:val="17"/>
        </w:rPr>
        <w:t>Finally, the sector agrees with the wording in Recital 33:</w:t>
      </w:r>
      <w:r w:rsidRPr="006528D6">
        <w:rPr>
          <w:i/>
          <w:color w:val="365F91" w:themeColor="accent1" w:themeShade="BF"/>
          <w:sz w:val="17"/>
          <w:szCs w:val="17"/>
        </w:rPr>
        <w:t xml:space="preserve"> “financial market participants should be transparent with regard to the criteria used, including any potential thresholds set, in order to assess that the investments qualifying as sustainable do not significantly harm environmental nor social objectives. </w:t>
      </w:r>
    </w:p>
    <w:p w14:paraId="02219BD7" w14:textId="77777777" w:rsidR="00EF5508" w:rsidRPr="006528D6" w:rsidRDefault="00EF5508" w:rsidP="006528D6">
      <w:pPr>
        <w:ind w:right="313"/>
        <w:rPr>
          <w:i/>
          <w:color w:val="365F91" w:themeColor="accent1" w:themeShade="BF"/>
          <w:sz w:val="17"/>
          <w:szCs w:val="17"/>
        </w:rPr>
      </w:pPr>
    </w:p>
    <w:p w14:paraId="5E6447D8" w14:textId="77777777" w:rsidR="00EF5508" w:rsidRPr="006528D6" w:rsidRDefault="00EF5508" w:rsidP="006528D6">
      <w:pPr>
        <w:ind w:right="313"/>
        <w:rPr>
          <w:i/>
          <w:sz w:val="17"/>
          <w:szCs w:val="17"/>
        </w:rPr>
      </w:pPr>
    </w:p>
    <w:p w14:paraId="482500EA" w14:textId="77777777" w:rsidR="00EF5508" w:rsidRPr="006528D6" w:rsidRDefault="00EF5508" w:rsidP="006528D6">
      <w:pPr>
        <w:ind w:right="313"/>
        <w:rPr>
          <w:i/>
          <w:sz w:val="17"/>
          <w:szCs w:val="17"/>
        </w:rPr>
      </w:pPr>
      <w:r w:rsidRPr="006528D6">
        <w:rPr>
          <w:i/>
          <w:sz w:val="17"/>
          <w:szCs w:val="17"/>
        </w:rPr>
        <w:t>Question 23: Do you see merit in the ESAs defining widely used ESG investment strategies (such as best-in-class, best-in-universe, exclusions, etc.) and giving financial market participants an opportunity to disclose the use of such strategies, where relevant? If yes, how would you define such widely used strategies?</w:t>
      </w:r>
    </w:p>
    <w:p w14:paraId="4EA0DA83" w14:textId="77777777" w:rsidR="00EF5508" w:rsidRPr="00133102" w:rsidRDefault="00EF5508" w:rsidP="006528D6">
      <w:pPr>
        <w:ind w:right="313"/>
        <w:rPr>
          <w:iCs/>
          <w:sz w:val="17"/>
          <w:szCs w:val="17"/>
        </w:rPr>
      </w:pPr>
    </w:p>
    <w:p w14:paraId="04AA0DA4" w14:textId="299FDFD1" w:rsidR="00EF5508" w:rsidRPr="00133102" w:rsidRDefault="00194D49" w:rsidP="006528D6">
      <w:pPr>
        <w:ind w:right="313"/>
        <w:rPr>
          <w:iCs/>
          <w:color w:val="365F91" w:themeColor="accent1" w:themeShade="BF"/>
          <w:sz w:val="17"/>
          <w:szCs w:val="17"/>
        </w:rPr>
      </w:pPr>
      <w:r w:rsidRPr="00133102">
        <w:rPr>
          <w:iCs/>
          <w:color w:val="365F91" w:themeColor="accent1" w:themeShade="BF"/>
          <w:sz w:val="17"/>
          <w:szCs w:val="17"/>
        </w:rPr>
        <w:t xml:space="preserve">The industry does not believe that there would be added value in defining such strategies further, as they can already be defined in pre-contractual information under investment strategies, where additional information can be referenced. </w:t>
      </w:r>
    </w:p>
    <w:p w14:paraId="0AD9F292" w14:textId="77777777" w:rsidR="00EF5508" w:rsidRPr="006528D6" w:rsidRDefault="00EF5508" w:rsidP="006528D6">
      <w:pPr>
        <w:ind w:right="313"/>
        <w:rPr>
          <w:i/>
          <w:sz w:val="17"/>
          <w:szCs w:val="17"/>
        </w:rPr>
      </w:pPr>
    </w:p>
    <w:p w14:paraId="4707B266" w14:textId="77777777" w:rsidR="00277B53" w:rsidRPr="006528D6" w:rsidRDefault="00277B53" w:rsidP="006528D6">
      <w:pPr>
        <w:ind w:right="313"/>
        <w:rPr>
          <w:i/>
          <w:sz w:val="17"/>
          <w:szCs w:val="17"/>
        </w:rPr>
      </w:pPr>
    </w:p>
    <w:p w14:paraId="13F8798D" w14:textId="0863C4CC" w:rsidR="00EF5508" w:rsidRPr="006528D6" w:rsidRDefault="00EF5508" w:rsidP="006528D6">
      <w:pPr>
        <w:ind w:right="313"/>
        <w:rPr>
          <w:i/>
          <w:sz w:val="17"/>
          <w:szCs w:val="17"/>
        </w:rPr>
      </w:pPr>
      <w:r w:rsidRPr="006528D6">
        <w:rPr>
          <w:i/>
          <w:sz w:val="17"/>
          <w:szCs w:val="17"/>
        </w:rPr>
        <w:t>Question</w:t>
      </w:r>
      <w:r w:rsidR="00CE4BB4" w:rsidRPr="006528D6">
        <w:rPr>
          <w:i/>
          <w:sz w:val="17"/>
          <w:szCs w:val="17"/>
        </w:rPr>
        <w:t xml:space="preserve"> </w:t>
      </w:r>
      <w:r w:rsidRPr="006528D6">
        <w:rPr>
          <w:i/>
          <w:sz w:val="17"/>
          <w:szCs w:val="17"/>
        </w:rPr>
        <w:t>24:  Do you agree with  the  approach  on  the  disclosure  of  financial  products’     top</w:t>
      </w:r>
      <w:r w:rsidR="00A16E59" w:rsidRPr="006528D6">
        <w:rPr>
          <w:i/>
          <w:sz w:val="17"/>
          <w:szCs w:val="17"/>
        </w:rPr>
        <w:t xml:space="preserve"> </w:t>
      </w:r>
      <w:r w:rsidRPr="006528D6">
        <w:rPr>
          <w:i/>
          <w:sz w:val="17"/>
          <w:szCs w:val="17"/>
        </w:rPr>
        <w:t>investments in periodic disclosures as currently set out in Articles 39 and 46 of the draft RTS?</w:t>
      </w:r>
    </w:p>
    <w:p w14:paraId="3E1724BE" w14:textId="5CC7AF13" w:rsidR="00B26FD8" w:rsidRPr="006528D6" w:rsidRDefault="00B26FD8" w:rsidP="006528D6">
      <w:pPr>
        <w:ind w:right="313"/>
        <w:rPr>
          <w:i/>
          <w:sz w:val="17"/>
          <w:szCs w:val="17"/>
        </w:rPr>
      </w:pPr>
    </w:p>
    <w:p w14:paraId="201EEACC" w14:textId="77777777" w:rsidR="00E2589F" w:rsidRPr="00133102" w:rsidRDefault="00E2589F" w:rsidP="006528D6">
      <w:pPr>
        <w:ind w:right="313"/>
        <w:rPr>
          <w:iCs/>
          <w:color w:val="365F91" w:themeColor="accent1" w:themeShade="BF"/>
          <w:sz w:val="17"/>
          <w:szCs w:val="17"/>
        </w:rPr>
      </w:pPr>
      <w:r w:rsidRPr="00133102">
        <w:rPr>
          <w:iCs/>
          <w:color w:val="365F91" w:themeColor="accent1" w:themeShade="BF"/>
          <w:sz w:val="17"/>
          <w:szCs w:val="17"/>
        </w:rPr>
        <w:t>The insurance sector believes that the chosen approach is excessively burdensome, without providing adequate value for customers. In addition, the industry urges the ESAs to verify such approach for a number of financial products, eg funds. The ESAs should also elaborate how to disclose information about sector and location with respect to financial instruments such as equity, bonds, covered bonds, derivatives, etc.</w:t>
      </w:r>
    </w:p>
    <w:p w14:paraId="04D059BC" w14:textId="6FAAA158" w:rsidR="00B26FD8" w:rsidRPr="00133102" w:rsidRDefault="00B26FD8" w:rsidP="006528D6">
      <w:pPr>
        <w:ind w:right="313"/>
        <w:rPr>
          <w:iCs/>
          <w:sz w:val="17"/>
          <w:szCs w:val="17"/>
        </w:rPr>
      </w:pPr>
    </w:p>
    <w:p w14:paraId="7FFC96D7" w14:textId="77777777" w:rsidR="00E2589F" w:rsidRPr="006528D6" w:rsidRDefault="00E2589F" w:rsidP="006528D6">
      <w:pPr>
        <w:ind w:right="313"/>
        <w:rPr>
          <w:i/>
          <w:sz w:val="17"/>
          <w:szCs w:val="17"/>
        </w:rPr>
      </w:pPr>
    </w:p>
    <w:p w14:paraId="3E5BC760" w14:textId="043F164F" w:rsidR="00FE0215" w:rsidRPr="006528D6" w:rsidRDefault="00FE0215" w:rsidP="006528D6">
      <w:pPr>
        <w:widowControl w:val="0"/>
        <w:tabs>
          <w:tab w:val="left" w:pos="602"/>
        </w:tabs>
        <w:autoSpaceDE w:val="0"/>
        <w:autoSpaceDN w:val="0"/>
        <w:ind w:right="229"/>
        <w:rPr>
          <w:i/>
          <w:sz w:val="17"/>
          <w:szCs w:val="17"/>
        </w:rPr>
      </w:pPr>
      <w:commentRangeStart w:id="7"/>
      <w:r w:rsidRPr="006528D6">
        <w:rPr>
          <w:i/>
          <w:sz w:val="17"/>
          <w:szCs w:val="17"/>
        </w:rPr>
        <w:t>Question 25:</w:t>
      </w:r>
      <w:commentRangeEnd w:id="7"/>
      <w:r w:rsidR="00287EA4" w:rsidRPr="006528D6">
        <w:rPr>
          <w:rStyle w:val="Odkaznakomentr"/>
          <w:sz w:val="17"/>
          <w:szCs w:val="17"/>
        </w:rPr>
        <w:commentReference w:id="7"/>
      </w:r>
      <w:r w:rsidRPr="006528D6">
        <w:rPr>
          <w:i/>
          <w:sz w:val="17"/>
          <w:szCs w:val="17"/>
        </w:rPr>
        <w:t>For each of the following four elements, please indicate whether you believe it is better to include the item in the pre-contractual or the website disclosures for financial products? Please explain your reasoning.</w:t>
      </w:r>
    </w:p>
    <w:p w14:paraId="61FC8DB5" w14:textId="77777777" w:rsidR="00FE0215" w:rsidRPr="006528D6" w:rsidRDefault="00FE0215" w:rsidP="006528D6">
      <w:pPr>
        <w:pStyle w:val="Zkladntext"/>
        <w:spacing w:after="0"/>
        <w:rPr>
          <w:i/>
          <w:szCs w:val="17"/>
        </w:rPr>
      </w:pPr>
    </w:p>
    <w:p w14:paraId="30D53ECF" w14:textId="77777777" w:rsidR="00FE0215" w:rsidRPr="006528D6" w:rsidRDefault="00FE0215" w:rsidP="006528D6">
      <w:pPr>
        <w:pStyle w:val="Odsekzoznamu"/>
        <w:widowControl w:val="0"/>
        <w:numPr>
          <w:ilvl w:val="0"/>
          <w:numId w:val="14"/>
        </w:numPr>
        <w:tabs>
          <w:tab w:val="left" w:pos="602"/>
        </w:tabs>
        <w:autoSpaceDE w:val="0"/>
        <w:autoSpaceDN w:val="0"/>
        <w:spacing w:line="288" w:lineRule="auto"/>
        <w:ind w:right="235"/>
        <w:jc w:val="both"/>
        <w:rPr>
          <w:rFonts w:ascii="Verdana" w:hAnsi="Verdana"/>
          <w:i/>
          <w:sz w:val="17"/>
          <w:szCs w:val="17"/>
        </w:rPr>
      </w:pPr>
      <w:r w:rsidRPr="006528D6">
        <w:rPr>
          <w:rFonts w:ascii="Verdana" w:hAnsi="Verdana"/>
          <w:i/>
          <w:sz w:val="17"/>
          <w:szCs w:val="17"/>
        </w:rPr>
        <w:t>an indication of any commitment of a minimum reduction rate of the investments (sometimes referred to as the “investable universe”) considered prior to the application of the investment strategy – in the draft RTS below it is in the pre-contractual disclosure Articles</w:t>
      </w:r>
      <w:r w:rsidRPr="006528D6">
        <w:rPr>
          <w:rFonts w:ascii="Verdana" w:hAnsi="Verdana"/>
          <w:i/>
          <w:spacing w:val="-35"/>
          <w:sz w:val="17"/>
          <w:szCs w:val="17"/>
        </w:rPr>
        <w:t xml:space="preserve"> </w:t>
      </w:r>
      <w:r w:rsidRPr="006528D6">
        <w:rPr>
          <w:rFonts w:ascii="Verdana" w:hAnsi="Verdana"/>
          <w:i/>
          <w:sz w:val="17"/>
          <w:szCs w:val="17"/>
        </w:rPr>
        <w:t>17(b) and 26(b);</w:t>
      </w:r>
    </w:p>
    <w:p w14:paraId="7FD74DCF" w14:textId="77777777" w:rsidR="00FE0215" w:rsidRPr="006528D6" w:rsidRDefault="00FE0215" w:rsidP="006528D6">
      <w:pPr>
        <w:pStyle w:val="Zkladntext"/>
        <w:spacing w:after="0"/>
        <w:rPr>
          <w:i/>
          <w:szCs w:val="17"/>
        </w:rPr>
      </w:pPr>
    </w:p>
    <w:p w14:paraId="01D0EA66" w14:textId="77777777" w:rsidR="00FE0215" w:rsidRPr="006528D6" w:rsidRDefault="00FE0215" w:rsidP="006528D6">
      <w:pPr>
        <w:pStyle w:val="Odsekzoznamu"/>
        <w:widowControl w:val="0"/>
        <w:numPr>
          <w:ilvl w:val="0"/>
          <w:numId w:val="14"/>
        </w:numPr>
        <w:tabs>
          <w:tab w:val="left" w:pos="602"/>
        </w:tabs>
        <w:autoSpaceDE w:val="0"/>
        <w:autoSpaceDN w:val="0"/>
        <w:spacing w:line="288" w:lineRule="auto"/>
        <w:jc w:val="both"/>
        <w:rPr>
          <w:rFonts w:ascii="Verdana" w:hAnsi="Verdana"/>
          <w:i/>
          <w:sz w:val="17"/>
          <w:szCs w:val="17"/>
        </w:rPr>
      </w:pPr>
      <w:r w:rsidRPr="006528D6">
        <w:rPr>
          <w:rFonts w:ascii="Verdana" w:hAnsi="Verdana"/>
          <w:i/>
          <w:sz w:val="17"/>
          <w:szCs w:val="17"/>
        </w:rPr>
        <w:t>a</w:t>
      </w:r>
      <w:r w:rsidRPr="006528D6">
        <w:rPr>
          <w:rFonts w:ascii="Verdana" w:hAnsi="Verdana"/>
          <w:i/>
          <w:spacing w:val="-5"/>
          <w:sz w:val="17"/>
          <w:szCs w:val="17"/>
        </w:rPr>
        <w:t xml:space="preserve"> </w:t>
      </w:r>
      <w:r w:rsidRPr="006528D6">
        <w:rPr>
          <w:rFonts w:ascii="Verdana" w:hAnsi="Verdana"/>
          <w:i/>
          <w:sz w:val="17"/>
          <w:szCs w:val="17"/>
        </w:rPr>
        <w:t>short</w:t>
      </w:r>
      <w:r w:rsidRPr="006528D6">
        <w:rPr>
          <w:rFonts w:ascii="Verdana" w:hAnsi="Verdana"/>
          <w:i/>
          <w:spacing w:val="-4"/>
          <w:sz w:val="17"/>
          <w:szCs w:val="17"/>
        </w:rPr>
        <w:t xml:space="preserve"> </w:t>
      </w:r>
      <w:r w:rsidRPr="006528D6">
        <w:rPr>
          <w:rFonts w:ascii="Verdana" w:hAnsi="Verdana"/>
          <w:i/>
          <w:sz w:val="17"/>
          <w:szCs w:val="17"/>
        </w:rPr>
        <w:t>description</w:t>
      </w:r>
      <w:r w:rsidRPr="006528D6">
        <w:rPr>
          <w:rFonts w:ascii="Verdana" w:hAnsi="Verdana"/>
          <w:i/>
          <w:spacing w:val="-5"/>
          <w:sz w:val="17"/>
          <w:szCs w:val="17"/>
        </w:rPr>
        <w:t xml:space="preserve"> </w:t>
      </w:r>
      <w:r w:rsidRPr="006528D6">
        <w:rPr>
          <w:rFonts w:ascii="Verdana" w:hAnsi="Verdana"/>
          <w:i/>
          <w:sz w:val="17"/>
          <w:szCs w:val="17"/>
        </w:rPr>
        <w:t>of</w:t>
      </w:r>
      <w:r w:rsidRPr="006528D6">
        <w:rPr>
          <w:rFonts w:ascii="Verdana" w:hAnsi="Verdana"/>
          <w:i/>
          <w:spacing w:val="-5"/>
          <w:sz w:val="17"/>
          <w:szCs w:val="17"/>
        </w:rPr>
        <w:t xml:space="preserve"> </w:t>
      </w:r>
      <w:r w:rsidRPr="006528D6">
        <w:rPr>
          <w:rFonts w:ascii="Verdana" w:hAnsi="Verdana"/>
          <w:i/>
          <w:sz w:val="17"/>
          <w:szCs w:val="17"/>
        </w:rPr>
        <w:t>the</w:t>
      </w:r>
      <w:r w:rsidRPr="006528D6">
        <w:rPr>
          <w:rFonts w:ascii="Verdana" w:hAnsi="Verdana"/>
          <w:i/>
          <w:spacing w:val="-4"/>
          <w:sz w:val="17"/>
          <w:szCs w:val="17"/>
        </w:rPr>
        <w:t xml:space="preserve"> </w:t>
      </w:r>
      <w:r w:rsidRPr="006528D6">
        <w:rPr>
          <w:rFonts w:ascii="Verdana" w:hAnsi="Verdana"/>
          <w:i/>
          <w:sz w:val="17"/>
          <w:szCs w:val="17"/>
        </w:rPr>
        <w:t>policy</w:t>
      </w:r>
      <w:r w:rsidRPr="006528D6">
        <w:rPr>
          <w:rFonts w:ascii="Verdana" w:hAnsi="Verdana"/>
          <w:i/>
          <w:spacing w:val="-5"/>
          <w:sz w:val="17"/>
          <w:szCs w:val="17"/>
        </w:rPr>
        <w:t xml:space="preserve"> </w:t>
      </w:r>
      <w:r w:rsidRPr="006528D6">
        <w:rPr>
          <w:rFonts w:ascii="Verdana" w:hAnsi="Verdana"/>
          <w:i/>
          <w:sz w:val="17"/>
          <w:szCs w:val="17"/>
        </w:rPr>
        <w:t>to</w:t>
      </w:r>
      <w:r w:rsidRPr="006528D6">
        <w:rPr>
          <w:rFonts w:ascii="Verdana" w:hAnsi="Verdana"/>
          <w:i/>
          <w:spacing w:val="-4"/>
          <w:sz w:val="17"/>
          <w:szCs w:val="17"/>
        </w:rPr>
        <w:t xml:space="preserve"> </w:t>
      </w:r>
      <w:r w:rsidRPr="006528D6">
        <w:rPr>
          <w:rFonts w:ascii="Verdana" w:hAnsi="Verdana"/>
          <w:i/>
          <w:sz w:val="17"/>
          <w:szCs w:val="17"/>
        </w:rPr>
        <w:t>assess</w:t>
      </w:r>
      <w:r w:rsidRPr="006528D6">
        <w:rPr>
          <w:rFonts w:ascii="Verdana" w:hAnsi="Verdana"/>
          <w:i/>
          <w:spacing w:val="-4"/>
          <w:sz w:val="17"/>
          <w:szCs w:val="17"/>
        </w:rPr>
        <w:t xml:space="preserve"> </w:t>
      </w:r>
      <w:r w:rsidRPr="006528D6">
        <w:rPr>
          <w:rFonts w:ascii="Verdana" w:hAnsi="Verdana"/>
          <w:i/>
          <w:sz w:val="17"/>
          <w:szCs w:val="17"/>
        </w:rPr>
        <w:t>good</w:t>
      </w:r>
      <w:r w:rsidRPr="006528D6">
        <w:rPr>
          <w:rFonts w:ascii="Verdana" w:hAnsi="Verdana"/>
          <w:i/>
          <w:spacing w:val="-5"/>
          <w:sz w:val="17"/>
          <w:szCs w:val="17"/>
        </w:rPr>
        <w:t xml:space="preserve"> </w:t>
      </w:r>
      <w:r w:rsidRPr="006528D6">
        <w:rPr>
          <w:rFonts w:ascii="Verdana" w:hAnsi="Verdana"/>
          <w:i/>
          <w:sz w:val="17"/>
          <w:szCs w:val="17"/>
        </w:rPr>
        <w:t>governance</w:t>
      </w:r>
      <w:r w:rsidRPr="006528D6">
        <w:rPr>
          <w:rFonts w:ascii="Verdana" w:hAnsi="Verdana"/>
          <w:i/>
          <w:spacing w:val="-5"/>
          <w:sz w:val="17"/>
          <w:szCs w:val="17"/>
        </w:rPr>
        <w:t xml:space="preserve"> </w:t>
      </w:r>
      <w:r w:rsidRPr="006528D6">
        <w:rPr>
          <w:rFonts w:ascii="Verdana" w:hAnsi="Verdana"/>
          <w:i/>
          <w:sz w:val="17"/>
          <w:szCs w:val="17"/>
        </w:rPr>
        <w:t>practices</w:t>
      </w:r>
      <w:r w:rsidRPr="006528D6">
        <w:rPr>
          <w:rFonts w:ascii="Verdana" w:hAnsi="Verdana"/>
          <w:i/>
          <w:spacing w:val="-4"/>
          <w:sz w:val="17"/>
          <w:szCs w:val="17"/>
        </w:rPr>
        <w:t xml:space="preserve"> </w:t>
      </w:r>
      <w:r w:rsidRPr="006528D6">
        <w:rPr>
          <w:rFonts w:ascii="Verdana" w:hAnsi="Verdana"/>
          <w:i/>
          <w:sz w:val="17"/>
          <w:szCs w:val="17"/>
        </w:rPr>
        <w:t>of</w:t>
      </w:r>
      <w:r w:rsidRPr="006528D6">
        <w:rPr>
          <w:rFonts w:ascii="Verdana" w:hAnsi="Verdana"/>
          <w:i/>
          <w:spacing w:val="-5"/>
          <w:sz w:val="17"/>
          <w:szCs w:val="17"/>
        </w:rPr>
        <w:t xml:space="preserve"> </w:t>
      </w:r>
      <w:r w:rsidRPr="006528D6">
        <w:rPr>
          <w:rFonts w:ascii="Verdana" w:hAnsi="Verdana"/>
          <w:i/>
          <w:sz w:val="17"/>
          <w:szCs w:val="17"/>
        </w:rPr>
        <w:t>the</w:t>
      </w:r>
      <w:r w:rsidRPr="006528D6">
        <w:rPr>
          <w:rFonts w:ascii="Verdana" w:hAnsi="Verdana"/>
          <w:i/>
          <w:spacing w:val="-7"/>
          <w:sz w:val="17"/>
          <w:szCs w:val="17"/>
        </w:rPr>
        <w:t xml:space="preserve"> </w:t>
      </w:r>
      <w:r w:rsidRPr="006528D6">
        <w:rPr>
          <w:rFonts w:ascii="Verdana" w:hAnsi="Verdana"/>
          <w:i/>
          <w:sz w:val="17"/>
          <w:szCs w:val="17"/>
        </w:rPr>
        <w:t>investee</w:t>
      </w:r>
      <w:r w:rsidRPr="006528D6">
        <w:rPr>
          <w:rFonts w:ascii="Verdana" w:hAnsi="Verdana"/>
          <w:i/>
          <w:spacing w:val="-4"/>
          <w:sz w:val="17"/>
          <w:szCs w:val="17"/>
        </w:rPr>
        <w:t xml:space="preserve"> </w:t>
      </w:r>
      <w:r w:rsidRPr="006528D6">
        <w:rPr>
          <w:rFonts w:ascii="Verdana" w:hAnsi="Verdana"/>
          <w:i/>
          <w:sz w:val="17"/>
          <w:szCs w:val="17"/>
        </w:rPr>
        <w:t>companies</w:t>
      </w:r>
    </w:p>
    <w:p w14:paraId="46BD099F" w14:textId="77777777" w:rsidR="00FE0215" w:rsidRPr="006528D6" w:rsidRDefault="00FE0215" w:rsidP="006528D6">
      <w:pPr>
        <w:ind w:left="601"/>
        <w:rPr>
          <w:i/>
          <w:sz w:val="17"/>
          <w:szCs w:val="17"/>
        </w:rPr>
      </w:pPr>
      <w:r w:rsidRPr="006528D6">
        <w:rPr>
          <w:i/>
          <w:sz w:val="17"/>
          <w:szCs w:val="17"/>
        </w:rPr>
        <w:t>– in the draft RTS below it is in pre-contractual disclosure Articles 17(c) and 26(c);</w:t>
      </w:r>
    </w:p>
    <w:p w14:paraId="5D26E5F0" w14:textId="77777777" w:rsidR="00FE0215" w:rsidRPr="006528D6" w:rsidRDefault="00FE0215" w:rsidP="006528D6">
      <w:pPr>
        <w:pStyle w:val="Zkladntext"/>
        <w:spacing w:after="0"/>
        <w:rPr>
          <w:i/>
          <w:szCs w:val="17"/>
        </w:rPr>
      </w:pPr>
    </w:p>
    <w:p w14:paraId="05B78C09" w14:textId="77777777" w:rsidR="00AF17AF" w:rsidRPr="006528D6" w:rsidRDefault="00FE0215" w:rsidP="006528D6">
      <w:pPr>
        <w:pStyle w:val="Odsekzoznamu"/>
        <w:widowControl w:val="0"/>
        <w:numPr>
          <w:ilvl w:val="0"/>
          <w:numId w:val="14"/>
        </w:numPr>
        <w:tabs>
          <w:tab w:val="left" w:pos="601"/>
          <w:tab w:val="left" w:pos="602"/>
        </w:tabs>
        <w:autoSpaceDE w:val="0"/>
        <w:autoSpaceDN w:val="0"/>
        <w:spacing w:line="288" w:lineRule="auto"/>
        <w:ind w:right="233"/>
        <w:jc w:val="both"/>
        <w:rPr>
          <w:rFonts w:ascii="Verdana" w:hAnsi="Verdana"/>
          <w:i/>
          <w:sz w:val="17"/>
          <w:szCs w:val="17"/>
        </w:rPr>
      </w:pPr>
      <w:r w:rsidRPr="006528D6">
        <w:rPr>
          <w:rFonts w:ascii="Verdana" w:hAnsi="Verdana"/>
          <w:i/>
          <w:sz w:val="17"/>
          <w:szCs w:val="17"/>
        </w:rPr>
        <w:t>a description of the limitations to (1) methodologies and (2) data sources and how such limitations  do  not  affect  the  attainment  of  any  environmental  or  social  characteristics</w:t>
      </w:r>
      <w:r w:rsidRPr="006528D6">
        <w:rPr>
          <w:rFonts w:ascii="Verdana" w:hAnsi="Verdana"/>
          <w:i/>
          <w:spacing w:val="-14"/>
          <w:sz w:val="17"/>
          <w:szCs w:val="17"/>
        </w:rPr>
        <w:t xml:space="preserve"> </w:t>
      </w:r>
      <w:r w:rsidRPr="006528D6">
        <w:rPr>
          <w:rFonts w:ascii="Verdana" w:hAnsi="Verdana"/>
          <w:i/>
          <w:sz w:val="17"/>
          <w:szCs w:val="17"/>
        </w:rPr>
        <w:t>or sustainable investment objective of the financial product – in the draft RTS below it is in the website disclosure under Article 34(1)(k) and Article 35(1)(k); and</w:t>
      </w:r>
      <w:r w:rsidR="003D1F04" w:rsidRPr="006528D6">
        <w:rPr>
          <w:rFonts w:ascii="Verdana" w:hAnsi="Verdana"/>
          <w:i/>
          <w:sz w:val="17"/>
          <w:szCs w:val="17"/>
        </w:rPr>
        <w:t xml:space="preserve"> </w:t>
      </w:r>
    </w:p>
    <w:p w14:paraId="0D27419A" w14:textId="5C495E67" w:rsidR="00EF5508" w:rsidRPr="006528D6" w:rsidRDefault="00FE0215" w:rsidP="006528D6">
      <w:pPr>
        <w:pStyle w:val="Odsekzoznamu"/>
        <w:widowControl w:val="0"/>
        <w:numPr>
          <w:ilvl w:val="0"/>
          <w:numId w:val="14"/>
        </w:numPr>
        <w:tabs>
          <w:tab w:val="left" w:pos="601"/>
          <w:tab w:val="left" w:pos="602"/>
        </w:tabs>
        <w:autoSpaceDE w:val="0"/>
        <w:autoSpaceDN w:val="0"/>
        <w:spacing w:line="288" w:lineRule="auto"/>
        <w:ind w:right="233"/>
        <w:jc w:val="both"/>
        <w:rPr>
          <w:rFonts w:ascii="Verdana" w:hAnsi="Verdana"/>
          <w:i/>
          <w:sz w:val="17"/>
          <w:szCs w:val="17"/>
        </w:rPr>
      </w:pPr>
      <w:r w:rsidRPr="006528D6">
        <w:rPr>
          <w:rFonts w:ascii="Verdana" w:hAnsi="Verdana"/>
          <w:i/>
          <w:sz w:val="17"/>
          <w:szCs w:val="17"/>
        </w:rPr>
        <w:t>a reference to whether data sources are external or internal and in what proportions – not currently reflected in the draft RTS but could complement the pre-contractual disclosures under Article 17</w:t>
      </w:r>
    </w:p>
    <w:p w14:paraId="360C755B" w14:textId="05D4081E" w:rsidR="00EF5508" w:rsidRPr="006528D6" w:rsidRDefault="00EF5508" w:rsidP="006528D6">
      <w:pPr>
        <w:pStyle w:val="Odsekzoznamu"/>
        <w:widowControl w:val="0"/>
        <w:tabs>
          <w:tab w:val="left" w:pos="601"/>
          <w:tab w:val="left" w:pos="602"/>
        </w:tabs>
        <w:autoSpaceDE w:val="0"/>
        <w:autoSpaceDN w:val="0"/>
        <w:spacing w:line="288" w:lineRule="auto"/>
        <w:ind w:left="602" w:right="233"/>
        <w:jc w:val="both"/>
        <w:rPr>
          <w:rFonts w:ascii="Verdana" w:hAnsi="Verdana"/>
          <w:i/>
          <w:sz w:val="17"/>
          <w:szCs w:val="17"/>
        </w:rPr>
      </w:pPr>
    </w:p>
    <w:p w14:paraId="32480E63" w14:textId="77777777" w:rsidR="009D7FBB" w:rsidRPr="006528D6" w:rsidRDefault="009D7FBB" w:rsidP="006528D6">
      <w:pPr>
        <w:pStyle w:val="Odsekzoznamu"/>
        <w:widowControl w:val="0"/>
        <w:tabs>
          <w:tab w:val="left" w:pos="601"/>
          <w:tab w:val="left" w:pos="602"/>
        </w:tabs>
        <w:autoSpaceDE w:val="0"/>
        <w:autoSpaceDN w:val="0"/>
        <w:spacing w:line="288" w:lineRule="auto"/>
        <w:ind w:left="602" w:right="233"/>
        <w:jc w:val="both"/>
        <w:rPr>
          <w:rFonts w:ascii="Verdana" w:hAnsi="Verdana"/>
          <w:i/>
          <w:sz w:val="17"/>
          <w:szCs w:val="17"/>
        </w:rPr>
      </w:pPr>
    </w:p>
    <w:p w14:paraId="16FEF7AE" w14:textId="77777777" w:rsidR="00EF5508" w:rsidRPr="006528D6" w:rsidRDefault="00EF5508" w:rsidP="006528D6">
      <w:pPr>
        <w:ind w:right="230"/>
        <w:rPr>
          <w:i/>
          <w:sz w:val="17"/>
          <w:szCs w:val="17"/>
        </w:rPr>
      </w:pPr>
      <w:r w:rsidRPr="006528D6">
        <w:rPr>
          <w:i/>
          <w:sz w:val="17"/>
          <w:szCs w:val="17"/>
        </w:rPr>
        <w:t>Question 26: Is it better to include a separate section on information on how the use of derivatives meets each of the environmental or social characteristics or sustainable investment objectives promoted</w:t>
      </w:r>
      <w:r w:rsidRPr="006528D6">
        <w:rPr>
          <w:i/>
          <w:spacing w:val="-13"/>
          <w:sz w:val="17"/>
          <w:szCs w:val="17"/>
        </w:rPr>
        <w:t xml:space="preserve"> </w:t>
      </w:r>
      <w:r w:rsidRPr="006528D6">
        <w:rPr>
          <w:i/>
          <w:sz w:val="17"/>
          <w:szCs w:val="17"/>
        </w:rPr>
        <w:t>by</w:t>
      </w:r>
      <w:r w:rsidRPr="006528D6">
        <w:rPr>
          <w:i/>
          <w:spacing w:val="-13"/>
          <w:sz w:val="17"/>
          <w:szCs w:val="17"/>
        </w:rPr>
        <w:t xml:space="preserve"> </w:t>
      </w:r>
      <w:r w:rsidRPr="006528D6">
        <w:rPr>
          <w:i/>
          <w:sz w:val="17"/>
          <w:szCs w:val="17"/>
        </w:rPr>
        <w:t>the</w:t>
      </w:r>
      <w:r w:rsidRPr="006528D6">
        <w:rPr>
          <w:i/>
          <w:spacing w:val="-13"/>
          <w:sz w:val="17"/>
          <w:szCs w:val="17"/>
        </w:rPr>
        <w:t xml:space="preserve"> </w:t>
      </w:r>
      <w:r w:rsidRPr="006528D6">
        <w:rPr>
          <w:i/>
          <w:sz w:val="17"/>
          <w:szCs w:val="17"/>
        </w:rPr>
        <w:t>financial</w:t>
      </w:r>
      <w:r w:rsidRPr="006528D6">
        <w:rPr>
          <w:i/>
          <w:spacing w:val="-13"/>
          <w:sz w:val="17"/>
          <w:szCs w:val="17"/>
        </w:rPr>
        <w:t xml:space="preserve"> </w:t>
      </w:r>
      <w:r w:rsidRPr="006528D6">
        <w:rPr>
          <w:i/>
          <w:sz w:val="17"/>
          <w:szCs w:val="17"/>
        </w:rPr>
        <w:t>product,</w:t>
      </w:r>
      <w:r w:rsidRPr="006528D6">
        <w:rPr>
          <w:i/>
          <w:spacing w:val="-13"/>
          <w:sz w:val="17"/>
          <w:szCs w:val="17"/>
        </w:rPr>
        <w:t xml:space="preserve"> </w:t>
      </w:r>
      <w:r w:rsidRPr="006528D6">
        <w:rPr>
          <w:i/>
          <w:sz w:val="17"/>
          <w:szCs w:val="17"/>
        </w:rPr>
        <w:t>as</w:t>
      </w:r>
      <w:r w:rsidRPr="006528D6">
        <w:rPr>
          <w:i/>
          <w:spacing w:val="-12"/>
          <w:sz w:val="17"/>
          <w:szCs w:val="17"/>
        </w:rPr>
        <w:t xml:space="preserve"> </w:t>
      </w:r>
      <w:r w:rsidRPr="006528D6">
        <w:rPr>
          <w:i/>
          <w:sz w:val="17"/>
          <w:szCs w:val="17"/>
        </w:rPr>
        <w:t>in</w:t>
      </w:r>
      <w:r w:rsidRPr="006528D6">
        <w:rPr>
          <w:i/>
          <w:spacing w:val="-14"/>
          <w:sz w:val="17"/>
          <w:szCs w:val="17"/>
        </w:rPr>
        <w:t xml:space="preserve"> </w:t>
      </w:r>
      <w:r w:rsidRPr="006528D6">
        <w:rPr>
          <w:i/>
          <w:sz w:val="17"/>
          <w:szCs w:val="17"/>
        </w:rPr>
        <w:t>the</w:t>
      </w:r>
      <w:r w:rsidRPr="006528D6">
        <w:rPr>
          <w:i/>
          <w:spacing w:val="-13"/>
          <w:sz w:val="17"/>
          <w:szCs w:val="17"/>
        </w:rPr>
        <w:t xml:space="preserve"> </w:t>
      </w:r>
      <w:r w:rsidRPr="006528D6">
        <w:rPr>
          <w:i/>
          <w:sz w:val="17"/>
          <w:szCs w:val="17"/>
        </w:rPr>
        <w:t>below</w:t>
      </w:r>
      <w:r w:rsidRPr="006528D6">
        <w:rPr>
          <w:i/>
          <w:spacing w:val="-12"/>
          <w:sz w:val="17"/>
          <w:szCs w:val="17"/>
        </w:rPr>
        <w:t xml:space="preserve"> </w:t>
      </w:r>
      <w:r w:rsidRPr="006528D6">
        <w:rPr>
          <w:i/>
          <w:sz w:val="17"/>
          <w:szCs w:val="17"/>
        </w:rPr>
        <w:t>draft</w:t>
      </w:r>
      <w:r w:rsidRPr="006528D6">
        <w:rPr>
          <w:i/>
          <w:spacing w:val="-12"/>
          <w:sz w:val="17"/>
          <w:szCs w:val="17"/>
        </w:rPr>
        <w:t xml:space="preserve"> </w:t>
      </w:r>
      <w:r w:rsidRPr="006528D6">
        <w:rPr>
          <w:i/>
          <w:sz w:val="17"/>
          <w:szCs w:val="17"/>
        </w:rPr>
        <w:t>RTS</w:t>
      </w:r>
      <w:r w:rsidRPr="006528D6">
        <w:rPr>
          <w:i/>
          <w:spacing w:val="-12"/>
          <w:sz w:val="17"/>
          <w:szCs w:val="17"/>
        </w:rPr>
        <w:t xml:space="preserve"> </w:t>
      </w:r>
      <w:r w:rsidRPr="006528D6">
        <w:rPr>
          <w:i/>
          <w:sz w:val="17"/>
          <w:szCs w:val="17"/>
        </w:rPr>
        <w:t>under</w:t>
      </w:r>
      <w:r w:rsidRPr="006528D6">
        <w:rPr>
          <w:i/>
          <w:spacing w:val="-12"/>
          <w:sz w:val="17"/>
          <w:szCs w:val="17"/>
        </w:rPr>
        <w:t xml:space="preserve"> </w:t>
      </w:r>
      <w:r w:rsidRPr="006528D6">
        <w:rPr>
          <w:i/>
          <w:sz w:val="17"/>
          <w:szCs w:val="17"/>
        </w:rPr>
        <w:t>Article</w:t>
      </w:r>
      <w:r w:rsidRPr="006528D6">
        <w:rPr>
          <w:i/>
          <w:spacing w:val="-13"/>
          <w:sz w:val="17"/>
          <w:szCs w:val="17"/>
        </w:rPr>
        <w:t xml:space="preserve"> </w:t>
      </w:r>
      <w:r w:rsidRPr="006528D6">
        <w:rPr>
          <w:i/>
          <w:sz w:val="17"/>
          <w:szCs w:val="17"/>
        </w:rPr>
        <w:t>19</w:t>
      </w:r>
      <w:r w:rsidRPr="006528D6">
        <w:rPr>
          <w:i/>
          <w:spacing w:val="-12"/>
          <w:sz w:val="17"/>
          <w:szCs w:val="17"/>
        </w:rPr>
        <w:t xml:space="preserve"> </w:t>
      </w:r>
      <w:r w:rsidRPr="006528D6">
        <w:rPr>
          <w:i/>
          <w:sz w:val="17"/>
          <w:szCs w:val="17"/>
        </w:rPr>
        <w:t>and</w:t>
      </w:r>
      <w:r w:rsidRPr="006528D6">
        <w:rPr>
          <w:i/>
          <w:spacing w:val="-13"/>
          <w:sz w:val="17"/>
          <w:szCs w:val="17"/>
        </w:rPr>
        <w:t xml:space="preserve"> </w:t>
      </w:r>
      <w:r w:rsidRPr="006528D6">
        <w:rPr>
          <w:i/>
          <w:sz w:val="17"/>
          <w:szCs w:val="17"/>
        </w:rPr>
        <w:t>article</w:t>
      </w:r>
      <w:r w:rsidRPr="006528D6">
        <w:rPr>
          <w:i/>
          <w:spacing w:val="-13"/>
          <w:sz w:val="17"/>
          <w:szCs w:val="17"/>
        </w:rPr>
        <w:t xml:space="preserve"> </w:t>
      </w:r>
      <w:r w:rsidRPr="006528D6">
        <w:rPr>
          <w:i/>
          <w:sz w:val="17"/>
          <w:szCs w:val="17"/>
        </w:rPr>
        <w:t>28,</w:t>
      </w:r>
      <w:r w:rsidRPr="006528D6">
        <w:rPr>
          <w:i/>
          <w:spacing w:val="-13"/>
          <w:sz w:val="17"/>
          <w:szCs w:val="17"/>
        </w:rPr>
        <w:t xml:space="preserve"> </w:t>
      </w:r>
      <w:r w:rsidRPr="006528D6">
        <w:rPr>
          <w:i/>
          <w:sz w:val="17"/>
          <w:szCs w:val="17"/>
        </w:rPr>
        <w:t>or</w:t>
      </w:r>
      <w:r w:rsidRPr="006528D6">
        <w:rPr>
          <w:i/>
          <w:spacing w:val="-14"/>
          <w:sz w:val="17"/>
          <w:szCs w:val="17"/>
        </w:rPr>
        <w:t xml:space="preserve"> </w:t>
      </w:r>
      <w:r w:rsidRPr="006528D6">
        <w:rPr>
          <w:i/>
          <w:sz w:val="17"/>
          <w:szCs w:val="17"/>
        </w:rPr>
        <w:t>would it</w:t>
      </w:r>
      <w:r w:rsidRPr="006528D6">
        <w:rPr>
          <w:i/>
          <w:spacing w:val="-2"/>
          <w:sz w:val="17"/>
          <w:szCs w:val="17"/>
        </w:rPr>
        <w:t xml:space="preserve"> </w:t>
      </w:r>
      <w:r w:rsidRPr="006528D6">
        <w:rPr>
          <w:i/>
          <w:sz w:val="17"/>
          <w:szCs w:val="17"/>
        </w:rPr>
        <w:t>be</w:t>
      </w:r>
      <w:r w:rsidRPr="006528D6">
        <w:rPr>
          <w:i/>
          <w:spacing w:val="-4"/>
          <w:sz w:val="17"/>
          <w:szCs w:val="17"/>
        </w:rPr>
        <w:t xml:space="preserve"> </w:t>
      </w:r>
      <w:r w:rsidRPr="006528D6">
        <w:rPr>
          <w:i/>
          <w:sz w:val="17"/>
          <w:szCs w:val="17"/>
        </w:rPr>
        <w:t>better</w:t>
      </w:r>
      <w:r w:rsidRPr="006528D6">
        <w:rPr>
          <w:i/>
          <w:spacing w:val="-3"/>
          <w:sz w:val="17"/>
          <w:szCs w:val="17"/>
        </w:rPr>
        <w:t xml:space="preserve"> </w:t>
      </w:r>
      <w:r w:rsidRPr="006528D6">
        <w:rPr>
          <w:i/>
          <w:sz w:val="17"/>
          <w:szCs w:val="17"/>
        </w:rPr>
        <w:t>to</w:t>
      </w:r>
      <w:r w:rsidRPr="006528D6">
        <w:rPr>
          <w:i/>
          <w:spacing w:val="-4"/>
          <w:sz w:val="17"/>
          <w:szCs w:val="17"/>
        </w:rPr>
        <w:t xml:space="preserve"> </w:t>
      </w:r>
      <w:r w:rsidRPr="006528D6">
        <w:rPr>
          <w:i/>
          <w:sz w:val="17"/>
          <w:szCs w:val="17"/>
        </w:rPr>
        <w:t>integrate</w:t>
      </w:r>
      <w:r w:rsidRPr="006528D6">
        <w:rPr>
          <w:i/>
          <w:spacing w:val="-3"/>
          <w:sz w:val="17"/>
          <w:szCs w:val="17"/>
        </w:rPr>
        <w:t xml:space="preserve"> </w:t>
      </w:r>
      <w:r w:rsidRPr="006528D6">
        <w:rPr>
          <w:i/>
          <w:sz w:val="17"/>
          <w:szCs w:val="17"/>
        </w:rPr>
        <w:t>this</w:t>
      </w:r>
      <w:r w:rsidRPr="006528D6">
        <w:rPr>
          <w:i/>
          <w:spacing w:val="-2"/>
          <w:sz w:val="17"/>
          <w:szCs w:val="17"/>
        </w:rPr>
        <w:t xml:space="preserve"> </w:t>
      </w:r>
      <w:r w:rsidRPr="006528D6">
        <w:rPr>
          <w:i/>
          <w:sz w:val="17"/>
          <w:szCs w:val="17"/>
        </w:rPr>
        <w:t>section</w:t>
      </w:r>
      <w:r w:rsidRPr="006528D6">
        <w:rPr>
          <w:i/>
          <w:spacing w:val="-2"/>
          <w:sz w:val="17"/>
          <w:szCs w:val="17"/>
        </w:rPr>
        <w:t xml:space="preserve"> </w:t>
      </w:r>
      <w:r w:rsidRPr="006528D6">
        <w:rPr>
          <w:i/>
          <w:sz w:val="17"/>
          <w:szCs w:val="17"/>
        </w:rPr>
        <w:t>with</w:t>
      </w:r>
      <w:r w:rsidRPr="006528D6">
        <w:rPr>
          <w:i/>
          <w:spacing w:val="-4"/>
          <w:sz w:val="17"/>
          <w:szCs w:val="17"/>
        </w:rPr>
        <w:t xml:space="preserve"> </w:t>
      </w:r>
      <w:r w:rsidRPr="006528D6">
        <w:rPr>
          <w:i/>
          <w:sz w:val="17"/>
          <w:szCs w:val="17"/>
        </w:rPr>
        <w:t>the</w:t>
      </w:r>
      <w:r w:rsidRPr="006528D6">
        <w:rPr>
          <w:i/>
          <w:spacing w:val="-2"/>
          <w:sz w:val="17"/>
          <w:szCs w:val="17"/>
        </w:rPr>
        <w:t xml:space="preserve"> </w:t>
      </w:r>
      <w:r w:rsidRPr="006528D6">
        <w:rPr>
          <w:i/>
          <w:sz w:val="17"/>
          <w:szCs w:val="17"/>
        </w:rPr>
        <w:t>graphical</w:t>
      </w:r>
      <w:r w:rsidRPr="006528D6">
        <w:rPr>
          <w:i/>
          <w:spacing w:val="-2"/>
          <w:sz w:val="17"/>
          <w:szCs w:val="17"/>
        </w:rPr>
        <w:t xml:space="preserve"> </w:t>
      </w:r>
      <w:r w:rsidRPr="006528D6">
        <w:rPr>
          <w:i/>
          <w:sz w:val="17"/>
          <w:szCs w:val="17"/>
        </w:rPr>
        <w:t>and</w:t>
      </w:r>
      <w:r w:rsidRPr="006528D6">
        <w:rPr>
          <w:i/>
          <w:spacing w:val="-2"/>
          <w:sz w:val="17"/>
          <w:szCs w:val="17"/>
        </w:rPr>
        <w:t xml:space="preserve"> </w:t>
      </w:r>
      <w:r w:rsidRPr="006528D6">
        <w:rPr>
          <w:i/>
          <w:sz w:val="17"/>
          <w:szCs w:val="17"/>
        </w:rPr>
        <w:t>narrative</w:t>
      </w:r>
      <w:r w:rsidRPr="006528D6">
        <w:rPr>
          <w:i/>
          <w:spacing w:val="-4"/>
          <w:sz w:val="17"/>
          <w:szCs w:val="17"/>
        </w:rPr>
        <w:t xml:space="preserve"> </w:t>
      </w:r>
      <w:r w:rsidRPr="006528D6">
        <w:rPr>
          <w:i/>
          <w:sz w:val="17"/>
          <w:szCs w:val="17"/>
        </w:rPr>
        <w:t>explanation</w:t>
      </w:r>
      <w:r w:rsidRPr="006528D6">
        <w:rPr>
          <w:i/>
          <w:spacing w:val="-4"/>
          <w:sz w:val="17"/>
          <w:szCs w:val="17"/>
        </w:rPr>
        <w:t xml:space="preserve"> </w:t>
      </w:r>
      <w:r w:rsidRPr="006528D6">
        <w:rPr>
          <w:i/>
          <w:sz w:val="17"/>
          <w:szCs w:val="17"/>
        </w:rPr>
        <w:t>of</w:t>
      </w:r>
      <w:r w:rsidRPr="006528D6">
        <w:rPr>
          <w:i/>
          <w:spacing w:val="-2"/>
          <w:sz w:val="17"/>
          <w:szCs w:val="17"/>
        </w:rPr>
        <w:t xml:space="preserve"> </w:t>
      </w:r>
      <w:r w:rsidRPr="006528D6">
        <w:rPr>
          <w:i/>
          <w:sz w:val="17"/>
          <w:szCs w:val="17"/>
        </w:rPr>
        <w:t>the</w:t>
      </w:r>
      <w:r w:rsidRPr="006528D6">
        <w:rPr>
          <w:i/>
          <w:spacing w:val="-4"/>
          <w:sz w:val="17"/>
          <w:szCs w:val="17"/>
        </w:rPr>
        <w:t xml:space="preserve"> </w:t>
      </w:r>
      <w:r w:rsidRPr="006528D6">
        <w:rPr>
          <w:i/>
          <w:sz w:val="17"/>
          <w:szCs w:val="17"/>
        </w:rPr>
        <w:t>investment proportions under Article 15(2) and</w:t>
      </w:r>
      <w:r w:rsidRPr="006528D6">
        <w:rPr>
          <w:i/>
          <w:spacing w:val="-21"/>
          <w:sz w:val="17"/>
          <w:szCs w:val="17"/>
        </w:rPr>
        <w:t xml:space="preserve"> </w:t>
      </w:r>
      <w:r w:rsidRPr="006528D6">
        <w:rPr>
          <w:i/>
          <w:sz w:val="17"/>
          <w:szCs w:val="17"/>
        </w:rPr>
        <w:t>24(2)?</w:t>
      </w:r>
    </w:p>
    <w:p w14:paraId="51425F89" w14:textId="726D57A3" w:rsidR="00EF5508" w:rsidRPr="006528D6" w:rsidRDefault="00EF5508" w:rsidP="006528D6">
      <w:pPr>
        <w:rPr>
          <w:i/>
          <w:sz w:val="17"/>
          <w:szCs w:val="17"/>
        </w:rPr>
      </w:pPr>
    </w:p>
    <w:p w14:paraId="690E39B3" w14:textId="77777777" w:rsidR="00EF5508" w:rsidRPr="006528D6" w:rsidRDefault="00EF5508" w:rsidP="006528D6">
      <w:pPr>
        <w:rPr>
          <w:i/>
          <w:sz w:val="17"/>
          <w:szCs w:val="17"/>
        </w:rPr>
      </w:pPr>
    </w:p>
    <w:p w14:paraId="61C866E3" w14:textId="77777777" w:rsidR="00EF5508" w:rsidRPr="006528D6" w:rsidRDefault="00EF5508" w:rsidP="006528D6">
      <w:pPr>
        <w:ind w:right="231"/>
        <w:rPr>
          <w:i/>
          <w:sz w:val="17"/>
          <w:szCs w:val="17"/>
        </w:rPr>
      </w:pPr>
      <w:r w:rsidRPr="006528D6">
        <w:rPr>
          <w:i/>
          <w:sz w:val="17"/>
          <w:szCs w:val="17"/>
        </w:rPr>
        <w:t>Question</w:t>
      </w:r>
      <w:r w:rsidRPr="006528D6">
        <w:rPr>
          <w:i/>
          <w:spacing w:val="-14"/>
          <w:sz w:val="17"/>
          <w:szCs w:val="17"/>
        </w:rPr>
        <w:t xml:space="preserve"> </w:t>
      </w:r>
      <w:r w:rsidRPr="006528D6">
        <w:rPr>
          <w:i/>
          <w:sz w:val="17"/>
          <w:szCs w:val="17"/>
        </w:rPr>
        <w:t>27:</w:t>
      </w:r>
      <w:r w:rsidRPr="006528D6">
        <w:rPr>
          <w:i/>
          <w:spacing w:val="-15"/>
          <w:sz w:val="17"/>
          <w:szCs w:val="17"/>
        </w:rPr>
        <w:t xml:space="preserve"> </w:t>
      </w:r>
      <w:r w:rsidRPr="006528D6">
        <w:rPr>
          <w:i/>
          <w:sz w:val="17"/>
          <w:szCs w:val="17"/>
        </w:rPr>
        <w:t>Do</w:t>
      </w:r>
      <w:r w:rsidRPr="006528D6">
        <w:rPr>
          <w:i/>
          <w:spacing w:val="-14"/>
          <w:sz w:val="17"/>
          <w:szCs w:val="17"/>
        </w:rPr>
        <w:t xml:space="preserve"> </w:t>
      </w:r>
      <w:r w:rsidRPr="006528D6">
        <w:rPr>
          <w:i/>
          <w:sz w:val="17"/>
          <w:szCs w:val="17"/>
        </w:rPr>
        <w:t>you</w:t>
      </w:r>
      <w:r w:rsidRPr="006528D6">
        <w:rPr>
          <w:i/>
          <w:spacing w:val="-17"/>
          <w:sz w:val="17"/>
          <w:szCs w:val="17"/>
        </w:rPr>
        <w:t xml:space="preserve"> </w:t>
      </w:r>
      <w:r w:rsidRPr="006528D6">
        <w:rPr>
          <w:i/>
          <w:sz w:val="17"/>
          <w:szCs w:val="17"/>
        </w:rPr>
        <w:t>have</w:t>
      </w:r>
      <w:r w:rsidRPr="006528D6">
        <w:rPr>
          <w:i/>
          <w:spacing w:val="-14"/>
          <w:sz w:val="17"/>
          <w:szCs w:val="17"/>
        </w:rPr>
        <w:t xml:space="preserve"> </w:t>
      </w:r>
      <w:r w:rsidRPr="006528D6">
        <w:rPr>
          <w:i/>
          <w:sz w:val="17"/>
          <w:szCs w:val="17"/>
        </w:rPr>
        <w:t>any</w:t>
      </w:r>
      <w:r w:rsidRPr="006528D6">
        <w:rPr>
          <w:i/>
          <w:spacing w:val="-14"/>
          <w:sz w:val="17"/>
          <w:szCs w:val="17"/>
        </w:rPr>
        <w:t xml:space="preserve"> </w:t>
      </w:r>
      <w:r w:rsidRPr="006528D6">
        <w:rPr>
          <w:i/>
          <w:sz w:val="17"/>
          <w:szCs w:val="17"/>
        </w:rPr>
        <w:t>views</w:t>
      </w:r>
      <w:r w:rsidRPr="006528D6">
        <w:rPr>
          <w:i/>
          <w:spacing w:val="-16"/>
          <w:sz w:val="17"/>
          <w:szCs w:val="17"/>
        </w:rPr>
        <w:t xml:space="preserve"> </w:t>
      </w:r>
      <w:r w:rsidRPr="006528D6">
        <w:rPr>
          <w:i/>
          <w:sz w:val="17"/>
          <w:szCs w:val="17"/>
        </w:rPr>
        <w:t>regarding</w:t>
      </w:r>
      <w:r w:rsidRPr="006528D6">
        <w:rPr>
          <w:i/>
          <w:spacing w:val="-14"/>
          <w:sz w:val="17"/>
          <w:szCs w:val="17"/>
        </w:rPr>
        <w:t xml:space="preserve"> </w:t>
      </w:r>
      <w:r w:rsidRPr="006528D6">
        <w:rPr>
          <w:i/>
          <w:sz w:val="17"/>
          <w:szCs w:val="17"/>
        </w:rPr>
        <w:t>the</w:t>
      </w:r>
      <w:r w:rsidRPr="006528D6">
        <w:rPr>
          <w:i/>
          <w:spacing w:val="-14"/>
          <w:sz w:val="17"/>
          <w:szCs w:val="17"/>
        </w:rPr>
        <w:t xml:space="preserve"> </w:t>
      </w:r>
      <w:r w:rsidRPr="006528D6">
        <w:rPr>
          <w:i/>
          <w:sz w:val="17"/>
          <w:szCs w:val="17"/>
        </w:rPr>
        <w:t>preliminary</w:t>
      </w:r>
      <w:r w:rsidRPr="006528D6">
        <w:rPr>
          <w:i/>
          <w:spacing w:val="-14"/>
          <w:sz w:val="17"/>
          <w:szCs w:val="17"/>
        </w:rPr>
        <w:t xml:space="preserve"> </w:t>
      </w:r>
      <w:r w:rsidRPr="006528D6">
        <w:rPr>
          <w:i/>
          <w:sz w:val="17"/>
          <w:szCs w:val="17"/>
        </w:rPr>
        <w:t>impact</w:t>
      </w:r>
      <w:r w:rsidRPr="006528D6">
        <w:rPr>
          <w:i/>
          <w:spacing w:val="-16"/>
          <w:sz w:val="17"/>
          <w:szCs w:val="17"/>
        </w:rPr>
        <w:t xml:space="preserve"> </w:t>
      </w:r>
      <w:r w:rsidRPr="006528D6">
        <w:rPr>
          <w:i/>
          <w:sz w:val="17"/>
          <w:szCs w:val="17"/>
        </w:rPr>
        <w:t>assessments?</w:t>
      </w:r>
      <w:r w:rsidRPr="006528D6">
        <w:rPr>
          <w:i/>
          <w:spacing w:val="-13"/>
          <w:sz w:val="17"/>
          <w:szCs w:val="17"/>
        </w:rPr>
        <w:t xml:space="preserve"> </w:t>
      </w:r>
      <w:r w:rsidRPr="006528D6">
        <w:rPr>
          <w:i/>
          <w:sz w:val="17"/>
          <w:szCs w:val="17"/>
        </w:rPr>
        <w:t>Can</w:t>
      </w:r>
      <w:r w:rsidRPr="006528D6">
        <w:rPr>
          <w:i/>
          <w:spacing w:val="-14"/>
          <w:sz w:val="17"/>
          <w:szCs w:val="17"/>
        </w:rPr>
        <w:t xml:space="preserve"> </w:t>
      </w:r>
      <w:r w:rsidRPr="006528D6">
        <w:rPr>
          <w:i/>
          <w:sz w:val="17"/>
          <w:szCs w:val="17"/>
        </w:rPr>
        <w:t>you</w:t>
      </w:r>
      <w:r w:rsidRPr="006528D6">
        <w:rPr>
          <w:i/>
          <w:spacing w:val="-14"/>
          <w:sz w:val="17"/>
          <w:szCs w:val="17"/>
        </w:rPr>
        <w:t xml:space="preserve"> </w:t>
      </w:r>
      <w:r w:rsidRPr="006528D6">
        <w:rPr>
          <w:i/>
          <w:sz w:val="17"/>
          <w:szCs w:val="17"/>
        </w:rPr>
        <w:t>provide more granular examples of costs associated with the policy</w:t>
      </w:r>
      <w:r w:rsidRPr="006528D6">
        <w:rPr>
          <w:i/>
          <w:spacing w:val="-28"/>
          <w:sz w:val="17"/>
          <w:szCs w:val="17"/>
        </w:rPr>
        <w:t xml:space="preserve"> </w:t>
      </w:r>
      <w:r w:rsidRPr="006528D6">
        <w:rPr>
          <w:i/>
          <w:sz w:val="17"/>
          <w:szCs w:val="17"/>
        </w:rPr>
        <w:t>options?</w:t>
      </w:r>
    </w:p>
    <w:p w14:paraId="601FEAA7" w14:textId="0021D84D" w:rsidR="00EF5508" w:rsidRPr="006528D6" w:rsidRDefault="00EF5508" w:rsidP="006528D6">
      <w:pPr>
        <w:shd w:val="clear" w:color="auto" w:fill="FFFFFF"/>
        <w:rPr>
          <w:rFonts w:cs="Arial"/>
          <w:b/>
          <w:bCs/>
          <w:i/>
          <w:iCs/>
          <w:color w:val="333333"/>
          <w:sz w:val="17"/>
          <w:szCs w:val="17"/>
          <w:u w:val="single"/>
        </w:rPr>
      </w:pPr>
    </w:p>
    <w:p w14:paraId="2D73BFA4" w14:textId="1F15D200" w:rsidR="00B125AD" w:rsidRPr="006528D6" w:rsidRDefault="00B125AD" w:rsidP="00BF754C">
      <w:pPr>
        <w:shd w:val="clear" w:color="auto" w:fill="FFFFFF"/>
        <w:ind w:right="175"/>
        <w:rPr>
          <w:rFonts w:cs="Arial"/>
          <w:color w:val="365F91" w:themeColor="accent1" w:themeShade="BF"/>
          <w:sz w:val="17"/>
          <w:szCs w:val="17"/>
        </w:rPr>
      </w:pPr>
      <w:r w:rsidRPr="006528D6">
        <w:rPr>
          <w:rFonts w:cs="Arial"/>
          <w:color w:val="365F91" w:themeColor="accent1" w:themeShade="BF"/>
          <w:sz w:val="17"/>
          <w:szCs w:val="17"/>
        </w:rPr>
        <w:t xml:space="preserve">The impact </w:t>
      </w:r>
      <w:r w:rsidR="00A84DEB" w:rsidRPr="006528D6">
        <w:rPr>
          <w:rFonts w:cs="Arial"/>
          <w:color w:val="365F91" w:themeColor="accent1" w:themeShade="BF"/>
          <w:sz w:val="17"/>
          <w:szCs w:val="17"/>
        </w:rPr>
        <w:t>assessments</w:t>
      </w:r>
      <w:r w:rsidRPr="006528D6">
        <w:rPr>
          <w:rFonts w:cs="Arial"/>
          <w:color w:val="365F91" w:themeColor="accent1" w:themeShade="BF"/>
          <w:sz w:val="17"/>
          <w:szCs w:val="17"/>
        </w:rPr>
        <w:t xml:space="preserve"> produced by the ESAs do not give due consideration to the</w:t>
      </w:r>
      <w:r w:rsidR="00A84DEB" w:rsidRPr="006528D6">
        <w:rPr>
          <w:rFonts w:cs="Arial"/>
          <w:color w:val="365F91" w:themeColor="accent1" w:themeShade="BF"/>
          <w:sz w:val="17"/>
          <w:szCs w:val="17"/>
        </w:rPr>
        <w:t xml:space="preserve"> range of different financial market participants and financial advisers to which these requirements will apply. In particular, the significant compliance cost</w:t>
      </w:r>
      <w:r w:rsidR="003F231D" w:rsidRPr="006528D6">
        <w:rPr>
          <w:rFonts w:cs="Arial"/>
          <w:color w:val="365F91" w:themeColor="accent1" w:themeShade="BF"/>
          <w:sz w:val="17"/>
          <w:szCs w:val="17"/>
        </w:rPr>
        <w:t xml:space="preserve">s that complying with Article 12 and 13 </w:t>
      </w:r>
      <w:r w:rsidR="00A84DEB" w:rsidRPr="006528D6">
        <w:rPr>
          <w:rFonts w:cs="Arial"/>
          <w:color w:val="365F91" w:themeColor="accent1" w:themeShade="BF"/>
          <w:sz w:val="17"/>
          <w:szCs w:val="17"/>
        </w:rPr>
        <w:t xml:space="preserve">will entail for insurers distributors are not considered. </w:t>
      </w:r>
    </w:p>
    <w:p w14:paraId="23FF72EF" w14:textId="42E54000" w:rsidR="00A84DEB" w:rsidRPr="006528D6" w:rsidRDefault="00A84DEB" w:rsidP="00BF754C">
      <w:pPr>
        <w:shd w:val="clear" w:color="auto" w:fill="FFFFFF"/>
        <w:ind w:right="175"/>
        <w:rPr>
          <w:rFonts w:cs="Arial"/>
          <w:color w:val="365F91" w:themeColor="accent1" w:themeShade="BF"/>
          <w:sz w:val="17"/>
          <w:szCs w:val="17"/>
        </w:rPr>
      </w:pPr>
    </w:p>
    <w:p w14:paraId="25F83323" w14:textId="77777777" w:rsidR="00B76E6D" w:rsidRPr="006528D6" w:rsidRDefault="00A84DEB" w:rsidP="00BF754C">
      <w:pPr>
        <w:shd w:val="clear" w:color="auto" w:fill="FFFFFF"/>
        <w:ind w:right="175"/>
        <w:rPr>
          <w:rFonts w:cs="Arial"/>
          <w:color w:val="365F91" w:themeColor="accent1" w:themeShade="BF"/>
          <w:sz w:val="17"/>
          <w:szCs w:val="17"/>
        </w:rPr>
      </w:pPr>
      <w:r w:rsidRPr="006528D6">
        <w:rPr>
          <w:rFonts w:cs="Arial"/>
          <w:color w:val="365F91" w:themeColor="accent1" w:themeShade="BF"/>
          <w:sz w:val="17"/>
          <w:szCs w:val="17"/>
        </w:rPr>
        <w:t>Insurance distributors are often small enterprise consisting of a small number of employees. Under existing legislation there are no requirements to produce, analyse or disclosure information of this nature and doing so solely for the purpose of SFDR compliance will entail significant costs and efforts that go well beyond the level of expertise of some smaller enterprises. In addition, the cost benefit analysis envisages small IT costs for making changes to facilitate website disclosures. For small intermediaries this will not be the case.</w:t>
      </w:r>
      <w:r w:rsidR="00E67000" w:rsidRPr="006528D6">
        <w:rPr>
          <w:rFonts w:cs="Arial"/>
          <w:color w:val="365F91" w:themeColor="accent1" w:themeShade="BF"/>
          <w:sz w:val="17"/>
          <w:szCs w:val="17"/>
        </w:rPr>
        <w:t xml:space="preserve"> </w:t>
      </w:r>
    </w:p>
    <w:p w14:paraId="05A42008" w14:textId="77777777" w:rsidR="00B76E6D" w:rsidRPr="006528D6" w:rsidRDefault="00B76E6D" w:rsidP="00BF754C">
      <w:pPr>
        <w:shd w:val="clear" w:color="auto" w:fill="FFFFFF"/>
        <w:ind w:right="175"/>
        <w:rPr>
          <w:rFonts w:cs="Arial"/>
          <w:color w:val="365F91" w:themeColor="accent1" w:themeShade="BF"/>
          <w:sz w:val="17"/>
          <w:szCs w:val="17"/>
        </w:rPr>
      </w:pPr>
    </w:p>
    <w:p w14:paraId="046DA656" w14:textId="616BF508" w:rsidR="00393CC9" w:rsidRPr="006528D6" w:rsidRDefault="00E67000" w:rsidP="00BF754C">
      <w:pPr>
        <w:shd w:val="clear" w:color="auto" w:fill="FFFFFF"/>
        <w:ind w:right="175"/>
        <w:rPr>
          <w:rFonts w:cs="Arial"/>
          <w:color w:val="365F91" w:themeColor="accent1" w:themeShade="BF"/>
          <w:sz w:val="17"/>
          <w:szCs w:val="17"/>
        </w:rPr>
      </w:pPr>
      <w:r w:rsidRPr="006528D6">
        <w:rPr>
          <w:rFonts w:cs="Arial"/>
          <w:color w:val="365F91" w:themeColor="accent1" w:themeShade="BF"/>
          <w:sz w:val="17"/>
          <w:szCs w:val="17"/>
        </w:rPr>
        <w:t xml:space="preserve">Intermediaries do not disclose this kind of information on a website as standard. Some will not have a website, or will not have a website sophisticated enough to easily accommodate these disclosures. The set-up costs for these companies will be significant. </w:t>
      </w:r>
      <w:r w:rsidR="007E5AA9" w:rsidRPr="006528D6">
        <w:rPr>
          <w:rFonts w:cs="Arial"/>
          <w:color w:val="365F91" w:themeColor="accent1" w:themeShade="BF"/>
          <w:sz w:val="17"/>
          <w:szCs w:val="17"/>
        </w:rPr>
        <w:t>Therefore, it should b</w:t>
      </w:r>
      <w:r w:rsidR="00F31CAE" w:rsidRPr="006528D6">
        <w:rPr>
          <w:rFonts w:cs="Arial"/>
          <w:color w:val="365F91" w:themeColor="accent1" w:themeShade="BF"/>
          <w:sz w:val="17"/>
          <w:szCs w:val="17"/>
        </w:rPr>
        <w:t>e</w:t>
      </w:r>
      <w:r w:rsidR="007E5AA9" w:rsidRPr="006528D6">
        <w:rPr>
          <w:rFonts w:cs="Arial"/>
          <w:color w:val="365F91" w:themeColor="accent1" w:themeShade="BF"/>
          <w:sz w:val="17"/>
          <w:szCs w:val="17"/>
        </w:rPr>
        <w:t xml:space="preserve"> clarified that this article is not a</w:t>
      </w:r>
      <w:r w:rsidR="00393CC9" w:rsidRPr="006528D6">
        <w:rPr>
          <w:rFonts w:cs="Arial"/>
          <w:color w:val="365F91" w:themeColor="accent1" w:themeShade="BF"/>
          <w:sz w:val="17"/>
          <w:szCs w:val="17"/>
        </w:rPr>
        <w:t xml:space="preserve"> de facto requirement for insurance distributors to maintain a website simply in order to provide this information where such a requirement does not exist in any other applicable EU legislation. </w:t>
      </w:r>
    </w:p>
    <w:p w14:paraId="7530C2D5" w14:textId="77777777" w:rsidR="00A84DEB" w:rsidRPr="006528D6" w:rsidRDefault="00A84DEB" w:rsidP="00BF754C">
      <w:pPr>
        <w:shd w:val="clear" w:color="auto" w:fill="FFFFFF"/>
        <w:ind w:right="175"/>
        <w:rPr>
          <w:rFonts w:cs="Arial"/>
          <w:color w:val="365F91" w:themeColor="accent1" w:themeShade="BF"/>
          <w:sz w:val="17"/>
          <w:szCs w:val="17"/>
        </w:rPr>
      </w:pPr>
    </w:p>
    <w:p w14:paraId="4D14C22F" w14:textId="10338B76" w:rsidR="00A84DEB" w:rsidRPr="006528D6" w:rsidRDefault="00A84DEB" w:rsidP="00BF754C">
      <w:pPr>
        <w:shd w:val="clear" w:color="auto" w:fill="FFFFFF"/>
        <w:ind w:right="175"/>
        <w:rPr>
          <w:rFonts w:cs="Arial"/>
          <w:color w:val="365F91" w:themeColor="accent1" w:themeShade="BF"/>
          <w:sz w:val="17"/>
          <w:szCs w:val="17"/>
        </w:rPr>
      </w:pPr>
      <w:r w:rsidRPr="006528D6">
        <w:rPr>
          <w:rFonts w:cs="Arial"/>
          <w:color w:val="365F91" w:themeColor="accent1" w:themeShade="BF"/>
          <w:sz w:val="17"/>
          <w:szCs w:val="17"/>
        </w:rPr>
        <w:t>We also note that many of the costs related to compliance with SFDR are fixed and unrelated to the size of the financial market participant or adviser, this necessarily means the relative compliance cost for smaller intermediaries will be higher.</w:t>
      </w:r>
    </w:p>
    <w:p w14:paraId="437A00DA" w14:textId="77777777" w:rsidR="00EF5508" w:rsidRPr="006528D6" w:rsidRDefault="00EF5508" w:rsidP="00EF5508">
      <w:pPr>
        <w:shd w:val="clear" w:color="auto" w:fill="FFFFFF"/>
        <w:rPr>
          <w:rFonts w:cs="Arial"/>
          <w:b/>
          <w:bCs/>
          <w:i/>
          <w:iCs/>
          <w:color w:val="365F91" w:themeColor="accent1" w:themeShade="BF"/>
          <w:sz w:val="17"/>
          <w:szCs w:val="17"/>
          <w:u w:val="single"/>
        </w:rPr>
      </w:pPr>
    </w:p>
    <w:p w14:paraId="3A7F9286" w14:textId="77777777" w:rsidR="00EF5508" w:rsidRPr="006528D6" w:rsidRDefault="00EF5508" w:rsidP="00EF5508">
      <w:pPr>
        <w:shd w:val="clear" w:color="auto" w:fill="FFFFFF"/>
        <w:rPr>
          <w:rFonts w:cs="Arial"/>
          <w:b/>
          <w:bCs/>
          <w:i/>
          <w:iCs/>
          <w:color w:val="333333"/>
          <w:sz w:val="17"/>
          <w:szCs w:val="17"/>
          <w:u w:val="single"/>
        </w:rPr>
      </w:pPr>
    </w:p>
    <w:p w14:paraId="4B24E4AA" w14:textId="77777777" w:rsidR="00EF5508" w:rsidRPr="006528D6" w:rsidRDefault="00EF5508" w:rsidP="00EF5508">
      <w:pPr>
        <w:shd w:val="clear" w:color="auto" w:fill="FFFFFF"/>
        <w:rPr>
          <w:rFonts w:cs="Arial"/>
          <w:b/>
          <w:bCs/>
          <w:i/>
          <w:iCs/>
          <w:color w:val="333333"/>
          <w:sz w:val="17"/>
          <w:szCs w:val="17"/>
          <w:u w:val="single"/>
        </w:rPr>
      </w:pPr>
    </w:p>
    <w:bookmarkEnd w:id="0"/>
    <w:p w14:paraId="34DC71E1" w14:textId="77777777" w:rsidR="00C97E2B" w:rsidRPr="006528D6" w:rsidRDefault="00C97E2B" w:rsidP="00513A2B">
      <w:pPr>
        <w:autoSpaceDE w:val="0"/>
        <w:autoSpaceDN w:val="0"/>
        <w:adjustRightInd w:val="0"/>
        <w:rPr>
          <w:b/>
          <w:color w:val="002957"/>
          <w:sz w:val="17"/>
          <w:szCs w:val="17"/>
        </w:rPr>
      </w:pPr>
    </w:p>
    <w:p w14:paraId="1BB7E820" w14:textId="77777777" w:rsidR="00005D51" w:rsidRPr="006528D6" w:rsidRDefault="00005D51" w:rsidP="005A4DEB">
      <w:pPr>
        <w:rPr>
          <w:b/>
          <w:color w:val="1F497D" w:themeColor="text2"/>
          <w:sz w:val="17"/>
          <w:szCs w:val="17"/>
        </w:rPr>
      </w:pPr>
    </w:p>
    <w:sectPr w:rsidR="00005D51" w:rsidRPr="006528D6" w:rsidSect="002A0464">
      <w:headerReference w:type="first" r:id="rId19"/>
      <w:pgSz w:w="11907" w:h="16839" w:code="9"/>
      <w:pgMar w:top="2336" w:right="902" w:bottom="1077" w:left="1474" w:header="709" w:footer="2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Ecofin" w:date="2020-05-08T12:50:00Z" w:initials="Ecofin">
    <w:p w14:paraId="1FAA1A97" w14:textId="77777777" w:rsidR="00277B53" w:rsidRDefault="00277B53" w:rsidP="00DD14F3">
      <w:pPr>
        <w:pStyle w:val="Textkomentra"/>
      </w:pPr>
      <w:r>
        <w:rPr>
          <w:rStyle w:val="Odkaznakomentr"/>
        </w:rPr>
        <w:annotationRef/>
      </w:r>
      <w:r>
        <w:t>The secretariat notes that it is unlikely that the Table 1, 2 and 3 indicators will become fully voluntary at this stage. The secretariat proposes possible suggestions to decrease the administrative burden of disclosing. Members are invited to assess the proposals and suggest plausible alternatives.</w:t>
      </w:r>
    </w:p>
  </w:comment>
  <w:comment w:id="3" w:author="COB" w:date="2020-05-07T08:58:00Z" w:initials="COB">
    <w:p w14:paraId="21B12B2E" w14:textId="23638F2A" w:rsidR="00277B53" w:rsidRDefault="00277B53">
      <w:pPr>
        <w:pStyle w:val="Textkomentra"/>
      </w:pPr>
      <w:r>
        <w:rPr>
          <w:rStyle w:val="Odkaznakomentr"/>
        </w:rPr>
        <w:annotationRef/>
      </w:r>
      <w:r>
        <w:t xml:space="preserve">Members are invited to provide further feedback on examples of national rules under IDD that would make the use of a mandatory template difficult. </w:t>
      </w:r>
    </w:p>
  </w:comment>
  <w:comment w:id="4" w:author="COB" w:date="2020-05-08T18:06:00Z" w:initials="COB">
    <w:p w14:paraId="3694E378" w14:textId="3BAF8FB9" w:rsidR="00277B53" w:rsidRDefault="00277B53" w:rsidP="00D358C6">
      <w:pPr>
        <w:pStyle w:val="Textkomentra"/>
      </w:pPr>
      <w:r>
        <w:rPr>
          <w:rStyle w:val="Odkaznakomentr"/>
        </w:rPr>
        <w:annotationRef/>
      </w:r>
      <w:r>
        <w:rPr>
          <w:rStyle w:val="Odkaznakomentr"/>
        </w:rPr>
        <w:t>Members are invited to provide evidence supporting this.</w:t>
      </w:r>
    </w:p>
  </w:comment>
  <w:comment w:id="5" w:author="COB" w:date="2020-05-07T17:37:00Z" w:initials="COB">
    <w:p w14:paraId="21DF60AE" w14:textId="67A96152" w:rsidR="00277B53" w:rsidRDefault="00277B53">
      <w:pPr>
        <w:pStyle w:val="Textkomentra"/>
      </w:pPr>
      <w:r>
        <w:rPr>
          <w:rStyle w:val="Odkaznakomentr"/>
        </w:rPr>
        <w:annotationRef/>
      </w:r>
      <w:r w:rsidRPr="004D53D0">
        <w:t>Members are advised to provide feedback regarding fossil-fuel exposures.</w:t>
      </w:r>
    </w:p>
  </w:comment>
  <w:comment w:id="6" w:author="COB" w:date="2020-05-08T18:21:00Z" w:initials="COB">
    <w:p w14:paraId="79F38459" w14:textId="6C3F8B79" w:rsidR="00277B53" w:rsidRDefault="00277B53">
      <w:pPr>
        <w:pStyle w:val="Textkomentra"/>
      </w:pPr>
      <w:r>
        <w:rPr>
          <w:rStyle w:val="Odkaznakomentr"/>
        </w:rPr>
        <w:annotationRef/>
      </w:r>
      <w:r w:rsidRPr="004331C0">
        <w:t>Members are advised to provide feedback regarding governance.</w:t>
      </w:r>
    </w:p>
  </w:comment>
  <w:comment w:id="7" w:author="COB" w:date="2020-05-07T19:40:00Z" w:initials="COB">
    <w:p w14:paraId="342303C9" w14:textId="77777777" w:rsidR="00277B53" w:rsidRDefault="00277B53">
      <w:pPr>
        <w:pStyle w:val="Textkomentra"/>
      </w:pPr>
      <w:r>
        <w:rPr>
          <w:rStyle w:val="Odkaznakomentr"/>
        </w:rPr>
        <w:annotationRef/>
      </w:r>
      <w:r w:rsidRPr="00D07132">
        <w:t>Members are invited to confirm that for companies it would be easier, cheaper (and greener) to publish everything on their website.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AA1A97" w15:done="0"/>
  <w15:commentEx w15:paraId="21B12B2E" w15:done="0"/>
  <w15:commentEx w15:paraId="3694E378" w15:done="0"/>
  <w15:commentEx w15:paraId="21DF60AE" w15:done="0"/>
  <w15:commentEx w15:paraId="79F38459" w15:done="0"/>
  <w15:commentEx w15:paraId="342303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AA1A97" w16cid:durableId="225FD41D"/>
  <w16cid:commentId w16cid:paraId="21B12B2E" w16cid:durableId="225E4C3F"/>
  <w16cid:commentId w16cid:paraId="3694E378" w16cid:durableId="22601E34"/>
  <w16cid:commentId w16cid:paraId="21DF60AE" w16cid:durableId="225EC5C0"/>
  <w16cid:commentId w16cid:paraId="79F38459" w16cid:durableId="2260219A"/>
  <w16cid:commentId w16cid:paraId="342303C9" w16cid:durableId="226039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BFF9D" w14:textId="77777777" w:rsidR="00277B53" w:rsidRDefault="00277B53">
      <w:pPr>
        <w:spacing w:line="240" w:lineRule="auto"/>
      </w:pPr>
      <w:r>
        <w:separator/>
      </w:r>
    </w:p>
  </w:endnote>
  <w:endnote w:type="continuationSeparator" w:id="0">
    <w:p w14:paraId="14A2F345" w14:textId="77777777" w:rsidR="00277B53" w:rsidRDefault="00277B53">
      <w:pPr>
        <w:spacing w:line="240" w:lineRule="auto"/>
      </w:pPr>
      <w:r>
        <w:continuationSeparator/>
      </w:r>
    </w:p>
  </w:endnote>
  <w:endnote w:type="continuationNotice" w:id="1">
    <w:p w14:paraId="2BF53770" w14:textId="77777777" w:rsidR="00277B53" w:rsidRDefault="00277B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Leelawadee UI Semilight"/>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EB5E4" w14:textId="77777777" w:rsidR="00277B53" w:rsidRDefault="00277B53" w:rsidP="009D70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0A4BF12" w14:textId="77777777" w:rsidR="00277B53" w:rsidRDefault="00277B53" w:rsidP="009D70D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398C2" w14:textId="77777777" w:rsidR="00277B53" w:rsidRPr="00723412" w:rsidRDefault="00277B53" w:rsidP="009D70D2">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Pr>
        <w:rStyle w:val="slostrany"/>
        <w:noProof/>
        <w:color w:val="002957"/>
        <w:szCs w:val="17"/>
      </w:rPr>
      <w:t>5</w:t>
    </w:r>
    <w:r>
      <w:rPr>
        <w:rStyle w:val="slostrany"/>
        <w:color w:val="002957"/>
        <w:szCs w:val="17"/>
      </w:rPr>
      <w:fldChar w:fldCharType="end"/>
    </w:r>
  </w:p>
  <w:p w14:paraId="41881E19" w14:textId="77777777" w:rsidR="00277B53" w:rsidRPr="0085650F" w:rsidRDefault="00277B53" w:rsidP="009D70D2">
    <w:pPr>
      <w:tabs>
        <w:tab w:val="right" w:pos="10260"/>
      </w:tabs>
      <w:autoSpaceDE w:val="0"/>
      <w:autoSpaceDN w:val="0"/>
      <w:adjustRightInd w:val="0"/>
      <w:ind w:right="360"/>
      <w:textAlignment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D1069" w14:textId="77777777" w:rsidR="00277B53" w:rsidRPr="006A3720" w:rsidRDefault="00277B53" w:rsidP="009D70D2">
    <w:pPr>
      <w:framePr w:w="3958" w:h="1015" w:hRule="exact" w:hSpace="181" w:wrap="around" w:vAnchor="page" w:hAnchor="page" w:x="7259" w:y="15423" w:anchorLock="1"/>
      <w:rPr>
        <w:rFonts w:cs="Tahoma"/>
        <w:color w:val="002957"/>
        <w:sz w:val="14"/>
        <w:szCs w:val="14"/>
      </w:rPr>
    </w:pPr>
    <w:r w:rsidRPr="006A3720">
      <w:rPr>
        <w:rFonts w:cs="Tahoma"/>
        <w:color w:val="002957"/>
        <w:sz w:val="14"/>
        <w:szCs w:val="14"/>
      </w:rPr>
      <w:t xml:space="preserve">© </w:t>
    </w:r>
    <w:r w:rsidRPr="006A3720">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2E4B3CA0" w14:textId="77777777" w:rsidR="00277B53" w:rsidRDefault="00277B53" w:rsidP="00BD3110">
    <w:pPr>
      <w:pStyle w:val="CEAFooterauthorinfo"/>
      <w:ind w:left="567"/>
      <w:jc w:val="left"/>
      <w:rPr>
        <w:b w:val="0"/>
        <w:color w:val="002957"/>
        <w:sz w:val="14"/>
        <w:szCs w:val="14"/>
        <w:lang w:val="pt-PT"/>
      </w:rPr>
    </w:pPr>
    <w:r w:rsidRPr="00A4463C">
      <w:rPr>
        <w:b w:val="0"/>
        <w:color w:val="002957"/>
        <w:sz w:val="14"/>
        <w:szCs w:val="14"/>
        <w:lang w:val="fr-BE"/>
      </w:rPr>
      <w:t>Insurance Europe aisbl</w:t>
    </w:r>
  </w:p>
  <w:p w14:paraId="17618D9C" w14:textId="77777777" w:rsidR="00277B53" w:rsidRPr="00A4463C" w:rsidRDefault="00277B53" w:rsidP="00BD3110">
    <w:pPr>
      <w:pStyle w:val="CEAFooterauthorinfo"/>
      <w:ind w:left="567"/>
      <w:jc w:val="left"/>
      <w:rPr>
        <w:b w:val="0"/>
        <w:color w:val="002957"/>
        <w:sz w:val="14"/>
        <w:szCs w:val="14"/>
        <w:lang w:val="fr-BE"/>
      </w:rPr>
    </w:pPr>
    <w:r w:rsidRPr="00A4463C">
      <w:rPr>
        <w:b w:val="0"/>
        <w:color w:val="002957"/>
        <w:sz w:val="14"/>
        <w:szCs w:val="14"/>
        <w:lang w:val="fr-BE"/>
      </w:rPr>
      <w:t xml:space="preserve">Rue Montoyer 51, B-1000 Brussels </w:t>
    </w:r>
  </w:p>
  <w:p w14:paraId="14825817" w14:textId="77777777" w:rsidR="00277B53" w:rsidRDefault="00277B53" w:rsidP="009D70D2">
    <w:pPr>
      <w:pStyle w:val="CEAFooterauthorinfo"/>
      <w:ind w:left="567"/>
      <w:jc w:val="left"/>
      <w:rPr>
        <w:b w:val="0"/>
        <w:color w:val="002957"/>
        <w:sz w:val="14"/>
        <w:szCs w:val="14"/>
        <w:lang w:val="pt-PT"/>
      </w:rPr>
    </w:pPr>
    <w:r w:rsidRPr="0085650F">
      <w:rPr>
        <w:b w:val="0"/>
        <w:color w:val="002957"/>
        <w:sz w:val="14"/>
        <w:szCs w:val="14"/>
        <w:lang w:val="pt-PT"/>
      </w:rPr>
      <w:t>Tel:</w:t>
    </w:r>
    <w:r>
      <w:rPr>
        <w:b w:val="0"/>
        <w:color w:val="002957"/>
        <w:sz w:val="14"/>
        <w:szCs w:val="14"/>
        <w:lang w:val="pt-PT"/>
      </w:rPr>
      <w:t xml:space="preserve"> +32 2 894 30 00 • Fax: +32 2 894 30 01</w:t>
    </w:r>
  </w:p>
  <w:p w14:paraId="677A2998" w14:textId="77777777" w:rsidR="00277B53" w:rsidRDefault="00277B53" w:rsidP="009D70D2">
    <w:pPr>
      <w:pStyle w:val="CEAFooterauthorinfo"/>
      <w:ind w:left="567"/>
      <w:jc w:val="left"/>
      <w:rPr>
        <w:b w:val="0"/>
        <w:color w:val="82C55B"/>
        <w:sz w:val="14"/>
        <w:szCs w:val="14"/>
        <w:lang w:val="pt-PT"/>
      </w:rPr>
    </w:pPr>
    <w:r>
      <w:rPr>
        <w:b w:val="0"/>
        <w:color w:val="002957"/>
        <w:sz w:val="14"/>
        <w:szCs w:val="14"/>
        <w:lang w:val="pt-PT"/>
      </w:rPr>
      <w:t>E-mail : ecofin@insuranceeurope.eu</w:t>
    </w:r>
  </w:p>
  <w:p w14:paraId="549A91BF" w14:textId="77777777" w:rsidR="00277B53" w:rsidRPr="0085650F" w:rsidRDefault="00277B53" w:rsidP="00A4463C">
    <w:pPr>
      <w:pStyle w:val="CEAFooterauthorinfo"/>
      <w:jc w:val="left"/>
      <w:rPr>
        <w:b w:val="0"/>
        <w:color w:val="82C55B"/>
        <w:sz w:val="14"/>
        <w:szCs w:val="14"/>
        <w:lang w:val="pt-PT"/>
      </w:rPr>
    </w:pPr>
    <w:r>
      <w:rPr>
        <w:b w:val="0"/>
        <w:color w:val="82C55B"/>
        <w:sz w:val="14"/>
        <w:szCs w:val="14"/>
        <w:lang w:val="pt-PT"/>
      </w:rPr>
      <w:t xml:space="preserve">           </w:t>
    </w:r>
    <w:r w:rsidRPr="00A4463C">
      <w:rPr>
        <w:b w:val="0"/>
        <w:color w:val="82C55B"/>
        <w:sz w:val="14"/>
        <w:szCs w:val="14"/>
        <w:lang w:val="pt-PT"/>
      </w:rPr>
      <w:t>www.insuranceeurope.eu</w:t>
    </w:r>
  </w:p>
  <w:p w14:paraId="48D62AF2" w14:textId="77777777" w:rsidR="00277B53" w:rsidRPr="00A4463C" w:rsidRDefault="00277B53">
    <w:pPr>
      <w:pStyle w:val="Pta"/>
      <w:rPr>
        <w:color w:val="002957"/>
        <w:sz w:val="14"/>
        <w:szCs w:val="14"/>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366B0" w14:textId="77777777" w:rsidR="00277B53" w:rsidRDefault="00277B53">
      <w:pPr>
        <w:spacing w:line="240" w:lineRule="auto"/>
      </w:pPr>
      <w:r>
        <w:separator/>
      </w:r>
    </w:p>
  </w:footnote>
  <w:footnote w:type="continuationSeparator" w:id="0">
    <w:p w14:paraId="526DB551" w14:textId="77777777" w:rsidR="00277B53" w:rsidRDefault="00277B53">
      <w:pPr>
        <w:spacing w:line="240" w:lineRule="auto"/>
      </w:pPr>
      <w:r>
        <w:continuationSeparator/>
      </w:r>
    </w:p>
  </w:footnote>
  <w:footnote w:type="continuationNotice" w:id="1">
    <w:p w14:paraId="6CF56BEC" w14:textId="77777777" w:rsidR="00277B53" w:rsidRDefault="00277B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B8937" w14:textId="77777777" w:rsidR="00861673" w:rsidRPr="00861673" w:rsidRDefault="00861673" w:rsidP="00861673">
    <w:pPr>
      <w:pStyle w:val="Noparagraphstyle"/>
      <w:jc w:val="right"/>
      <w:rPr>
        <w:rFonts w:ascii="Verdana" w:hAnsi="Verdana"/>
        <w:b/>
        <w:bCs/>
        <w:sz w:val="16"/>
        <w:szCs w:val="16"/>
      </w:rPr>
    </w:pPr>
    <w:r w:rsidRPr="00861673">
      <w:rPr>
        <w:rFonts w:ascii="Frutiger LT Com 45 Light" w:hAnsi="Frutiger LT Com 45 Light"/>
        <w:b/>
        <w:bCs/>
        <w:noProof/>
        <w:color w:val="FF0000"/>
        <w:lang w:eastAsia="en-GB"/>
      </w:rPr>
      <w:drawing>
        <wp:anchor distT="0" distB="0" distL="114300" distR="114300" simplePos="0" relativeHeight="251660290" behindDoc="0" locked="0" layoutInCell="1" allowOverlap="1" wp14:anchorId="7BD0F7D3" wp14:editId="1AC05849">
          <wp:simplePos x="0" y="0"/>
          <wp:positionH relativeFrom="page">
            <wp:posOffset>523875</wp:posOffset>
          </wp:positionH>
          <wp:positionV relativeFrom="page">
            <wp:posOffset>523875</wp:posOffset>
          </wp:positionV>
          <wp:extent cx="1457325" cy="895350"/>
          <wp:effectExtent l="19050" t="0" r="0" b="0"/>
          <wp:wrapSquare wrapText="bothSides"/>
          <wp:docPr id="1" name="Picture 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861673">
      <w:rPr>
        <w:rFonts w:ascii="Verdana" w:hAnsi="Verdana"/>
        <w:b/>
        <w:bCs/>
        <w:color w:val="FF0000"/>
      </w:rPr>
      <w:t xml:space="preserve">FIRST DRAFT </w:t>
    </w:r>
  </w:p>
  <w:p w14:paraId="625BEE47" w14:textId="77777777" w:rsidR="00861673" w:rsidRPr="00861673" w:rsidRDefault="00861673" w:rsidP="00861673">
    <w:pPr>
      <w:pStyle w:val="Noparagraphstyle"/>
      <w:jc w:val="right"/>
      <w:rPr>
        <w:rFonts w:ascii="Verdana" w:hAnsi="Verdana"/>
        <w:b/>
        <w:bCs/>
        <w:color w:val="FF0000"/>
        <w:sz w:val="20"/>
        <w:szCs w:val="20"/>
      </w:rPr>
    </w:pPr>
    <w:r w:rsidRPr="00861673">
      <w:rPr>
        <w:rFonts w:ascii="Verdana" w:hAnsi="Verdana"/>
        <w:b/>
        <w:bCs/>
        <w:color w:val="FF0000"/>
      </w:rPr>
      <w:t xml:space="preserve">DEADINE FOR COMMENTS: 29 MAY </w:t>
    </w:r>
  </w:p>
  <w:p w14:paraId="3ED86243" w14:textId="77777777" w:rsidR="00277B53" w:rsidRPr="00323E1C" w:rsidRDefault="00277B53" w:rsidP="009D70D2">
    <w:pPr>
      <w:pStyle w:val="Noparagraphstyle"/>
      <w:jc w:val="right"/>
      <w:rPr>
        <w:rFonts w:ascii="Verdana" w:hAnsi="Verdana"/>
        <w:sz w:val="18"/>
        <w:szCs w:val="18"/>
      </w:rPr>
    </w:pPr>
    <w:r w:rsidRPr="000D41DA">
      <w:rPr>
        <w:rFonts w:ascii="Frutiger LT Com 45 Light" w:hAnsi="Frutiger LT Com 45 Light"/>
        <w:noProof/>
        <w:lang w:eastAsia="en-GB"/>
      </w:rPr>
      <w:drawing>
        <wp:anchor distT="0" distB="0" distL="114300" distR="114300" simplePos="0" relativeHeight="251658242" behindDoc="0" locked="0" layoutInCell="1" allowOverlap="1" wp14:anchorId="6ACB7186" wp14:editId="19CF0783">
          <wp:simplePos x="0" y="0"/>
          <wp:positionH relativeFrom="page">
            <wp:posOffset>528955</wp:posOffset>
          </wp:positionH>
          <wp:positionV relativeFrom="page">
            <wp:posOffset>521970</wp:posOffset>
          </wp:positionV>
          <wp:extent cx="1457325" cy="895350"/>
          <wp:effectExtent l="19050" t="0" r="0" b="0"/>
          <wp:wrapSquare wrapText="bothSides"/>
          <wp:docPr id="14"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0E3E6DB3" w14:textId="77777777" w:rsidR="00277B53" w:rsidRPr="0085650F" w:rsidRDefault="00277B53" w:rsidP="009D70D2">
    <w:pPr>
      <w:pStyle w:val="Noparagraphstyle"/>
      <w:jc w:val="right"/>
      <w:rPr>
        <w:rFonts w:ascii="Verdana" w:hAnsi="Verdana" w:cs="Arial"/>
        <w:i/>
        <w:iCs/>
        <w:color w:val="034EA2"/>
      </w:rPr>
    </w:pPr>
    <w:r w:rsidRPr="00323E1C">
      <w:rPr>
        <w:rFonts w:ascii="Verdana" w:hAnsi="Verdana"/>
      </w:rPr>
      <w:tab/>
    </w:r>
  </w:p>
  <w:p w14:paraId="0C0318D7" w14:textId="77777777" w:rsidR="00277B53" w:rsidRPr="00491802" w:rsidRDefault="00277B53" w:rsidP="009D70D2">
    <w:pPr>
      <w:pStyle w:val="Hlavika"/>
      <w:tabs>
        <w:tab w:val="clear" w:pos="4320"/>
        <w:tab w:val="clear" w:pos="8640"/>
        <w:tab w:val="center" w:pos="0"/>
        <w:tab w:val="right" w:pos="104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957CB" w14:textId="77777777" w:rsidR="00861673" w:rsidRPr="00861673" w:rsidRDefault="00277B53" w:rsidP="009D70D2">
    <w:pPr>
      <w:pStyle w:val="Noparagraphstyle"/>
      <w:jc w:val="right"/>
      <w:rPr>
        <w:rFonts w:ascii="Verdana" w:hAnsi="Verdana"/>
        <w:b/>
        <w:bCs/>
        <w:sz w:val="22"/>
        <w:szCs w:val="22"/>
      </w:rPr>
    </w:pPr>
    <w:r w:rsidRPr="00861673">
      <w:rPr>
        <w:rFonts w:ascii="Frutiger LT Com 45 Light" w:hAnsi="Frutiger LT Com 45 Light"/>
        <w:b/>
        <w:bCs/>
        <w:noProof/>
        <w:color w:val="FF0000"/>
        <w:sz w:val="30"/>
        <w:szCs w:val="36"/>
        <w:lang w:eastAsia="en-GB"/>
      </w:rPr>
      <w:drawing>
        <wp:anchor distT="0" distB="0" distL="114300" distR="114300" simplePos="0" relativeHeight="251658241" behindDoc="0" locked="0" layoutInCell="1" allowOverlap="1" wp14:anchorId="365FDA5F" wp14:editId="164947AE">
          <wp:simplePos x="0" y="0"/>
          <wp:positionH relativeFrom="page">
            <wp:posOffset>523875</wp:posOffset>
          </wp:positionH>
          <wp:positionV relativeFrom="page">
            <wp:posOffset>523875</wp:posOffset>
          </wp:positionV>
          <wp:extent cx="1457325" cy="895350"/>
          <wp:effectExtent l="19050" t="0" r="0" b="0"/>
          <wp:wrapSquare wrapText="bothSides"/>
          <wp:docPr id="15" name="Picture 15"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00861673" w:rsidRPr="00861673">
      <w:rPr>
        <w:rFonts w:ascii="Verdana" w:hAnsi="Verdana"/>
        <w:b/>
        <w:bCs/>
        <w:color w:val="FF0000"/>
        <w:sz w:val="36"/>
        <w:szCs w:val="36"/>
      </w:rPr>
      <w:t xml:space="preserve">FIRST DRAFT </w:t>
    </w:r>
  </w:p>
  <w:p w14:paraId="3923888C" w14:textId="4803173F" w:rsidR="00277B53" w:rsidRPr="00861673" w:rsidRDefault="00861673" w:rsidP="009D70D2">
    <w:pPr>
      <w:pStyle w:val="Noparagraphstyle"/>
      <w:jc w:val="right"/>
      <w:rPr>
        <w:rFonts w:ascii="Verdana" w:hAnsi="Verdana"/>
        <w:b/>
        <w:bCs/>
        <w:color w:val="FF0000"/>
        <w:sz w:val="28"/>
        <w:szCs w:val="28"/>
      </w:rPr>
    </w:pPr>
    <w:r w:rsidRPr="00861673">
      <w:rPr>
        <w:rFonts w:ascii="Verdana" w:hAnsi="Verdana"/>
        <w:b/>
        <w:bCs/>
        <w:color w:val="FF0000"/>
        <w:sz w:val="36"/>
        <w:szCs w:val="36"/>
      </w:rPr>
      <w:t xml:space="preserve">DEADINE FOR COMMENTS: 29 MAY </w:t>
    </w:r>
  </w:p>
  <w:p w14:paraId="233A385B" w14:textId="77777777" w:rsidR="00277B53" w:rsidRDefault="00277B53">
    <w:pPr>
      <w:pStyle w:val="Hlavika"/>
    </w:pPr>
  </w:p>
  <w:p w14:paraId="49F75EC2" w14:textId="77777777" w:rsidR="00277B53" w:rsidRDefault="00277B53">
    <w:pPr>
      <w:pStyle w:val="Hlavika"/>
    </w:pPr>
  </w:p>
  <w:p w14:paraId="08BB1670" w14:textId="77777777" w:rsidR="00277B53" w:rsidRPr="00AA212C" w:rsidRDefault="00277B53" w:rsidP="00234A1B">
    <w:pPr>
      <w:pStyle w:val="CEAPositionPaperTitle"/>
      <w:ind w:left="567"/>
      <w:jc w:val="center"/>
    </w:pPr>
    <w:r>
      <w:rPr>
        <w:b w:val="0"/>
        <w:color w:val="002957"/>
        <w:sz w:val="28"/>
        <w:szCs w:val="28"/>
        <w:lang w:val="en"/>
      </w:rPr>
      <w:t xml:space="preserve">Draft response to the </w:t>
    </w:r>
    <w:r w:rsidRPr="00614EED">
      <w:rPr>
        <w:b w:val="0"/>
        <w:color w:val="002957"/>
        <w:sz w:val="28"/>
        <w:szCs w:val="28"/>
        <w:lang w:val="en"/>
      </w:rPr>
      <w:t>Joint Consultation Paper</w:t>
    </w:r>
    <w:r>
      <w:rPr>
        <w:b w:val="0"/>
        <w:color w:val="002957"/>
        <w:sz w:val="28"/>
        <w:szCs w:val="28"/>
        <w:lang w:val="en"/>
      </w:rPr>
      <w:t xml:space="preserve"> on ESG disclosures</w:t>
    </w:r>
  </w:p>
  <w:tbl>
    <w:tblPr>
      <w:tblStyle w:val="Mriekatabukysvetl"/>
      <w:tblW w:w="10159" w:type="dxa"/>
      <w:tblLayout w:type="fixed"/>
      <w:tblLook w:val="0000" w:firstRow="0" w:lastRow="0" w:firstColumn="0" w:lastColumn="0" w:noHBand="0" w:noVBand="0"/>
    </w:tblPr>
    <w:tblGrid>
      <w:gridCol w:w="1490"/>
      <w:gridCol w:w="8669"/>
    </w:tblGrid>
    <w:tr w:rsidR="00277B53" w:rsidRPr="000D41DA" w14:paraId="1A57E215" w14:textId="77777777" w:rsidTr="00A91B4E">
      <w:trPr>
        <w:trHeight w:hRule="exact" w:val="813"/>
      </w:trPr>
      <w:tc>
        <w:tcPr>
          <w:tcW w:w="1490" w:type="dxa"/>
          <w:tcBorders>
            <w:top w:val="nil"/>
            <w:left w:val="nil"/>
            <w:bottom w:val="nil"/>
            <w:right w:val="nil"/>
          </w:tcBorders>
        </w:tcPr>
        <w:p w14:paraId="34C9EEE6" w14:textId="77777777" w:rsidR="00277B53" w:rsidRPr="0085650F" w:rsidRDefault="00277B53" w:rsidP="009D70D2">
          <w:pPr>
            <w:pStyle w:val="CEALabel"/>
            <w:rPr>
              <w:b w:val="0"/>
              <w:color w:val="002957"/>
              <w:sz w:val="17"/>
              <w:szCs w:val="17"/>
            </w:rPr>
          </w:pPr>
          <w:r w:rsidRPr="0085650F">
            <w:rPr>
              <w:b w:val="0"/>
              <w:color w:val="002957"/>
              <w:sz w:val="17"/>
              <w:szCs w:val="17"/>
            </w:rPr>
            <w:t>Referring to:</w:t>
          </w:r>
        </w:p>
      </w:tc>
      <w:tc>
        <w:tcPr>
          <w:tcW w:w="8669" w:type="dxa"/>
          <w:tcBorders>
            <w:top w:val="nil"/>
            <w:left w:val="nil"/>
            <w:bottom w:val="nil"/>
            <w:right w:val="nil"/>
          </w:tcBorders>
        </w:tcPr>
        <w:p w14:paraId="18104A74" w14:textId="77777777" w:rsidR="00277B53" w:rsidRDefault="008252A7" w:rsidP="002527F0">
          <w:pPr>
            <w:jc w:val="left"/>
            <w:rPr>
              <w:rStyle w:val="Hypertextovprepojenie"/>
              <w:sz w:val="17"/>
              <w:szCs w:val="17"/>
            </w:rPr>
          </w:pPr>
          <w:hyperlink r:id="rId2" w:history="1">
            <w:r w:rsidR="00277B53" w:rsidRPr="009575C3">
              <w:rPr>
                <w:rStyle w:val="Hypertextovprepojenie"/>
                <w:sz w:val="17"/>
                <w:szCs w:val="17"/>
              </w:rPr>
              <w:t>Draft RTS – Sustainable Finance Disclosures Regulation</w:t>
            </w:r>
          </w:hyperlink>
          <w:r w:rsidR="00277B53">
            <w:rPr>
              <w:sz w:val="17"/>
              <w:szCs w:val="17"/>
            </w:rPr>
            <w:t xml:space="preserve">; </w:t>
          </w:r>
          <w:hyperlink r:id="rId3" w:history="1">
            <w:r w:rsidR="00277B53">
              <w:rPr>
                <w:rStyle w:val="Hypertextovprepojenie"/>
                <w:sz w:val="17"/>
                <w:szCs w:val="17"/>
              </w:rPr>
              <w:t>R</w:t>
            </w:r>
            <w:r w:rsidR="00277B53" w:rsidRPr="00404505">
              <w:rPr>
                <w:rStyle w:val="Hypertextovprepojenie"/>
                <w:sz w:val="17"/>
                <w:szCs w:val="17"/>
              </w:rPr>
              <w:t>egulation (EU) 2019/2088</w:t>
            </w:r>
          </w:hyperlink>
          <w:r w:rsidR="00277B53">
            <w:rPr>
              <w:rStyle w:val="Hypertextovprepojenie"/>
              <w:sz w:val="17"/>
              <w:szCs w:val="17"/>
            </w:rPr>
            <w:t>;</w:t>
          </w:r>
          <w:r w:rsidR="00277B53">
            <w:rPr>
              <w:sz w:val="17"/>
              <w:szCs w:val="17"/>
            </w:rPr>
            <w:t xml:space="preserve"> </w:t>
          </w:r>
          <w:hyperlink r:id="rId4" w:history="1">
            <w:r w:rsidR="00277B53">
              <w:rPr>
                <w:rStyle w:val="Hypertextovprepojenie"/>
                <w:sz w:val="17"/>
                <w:szCs w:val="17"/>
              </w:rPr>
              <w:t>p</w:t>
            </w:r>
            <w:r w:rsidR="00277B53" w:rsidRPr="002527F0">
              <w:rPr>
                <w:rStyle w:val="Hypertextovprepojenie"/>
                <w:sz w:val="17"/>
                <w:szCs w:val="17"/>
              </w:rPr>
              <w:t>reparatory documents on the implementation of the SFDR</w:t>
            </w:r>
          </w:hyperlink>
          <w:r w:rsidR="00277B53">
            <w:rPr>
              <w:rStyle w:val="Hypertextovprepojenie"/>
              <w:sz w:val="17"/>
              <w:szCs w:val="17"/>
            </w:rPr>
            <w:t xml:space="preserve">; Joint Consultation Paper on ESG disclosures </w:t>
          </w:r>
        </w:p>
        <w:p w14:paraId="0D03E0EE" w14:textId="77777777" w:rsidR="00277B53" w:rsidRDefault="00277B53" w:rsidP="002527F0">
          <w:pPr>
            <w:jc w:val="left"/>
            <w:rPr>
              <w:rStyle w:val="Hypertextovprepojenie"/>
              <w:sz w:val="17"/>
              <w:szCs w:val="17"/>
            </w:rPr>
          </w:pPr>
        </w:p>
        <w:p w14:paraId="5C26E6F0" w14:textId="77777777" w:rsidR="00277B53" w:rsidRDefault="00277B53" w:rsidP="002527F0">
          <w:pPr>
            <w:jc w:val="left"/>
            <w:rPr>
              <w:rStyle w:val="Hypertextovprepojenie"/>
              <w:sz w:val="17"/>
              <w:szCs w:val="17"/>
            </w:rPr>
          </w:pPr>
        </w:p>
        <w:p w14:paraId="41DEC5D2" w14:textId="68D8B1B9" w:rsidR="00277B53" w:rsidRPr="00585988" w:rsidRDefault="00277B53" w:rsidP="002527F0">
          <w:pPr>
            <w:jc w:val="left"/>
            <w:rPr>
              <w:color w:val="002957"/>
              <w:sz w:val="17"/>
              <w:szCs w:val="17"/>
            </w:rPr>
          </w:pPr>
        </w:p>
      </w:tc>
    </w:tr>
  </w:tbl>
  <w:p w14:paraId="3888FC79" w14:textId="77777777" w:rsidR="00277B53" w:rsidRPr="000D41DA" w:rsidRDefault="00277B53" w:rsidP="009D70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8FAA3" w14:textId="77777777" w:rsidR="00277B53" w:rsidRPr="00323E1C" w:rsidRDefault="00277B53" w:rsidP="009D70D2">
    <w:pPr>
      <w:pStyle w:val="Noparagraphstyle"/>
      <w:jc w:val="right"/>
      <w:rPr>
        <w:rFonts w:ascii="Verdana" w:hAnsi="Verdana"/>
        <w:sz w:val="18"/>
        <w:szCs w:val="18"/>
      </w:rPr>
    </w:pPr>
    <w:r w:rsidRPr="000D41DA">
      <w:rPr>
        <w:rFonts w:ascii="Frutiger LT Com 45 Light" w:hAnsi="Frutiger LT Com 45 Light"/>
        <w:noProof/>
        <w:sz w:val="18"/>
        <w:szCs w:val="18"/>
        <w:lang w:eastAsia="en-GB"/>
      </w:rPr>
      <w:drawing>
        <wp:anchor distT="0" distB="0" distL="114300" distR="114300" simplePos="0" relativeHeight="251658240" behindDoc="0" locked="0" layoutInCell="1" allowOverlap="1" wp14:anchorId="08C14B86" wp14:editId="7A7B08A7">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5D4427AA" w14:textId="77777777" w:rsidR="00277B53" w:rsidRDefault="00277B53">
    <w:pPr>
      <w:pStyle w:val="Hlavika"/>
    </w:pPr>
  </w:p>
  <w:p w14:paraId="1AB29D9F" w14:textId="77777777" w:rsidR="00277B53" w:rsidRDefault="00277B53">
    <w:pPr>
      <w:pStyle w:val="Hlavika"/>
    </w:pPr>
  </w:p>
  <w:p w14:paraId="51558FB6" w14:textId="77777777" w:rsidR="00277B53" w:rsidRDefault="00277B53">
    <w:pPr>
      <w:pStyle w:val="Hlavika"/>
    </w:pPr>
  </w:p>
  <w:p w14:paraId="5A7726BC" w14:textId="77777777" w:rsidR="00277B53" w:rsidRPr="006363A9" w:rsidRDefault="00277B53" w:rsidP="0017261F">
    <w:pPr>
      <w:jc w:val="right"/>
      <w:rPr>
        <w:b/>
        <w:i/>
        <w:color w:val="002957"/>
        <w:sz w:val="36"/>
        <w:szCs w:val="36"/>
      </w:rPr>
    </w:pPr>
  </w:p>
  <w:p w14:paraId="2815F089" w14:textId="77777777" w:rsidR="00277B53" w:rsidRPr="00AA212C" w:rsidRDefault="00277B53" w:rsidP="00234A1B">
    <w:pPr>
      <w:pStyle w:val="CEAPositionPaperTitle"/>
      <w:ind w:left="567"/>
      <w:jc w:val="center"/>
    </w:pPr>
    <w:r>
      <w:rPr>
        <w:b w:val="0"/>
        <w:color w:val="002957"/>
        <w:sz w:val="28"/>
        <w:szCs w:val="28"/>
        <w:lang w:val="en"/>
      </w:rPr>
      <w:t>Insurance Europe comments on the leaked draft RTS of the SFDR</w:t>
    </w:r>
  </w:p>
  <w:tbl>
    <w:tblPr>
      <w:tblStyle w:val="Mriekatabukysvetl"/>
      <w:tblW w:w="9498" w:type="dxa"/>
      <w:tblLayout w:type="fixed"/>
      <w:tblLook w:val="0000" w:firstRow="0" w:lastRow="0" w:firstColumn="0" w:lastColumn="0" w:noHBand="0" w:noVBand="0"/>
    </w:tblPr>
    <w:tblGrid>
      <w:gridCol w:w="1394"/>
      <w:gridCol w:w="4560"/>
      <w:gridCol w:w="1417"/>
      <w:gridCol w:w="2127"/>
    </w:tblGrid>
    <w:tr w:rsidR="00277B53" w:rsidRPr="000D41DA" w14:paraId="438A1AF3" w14:textId="77777777" w:rsidTr="00D21A07">
      <w:trPr>
        <w:trHeight w:hRule="exact" w:val="425"/>
      </w:trPr>
      <w:tc>
        <w:tcPr>
          <w:tcW w:w="1394" w:type="dxa"/>
          <w:tcBorders>
            <w:top w:val="nil"/>
            <w:left w:val="nil"/>
            <w:bottom w:val="nil"/>
            <w:right w:val="nil"/>
          </w:tcBorders>
        </w:tcPr>
        <w:p w14:paraId="6CB9835F" w14:textId="77777777" w:rsidR="00277B53" w:rsidRPr="0085650F" w:rsidRDefault="00277B53" w:rsidP="009D70D2">
          <w:pPr>
            <w:pStyle w:val="CEALabel"/>
            <w:rPr>
              <w:b w:val="0"/>
              <w:color w:val="002957"/>
              <w:sz w:val="17"/>
              <w:szCs w:val="17"/>
            </w:rPr>
          </w:pPr>
        </w:p>
      </w:tc>
      <w:tc>
        <w:tcPr>
          <w:tcW w:w="4560" w:type="dxa"/>
          <w:tcBorders>
            <w:top w:val="nil"/>
            <w:left w:val="nil"/>
            <w:bottom w:val="nil"/>
            <w:right w:val="nil"/>
          </w:tcBorders>
        </w:tcPr>
        <w:p w14:paraId="23F1B7EB" w14:textId="77777777" w:rsidR="00277B53" w:rsidRPr="00585988" w:rsidRDefault="00277B53" w:rsidP="0008034A">
          <w:pPr>
            <w:jc w:val="left"/>
            <w:rPr>
              <w:color w:val="002957"/>
              <w:sz w:val="17"/>
              <w:szCs w:val="17"/>
            </w:rPr>
          </w:pPr>
        </w:p>
      </w:tc>
      <w:tc>
        <w:tcPr>
          <w:tcW w:w="1417" w:type="dxa"/>
          <w:tcBorders>
            <w:top w:val="nil"/>
            <w:left w:val="nil"/>
            <w:bottom w:val="nil"/>
            <w:right w:val="nil"/>
          </w:tcBorders>
        </w:tcPr>
        <w:p w14:paraId="0B297523" w14:textId="77777777" w:rsidR="00277B53" w:rsidRPr="0085650F" w:rsidRDefault="00277B53" w:rsidP="009D70D2">
          <w:pPr>
            <w:pStyle w:val="CEALabel"/>
            <w:rPr>
              <w:b w:val="0"/>
              <w:color w:val="002957"/>
              <w:sz w:val="17"/>
              <w:szCs w:val="17"/>
            </w:rPr>
          </w:pPr>
        </w:p>
      </w:tc>
      <w:tc>
        <w:tcPr>
          <w:tcW w:w="2127" w:type="dxa"/>
          <w:tcBorders>
            <w:top w:val="nil"/>
            <w:left w:val="nil"/>
            <w:bottom w:val="nil"/>
            <w:right w:val="nil"/>
          </w:tcBorders>
        </w:tcPr>
        <w:p w14:paraId="507F6D1F" w14:textId="77777777" w:rsidR="00277B53" w:rsidRPr="00585988" w:rsidRDefault="00277B53" w:rsidP="009D70D2">
          <w:pPr>
            <w:jc w:val="left"/>
            <w:rPr>
              <w:color w:val="002957"/>
              <w:sz w:val="17"/>
              <w:szCs w:val="17"/>
            </w:rPr>
          </w:pPr>
        </w:p>
      </w:tc>
    </w:tr>
    <w:tr w:rsidR="00277B53" w:rsidRPr="000D41DA" w14:paraId="1D75EBD1" w14:textId="77777777" w:rsidTr="00D21A07">
      <w:trPr>
        <w:trHeight w:hRule="exact" w:val="584"/>
      </w:trPr>
      <w:tc>
        <w:tcPr>
          <w:tcW w:w="1394" w:type="dxa"/>
          <w:tcBorders>
            <w:top w:val="nil"/>
            <w:left w:val="nil"/>
            <w:bottom w:val="nil"/>
            <w:right w:val="nil"/>
          </w:tcBorders>
        </w:tcPr>
        <w:p w14:paraId="2438AA34" w14:textId="77777777" w:rsidR="00277B53" w:rsidRPr="0085650F" w:rsidRDefault="00277B53" w:rsidP="009D70D2">
          <w:pPr>
            <w:pStyle w:val="CEALabel"/>
            <w:rPr>
              <w:b w:val="0"/>
              <w:color w:val="002957"/>
              <w:sz w:val="17"/>
              <w:szCs w:val="17"/>
            </w:rPr>
          </w:pPr>
          <w:r w:rsidRPr="0085650F">
            <w:rPr>
              <w:b w:val="0"/>
              <w:color w:val="002957"/>
              <w:sz w:val="17"/>
              <w:szCs w:val="17"/>
            </w:rPr>
            <w:t>Referring to:</w:t>
          </w:r>
        </w:p>
      </w:tc>
      <w:tc>
        <w:tcPr>
          <w:tcW w:w="8104" w:type="dxa"/>
          <w:gridSpan w:val="3"/>
          <w:tcBorders>
            <w:top w:val="nil"/>
            <w:left w:val="nil"/>
            <w:bottom w:val="nil"/>
            <w:right w:val="nil"/>
          </w:tcBorders>
        </w:tcPr>
        <w:p w14:paraId="2CE66322" w14:textId="77777777" w:rsidR="00277B53" w:rsidRPr="00585988" w:rsidRDefault="008252A7" w:rsidP="002527F0">
          <w:pPr>
            <w:jc w:val="left"/>
            <w:rPr>
              <w:color w:val="002957"/>
              <w:sz w:val="17"/>
              <w:szCs w:val="17"/>
            </w:rPr>
          </w:pPr>
          <w:hyperlink r:id="rId2" w:history="1">
            <w:r w:rsidR="00277B53" w:rsidRPr="009575C3">
              <w:rPr>
                <w:rStyle w:val="Hypertextovprepojenie"/>
                <w:sz w:val="17"/>
                <w:szCs w:val="17"/>
              </w:rPr>
              <w:t>Draft RTS – Sustainable Finance Disclosures Regulation</w:t>
            </w:r>
          </w:hyperlink>
          <w:r w:rsidR="00277B53">
            <w:rPr>
              <w:sz w:val="17"/>
              <w:szCs w:val="17"/>
            </w:rPr>
            <w:t xml:space="preserve">; </w:t>
          </w:r>
          <w:hyperlink r:id="rId3" w:history="1">
            <w:r w:rsidR="00277B53">
              <w:rPr>
                <w:rStyle w:val="Hypertextovprepojenie"/>
                <w:sz w:val="17"/>
                <w:szCs w:val="17"/>
              </w:rPr>
              <w:t>R</w:t>
            </w:r>
            <w:r w:rsidR="00277B53" w:rsidRPr="00404505">
              <w:rPr>
                <w:rStyle w:val="Hypertextovprepojenie"/>
                <w:sz w:val="17"/>
                <w:szCs w:val="17"/>
              </w:rPr>
              <w:t>egulation (EU) 2019/2088</w:t>
            </w:r>
          </w:hyperlink>
          <w:r w:rsidR="00277B53">
            <w:rPr>
              <w:rStyle w:val="Hypertextovprepojenie"/>
              <w:sz w:val="17"/>
              <w:szCs w:val="17"/>
            </w:rPr>
            <w:t>;</w:t>
          </w:r>
          <w:r w:rsidR="00277B53">
            <w:rPr>
              <w:sz w:val="17"/>
              <w:szCs w:val="17"/>
            </w:rPr>
            <w:t xml:space="preserve"> </w:t>
          </w:r>
          <w:hyperlink r:id="rId4" w:history="1">
            <w:r w:rsidR="00277B53">
              <w:rPr>
                <w:rStyle w:val="Hypertextovprepojenie"/>
                <w:sz w:val="17"/>
                <w:szCs w:val="17"/>
              </w:rPr>
              <w:t>p</w:t>
            </w:r>
            <w:r w:rsidR="00277B53" w:rsidRPr="002527F0">
              <w:rPr>
                <w:rStyle w:val="Hypertextovprepojenie"/>
                <w:sz w:val="17"/>
                <w:szCs w:val="17"/>
              </w:rPr>
              <w:t>reparatory documents on the implementation of the SFDR</w:t>
            </w:r>
          </w:hyperlink>
        </w:p>
      </w:tc>
    </w:tr>
  </w:tbl>
  <w:p w14:paraId="4FE469F2" w14:textId="77777777" w:rsidR="00277B53" w:rsidRPr="000D41DA" w:rsidRDefault="00277B53" w:rsidP="009D70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CEA - Bullets Rounded Squares_BulletLevel1_forMS"/>
      </v:shape>
    </w:pict>
  </w:numPicBullet>
  <w:numPicBullet w:numPicBulletId="1">
    <w:pict>
      <v:shape id="_x0000_i1027" type="#_x0000_t75" style="width:8.25pt;height:8.25pt" o:bullet="t">
        <v:imagedata r:id="rId2" o:title="CEA - Bullets Rounded Squares_BulletLevel2_forMS"/>
      </v:shape>
    </w:pict>
  </w:numPicBullet>
  <w:numPicBullet w:numPicBulletId="2">
    <w:pict>
      <v:shape id="_x0000_i1028" type="#_x0000_t75" style="width:9.75pt;height:9pt" o:bullet="t">
        <v:imagedata r:id="rId3" o:title="CEA - Bullets Rounded Squares_BulletLevel3_forMS"/>
      </v:shape>
    </w:pict>
  </w:numPicBullet>
  <w:abstractNum w:abstractNumId="0" w15:restartNumberingAfterBreak="0">
    <w:nsid w:val="994C232A"/>
    <w:multiLevelType w:val="hybridMultilevel"/>
    <w:tmpl w:val="8C8BA8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844AD2"/>
    <w:multiLevelType w:val="hybridMultilevel"/>
    <w:tmpl w:val="733A1134"/>
    <w:lvl w:ilvl="0" w:tplc="5C8844A8">
      <w:start w:val="1"/>
      <w:numFmt w:val="lowerLetter"/>
      <w:lvlText w:val="%1)"/>
      <w:lvlJc w:val="left"/>
      <w:pPr>
        <w:ind w:left="602" w:hanging="360"/>
      </w:pPr>
      <w:rPr>
        <w:rFonts w:ascii="Calibri" w:eastAsia="Calibri" w:hAnsi="Calibri" w:cs="Calibri" w:hint="default"/>
        <w:i/>
        <w:spacing w:val="-1"/>
        <w:w w:val="100"/>
        <w:sz w:val="22"/>
        <w:szCs w:val="22"/>
      </w:rPr>
    </w:lvl>
    <w:lvl w:ilvl="1" w:tplc="653E5A58">
      <w:numFmt w:val="bullet"/>
      <w:lvlText w:val="•"/>
      <w:lvlJc w:val="left"/>
      <w:pPr>
        <w:ind w:left="760" w:hanging="360"/>
      </w:pPr>
      <w:rPr>
        <w:rFonts w:hint="default"/>
      </w:rPr>
    </w:lvl>
    <w:lvl w:ilvl="2" w:tplc="43D84ABC">
      <w:numFmt w:val="bullet"/>
      <w:lvlText w:val="•"/>
      <w:lvlJc w:val="left"/>
      <w:pPr>
        <w:ind w:left="1704" w:hanging="360"/>
      </w:pPr>
      <w:rPr>
        <w:rFonts w:hint="default"/>
      </w:rPr>
    </w:lvl>
    <w:lvl w:ilvl="3" w:tplc="853E2292">
      <w:numFmt w:val="bullet"/>
      <w:lvlText w:val="•"/>
      <w:lvlJc w:val="left"/>
      <w:pPr>
        <w:ind w:left="2648" w:hanging="360"/>
      </w:pPr>
      <w:rPr>
        <w:rFonts w:hint="default"/>
      </w:rPr>
    </w:lvl>
    <w:lvl w:ilvl="4" w:tplc="B6A09BE0">
      <w:numFmt w:val="bullet"/>
      <w:lvlText w:val="•"/>
      <w:lvlJc w:val="left"/>
      <w:pPr>
        <w:ind w:left="3593" w:hanging="360"/>
      </w:pPr>
      <w:rPr>
        <w:rFonts w:hint="default"/>
      </w:rPr>
    </w:lvl>
    <w:lvl w:ilvl="5" w:tplc="88AE07B8">
      <w:numFmt w:val="bullet"/>
      <w:lvlText w:val="•"/>
      <w:lvlJc w:val="left"/>
      <w:pPr>
        <w:ind w:left="4537" w:hanging="360"/>
      </w:pPr>
      <w:rPr>
        <w:rFonts w:hint="default"/>
      </w:rPr>
    </w:lvl>
    <w:lvl w:ilvl="6" w:tplc="760C20B6">
      <w:numFmt w:val="bullet"/>
      <w:lvlText w:val="•"/>
      <w:lvlJc w:val="left"/>
      <w:pPr>
        <w:ind w:left="5481" w:hanging="360"/>
      </w:pPr>
      <w:rPr>
        <w:rFonts w:hint="default"/>
      </w:rPr>
    </w:lvl>
    <w:lvl w:ilvl="7" w:tplc="34FE619C">
      <w:numFmt w:val="bullet"/>
      <w:lvlText w:val="•"/>
      <w:lvlJc w:val="left"/>
      <w:pPr>
        <w:ind w:left="6426" w:hanging="360"/>
      </w:pPr>
      <w:rPr>
        <w:rFonts w:hint="default"/>
      </w:rPr>
    </w:lvl>
    <w:lvl w:ilvl="8" w:tplc="293EAAEA">
      <w:numFmt w:val="bullet"/>
      <w:lvlText w:val="•"/>
      <w:lvlJc w:val="left"/>
      <w:pPr>
        <w:ind w:left="7370" w:hanging="360"/>
      </w:pPr>
      <w:rPr>
        <w:rFonts w:hint="default"/>
      </w:rPr>
    </w:lvl>
  </w:abstractNum>
  <w:abstractNum w:abstractNumId="2" w15:restartNumberingAfterBreak="0">
    <w:nsid w:val="10391B87"/>
    <w:multiLevelType w:val="hybridMultilevel"/>
    <w:tmpl w:val="733A1134"/>
    <w:lvl w:ilvl="0" w:tplc="5C8844A8">
      <w:start w:val="1"/>
      <w:numFmt w:val="lowerLetter"/>
      <w:lvlText w:val="%1)"/>
      <w:lvlJc w:val="left"/>
      <w:pPr>
        <w:ind w:left="602" w:hanging="360"/>
      </w:pPr>
      <w:rPr>
        <w:rFonts w:ascii="Calibri" w:eastAsia="Calibri" w:hAnsi="Calibri" w:cs="Calibri" w:hint="default"/>
        <w:i/>
        <w:spacing w:val="-1"/>
        <w:w w:val="100"/>
        <w:sz w:val="22"/>
        <w:szCs w:val="22"/>
      </w:rPr>
    </w:lvl>
    <w:lvl w:ilvl="1" w:tplc="653E5A58">
      <w:numFmt w:val="bullet"/>
      <w:lvlText w:val="•"/>
      <w:lvlJc w:val="left"/>
      <w:pPr>
        <w:ind w:left="760" w:hanging="360"/>
      </w:pPr>
      <w:rPr>
        <w:rFonts w:hint="default"/>
      </w:rPr>
    </w:lvl>
    <w:lvl w:ilvl="2" w:tplc="43D84ABC">
      <w:numFmt w:val="bullet"/>
      <w:lvlText w:val="•"/>
      <w:lvlJc w:val="left"/>
      <w:pPr>
        <w:ind w:left="1704" w:hanging="360"/>
      </w:pPr>
      <w:rPr>
        <w:rFonts w:hint="default"/>
      </w:rPr>
    </w:lvl>
    <w:lvl w:ilvl="3" w:tplc="853E2292">
      <w:numFmt w:val="bullet"/>
      <w:lvlText w:val="•"/>
      <w:lvlJc w:val="left"/>
      <w:pPr>
        <w:ind w:left="2648" w:hanging="360"/>
      </w:pPr>
      <w:rPr>
        <w:rFonts w:hint="default"/>
      </w:rPr>
    </w:lvl>
    <w:lvl w:ilvl="4" w:tplc="B6A09BE0">
      <w:numFmt w:val="bullet"/>
      <w:lvlText w:val="•"/>
      <w:lvlJc w:val="left"/>
      <w:pPr>
        <w:ind w:left="3593" w:hanging="360"/>
      </w:pPr>
      <w:rPr>
        <w:rFonts w:hint="default"/>
      </w:rPr>
    </w:lvl>
    <w:lvl w:ilvl="5" w:tplc="88AE07B8">
      <w:numFmt w:val="bullet"/>
      <w:lvlText w:val="•"/>
      <w:lvlJc w:val="left"/>
      <w:pPr>
        <w:ind w:left="4537" w:hanging="360"/>
      </w:pPr>
      <w:rPr>
        <w:rFonts w:hint="default"/>
      </w:rPr>
    </w:lvl>
    <w:lvl w:ilvl="6" w:tplc="760C20B6">
      <w:numFmt w:val="bullet"/>
      <w:lvlText w:val="•"/>
      <w:lvlJc w:val="left"/>
      <w:pPr>
        <w:ind w:left="5481" w:hanging="360"/>
      </w:pPr>
      <w:rPr>
        <w:rFonts w:hint="default"/>
      </w:rPr>
    </w:lvl>
    <w:lvl w:ilvl="7" w:tplc="34FE619C">
      <w:numFmt w:val="bullet"/>
      <w:lvlText w:val="•"/>
      <w:lvlJc w:val="left"/>
      <w:pPr>
        <w:ind w:left="6426" w:hanging="360"/>
      </w:pPr>
      <w:rPr>
        <w:rFonts w:hint="default"/>
      </w:rPr>
    </w:lvl>
    <w:lvl w:ilvl="8" w:tplc="293EAAEA">
      <w:numFmt w:val="bullet"/>
      <w:lvlText w:val="•"/>
      <w:lvlJc w:val="left"/>
      <w:pPr>
        <w:ind w:left="7370" w:hanging="360"/>
      </w:pPr>
      <w:rPr>
        <w:rFonts w:hint="default"/>
      </w:rPr>
    </w:lvl>
  </w:abstractNum>
  <w:abstractNum w:abstractNumId="3" w15:restartNumberingAfterBreak="0">
    <w:nsid w:val="1054071E"/>
    <w:multiLevelType w:val="hybridMultilevel"/>
    <w:tmpl w:val="EBE65710"/>
    <w:lvl w:ilvl="0" w:tplc="A0240652">
      <w:start w:val="165"/>
      <w:numFmt w:val="bullet"/>
      <w:pStyle w:val="CEABullet-Level2"/>
      <w:lvlText w:val=""/>
      <w:lvlPicBulletId w:val="1"/>
      <w:lvlJc w:val="left"/>
      <w:pPr>
        <w:ind w:left="1080" w:hanging="360"/>
      </w:pPr>
      <w:rPr>
        <w:rFonts w:ascii="Symbol" w:hAnsi="Symbol" w:hint="default"/>
        <w:color w:val="auto"/>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5" w15:restartNumberingAfterBreak="0">
    <w:nsid w:val="699E2B88"/>
    <w:multiLevelType w:val="hybridMultilevel"/>
    <w:tmpl w:val="C9EE50FA"/>
    <w:lvl w:ilvl="0" w:tplc="1D6866BC">
      <w:start w:val="165"/>
      <w:numFmt w:val="bullet"/>
      <w:pStyle w:val="CEABullet-Level1"/>
      <w:lvlText w:val=""/>
      <w:lvlPicBulletId w:val="0"/>
      <w:lvlJc w:val="left"/>
      <w:pPr>
        <w:ind w:left="720" w:hanging="360"/>
      </w:pPr>
      <w:rPr>
        <w:rFonts w:ascii="Symbol" w:hAnsi="Symbol" w:hint="default"/>
        <w:color w:val="auto"/>
        <w:lang w:val="en-G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5"/>
  </w:num>
  <w:num w:numId="5">
    <w:abstractNumId w:val="2"/>
  </w:num>
  <w:num w:numId="6">
    <w:abstractNumId w:val="0"/>
  </w:num>
  <w:num w:numId="7">
    <w:abstractNumId w:val="3"/>
  </w:num>
  <w:num w:numId="8">
    <w:abstractNumId w:val="3"/>
  </w:num>
  <w:num w:numId="9">
    <w:abstractNumId w:val="5"/>
  </w:num>
  <w:num w:numId="10">
    <w:abstractNumId w:val="5"/>
  </w:num>
  <w:num w:numId="11">
    <w:abstractNumId w:val="5"/>
  </w:num>
  <w:num w:numId="12">
    <w:abstractNumId w:val="5"/>
  </w:num>
  <w:num w:numId="13">
    <w:abstractNumId w:val="5"/>
  </w:num>
  <w:num w:numId="14">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cofin">
    <w15:presenceInfo w15:providerId="None" w15:userId="Ecofin"/>
  </w15:person>
  <w15:person w15:author="COB">
    <w15:presenceInfo w15:providerId="None" w15:userId="CO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82"/>
    <w:rsid w:val="0000050B"/>
    <w:rsid w:val="00000594"/>
    <w:rsid w:val="00000C06"/>
    <w:rsid w:val="0000159D"/>
    <w:rsid w:val="00001C4A"/>
    <w:rsid w:val="000048C3"/>
    <w:rsid w:val="00005D51"/>
    <w:rsid w:val="00005F0F"/>
    <w:rsid w:val="000075CD"/>
    <w:rsid w:val="00012C50"/>
    <w:rsid w:val="00014AE9"/>
    <w:rsid w:val="000156B2"/>
    <w:rsid w:val="00016402"/>
    <w:rsid w:val="00017E2D"/>
    <w:rsid w:val="00020124"/>
    <w:rsid w:val="00020923"/>
    <w:rsid w:val="00020C21"/>
    <w:rsid w:val="00022384"/>
    <w:rsid w:val="0002539C"/>
    <w:rsid w:val="00025FDD"/>
    <w:rsid w:val="00030572"/>
    <w:rsid w:val="00030706"/>
    <w:rsid w:val="0003116F"/>
    <w:rsid w:val="0003210D"/>
    <w:rsid w:val="000322B1"/>
    <w:rsid w:val="0003307F"/>
    <w:rsid w:val="00033648"/>
    <w:rsid w:val="00034616"/>
    <w:rsid w:val="00037BBE"/>
    <w:rsid w:val="000401F7"/>
    <w:rsid w:val="00040B80"/>
    <w:rsid w:val="000412A6"/>
    <w:rsid w:val="00041844"/>
    <w:rsid w:val="00041E2B"/>
    <w:rsid w:val="000427BA"/>
    <w:rsid w:val="00042E12"/>
    <w:rsid w:val="0004543D"/>
    <w:rsid w:val="00047F0F"/>
    <w:rsid w:val="0005006B"/>
    <w:rsid w:val="00051207"/>
    <w:rsid w:val="00053157"/>
    <w:rsid w:val="00054A19"/>
    <w:rsid w:val="00055145"/>
    <w:rsid w:val="000556E4"/>
    <w:rsid w:val="000556E6"/>
    <w:rsid w:val="00057D18"/>
    <w:rsid w:val="000607C1"/>
    <w:rsid w:val="00060845"/>
    <w:rsid w:val="00061E8A"/>
    <w:rsid w:val="00061F1D"/>
    <w:rsid w:val="00062F45"/>
    <w:rsid w:val="000668E4"/>
    <w:rsid w:val="00070052"/>
    <w:rsid w:val="0007176C"/>
    <w:rsid w:val="00072D1C"/>
    <w:rsid w:val="00073A70"/>
    <w:rsid w:val="00073AC2"/>
    <w:rsid w:val="00077FF7"/>
    <w:rsid w:val="0008034A"/>
    <w:rsid w:val="000808C0"/>
    <w:rsid w:val="000836BD"/>
    <w:rsid w:val="000848AE"/>
    <w:rsid w:val="000854EB"/>
    <w:rsid w:val="0008559F"/>
    <w:rsid w:val="000857B7"/>
    <w:rsid w:val="00085A67"/>
    <w:rsid w:val="0008605D"/>
    <w:rsid w:val="00090F61"/>
    <w:rsid w:val="00092721"/>
    <w:rsid w:val="00094BA5"/>
    <w:rsid w:val="00094DC2"/>
    <w:rsid w:val="00097BF9"/>
    <w:rsid w:val="000A09FD"/>
    <w:rsid w:val="000A1CAE"/>
    <w:rsid w:val="000A21AD"/>
    <w:rsid w:val="000A29A0"/>
    <w:rsid w:val="000A2F58"/>
    <w:rsid w:val="000A4773"/>
    <w:rsid w:val="000A4C31"/>
    <w:rsid w:val="000A5050"/>
    <w:rsid w:val="000A611C"/>
    <w:rsid w:val="000B0177"/>
    <w:rsid w:val="000B02DF"/>
    <w:rsid w:val="000B04F0"/>
    <w:rsid w:val="000B10F3"/>
    <w:rsid w:val="000B160A"/>
    <w:rsid w:val="000B5367"/>
    <w:rsid w:val="000B5A8E"/>
    <w:rsid w:val="000B7AF6"/>
    <w:rsid w:val="000C1194"/>
    <w:rsid w:val="000C3F82"/>
    <w:rsid w:val="000C42ED"/>
    <w:rsid w:val="000C5942"/>
    <w:rsid w:val="000C5D1E"/>
    <w:rsid w:val="000C763E"/>
    <w:rsid w:val="000D1433"/>
    <w:rsid w:val="000D3A9E"/>
    <w:rsid w:val="000D58F0"/>
    <w:rsid w:val="000D5B96"/>
    <w:rsid w:val="000D5BF6"/>
    <w:rsid w:val="000E0913"/>
    <w:rsid w:val="000E1EC2"/>
    <w:rsid w:val="000E25FD"/>
    <w:rsid w:val="000E5E23"/>
    <w:rsid w:val="000E6196"/>
    <w:rsid w:val="000E7B4B"/>
    <w:rsid w:val="000F2644"/>
    <w:rsid w:val="000F397D"/>
    <w:rsid w:val="000F4A7C"/>
    <w:rsid w:val="000F4B2F"/>
    <w:rsid w:val="00101348"/>
    <w:rsid w:val="00101C6A"/>
    <w:rsid w:val="00101D74"/>
    <w:rsid w:val="00104CD0"/>
    <w:rsid w:val="0011045E"/>
    <w:rsid w:val="0011067F"/>
    <w:rsid w:val="00110CB6"/>
    <w:rsid w:val="00111BC1"/>
    <w:rsid w:val="00113560"/>
    <w:rsid w:val="001139A1"/>
    <w:rsid w:val="00116CC8"/>
    <w:rsid w:val="00124096"/>
    <w:rsid w:val="0012624B"/>
    <w:rsid w:val="00126BFB"/>
    <w:rsid w:val="00127E6D"/>
    <w:rsid w:val="00130271"/>
    <w:rsid w:val="00132E3A"/>
    <w:rsid w:val="00133102"/>
    <w:rsid w:val="00133748"/>
    <w:rsid w:val="00133EAE"/>
    <w:rsid w:val="00135361"/>
    <w:rsid w:val="00135F10"/>
    <w:rsid w:val="00140602"/>
    <w:rsid w:val="00141FAE"/>
    <w:rsid w:val="001441DB"/>
    <w:rsid w:val="0014466A"/>
    <w:rsid w:val="00151697"/>
    <w:rsid w:val="00152882"/>
    <w:rsid w:val="00153DAF"/>
    <w:rsid w:val="00155964"/>
    <w:rsid w:val="0015616C"/>
    <w:rsid w:val="0016034C"/>
    <w:rsid w:val="00160E2F"/>
    <w:rsid w:val="001627E8"/>
    <w:rsid w:val="0016543B"/>
    <w:rsid w:val="001658CC"/>
    <w:rsid w:val="0017261F"/>
    <w:rsid w:val="00172B39"/>
    <w:rsid w:val="00176A0C"/>
    <w:rsid w:val="00176A64"/>
    <w:rsid w:val="0017727A"/>
    <w:rsid w:val="00177724"/>
    <w:rsid w:val="00177DD9"/>
    <w:rsid w:val="0018027F"/>
    <w:rsid w:val="00180E3B"/>
    <w:rsid w:val="00183109"/>
    <w:rsid w:val="001832D7"/>
    <w:rsid w:val="00184526"/>
    <w:rsid w:val="00184FB9"/>
    <w:rsid w:val="001855AE"/>
    <w:rsid w:val="00185678"/>
    <w:rsid w:val="0018588B"/>
    <w:rsid w:val="00190457"/>
    <w:rsid w:val="00191CD2"/>
    <w:rsid w:val="00192735"/>
    <w:rsid w:val="00194C13"/>
    <w:rsid w:val="00194D49"/>
    <w:rsid w:val="001969EE"/>
    <w:rsid w:val="001A52E8"/>
    <w:rsid w:val="001A5CD9"/>
    <w:rsid w:val="001A688F"/>
    <w:rsid w:val="001A7E34"/>
    <w:rsid w:val="001B040D"/>
    <w:rsid w:val="001B0497"/>
    <w:rsid w:val="001B061E"/>
    <w:rsid w:val="001B1912"/>
    <w:rsid w:val="001B1A18"/>
    <w:rsid w:val="001B3FA6"/>
    <w:rsid w:val="001B45C4"/>
    <w:rsid w:val="001B483F"/>
    <w:rsid w:val="001B5196"/>
    <w:rsid w:val="001B6224"/>
    <w:rsid w:val="001B65F9"/>
    <w:rsid w:val="001B7CEC"/>
    <w:rsid w:val="001B7CF5"/>
    <w:rsid w:val="001B7FCC"/>
    <w:rsid w:val="001C180D"/>
    <w:rsid w:val="001C266D"/>
    <w:rsid w:val="001C2B43"/>
    <w:rsid w:val="001C3DA1"/>
    <w:rsid w:val="001C464E"/>
    <w:rsid w:val="001C4B29"/>
    <w:rsid w:val="001C5A48"/>
    <w:rsid w:val="001C6E18"/>
    <w:rsid w:val="001D0025"/>
    <w:rsid w:val="001D0B09"/>
    <w:rsid w:val="001D0CCE"/>
    <w:rsid w:val="001D0F60"/>
    <w:rsid w:val="001D3520"/>
    <w:rsid w:val="001D3880"/>
    <w:rsid w:val="001D443E"/>
    <w:rsid w:val="001D4B77"/>
    <w:rsid w:val="001D54C6"/>
    <w:rsid w:val="001D5997"/>
    <w:rsid w:val="001D5EDA"/>
    <w:rsid w:val="001D77B3"/>
    <w:rsid w:val="001E0BFE"/>
    <w:rsid w:val="001E2ACB"/>
    <w:rsid w:val="001E30A8"/>
    <w:rsid w:val="001E39AC"/>
    <w:rsid w:val="001E47CF"/>
    <w:rsid w:val="001F1785"/>
    <w:rsid w:val="001F2211"/>
    <w:rsid w:val="001F235B"/>
    <w:rsid w:val="001F2BC0"/>
    <w:rsid w:val="001F2C4C"/>
    <w:rsid w:val="001F2D26"/>
    <w:rsid w:val="001F59B4"/>
    <w:rsid w:val="001F6DF3"/>
    <w:rsid w:val="001F73EF"/>
    <w:rsid w:val="001F7596"/>
    <w:rsid w:val="001F766C"/>
    <w:rsid w:val="00200081"/>
    <w:rsid w:val="00200A61"/>
    <w:rsid w:val="00201E53"/>
    <w:rsid w:val="00203CB0"/>
    <w:rsid w:val="00204924"/>
    <w:rsid w:val="00205AEF"/>
    <w:rsid w:val="00206525"/>
    <w:rsid w:val="0021073D"/>
    <w:rsid w:val="002135CA"/>
    <w:rsid w:val="0021364A"/>
    <w:rsid w:val="00213BA3"/>
    <w:rsid w:val="00214A53"/>
    <w:rsid w:val="002177D7"/>
    <w:rsid w:val="00217A07"/>
    <w:rsid w:val="00217B31"/>
    <w:rsid w:val="00217B6A"/>
    <w:rsid w:val="002202BD"/>
    <w:rsid w:val="00220635"/>
    <w:rsid w:val="00221729"/>
    <w:rsid w:val="00221D9E"/>
    <w:rsid w:val="00221E87"/>
    <w:rsid w:val="002221DB"/>
    <w:rsid w:val="00223FED"/>
    <w:rsid w:val="00224A69"/>
    <w:rsid w:val="002259E3"/>
    <w:rsid w:val="00225D9F"/>
    <w:rsid w:val="00226008"/>
    <w:rsid w:val="00230018"/>
    <w:rsid w:val="00230944"/>
    <w:rsid w:val="00231024"/>
    <w:rsid w:val="00232709"/>
    <w:rsid w:val="002338EB"/>
    <w:rsid w:val="00233C25"/>
    <w:rsid w:val="00234A1B"/>
    <w:rsid w:val="00242AD9"/>
    <w:rsid w:val="00243BC1"/>
    <w:rsid w:val="00244126"/>
    <w:rsid w:val="00246008"/>
    <w:rsid w:val="0025252C"/>
    <w:rsid w:val="002527F0"/>
    <w:rsid w:val="00252DAC"/>
    <w:rsid w:val="00253881"/>
    <w:rsid w:val="00253A05"/>
    <w:rsid w:val="00255D65"/>
    <w:rsid w:val="00256457"/>
    <w:rsid w:val="00257449"/>
    <w:rsid w:val="00260109"/>
    <w:rsid w:val="002604F0"/>
    <w:rsid w:val="00261545"/>
    <w:rsid w:val="00261A58"/>
    <w:rsid w:val="00263573"/>
    <w:rsid w:val="00263B8B"/>
    <w:rsid w:val="00263F6A"/>
    <w:rsid w:val="00265916"/>
    <w:rsid w:val="002670F4"/>
    <w:rsid w:val="002674DA"/>
    <w:rsid w:val="00270113"/>
    <w:rsid w:val="00272A0B"/>
    <w:rsid w:val="00274072"/>
    <w:rsid w:val="002751A1"/>
    <w:rsid w:val="00277B53"/>
    <w:rsid w:val="0028093F"/>
    <w:rsid w:val="00281AF5"/>
    <w:rsid w:val="00282438"/>
    <w:rsid w:val="00282E38"/>
    <w:rsid w:val="002832E1"/>
    <w:rsid w:val="00283605"/>
    <w:rsid w:val="00284299"/>
    <w:rsid w:val="00285708"/>
    <w:rsid w:val="002858E1"/>
    <w:rsid w:val="00285D99"/>
    <w:rsid w:val="00287890"/>
    <w:rsid w:val="00287EA4"/>
    <w:rsid w:val="00290F37"/>
    <w:rsid w:val="002940F7"/>
    <w:rsid w:val="00294D4C"/>
    <w:rsid w:val="002950F1"/>
    <w:rsid w:val="00297D66"/>
    <w:rsid w:val="002A0464"/>
    <w:rsid w:val="002A3377"/>
    <w:rsid w:val="002A44B1"/>
    <w:rsid w:val="002A570B"/>
    <w:rsid w:val="002A5F67"/>
    <w:rsid w:val="002A6EB2"/>
    <w:rsid w:val="002A772C"/>
    <w:rsid w:val="002B0B9A"/>
    <w:rsid w:val="002B4E84"/>
    <w:rsid w:val="002B67D8"/>
    <w:rsid w:val="002B6DA8"/>
    <w:rsid w:val="002B6DC8"/>
    <w:rsid w:val="002B71B8"/>
    <w:rsid w:val="002B7D67"/>
    <w:rsid w:val="002C0641"/>
    <w:rsid w:val="002C374B"/>
    <w:rsid w:val="002C3A08"/>
    <w:rsid w:val="002C4B42"/>
    <w:rsid w:val="002C5C59"/>
    <w:rsid w:val="002C5EB5"/>
    <w:rsid w:val="002C6B12"/>
    <w:rsid w:val="002C772E"/>
    <w:rsid w:val="002D2D0C"/>
    <w:rsid w:val="002D4D48"/>
    <w:rsid w:val="002D4FCE"/>
    <w:rsid w:val="002D5148"/>
    <w:rsid w:val="002D7050"/>
    <w:rsid w:val="002E24D6"/>
    <w:rsid w:val="002E2C1F"/>
    <w:rsid w:val="002E4E8D"/>
    <w:rsid w:val="002E51EA"/>
    <w:rsid w:val="002E77C8"/>
    <w:rsid w:val="002E7A25"/>
    <w:rsid w:val="002F0BD4"/>
    <w:rsid w:val="002F12EE"/>
    <w:rsid w:val="002F3423"/>
    <w:rsid w:val="002F352B"/>
    <w:rsid w:val="002F3C86"/>
    <w:rsid w:val="002F3EC9"/>
    <w:rsid w:val="002F44FF"/>
    <w:rsid w:val="002F5667"/>
    <w:rsid w:val="002F586E"/>
    <w:rsid w:val="002F5E4C"/>
    <w:rsid w:val="002F6139"/>
    <w:rsid w:val="002F6360"/>
    <w:rsid w:val="002F6647"/>
    <w:rsid w:val="002F6A67"/>
    <w:rsid w:val="00300A05"/>
    <w:rsid w:val="00301FBF"/>
    <w:rsid w:val="003066CA"/>
    <w:rsid w:val="00307E32"/>
    <w:rsid w:val="00310082"/>
    <w:rsid w:val="0031136A"/>
    <w:rsid w:val="00311975"/>
    <w:rsid w:val="00312100"/>
    <w:rsid w:val="003131C5"/>
    <w:rsid w:val="00314220"/>
    <w:rsid w:val="00315D6F"/>
    <w:rsid w:val="003200C8"/>
    <w:rsid w:val="00321740"/>
    <w:rsid w:val="0032216E"/>
    <w:rsid w:val="003229B9"/>
    <w:rsid w:val="00325137"/>
    <w:rsid w:val="00325CC5"/>
    <w:rsid w:val="003311C9"/>
    <w:rsid w:val="0033140A"/>
    <w:rsid w:val="00331B51"/>
    <w:rsid w:val="003331A3"/>
    <w:rsid w:val="00333740"/>
    <w:rsid w:val="00334473"/>
    <w:rsid w:val="003365D9"/>
    <w:rsid w:val="00340C55"/>
    <w:rsid w:val="00341882"/>
    <w:rsid w:val="003419C9"/>
    <w:rsid w:val="003428CF"/>
    <w:rsid w:val="00344598"/>
    <w:rsid w:val="00346792"/>
    <w:rsid w:val="00347506"/>
    <w:rsid w:val="00351E71"/>
    <w:rsid w:val="00351FF9"/>
    <w:rsid w:val="00353D36"/>
    <w:rsid w:val="00354AAB"/>
    <w:rsid w:val="0035741A"/>
    <w:rsid w:val="00357577"/>
    <w:rsid w:val="00361EB4"/>
    <w:rsid w:val="00362159"/>
    <w:rsid w:val="00362512"/>
    <w:rsid w:val="00363B8B"/>
    <w:rsid w:val="00364457"/>
    <w:rsid w:val="0036611F"/>
    <w:rsid w:val="00366BDA"/>
    <w:rsid w:val="003719DB"/>
    <w:rsid w:val="00372DF7"/>
    <w:rsid w:val="00373365"/>
    <w:rsid w:val="0037468E"/>
    <w:rsid w:val="0037653B"/>
    <w:rsid w:val="003770D3"/>
    <w:rsid w:val="00377D68"/>
    <w:rsid w:val="00382934"/>
    <w:rsid w:val="00383233"/>
    <w:rsid w:val="0038543F"/>
    <w:rsid w:val="003878FB"/>
    <w:rsid w:val="00391085"/>
    <w:rsid w:val="00391811"/>
    <w:rsid w:val="00393CC9"/>
    <w:rsid w:val="00396BE1"/>
    <w:rsid w:val="00397C4C"/>
    <w:rsid w:val="00397EE4"/>
    <w:rsid w:val="003A18D7"/>
    <w:rsid w:val="003A1AEF"/>
    <w:rsid w:val="003A1CFF"/>
    <w:rsid w:val="003A2F10"/>
    <w:rsid w:val="003A33FF"/>
    <w:rsid w:val="003A3EAA"/>
    <w:rsid w:val="003B0FA4"/>
    <w:rsid w:val="003B19AE"/>
    <w:rsid w:val="003B3986"/>
    <w:rsid w:val="003B4C18"/>
    <w:rsid w:val="003B6975"/>
    <w:rsid w:val="003C0260"/>
    <w:rsid w:val="003C15F7"/>
    <w:rsid w:val="003C2554"/>
    <w:rsid w:val="003C36F8"/>
    <w:rsid w:val="003C481F"/>
    <w:rsid w:val="003D0EB0"/>
    <w:rsid w:val="003D1F04"/>
    <w:rsid w:val="003D26A3"/>
    <w:rsid w:val="003D4DD6"/>
    <w:rsid w:val="003D5A13"/>
    <w:rsid w:val="003D64FA"/>
    <w:rsid w:val="003D7A5B"/>
    <w:rsid w:val="003E1B58"/>
    <w:rsid w:val="003E3758"/>
    <w:rsid w:val="003E38A7"/>
    <w:rsid w:val="003E60F8"/>
    <w:rsid w:val="003F04C7"/>
    <w:rsid w:val="003F1A1E"/>
    <w:rsid w:val="003F1D57"/>
    <w:rsid w:val="003F231D"/>
    <w:rsid w:val="003F4E10"/>
    <w:rsid w:val="003F5D94"/>
    <w:rsid w:val="00400763"/>
    <w:rsid w:val="00402460"/>
    <w:rsid w:val="0040320B"/>
    <w:rsid w:val="00403AD9"/>
    <w:rsid w:val="00404505"/>
    <w:rsid w:val="00404A2A"/>
    <w:rsid w:val="00405DAE"/>
    <w:rsid w:val="00406A65"/>
    <w:rsid w:val="00407829"/>
    <w:rsid w:val="00407B3E"/>
    <w:rsid w:val="004113EC"/>
    <w:rsid w:val="0041363D"/>
    <w:rsid w:val="0041385E"/>
    <w:rsid w:val="00413EB1"/>
    <w:rsid w:val="00415521"/>
    <w:rsid w:val="00415671"/>
    <w:rsid w:val="00415A15"/>
    <w:rsid w:val="00415CE9"/>
    <w:rsid w:val="00417419"/>
    <w:rsid w:val="004204D7"/>
    <w:rsid w:val="00423E88"/>
    <w:rsid w:val="00432E19"/>
    <w:rsid w:val="004331C0"/>
    <w:rsid w:val="004335D9"/>
    <w:rsid w:val="00435B0E"/>
    <w:rsid w:val="00436518"/>
    <w:rsid w:val="0043694D"/>
    <w:rsid w:val="00440FEE"/>
    <w:rsid w:val="004446B5"/>
    <w:rsid w:val="0044475D"/>
    <w:rsid w:val="00445042"/>
    <w:rsid w:val="00450B5D"/>
    <w:rsid w:val="00452BBF"/>
    <w:rsid w:val="00452E84"/>
    <w:rsid w:val="00457EB4"/>
    <w:rsid w:val="00460731"/>
    <w:rsid w:val="004608B7"/>
    <w:rsid w:val="00461044"/>
    <w:rsid w:val="0046124D"/>
    <w:rsid w:val="004615A5"/>
    <w:rsid w:val="00462102"/>
    <w:rsid w:val="0046259A"/>
    <w:rsid w:val="0046403E"/>
    <w:rsid w:val="00465A9F"/>
    <w:rsid w:val="00465E4A"/>
    <w:rsid w:val="004737BE"/>
    <w:rsid w:val="00474507"/>
    <w:rsid w:val="00477117"/>
    <w:rsid w:val="00484C07"/>
    <w:rsid w:val="00485CEF"/>
    <w:rsid w:val="004873E7"/>
    <w:rsid w:val="0048799D"/>
    <w:rsid w:val="004906AC"/>
    <w:rsid w:val="00490DBD"/>
    <w:rsid w:val="004915DF"/>
    <w:rsid w:val="00494FA7"/>
    <w:rsid w:val="00496F98"/>
    <w:rsid w:val="004A2FAB"/>
    <w:rsid w:val="004A4B75"/>
    <w:rsid w:val="004A545C"/>
    <w:rsid w:val="004A63BC"/>
    <w:rsid w:val="004A790A"/>
    <w:rsid w:val="004B0A2F"/>
    <w:rsid w:val="004B143F"/>
    <w:rsid w:val="004B3E6F"/>
    <w:rsid w:val="004B46DC"/>
    <w:rsid w:val="004B79D4"/>
    <w:rsid w:val="004C0F54"/>
    <w:rsid w:val="004C2A87"/>
    <w:rsid w:val="004C5FF4"/>
    <w:rsid w:val="004D1A73"/>
    <w:rsid w:val="004D1F99"/>
    <w:rsid w:val="004D2ADB"/>
    <w:rsid w:val="004D2E19"/>
    <w:rsid w:val="004D2F77"/>
    <w:rsid w:val="004D3814"/>
    <w:rsid w:val="004D3CDE"/>
    <w:rsid w:val="004D53D0"/>
    <w:rsid w:val="004D5E9A"/>
    <w:rsid w:val="004D6D42"/>
    <w:rsid w:val="004E49FD"/>
    <w:rsid w:val="004E5659"/>
    <w:rsid w:val="004E5CAE"/>
    <w:rsid w:val="004E648E"/>
    <w:rsid w:val="004F3826"/>
    <w:rsid w:val="004F3D6E"/>
    <w:rsid w:val="004F4B1D"/>
    <w:rsid w:val="004F4E4E"/>
    <w:rsid w:val="004F5C99"/>
    <w:rsid w:val="004F5DF5"/>
    <w:rsid w:val="005005E4"/>
    <w:rsid w:val="005024D1"/>
    <w:rsid w:val="005033FB"/>
    <w:rsid w:val="00504269"/>
    <w:rsid w:val="00505E96"/>
    <w:rsid w:val="005065D9"/>
    <w:rsid w:val="00510021"/>
    <w:rsid w:val="00510C18"/>
    <w:rsid w:val="0051255E"/>
    <w:rsid w:val="00513A2B"/>
    <w:rsid w:val="00513B51"/>
    <w:rsid w:val="00514851"/>
    <w:rsid w:val="005151CD"/>
    <w:rsid w:val="005163D7"/>
    <w:rsid w:val="005170D3"/>
    <w:rsid w:val="0051787E"/>
    <w:rsid w:val="005209CD"/>
    <w:rsid w:val="00522777"/>
    <w:rsid w:val="005236C4"/>
    <w:rsid w:val="0052425D"/>
    <w:rsid w:val="00526F16"/>
    <w:rsid w:val="00530040"/>
    <w:rsid w:val="00530BEE"/>
    <w:rsid w:val="00530DB9"/>
    <w:rsid w:val="00532BF0"/>
    <w:rsid w:val="0053389F"/>
    <w:rsid w:val="0053551B"/>
    <w:rsid w:val="00536DDA"/>
    <w:rsid w:val="00540D13"/>
    <w:rsid w:val="00541485"/>
    <w:rsid w:val="005414CF"/>
    <w:rsid w:val="00542C76"/>
    <w:rsid w:val="00543F89"/>
    <w:rsid w:val="0054411E"/>
    <w:rsid w:val="00545BB7"/>
    <w:rsid w:val="00545F6D"/>
    <w:rsid w:val="00546A27"/>
    <w:rsid w:val="005503D0"/>
    <w:rsid w:val="00554DA0"/>
    <w:rsid w:val="005559B1"/>
    <w:rsid w:val="005575D6"/>
    <w:rsid w:val="00557B41"/>
    <w:rsid w:val="005614E2"/>
    <w:rsid w:val="0056255F"/>
    <w:rsid w:val="00563D7B"/>
    <w:rsid w:val="005658FC"/>
    <w:rsid w:val="00566E68"/>
    <w:rsid w:val="00567E22"/>
    <w:rsid w:val="00567FF9"/>
    <w:rsid w:val="005733B7"/>
    <w:rsid w:val="00573D6A"/>
    <w:rsid w:val="0057410B"/>
    <w:rsid w:val="00574403"/>
    <w:rsid w:val="00576787"/>
    <w:rsid w:val="005771C7"/>
    <w:rsid w:val="00582BEC"/>
    <w:rsid w:val="00583C32"/>
    <w:rsid w:val="0058570E"/>
    <w:rsid w:val="0058660A"/>
    <w:rsid w:val="005873E9"/>
    <w:rsid w:val="00587F36"/>
    <w:rsid w:val="005929AF"/>
    <w:rsid w:val="00592EE2"/>
    <w:rsid w:val="005937D0"/>
    <w:rsid w:val="005939FF"/>
    <w:rsid w:val="00593CE1"/>
    <w:rsid w:val="00594A4C"/>
    <w:rsid w:val="0059629A"/>
    <w:rsid w:val="0059642E"/>
    <w:rsid w:val="005A0482"/>
    <w:rsid w:val="005A1F72"/>
    <w:rsid w:val="005A4DEB"/>
    <w:rsid w:val="005A4E19"/>
    <w:rsid w:val="005A6C1F"/>
    <w:rsid w:val="005A730B"/>
    <w:rsid w:val="005A76F8"/>
    <w:rsid w:val="005B07F9"/>
    <w:rsid w:val="005B0FAC"/>
    <w:rsid w:val="005B267D"/>
    <w:rsid w:val="005B4F9A"/>
    <w:rsid w:val="005B5DBE"/>
    <w:rsid w:val="005B7710"/>
    <w:rsid w:val="005C2CFE"/>
    <w:rsid w:val="005C30B4"/>
    <w:rsid w:val="005C31A8"/>
    <w:rsid w:val="005C4DC2"/>
    <w:rsid w:val="005C7108"/>
    <w:rsid w:val="005D0D89"/>
    <w:rsid w:val="005D1061"/>
    <w:rsid w:val="005D1228"/>
    <w:rsid w:val="005D542B"/>
    <w:rsid w:val="005E0DEB"/>
    <w:rsid w:val="005E1C78"/>
    <w:rsid w:val="005F0105"/>
    <w:rsid w:val="005F06A8"/>
    <w:rsid w:val="005F184A"/>
    <w:rsid w:val="005F320A"/>
    <w:rsid w:val="005F53AB"/>
    <w:rsid w:val="005F5703"/>
    <w:rsid w:val="005F703C"/>
    <w:rsid w:val="005F746F"/>
    <w:rsid w:val="005F7F95"/>
    <w:rsid w:val="0060340D"/>
    <w:rsid w:val="006037B8"/>
    <w:rsid w:val="00607C0F"/>
    <w:rsid w:val="00612554"/>
    <w:rsid w:val="00614EED"/>
    <w:rsid w:val="006211E9"/>
    <w:rsid w:val="00621890"/>
    <w:rsid w:val="00622560"/>
    <w:rsid w:val="00623CBD"/>
    <w:rsid w:val="00624444"/>
    <w:rsid w:val="0062597F"/>
    <w:rsid w:val="00625A93"/>
    <w:rsid w:val="00625FDD"/>
    <w:rsid w:val="00626D7F"/>
    <w:rsid w:val="00630A36"/>
    <w:rsid w:val="00630EB0"/>
    <w:rsid w:val="00630EE2"/>
    <w:rsid w:val="006334E2"/>
    <w:rsid w:val="00634E8B"/>
    <w:rsid w:val="006361B6"/>
    <w:rsid w:val="006363A9"/>
    <w:rsid w:val="00640839"/>
    <w:rsid w:val="00641D3C"/>
    <w:rsid w:val="0064230E"/>
    <w:rsid w:val="00642E8A"/>
    <w:rsid w:val="006440B5"/>
    <w:rsid w:val="006447BB"/>
    <w:rsid w:val="006456D7"/>
    <w:rsid w:val="00650EB4"/>
    <w:rsid w:val="006528D6"/>
    <w:rsid w:val="00654649"/>
    <w:rsid w:val="006549A5"/>
    <w:rsid w:val="00656FD1"/>
    <w:rsid w:val="00657F11"/>
    <w:rsid w:val="00660DEF"/>
    <w:rsid w:val="00661CB5"/>
    <w:rsid w:val="006640D5"/>
    <w:rsid w:val="00665E61"/>
    <w:rsid w:val="0066614F"/>
    <w:rsid w:val="006733DC"/>
    <w:rsid w:val="00673605"/>
    <w:rsid w:val="006742F5"/>
    <w:rsid w:val="00675A08"/>
    <w:rsid w:val="0067617A"/>
    <w:rsid w:val="00681DD7"/>
    <w:rsid w:val="006826D5"/>
    <w:rsid w:val="00686DA8"/>
    <w:rsid w:val="00687468"/>
    <w:rsid w:val="0069140C"/>
    <w:rsid w:val="006917E2"/>
    <w:rsid w:val="00691CF7"/>
    <w:rsid w:val="00694966"/>
    <w:rsid w:val="006977BC"/>
    <w:rsid w:val="006A0785"/>
    <w:rsid w:val="006A0D3A"/>
    <w:rsid w:val="006A253F"/>
    <w:rsid w:val="006A2B7A"/>
    <w:rsid w:val="006A2EE3"/>
    <w:rsid w:val="006B1078"/>
    <w:rsid w:val="006B3B21"/>
    <w:rsid w:val="006C2067"/>
    <w:rsid w:val="006C47EB"/>
    <w:rsid w:val="006D0E5C"/>
    <w:rsid w:val="006D4614"/>
    <w:rsid w:val="006D46A8"/>
    <w:rsid w:val="006D505B"/>
    <w:rsid w:val="006D579E"/>
    <w:rsid w:val="006D6C3A"/>
    <w:rsid w:val="006E2379"/>
    <w:rsid w:val="006E3163"/>
    <w:rsid w:val="006E514F"/>
    <w:rsid w:val="006E5B0E"/>
    <w:rsid w:val="006F0B55"/>
    <w:rsid w:val="006F3959"/>
    <w:rsid w:val="006F4D97"/>
    <w:rsid w:val="006F5981"/>
    <w:rsid w:val="006F5CA7"/>
    <w:rsid w:val="006F63ED"/>
    <w:rsid w:val="006F665F"/>
    <w:rsid w:val="00700413"/>
    <w:rsid w:val="007024F8"/>
    <w:rsid w:val="00707BAE"/>
    <w:rsid w:val="0071212A"/>
    <w:rsid w:val="00712CB5"/>
    <w:rsid w:val="00712F29"/>
    <w:rsid w:val="00713085"/>
    <w:rsid w:val="00713EF6"/>
    <w:rsid w:val="00715D9A"/>
    <w:rsid w:val="00717F11"/>
    <w:rsid w:val="00722616"/>
    <w:rsid w:val="00722824"/>
    <w:rsid w:val="007238F2"/>
    <w:rsid w:val="00724D5D"/>
    <w:rsid w:val="0072503F"/>
    <w:rsid w:val="00726CAD"/>
    <w:rsid w:val="00732E6B"/>
    <w:rsid w:val="00735D30"/>
    <w:rsid w:val="00737113"/>
    <w:rsid w:val="00737B09"/>
    <w:rsid w:val="0074101D"/>
    <w:rsid w:val="007414EC"/>
    <w:rsid w:val="007426FE"/>
    <w:rsid w:val="00744DFA"/>
    <w:rsid w:val="0074697F"/>
    <w:rsid w:val="00746EDD"/>
    <w:rsid w:val="00747282"/>
    <w:rsid w:val="00751D5E"/>
    <w:rsid w:val="00752590"/>
    <w:rsid w:val="00754298"/>
    <w:rsid w:val="007555B4"/>
    <w:rsid w:val="00755F14"/>
    <w:rsid w:val="007606F5"/>
    <w:rsid w:val="00760CE1"/>
    <w:rsid w:val="007630F1"/>
    <w:rsid w:val="00763979"/>
    <w:rsid w:val="00765DB7"/>
    <w:rsid w:val="00770927"/>
    <w:rsid w:val="0077264C"/>
    <w:rsid w:val="007745E1"/>
    <w:rsid w:val="00775558"/>
    <w:rsid w:val="00775B2A"/>
    <w:rsid w:val="0077703B"/>
    <w:rsid w:val="007821B5"/>
    <w:rsid w:val="0078335F"/>
    <w:rsid w:val="00783E03"/>
    <w:rsid w:val="00784A27"/>
    <w:rsid w:val="00786CE4"/>
    <w:rsid w:val="00787318"/>
    <w:rsid w:val="007909F0"/>
    <w:rsid w:val="00792974"/>
    <w:rsid w:val="00792C5B"/>
    <w:rsid w:val="00794C2B"/>
    <w:rsid w:val="0079550B"/>
    <w:rsid w:val="00796F21"/>
    <w:rsid w:val="007A1264"/>
    <w:rsid w:val="007A3FF0"/>
    <w:rsid w:val="007A439C"/>
    <w:rsid w:val="007A4513"/>
    <w:rsid w:val="007A4EAB"/>
    <w:rsid w:val="007A61E5"/>
    <w:rsid w:val="007B0BA1"/>
    <w:rsid w:val="007B2012"/>
    <w:rsid w:val="007B7EF4"/>
    <w:rsid w:val="007C0F53"/>
    <w:rsid w:val="007C18DA"/>
    <w:rsid w:val="007C1CAD"/>
    <w:rsid w:val="007C25B5"/>
    <w:rsid w:val="007C38CE"/>
    <w:rsid w:val="007C43CC"/>
    <w:rsid w:val="007C5B0E"/>
    <w:rsid w:val="007C5C3B"/>
    <w:rsid w:val="007C6184"/>
    <w:rsid w:val="007C67BF"/>
    <w:rsid w:val="007C704E"/>
    <w:rsid w:val="007C7EBB"/>
    <w:rsid w:val="007D0CF0"/>
    <w:rsid w:val="007D2C5E"/>
    <w:rsid w:val="007D3434"/>
    <w:rsid w:val="007D347B"/>
    <w:rsid w:val="007D5869"/>
    <w:rsid w:val="007D6331"/>
    <w:rsid w:val="007D6E53"/>
    <w:rsid w:val="007D73A7"/>
    <w:rsid w:val="007D75D6"/>
    <w:rsid w:val="007D76C3"/>
    <w:rsid w:val="007E0324"/>
    <w:rsid w:val="007E1160"/>
    <w:rsid w:val="007E330A"/>
    <w:rsid w:val="007E5AA9"/>
    <w:rsid w:val="007E6ACD"/>
    <w:rsid w:val="007E6AF4"/>
    <w:rsid w:val="007E742D"/>
    <w:rsid w:val="007F0300"/>
    <w:rsid w:val="007F08E9"/>
    <w:rsid w:val="007F3BF4"/>
    <w:rsid w:val="007F55BD"/>
    <w:rsid w:val="007F7AE5"/>
    <w:rsid w:val="0080094F"/>
    <w:rsid w:val="00800B1A"/>
    <w:rsid w:val="008028BF"/>
    <w:rsid w:val="00805026"/>
    <w:rsid w:val="00805123"/>
    <w:rsid w:val="008053C0"/>
    <w:rsid w:val="0080615F"/>
    <w:rsid w:val="00807074"/>
    <w:rsid w:val="00807A20"/>
    <w:rsid w:val="00807C4E"/>
    <w:rsid w:val="00810062"/>
    <w:rsid w:val="00813308"/>
    <w:rsid w:val="008138E3"/>
    <w:rsid w:val="00816825"/>
    <w:rsid w:val="00817C55"/>
    <w:rsid w:val="0082082A"/>
    <w:rsid w:val="0082306D"/>
    <w:rsid w:val="00823FAA"/>
    <w:rsid w:val="00824377"/>
    <w:rsid w:val="008252A7"/>
    <w:rsid w:val="008258AC"/>
    <w:rsid w:val="00825DAE"/>
    <w:rsid w:val="00826E92"/>
    <w:rsid w:val="00830EB4"/>
    <w:rsid w:val="0083123E"/>
    <w:rsid w:val="00831482"/>
    <w:rsid w:val="00832BF6"/>
    <w:rsid w:val="00834323"/>
    <w:rsid w:val="008372A3"/>
    <w:rsid w:val="00840061"/>
    <w:rsid w:val="008423AA"/>
    <w:rsid w:val="008451AB"/>
    <w:rsid w:val="008463DD"/>
    <w:rsid w:val="008477E6"/>
    <w:rsid w:val="00847914"/>
    <w:rsid w:val="008504BA"/>
    <w:rsid w:val="00850CAF"/>
    <w:rsid w:val="00851075"/>
    <w:rsid w:val="00851E9F"/>
    <w:rsid w:val="00854D2B"/>
    <w:rsid w:val="00855117"/>
    <w:rsid w:val="00856D5B"/>
    <w:rsid w:val="00860B6B"/>
    <w:rsid w:val="00861673"/>
    <w:rsid w:val="00861A95"/>
    <w:rsid w:val="00863B56"/>
    <w:rsid w:val="00864898"/>
    <w:rsid w:val="008648A5"/>
    <w:rsid w:val="00865433"/>
    <w:rsid w:val="00865694"/>
    <w:rsid w:val="00866473"/>
    <w:rsid w:val="008671B5"/>
    <w:rsid w:val="008678C7"/>
    <w:rsid w:val="00876684"/>
    <w:rsid w:val="00876D3E"/>
    <w:rsid w:val="008777DE"/>
    <w:rsid w:val="00882B58"/>
    <w:rsid w:val="008837CB"/>
    <w:rsid w:val="0088637C"/>
    <w:rsid w:val="0088683F"/>
    <w:rsid w:val="0088759F"/>
    <w:rsid w:val="00887A2D"/>
    <w:rsid w:val="0089123F"/>
    <w:rsid w:val="0089200B"/>
    <w:rsid w:val="008949C0"/>
    <w:rsid w:val="008A129A"/>
    <w:rsid w:val="008A2E1B"/>
    <w:rsid w:val="008A2F43"/>
    <w:rsid w:val="008A4CDC"/>
    <w:rsid w:val="008A536B"/>
    <w:rsid w:val="008A5535"/>
    <w:rsid w:val="008A750A"/>
    <w:rsid w:val="008A7893"/>
    <w:rsid w:val="008B173C"/>
    <w:rsid w:val="008B3707"/>
    <w:rsid w:val="008B4104"/>
    <w:rsid w:val="008B47A3"/>
    <w:rsid w:val="008C1C8E"/>
    <w:rsid w:val="008C24C1"/>
    <w:rsid w:val="008C4C52"/>
    <w:rsid w:val="008C722E"/>
    <w:rsid w:val="008D0170"/>
    <w:rsid w:val="008D116E"/>
    <w:rsid w:val="008D1DFA"/>
    <w:rsid w:val="008D23AB"/>
    <w:rsid w:val="008D4E75"/>
    <w:rsid w:val="008D5CA3"/>
    <w:rsid w:val="008D6DC9"/>
    <w:rsid w:val="008E40F0"/>
    <w:rsid w:val="008E4A83"/>
    <w:rsid w:val="008E534A"/>
    <w:rsid w:val="008E5AB0"/>
    <w:rsid w:val="008E79BE"/>
    <w:rsid w:val="008F0369"/>
    <w:rsid w:val="008F09AC"/>
    <w:rsid w:val="008F0C80"/>
    <w:rsid w:val="008F2E68"/>
    <w:rsid w:val="008F3079"/>
    <w:rsid w:val="008F445E"/>
    <w:rsid w:val="008F4FCD"/>
    <w:rsid w:val="008F681E"/>
    <w:rsid w:val="00903E50"/>
    <w:rsid w:val="00904347"/>
    <w:rsid w:val="00905361"/>
    <w:rsid w:val="00906093"/>
    <w:rsid w:val="0090731B"/>
    <w:rsid w:val="0090749E"/>
    <w:rsid w:val="00912D73"/>
    <w:rsid w:val="00913419"/>
    <w:rsid w:val="00913F47"/>
    <w:rsid w:val="00914F79"/>
    <w:rsid w:val="0091507A"/>
    <w:rsid w:val="0092294C"/>
    <w:rsid w:val="00923C1C"/>
    <w:rsid w:val="00925696"/>
    <w:rsid w:val="00925D96"/>
    <w:rsid w:val="00926379"/>
    <w:rsid w:val="00931B92"/>
    <w:rsid w:val="00933A72"/>
    <w:rsid w:val="00934972"/>
    <w:rsid w:val="00934F64"/>
    <w:rsid w:val="00935A11"/>
    <w:rsid w:val="00935FA9"/>
    <w:rsid w:val="00940A78"/>
    <w:rsid w:val="009426E9"/>
    <w:rsid w:val="009438CA"/>
    <w:rsid w:val="00945F01"/>
    <w:rsid w:val="00946094"/>
    <w:rsid w:val="009475A9"/>
    <w:rsid w:val="00947BE7"/>
    <w:rsid w:val="00953679"/>
    <w:rsid w:val="00954E2D"/>
    <w:rsid w:val="00955DB8"/>
    <w:rsid w:val="009575C3"/>
    <w:rsid w:val="00960A0D"/>
    <w:rsid w:val="00960D4E"/>
    <w:rsid w:val="00963499"/>
    <w:rsid w:val="00963575"/>
    <w:rsid w:val="00963A57"/>
    <w:rsid w:val="009668FC"/>
    <w:rsid w:val="00967DD5"/>
    <w:rsid w:val="0097104C"/>
    <w:rsid w:val="009728B6"/>
    <w:rsid w:val="00972942"/>
    <w:rsid w:val="00974483"/>
    <w:rsid w:val="009807E0"/>
    <w:rsid w:val="00980EB8"/>
    <w:rsid w:val="009822A2"/>
    <w:rsid w:val="00982CFE"/>
    <w:rsid w:val="00984B1B"/>
    <w:rsid w:val="00991739"/>
    <w:rsid w:val="00993F5D"/>
    <w:rsid w:val="009A11A0"/>
    <w:rsid w:val="009A2B76"/>
    <w:rsid w:val="009A42A4"/>
    <w:rsid w:val="009A46E0"/>
    <w:rsid w:val="009B052C"/>
    <w:rsid w:val="009B1BFA"/>
    <w:rsid w:val="009C0CE9"/>
    <w:rsid w:val="009C3EDB"/>
    <w:rsid w:val="009C4132"/>
    <w:rsid w:val="009C5FAB"/>
    <w:rsid w:val="009C7413"/>
    <w:rsid w:val="009C7B3E"/>
    <w:rsid w:val="009D180F"/>
    <w:rsid w:val="009D6195"/>
    <w:rsid w:val="009D70D2"/>
    <w:rsid w:val="009D7D13"/>
    <w:rsid w:val="009D7E71"/>
    <w:rsid w:val="009D7FBB"/>
    <w:rsid w:val="009E0051"/>
    <w:rsid w:val="009E0C3E"/>
    <w:rsid w:val="009E6EB4"/>
    <w:rsid w:val="009F3476"/>
    <w:rsid w:val="009F36CD"/>
    <w:rsid w:val="009F5528"/>
    <w:rsid w:val="009F636F"/>
    <w:rsid w:val="00A011F6"/>
    <w:rsid w:val="00A014DB"/>
    <w:rsid w:val="00A01FC3"/>
    <w:rsid w:val="00A03F69"/>
    <w:rsid w:val="00A05348"/>
    <w:rsid w:val="00A0746A"/>
    <w:rsid w:val="00A103BE"/>
    <w:rsid w:val="00A11035"/>
    <w:rsid w:val="00A15179"/>
    <w:rsid w:val="00A15B8F"/>
    <w:rsid w:val="00A16E59"/>
    <w:rsid w:val="00A1793B"/>
    <w:rsid w:val="00A17990"/>
    <w:rsid w:val="00A2298C"/>
    <w:rsid w:val="00A2431A"/>
    <w:rsid w:val="00A24A5B"/>
    <w:rsid w:val="00A25747"/>
    <w:rsid w:val="00A306BD"/>
    <w:rsid w:val="00A306EC"/>
    <w:rsid w:val="00A338BB"/>
    <w:rsid w:val="00A357D8"/>
    <w:rsid w:val="00A35FB9"/>
    <w:rsid w:val="00A40E15"/>
    <w:rsid w:val="00A41EA7"/>
    <w:rsid w:val="00A424EA"/>
    <w:rsid w:val="00A438A1"/>
    <w:rsid w:val="00A4463C"/>
    <w:rsid w:val="00A44E91"/>
    <w:rsid w:val="00A452DD"/>
    <w:rsid w:val="00A46177"/>
    <w:rsid w:val="00A477B0"/>
    <w:rsid w:val="00A4783E"/>
    <w:rsid w:val="00A5108C"/>
    <w:rsid w:val="00A5198F"/>
    <w:rsid w:val="00A53534"/>
    <w:rsid w:val="00A53888"/>
    <w:rsid w:val="00A541B9"/>
    <w:rsid w:val="00A568A2"/>
    <w:rsid w:val="00A60694"/>
    <w:rsid w:val="00A62BC6"/>
    <w:rsid w:val="00A63477"/>
    <w:rsid w:val="00A714C6"/>
    <w:rsid w:val="00A7169D"/>
    <w:rsid w:val="00A72D45"/>
    <w:rsid w:val="00A74C17"/>
    <w:rsid w:val="00A8109A"/>
    <w:rsid w:val="00A8128C"/>
    <w:rsid w:val="00A82504"/>
    <w:rsid w:val="00A82B87"/>
    <w:rsid w:val="00A84AEB"/>
    <w:rsid w:val="00A84DEB"/>
    <w:rsid w:val="00A91B4E"/>
    <w:rsid w:val="00A923A9"/>
    <w:rsid w:val="00A937FF"/>
    <w:rsid w:val="00A941AD"/>
    <w:rsid w:val="00A97D7C"/>
    <w:rsid w:val="00AA17A3"/>
    <w:rsid w:val="00AA212C"/>
    <w:rsid w:val="00AB31BD"/>
    <w:rsid w:val="00AB320A"/>
    <w:rsid w:val="00AB7C51"/>
    <w:rsid w:val="00AC115A"/>
    <w:rsid w:val="00AC1A5C"/>
    <w:rsid w:val="00AC1F2B"/>
    <w:rsid w:val="00AC4AFD"/>
    <w:rsid w:val="00AC5BC4"/>
    <w:rsid w:val="00AC66D0"/>
    <w:rsid w:val="00AC6A55"/>
    <w:rsid w:val="00AD22B8"/>
    <w:rsid w:val="00AD358B"/>
    <w:rsid w:val="00AD3F5A"/>
    <w:rsid w:val="00AD4293"/>
    <w:rsid w:val="00AD756F"/>
    <w:rsid w:val="00AD7F43"/>
    <w:rsid w:val="00AE008B"/>
    <w:rsid w:val="00AE0BB9"/>
    <w:rsid w:val="00AE12BB"/>
    <w:rsid w:val="00AE1F31"/>
    <w:rsid w:val="00AE4E0A"/>
    <w:rsid w:val="00AE5D8E"/>
    <w:rsid w:val="00AE6CB5"/>
    <w:rsid w:val="00AF17AF"/>
    <w:rsid w:val="00AF1A43"/>
    <w:rsid w:val="00AF27D8"/>
    <w:rsid w:val="00AF2E24"/>
    <w:rsid w:val="00AF4205"/>
    <w:rsid w:val="00AF49A2"/>
    <w:rsid w:val="00AF53EE"/>
    <w:rsid w:val="00AF5E2B"/>
    <w:rsid w:val="00AF6CAD"/>
    <w:rsid w:val="00AF79B7"/>
    <w:rsid w:val="00AF7F6F"/>
    <w:rsid w:val="00AF7FA6"/>
    <w:rsid w:val="00B01515"/>
    <w:rsid w:val="00B04BF4"/>
    <w:rsid w:val="00B06EF5"/>
    <w:rsid w:val="00B07701"/>
    <w:rsid w:val="00B07945"/>
    <w:rsid w:val="00B125AD"/>
    <w:rsid w:val="00B131F4"/>
    <w:rsid w:val="00B1476F"/>
    <w:rsid w:val="00B153D4"/>
    <w:rsid w:val="00B16493"/>
    <w:rsid w:val="00B23122"/>
    <w:rsid w:val="00B23CB3"/>
    <w:rsid w:val="00B23F81"/>
    <w:rsid w:val="00B242C5"/>
    <w:rsid w:val="00B24756"/>
    <w:rsid w:val="00B2609F"/>
    <w:rsid w:val="00B26FD8"/>
    <w:rsid w:val="00B27A5F"/>
    <w:rsid w:val="00B30AE8"/>
    <w:rsid w:val="00B37C2D"/>
    <w:rsid w:val="00B42CC5"/>
    <w:rsid w:val="00B4466C"/>
    <w:rsid w:val="00B44CC4"/>
    <w:rsid w:val="00B45F26"/>
    <w:rsid w:val="00B50346"/>
    <w:rsid w:val="00B51564"/>
    <w:rsid w:val="00B518D1"/>
    <w:rsid w:val="00B5223A"/>
    <w:rsid w:val="00B52EC1"/>
    <w:rsid w:val="00B55EEF"/>
    <w:rsid w:val="00B56E0B"/>
    <w:rsid w:val="00B5779D"/>
    <w:rsid w:val="00B61297"/>
    <w:rsid w:val="00B61E3B"/>
    <w:rsid w:val="00B63902"/>
    <w:rsid w:val="00B63B96"/>
    <w:rsid w:val="00B64C5A"/>
    <w:rsid w:val="00B669D1"/>
    <w:rsid w:val="00B70840"/>
    <w:rsid w:val="00B75E29"/>
    <w:rsid w:val="00B76238"/>
    <w:rsid w:val="00B76E6D"/>
    <w:rsid w:val="00B7778D"/>
    <w:rsid w:val="00B80BF8"/>
    <w:rsid w:val="00B81439"/>
    <w:rsid w:val="00B82086"/>
    <w:rsid w:val="00B82366"/>
    <w:rsid w:val="00B82529"/>
    <w:rsid w:val="00B85C80"/>
    <w:rsid w:val="00B869C7"/>
    <w:rsid w:val="00B87BC9"/>
    <w:rsid w:val="00B918A4"/>
    <w:rsid w:val="00B933AC"/>
    <w:rsid w:val="00B9432F"/>
    <w:rsid w:val="00B945C0"/>
    <w:rsid w:val="00B979D9"/>
    <w:rsid w:val="00BA0A03"/>
    <w:rsid w:val="00BA112F"/>
    <w:rsid w:val="00BA1B7E"/>
    <w:rsid w:val="00BA3167"/>
    <w:rsid w:val="00BA40AC"/>
    <w:rsid w:val="00BA75C1"/>
    <w:rsid w:val="00BA7E95"/>
    <w:rsid w:val="00BB075B"/>
    <w:rsid w:val="00BB273A"/>
    <w:rsid w:val="00BB3203"/>
    <w:rsid w:val="00BB5A3F"/>
    <w:rsid w:val="00BB5E70"/>
    <w:rsid w:val="00BB5E89"/>
    <w:rsid w:val="00BB67C2"/>
    <w:rsid w:val="00BC0645"/>
    <w:rsid w:val="00BC4E09"/>
    <w:rsid w:val="00BC523A"/>
    <w:rsid w:val="00BD19FA"/>
    <w:rsid w:val="00BD1A71"/>
    <w:rsid w:val="00BD3110"/>
    <w:rsid w:val="00BD3726"/>
    <w:rsid w:val="00BD443F"/>
    <w:rsid w:val="00BD6519"/>
    <w:rsid w:val="00BD6B09"/>
    <w:rsid w:val="00BD6B86"/>
    <w:rsid w:val="00BE2162"/>
    <w:rsid w:val="00BE24A3"/>
    <w:rsid w:val="00BE2646"/>
    <w:rsid w:val="00BE34CC"/>
    <w:rsid w:val="00BF11D2"/>
    <w:rsid w:val="00BF12AE"/>
    <w:rsid w:val="00BF1E25"/>
    <w:rsid w:val="00BF4692"/>
    <w:rsid w:val="00BF4B20"/>
    <w:rsid w:val="00BF4E56"/>
    <w:rsid w:val="00BF754C"/>
    <w:rsid w:val="00C00866"/>
    <w:rsid w:val="00C00A3B"/>
    <w:rsid w:val="00C01B50"/>
    <w:rsid w:val="00C0210B"/>
    <w:rsid w:val="00C02B15"/>
    <w:rsid w:val="00C02C6F"/>
    <w:rsid w:val="00C06A9E"/>
    <w:rsid w:val="00C06CD9"/>
    <w:rsid w:val="00C1025A"/>
    <w:rsid w:val="00C1345D"/>
    <w:rsid w:val="00C15B3B"/>
    <w:rsid w:val="00C17B2B"/>
    <w:rsid w:val="00C17BFE"/>
    <w:rsid w:val="00C20212"/>
    <w:rsid w:val="00C2431C"/>
    <w:rsid w:val="00C24F90"/>
    <w:rsid w:val="00C264D3"/>
    <w:rsid w:val="00C2668E"/>
    <w:rsid w:val="00C26CE8"/>
    <w:rsid w:val="00C308F5"/>
    <w:rsid w:val="00C3172B"/>
    <w:rsid w:val="00C32B88"/>
    <w:rsid w:val="00C335E9"/>
    <w:rsid w:val="00C34149"/>
    <w:rsid w:val="00C3517C"/>
    <w:rsid w:val="00C3572E"/>
    <w:rsid w:val="00C35BC3"/>
    <w:rsid w:val="00C35FA1"/>
    <w:rsid w:val="00C36FA5"/>
    <w:rsid w:val="00C41762"/>
    <w:rsid w:val="00C41CE2"/>
    <w:rsid w:val="00C44D2D"/>
    <w:rsid w:val="00C45964"/>
    <w:rsid w:val="00C47C43"/>
    <w:rsid w:val="00C5052F"/>
    <w:rsid w:val="00C52F30"/>
    <w:rsid w:val="00C55D64"/>
    <w:rsid w:val="00C5757B"/>
    <w:rsid w:val="00C60AFB"/>
    <w:rsid w:val="00C61635"/>
    <w:rsid w:val="00C6275A"/>
    <w:rsid w:val="00C64DE2"/>
    <w:rsid w:val="00C704A5"/>
    <w:rsid w:val="00C728C8"/>
    <w:rsid w:val="00C72A74"/>
    <w:rsid w:val="00C72CB8"/>
    <w:rsid w:val="00C74C12"/>
    <w:rsid w:val="00C74F1A"/>
    <w:rsid w:val="00C75222"/>
    <w:rsid w:val="00C76370"/>
    <w:rsid w:val="00C7799B"/>
    <w:rsid w:val="00C81461"/>
    <w:rsid w:val="00C814D7"/>
    <w:rsid w:val="00C85100"/>
    <w:rsid w:val="00C852E0"/>
    <w:rsid w:val="00C90170"/>
    <w:rsid w:val="00C93534"/>
    <w:rsid w:val="00C94BDC"/>
    <w:rsid w:val="00C96A91"/>
    <w:rsid w:val="00C97E2B"/>
    <w:rsid w:val="00C97EDC"/>
    <w:rsid w:val="00CA09FB"/>
    <w:rsid w:val="00CA22F8"/>
    <w:rsid w:val="00CA377D"/>
    <w:rsid w:val="00CA37B1"/>
    <w:rsid w:val="00CA43BC"/>
    <w:rsid w:val="00CA44FA"/>
    <w:rsid w:val="00CA671C"/>
    <w:rsid w:val="00CA7FB5"/>
    <w:rsid w:val="00CB41C2"/>
    <w:rsid w:val="00CB587D"/>
    <w:rsid w:val="00CB68BE"/>
    <w:rsid w:val="00CB7C42"/>
    <w:rsid w:val="00CC0E6E"/>
    <w:rsid w:val="00CC1650"/>
    <w:rsid w:val="00CC1FE4"/>
    <w:rsid w:val="00CC3714"/>
    <w:rsid w:val="00CC409B"/>
    <w:rsid w:val="00CC76E1"/>
    <w:rsid w:val="00CC7F2F"/>
    <w:rsid w:val="00CD1151"/>
    <w:rsid w:val="00CD11B1"/>
    <w:rsid w:val="00CD161A"/>
    <w:rsid w:val="00CD1830"/>
    <w:rsid w:val="00CD1A0D"/>
    <w:rsid w:val="00CD1C28"/>
    <w:rsid w:val="00CD26B6"/>
    <w:rsid w:val="00CD49EF"/>
    <w:rsid w:val="00CD5417"/>
    <w:rsid w:val="00CD54D6"/>
    <w:rsid w:val="00CD6CEC"/>
    <w:rsid w:val="00CE2876"/>
    <w:rsid w:val="00CE4BB4"/>
    <w:rsid w:val="00CF259A"/>
    <w:rsid w:val="00CF28EE"/>
    <w:rsid w:val="00CF4ACB"/>
    <w:rsid w:val="00CF4EA2"/>
    <w:rsid w:val="00CF4F8F"/>
    <w:rsid w:val="00CF63CD"/>
    <w:rsid w:val="00D0249A"/>
    <w:rsid w:val="00D036F9"/>
    <w:rsid w:val="00D047C6"/>
    <w:rsid w:val="00D04BCE"/>
    <w:rsid w:val="00D04E9B"/>
    <w:rsid w:val="00D0655A"/>
    <w:rsid w:val="00D070CF"/>
    <w:rsid w:val="00D07132"/>
    <w:rsid w:val="00D1009E"/>
    <w:rsid w:val="00D118DB"/>
    <w:rsid w:val="00D12AEA"/>
    <w:rsid w:val="00D21A07"/>
    <w:rsid w:val="00D2260A"/>
    <w:rsid w:val="00D242B2"/>
    <w:rsid w:val="00D263BA"/>
    <w:rsid w:val="00D27D2C"/>
    <w:rsid w:val="00D303F5"/>
    <w:rsid w:val="00D334B1"/>
    <w:rsid w:val="00D34D48"/>
    <w:rsid w:val="00D358C6"/>
    <w:rsid w:val="00D42FC9"/>
    <w:rsid w:val="00D4420C"/>
    <w:rsid w:val="00D50C3E"/>
    <w:rsid w:val="00D545EF"/>
    <w:rsid w:val="00D55928"/>
    <w:rsid w:val="00D57F8A"/>
    <w:rsid w:val="00D601A1"/>
    <w:rsid w:val="00D60846"/>
    <w:rsid w:val="00D60C80"/>
    <w:rsid w:val="00D615BB"/>
    <w:rsid w:val="00D618F3"/>
    <w:rsid w:val="00D6208D"/>
    <w:rsid w:val="00D6277B"/>
    <w:rsid w:val="00D62DBD"/>
    <w:rsid w:val="00D62F8E"/>
    <w:rsid w:val="00D63B5C"/>
    <w:rsid w:val="00D64624"/>
    <w:rsid w:val="00D70538"/>
    <w:rsid w:val="00D714EC"/>
    <w:rsid w:val="00D715C2"/>
    <w:rsid w:val="00D76965"/>
    <w:rsid w:val="00D77552"/>
    <w:rsid w:val="00D777FA"/>
    <w:rsid w:val="00D80163"/>
    <w:rsid w:val="00D84592"/>
    <w:rsid w:val="00D8604A"/>
    <w:rsid w:val="00D86E9B"/>
    <w:rsid w:val="00D86FEC"/>
    <w:rsid w:val="00D92C2E"/>
    <w:rsid w:val="00D97C75"/>
    <w:rsid w:val="00DA24D9"/>
    <w:rsid w:val="00DA3466"/>
    <w:rsid w:val="00DA4374"/>
    <w:rsid w:val="00DA76D2"/>
    <w:rsid w:val="00DA7FEE"/>
    <w:rsid w:val="00DB2498"/>
    <w:rsid w:val="00DB420C"/>
    <w:rsid w:val="00DB486C"/>
    <w:rsid w:val="00DB4E43"/>
    <w:rsid w:val="00DB5D98"/>
    <w:rsid w:val="00DC0C1B"/>
    <w:rsid w:val="00DC2305"/>
    <w:rsid w:val="00DC2603"/>
    <w:rsid w:val="00DC2F8F"/>
    <w:rsid w:val="00DC2FC9"/>
    <w:rsid w:val="00DC3128"/>
    <w:rsid w:val="00DC534D"/>
    <w:rsid w:val="00DD14F3"/>
    <w:rsid w:val="00DD1C55"/>
    <w:rsid w:val="00DD2A17"/>
    <w:rsid w:val="00DD2DF6"/>
    <w:rsid w:val="00DD31C8"/>
    <w:rsid w:val="00DD5FFF"/>
    <w:rsid w:val="00DD65D6"/>
    <w:rsid w:val="00DE0364"/>
    <w:rsid w:val="00DE15CC"/>
    <w:rsid w:val="00DE17FA"/>
    <w:rsid w:val="00DE1C23"/>
    <w:rsid w:val="00DE2440"/>
    <w:rsid w:val="00DE5911"/>
    <w:rsid w:val="00DE6557"/>
    <w:rsid w:val="00DE6A1C"/>
    <w:rsid w:val="00DE7B4B"/>
    <w:rsid w:val="00DF132A"/>
    <w:rsid w:val="00DF3AE9"/>
    <w:rsid w:val="00DF3C1D"/>
    <w:rsid w:val="00DF4004"/>
    <w:rsid w:val="00DF7128"/>
    <w:rsid w:val="00E02E25"/>
    <w:rsid w:val="00E030E0"/>
    <w:rsid w:val="00E03421"/>
    <w:rsid w:val="00E0539D"/>
    <w:rsid w:val="00E0782F"/>
    <w:rsid w:val="00E12809"/>
    <w:rsid w:val="00E13A8C"/>
    <w:rsid w:val="00E1434B"/>
    <w:rsid w:val="00E21AB1"/>
    <w:rsid w:val="00E21CDF"/>
    <w:rsid w:val="00E2265D"/>
    <w:rsid w:val="00E254B8"/>
    <w:rsid w:val="00E2589F"/>
    <w:rsid w:val="00E267C1"/>
    <w:rsid w:val="00E316C5"/>
    <w:rsid w:val="00E3261B"/>
    <w:rsid w:val="00E33050"/>
    <w:rsid w:val="00E33AE4"/>
    <w:rsid w:val="00E34ABB"/>
    <w:rsid w:val="00E37527"/>
    <w:rsid w:val="00E37E3B"/>
    <w:rsid w:val="00E407C0"/>
    <w:rsid w:val="00E42805"/>
    <w:rsid w:val="00E42917"/>
    <w:rsid w:val="00E43053"/>
    <w:rsid w:val="00E43840"/>
    <w:rsid w:val="00E447AE"/>
    <w:rsid w:val="00E448AA"/>
    <w:rsid w:val="00E44FAA"/>
    <w:rsid w:val="00E51FC1"/>
    <w:rsid w:val="00E53BD1"/>
    <w:rsid w:val="00E60146"/>
    <w:rsid w:val="00E60B5A"/>
    <w:rsid w:val="00E61840"/>
    <w:rsid w:val="00E6502E"/>
    <w:rsid w:val="00E65389"/>
    <w:rsid w:val="00E65958"/>
    <w:rsid w:val="00E67000"/>
    <w:rsid w:val="00E70F2F"/>
    <w:rsid w:val="00E7119E"/>
    <w:rsid w:val="00E737AF"/>
    <w:rsid w:val="00E737D4"/>
    <w:rsid w:val="00E74661"/>
    <w:rsid w:val="00E753CB"/>
    <w:rsid w:val="00E759AF"/>
    <w:rsid w:val="00E75B53"/>
    <w:rsid w:val="00E779A0"/>
    <w:rsid w:val="00E80FEF"/>
    <w:rsid w:val="00E81570"/>
    <w:rsid w:val="00E831AC"/>
    <w:rsid w:val="00E91C42"/>
    <w:rsid w:val="00E92332"/>
    <w:rsid w:val="00E9324B"/>
    <w:rsid w:val="00E93713"/>
    <w:rsid w:val="00E95964"/>
    <w:rsid w:val="00E97847"/>
    <w:rsid w:val="00EA1119"/>
    <w:rsid w:val="00EA1EBD"/>
    <w:rsid w:val="00EA3276"/>
    <w:rsid w:val="00EA3F14"/>
    <w:rsid w:val="00EA609E"/>
    <w:rsid w:val="00EA7E24"/>
    <w:rsid w:val="00EA7F85"/>
    <w:rsid w:val="00EB201A"/>
    <w:rsid w:val="00EB5B58"/>
    <w:rsid w:val="00EB5CEE"/>
    <w:rsid w:val="00EB6308"/>
    <w:rsid w:val="00EB6309"/>
    <w:rsid w:val="00EB7A3A"/>
    <w:rsid w:val="00EC0EF3"/>
    <w:rsid w:val="00EC1CF5"/>
    <w:rsid w:val="00EC239D"/>
    <w:rsid w:val="00EC343A"/>
    <w:rsid w:val="00EC4161"/>
    <w:rsid w:val="00EC4F39"/>
    <w:rsid w:val="00ED05C1"/>
    <w:rsid w:val="00ED0643"/>
    <w:rsid w:val="00ED064B"/>
    <w:rsid w:val="00ED0A70"/>
    <w:rsid w:val="00ED38EE"/>
    <w:rsid w:val="00ED3AA1"/>
    <w:rsid w:val="00ED3AA9"/>
    <w:rsid w:val="00ED3E42"/>
    <w:rsid w:val="00ED6486"/>
    <w:rsid w:val="00EE19AD"/>
    <w:rsid w:val="00EE25E6"/>
    <w:rsid w:val="00EE78B4"/>
    <w:rsid w:val="00EF07AB"/>
    <w:rsid w:val="00EF0DDC"/>
    <w:rsid w:val="00EF1227"/>
    <w:rsid w:val="00EF18B9"/>
    <w:rsid w:val="00EF1970"/>
    <w:rsid w:val="00EF44BD"/>
    <w:rsid w:val="00EF4EB0"/>
    <w:rsid w:val="00EF5508"/>
    <w:rsid w:val="00EF76A0"/>
    <w:rsid w:val="00F006A7"/>
    <w:rsid w:val="00F00F9B"/>
    <w:rsid w:val="00F01525"/>
    <w:rsid w:val="00F03A17"/>
    <w:rsid w:val="00F042AB"/>
    <w:rsid w:val="00F048D5"/>
    <w:rsid w:val="00F05565"/>
    <w:rsid w:val="00F05C09"/>
    <w:rsid w:val="00F05FFD"/>
    <w:rsid w:val="00F0662B"/>
    <w:rsid w:val="00F069D8"/>
    <w:rsid w:val="00F1029D"/>
    <w:rsid w:val="00F11F09"/>
    <w:rsid w:val="00F12517"/>
    <w:rsid w:val="00F175AA"/>
    <w:rsid w:val="00F2018E"/>
    <w:rsid w:val="00F21DE6"/>
    <w:rsid w:val="00F243B7"/>
    <w:rsid w:val="00F26F1D"/>
    <w:rsid w:val="00F3020A"/>
    <w:rsid w:val="00F31CAE"/>
    <w:rsid w:val="00F348FF"/>
    <w:rsid w:val="00F34C48"/>
    <w:rsid w:val="00F35C84"/>
    <w:rsid w:val="00F3641D"/>
    <w:rsid w:val="00F37B68"/>
    <w:rsid w:val="00F37E6F"/>
    <w:rsid w:val="00F40D8E"/>
    <w:rsid w:val="00F4461B"/>
    <w:rsid w:val="00F4636B"/>
    <w:rsid w:val="00F54025"/>
    <w:rsid w:val="00F54F4E"/>
    <w:rsid w:val="00F602E5"/>
    <w:rsid w:val="00F603C7"/>
    <w:rsid w:val="00F65350"/>
    <w:rsid w:val="00F6617D"/>
    <w:rsid w:val="00F6617F"/>
    <w:rsid w:val="00F72083"/>
    <w:rsid w:val="00F733B2"/>
    <w:rsid w:val="00F752BA"/>
    <w:rsid w:val="00F7548B"/>
    <w:rsid w:val="00F760A0"/>
    <w:rsid w:val="00F760B5"/>
    <w:rsid w:val="00F76CA7"/>
    <w:rsid w:val="00F778BB"/>
    <w:rsid w:val="00F81E66"/>
    <w:rsid w:val="00F83F43"/>
    <w:rsid w:val="00F8705B"/>
    <w:rsid w:val="00F91A52"/>
    <w:rsid w:val="00F927E4"/>
    <w:rsid w:val="00F95330"/>
    <w:rsid w:val="00F95D8E"/>
    <w:rsid w:val="00F96C48"/>
    <w:rsid w:val="00FA0571"/>
    <w:rsid w:val="00FA0FF8"/>
    <w:rsid w:val="00FA16EA"/>
    <w:rsid w:val="00FA2D57"/>
    <w:rsid w:val="00FA39C2"/>
    <w:rsid w:val="00FA3B9F"/>
    <w:rsid w:val="00FA597A"/>
    <w:rsid w:val="00FA7826"/>
    <w:rsid w:val="00FB0274"/>
    <w:rsid w:val="00FB671A"/>
    <w:rsid w:val="00FB7ACF"/>
    <w:rsid w:val="00FC28F5"/>
    <w:rsid w:val="00FC5BBB"/>
    <w:rsid w:val="00FD01D5"/>
    <w:rsid w:val="00FD179E"/>
    <w:rsid w:val="00FD4CAA"/>
    <w:rsid w:val="00FD4E02"/>
    <w:rsid w:val="00FD6E0F"/>
    <w:rsid w:val="00FD6FED"/>
    <w:rsid w:val="00FE0215"/>
    <w:rsid w:val="00FE1519"/>
    <w:rsid w:val="00FE368C"/>
    <w:rsid w:val="00FF148D"/>
    <w:rsid w:val="00FF2DBF"/>
    <w:rsid w:val="00FF5E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82D1"/>
  <w15:docId w15:val="{CB13D2F6-0065-41E3-9DED-A990241B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2E0"/>
    <w:pPr>
      <w:spacing w:after="0" w:line="288" w:lineRule="auto"/>
      <w:jc w:val="both"/>
    </w:pPr>
    <w:rPr>
      <w:rFonts w:ascii="Verdana" w:eastAsia="Times New Roman" w:hAnsi="Verdana" w:cs="Times New Roman"/>
      <w:sz w:val="18"/>
      <w:szCs w:val="24"/>
      <w:lang w:val="en-GB"/>
    </w:rPr>
  </w:style>
  <w:style w:type="paragraph" w:styleId="Nadpis1">
    <w:name w:val="heading 1"/>
    <w:basedOn w:val="Normlny"/>
    <w:next w:val="Normlny"/>
    <w:link w:val="Nadpis1Char"/>
    <w:uiPriority w:val="9"/>
    <w:qFormat/>
    <w:rsid w:val="001B65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234A1B"/>
    <w:pPr>
      <w:shd w:val="clear" w:color="auto" w:fill="FFFFFF"/>
      <w:spacing w:before="240" w:after="240" w:line="240" w:lineRule="auto"/>
      <w:ind w:left="567" w:hanging="360"/>
      <w:outlineLvl w:val="1"/>
    </w:pPr>
    <w:rPr>
      <w:rFonts w:ascii="Arial" w:hAnsi="Arial" w:cs="Arial"/>
      <w:b/>
      <w:color w:val="EEECE1" w:themeColor="background2"/>
      <w:sz w:val="20"/>
      <w:szCs w:val="20"/>
      <w:lang w:val="fr-FR" w:eastAsia="fr-FR"/>
    </w:rPr>
  </w:style>
  <w:style w:type="paragraph" w:styleId="Nadpis3">
    <w:name w:val="heading 3"/>
    <w:basedOn w:val="Normlny"/>
    <w:next w:val="Normlny"/>
    <w:link w:val="Nadpis3Char"/>
    <w:uiPriority w:val="9"/>
    <w:qFormat/>
    <w:rsid w:val="0032216E"/>
    <w:pPr>
      <w:keepNext/>
      <w:spacing w:before="360" w:after="60" w:line="264" w:lineRule="auto"/>
      <w:jc w:val="left"/>
      <w:outlineLvl w:val="2"/>
    </w:pPr>
    <w:rPr>
      <w:rFonts w:asciiTheme="majorHAnsi" w:eastAsiaTheme="majorEastAsia" w:hAnsiTheme="majorHAnsi" w:cs="Arial"/>
      <w:b/>
      <w:bCs/>
      <w:color w:val="000000"/>
      <w:sz w:val="20"/>
      <w:lang w:val="sv-SE" w:eastAsia="sv-S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52882"/>
    <w:pPr>
      <w:tabs>
        <w:tab w:val="center" w:pos="4320"/>
        <w:tab w:val="right" w:pos="8640"/>
      </w:tabs>
    </w:pPr>
  </w:style>
  <w:style w:type="character" w:customStyle="1" w:styleId="HlavikaChar">
    <w:name w:val="Hlavička Char"/>
    <w:basedOn w:val="Predvolenpsmoodseku"/>
    <w:link w:val="Hlavika"/>
    <w:semiHidden/>
    <w:rsid w:val="00152882"/>
    <w:rPr>
      <w:rFonts w:ascii="Verdana" w:eastAsia="Times New Roman" w:hAnsi="Verdana" w:cs="Times New Roman"/>
      <w:sz w:val="18"/>
      <w:szCs w:val="24"/>
      <w:lang w:val="en-GB"/>
    </w:rPr>
  </w:style>
  <w:style w:type="paragraph" w:styleId="Pta">
    <w:name w:val="footer"/>
    <w:basedOn w:val="Normlny"/>
    <w:link w:val="PtaChar"/>
    <w:semiHidden/>
    <w:rsid w:val="00152882"/>
    <w:pPr>
      <w:tabs>
        <w:tab w:val="center" w:pos="4320"/>
        <w:tab w:val="right" w:pos="8640"/>
      </w:tabs>
    </w:pPr>
  </w:style>
  <w:style w:type="character" w:customStyle="1" w:styleId="PtaChar">
    <w:name w:val="Päta Char"/>
    <w:basedOn w:val="Predvolenpsmoodseku"/>
    <w:link w:val="Pta"/>
    <w:semiHidden/>
    <w:rsid w:val="00152882"/>
    <w:rPr>
      <w:rFonts w:ascii="Verdana" w:eastAsia="Times New Roman" w:hAnsi="Verdana" w:cs="Times New Roman"/>
      <w:sz w:val="18"/>
      <w:szCs w:val="24"/>
      <w:lang w:val="en-GB"/>
    </w:rPr>
  </w:style>
  <w:style w:type="paragraph" w:customStyle="1" w:styleId="Noparagraphstyle">
    <w:name w:val="[No paragraph style]"/>
    <w:semiHidden/>
    <w:rsid w:val="0015288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52882"/>
  </w:style>
  <w:style w:type="paragraph" w:customStyle="1" w:styleId="Heading1CEA">
    <w:name w:val="Heading 1 (CEA)"/>
    <w:basedOn w:val="Normlny"/>
    <w:link w:val="Heading1CEAChar"/>
    <w:semiHidden/>
    <w:rsid w:val="00152882"/>
    <w:pPr>
      <w:autoSpaceDE w:val="0"/>
      <w:autoSpaceDN w:val="0"/>
      <w:adjustRightInd w:val="0"/>
    </w:pPr>
    <w:rPr>
      <w:rFonts w:ascii="Arial" w:hAnsi="Arial"/>
      <w:b/>
      <w:color w:val="034EA2"/>
      <w:sz w:val="32"/>
      <w:szCs w:val="32"/>
    </w:rPr>
  </w:style>
  <w:style w:type="character" w:customStyle="1" w:styleId="Heading1CEAChar">
    <w:name w:val="Heading 1 (CEA) Char"/>
    <w:basedOn w:val="Predvolenpsmoodseku"/>
    <w:link w:val="Heading1CEA"/>
    <w:semiHidden/>
    <w:rsid w:val="00152882"/>
    <w:rPr>
      <w:rFonts w:ascii="Arial" w:eastAsia="Times New Roman" w:hAnsi="Arial" w:cs="Times New Roman"/>
      <w:b/>
      <w:color w:val="034EA2"/>
      <w:sz w:val="32"/>
      <w:szCs w:val="32"/>
      <w:lang w:val="en-GB"/>
    </w:rPr>
  </w:style>
  <w:style w:type="paragraph" w:customStyle="1" w:styleId="CEAPositionPaperTitle">
    <w:name w:val="CEA Position Paper Title"/>
    <w:basedOn w:val="Normlny"/>
    <w:semiHidden/>
    <w:qFormat/>
    <w:rsid w:val="00152882"/>
    <w:pPr>
      <w:ind w:left="-27"/>
    </w:pPr>
    <w:rPr>
      <w:b/>
      <w:color w:val="034EA2"/>
      <w:sz w:val="32"/>
      <w:szCs w:val="32"/>
    </w:rPr>
  </w:style>
  <w:style w:type="paragraph" w:customStyle="1" w:styleId="CEADraft">
    <w:name w:val="CEA Draft"/>
    <w:basedOn w:val="Normlny"/>
    <w:semiHidden/>
    <w:qFormat/>
    <w:rsid w:val="00152882"/>
    <w:pPr>
      <w:jc w:val="right"/>
    </w:pPr>
    <w:rPr>
      <w:rFonts w:cs="Arial"/>
      <w:b/>
      <w:i/>
      <w:color w:val="034EA2"/>
      <w:sz w:val="32"/>
      <w:szCs w:val="40"/>
    </w:rPr>
  </w:style>
  <w:style w:type="paragraph" w:customStyle="1" w:styleId="CEAFooterauthorinfo">
    <w:name w:val="CEA Footer (author info)"/>
    <w:basedOn w:val="Normlny"/>
    <w:semiHidden/>
    <w:qFormat/>
    <w:rsid w:val="00152882"/>
    <w:pPr>
      <w:autoSpaceDE w:val="0"/>
      <w:autoSpaceDN w:val="0"/>
      <w:adjustRightInd w:val="0"/>
      <w:textAlignment w:val="center"/>
    </w:pPr>
    <w:rPr>
      <w:rFonts w:cs="Arial"/>
      <w:b/>
      <w:color w:val="034EA2"/>
      <w:sz w:val="16"/>
      <w:szCs w:val="16"/>
    </w:rPr>
  </w:style>
  <w:style w:type="paragraph" w:customStyle="1" w:styleId="CEALabel">
    <w:name w:val="CEA Label"/>
    <w:basedOn w:val="Normlny"/>
    <w:semiHidden/>
    <w:qFormat/>
    <w:rsid w:val="00152882"/>
    <w:rPr>
      <w:rFonts w:cs="Arial"/>
      <w:b/>
      <w:color w:val="034EA2"/>
      <w:szCs w:val="18"/>
    </w:rPr>
  </w:style>
  <w:style w:type="character" w:styleId="Zstupntext">
    <w:name w:val="Placeholder Text"/>
    <w:basedOn w:val="Predvolenpsmoodseku"/>
    <w:uiPriority w:val="99"/>
    <w:semiHidden/>
    <w:rsid w:val="0008034A"/>
    <w:rPr>
      <w:color w:val="808080"/>
    </w:rPr>
  </w:style>
  <w:style w:type="paragraph" w:styleId="Textbubliny">
    <w:name w:val="Balloon Text"/>
    <w:basedOn w:val="Normlny"/>
    <w:link w:val="TextbublinyChar"/>
    <w:uiPriority w:val="99"/>
    <w:semiHidden/>
    <w:unhideWhenUsed/>
    <w:rsid w:val="0008034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034A"/>
    <w:rPr>
      <w:rFonts w:ascii="Tahoma" w:eastAsia="Times New Roman" w:hAnsi="Tahoma" w:cs="Tahoma"/>
      <w:sz w:val="16"/>
      <w:szCs w:val="16"/>
      <w:lang w:val="en-GB"/>
    </w:rPr>
  </w:style>
  <w:style w:type="paragraph" w:customStyle="1" w:styleId="CEABullet-Level1">
    <w:name w:val="CEA Bullet - Level 1"/>
    <w:basedOn w:val="Normlny"/>
    <w:link w:val="CEABullet-Level1Char"/>
    <w:qFormat/>
    <w:rsid w:val="00825DAE"/>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825DAE"/>
    <w:pPr>
      <w:numPr>
        <w:numId w:val="2"/>
      </w:numPr>
    </w:pPr>
  </w:style>
  <w:style w:type="paragraph" w:customStyle="1" w:styleId="CEABullet-Level3">
    <w:name w:val="CEA Bullet - Level 3"/>
    <w:basedOn w:val="Normlny"/>
    <w:qFormat/>
    <w:rsid w:val="00825DAE"/>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825DAE"/>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825DAE"/>
    <w:pPr>
      <w:jc w:val="right"/>
    </w:pPr>
    <w:rPr>
      <w:rFonts w:cs="Frutiger LT Std 55 Roman"/>
      <w:b/>
      <w:color w:val="0032FF"/>
      <w:sz w:val="40"/>
      <w:szCs w:val="40"/>
    </w:rPr>
  </w:style>
  <w:style w:type="paragraph" w:customStyle="1" w:styleId="CEAFootnote">
    <w:name w:val="CEA Footnote"/>
    <w:basedOn w:val="Normlny"/>
    <w:semiHidden/>
    <w:qFormat/>
    <w:rsid w:val="00825DAE"/>
    <w:pPr>
      <w:spacing w:line="240" w:lineRule="auto"/>
    </w:pPr>
    <w:rPr>
      <w:sz w:val="16"/>
    </w:rPr>
  </w:style>
  <w:style w:type="character" w:customStyle="1" w:styleId="CEAGraphTitle">
    <w:name w:val="CEA Graph Title"/>
    <w:uiPriority w:val="1"/>
    <w:qFormat/>
    <w:rsid w:val="00825DAE"/>
    <w:rPr>
      <w:rFonts w:ascii="Verdana" w:hAnsi="Verdana"/>
      <w:smallCaps w:val="0"/>
      <w:sz w:val="19"/>
      <w:lang w:val="en-GB"/>
    </w:rPr>
  </w:style>
  <w:style w:type="character" w:customStyle="1" w:styleId="CEAGraphX">
    <w:name w:val="CEA Graph X"/>
    <w:uiPriority w:val="1"/>
    <w:qFormat/>
    <w:rsid w:val="00825DAE"/>
    <w:rPr>
      <w:rFonts w:ascii="Verdana" w:hAnsi="Verdana"/>
      <w:smallCaps/>
      <w:sz w:val="19"/>
      <w:lang w:val="en-GB"/>
    </w:rPr>
  </w:style>
  <w:style w:type="paragraph" w:customStyle="1" w:styleId="CEAPressReleaseSubtitle">
    <w:name w:val="CEA Press Release Subtitle"/>
    <w:basedOn w:val="Normlny"/>
    <w:semiHidden/>
    <w:qFormat/>
    <w:rsid w:val="00825DAE"/>
    <w:rPr>
      <w:sz w:val="22"/>
      <w:szCs w:val="22"/>
    </w:rPr>
  </w:style>
  <w:style w:type="paragraph" w:customStyle="1" w:styleId="CEAPressReleaseTitle">
    <w:name w:val="CEA Press Release Title"/>
    <w:basedOn w:val="Normlny"/>
    <w:semiHidden/>
    <w:qFormat/>
    <w:rsid w:val="00825DAE"/>
    <w:pPr>
      <w:autoSpaceDE w:val="0"/>
      <w:autoSpaceDN w:val="0"/>
      <w:adjustRightInd w:val="0"/>
      <w:spacing w:line="240" w:lineRule="auto"/>
    </w:pPr>
    <w:rPr>
      <w:rFonts w:ascii="Frutiger LT Com 45 Light" w:hAnsi="Frutiger LT Com 45 Light"/>
      <w:b/>
      <w:color w:val="034EA2"/>
      <w:sz w:val="36"/>
      <w:szCs w:val="36"/>
    </w:rPr>
  </w:style>
  <w:style w:type="paragraph" w:customStyle="1" w:styleId="CEASubjectLine">
    <w:name w:val="CEA Subject Line"/>
    <w:basedOn w:val="Normlny"/>
    <w:semiHidden/>
    <w:qFormat/>
    <w:rsid w:val="00825DAE"/>
    <w:rPr>
      <w:rFonts w:cs="Frutiger LT Std 55 Roman"/>
      <w:b/>
      <w:sz w:val="17"/>
      <w:szCs w:val="20"/>
    </w:rPr>
  </w:style>
  <w:style w:type="character" w:styleId="Hypertextovprepojenie">
    <w:name w:val="Hyperlink"/>
    <w:basedOn w:val="Predvolenpsmoodseku"/>
    <w:unhideWhenUsed/>
    <w:rsid w:val="00F2018E"/>
    <w:rPr>
      <w:color w:val="0000FF"/>
      <w:u w:val="single"/>
    </w:rPr>
  </w:style>
  <w:style w:type="paragraph" w:customStyle="1" w:styleId="CEAStandardHeading">
    <w:name w:val="CEA Standard Heading"/>
    <w:basedOn w:val="Normlny"/>
    <w:qFormat/>
    <w:rsid w:val="00F2018E"/>
    <w:pPr>
      <w:autoSpaceDE w:val="0"/>
      <w:autoSpaceDN w:val="0"/>
      <w:adjustRightInd w:val="0"/>
    </w:pPr>
    <w:rPr>
      <w:rFonts w:cs="Arial"/>
      <w:color w:val="002957"/>
      <w:sz w:val="20"/>
      <w:szCs w:val="22"/>
    </w:rPr>
  </w:style>
  <w:style w:type="paragraph" w:styleId="Textkomentra">
    <w:name w:val="annotation text"/>
    <w:basedOn w:val="Normlny"/>
    <w:link w:val="TextkomentraChar"/>
    <w:uiPriority w:val="99"/>
    <w:unhideWhenUsed/>
    <w:rsid w:val="00F2018E"/>
    <w:pPr>
      <w:spacing w:line="240" w:lineRule="auto"/>
    </w:pPr>
    <w:rPr>
      <w:sz w:val="20"/>
      <w:szCs w:val="20"/>
    </w:rPr>
  </w:style>
  <w:style w:type="character" w:customStyle="1" w:styleId="TextkomentraChar">
    <w:name w:val="Text komentára Char"/>
    <w:basedOn w:val="Predvolenpsmoodseku"/>
    <w:link w:val="Textkomentra"/>
    <w:uiPriority w:val="99"/>
    <w:rsid w:val="00F2018E"/>
    <w:rPr>
      <w:rFonts w:ascii="Verdana" w:eastAsia="Times New Roman" w:hAnsi="Verdana" w:cs="Times New Roman"/>
      <w:sz w:val="20"/>
      <w:szCs w:val="20"/>
      <w:lang w:val="en-GB"/>
    </w:rPr>
  </w:style>
  <w:style w:type="paragraph" w:customStyle="1" w:styleId="Default">
    <w:name w:val="Default"/>
    <w:rsid w:val="00F2018E"/>
    <w:pPr>
      <w:autoSpaceDE w:val="0"/>
      <w:autoSpaceDN w:val="0"/>
      <w:adjustRightInd w:val="0"/>
      <w:spacing w:after="0" w:line="240" w:lineRule="auto"/>
    </w:pPr>
    <w:rPr>
      <w:rFonts w:ascii="Verdana" w:hAnsi="Verdana" w:cs="Verdana"/>
      <w:color w:val="000000"/>
      <w:sz w:val="24"/>
      <w:szCs w:val="24"/>
      <w:lang w:val="en-GB"/>
    </w:rPr>
  </w:style>
  <w:style w:type="paragraph" w:styleId="Odsekzoznamu">
    <w:name w:val="List Paragraph"/>
    <w:aliases w:val="Normal punkter"/>
    <w:basedOn w:val="Normlny"/>
    <w:link w:val="OdsekzoznamuChar"/>
    <w:uiPriority w:val="1"/>
    <w:qFormat/>
    <w:rsid w:val="00F2018E"/>
    <w:pPr>
      <w:spacing w:line="240" w:lineRule="auto"/>
      <w:ind w:left="720"/>
      <w:jc w:val="left"/>
    </w:pPr>
    <w:rPr>
      <w:rFonts w:ascii="Times New Roman" w:eastAsiaTheme="minorHAnsi" w:hAnsi="Times New Roman"/>
      <w:sz w:val="24"/>
      <w:lang w:eastAsia="en-GB"/>
    </w:rPr>
  </w:style>
  <w:style w:type="character" w:styleId="Odkaznakomentr">
    <w:name w:val="annotation reference"/>
    <w:basedOn w:val="Predvolenpsmoodseku"/>
    <w:uiPriority w:val="99"/>
    <w:semiHidden/>
    <w:unhideWhenUsed/>
    <w:rsid w:val="00AF27D8"/>
    <w:rPr>
      <w:sz w:val="16"/>
      <w:szCs w:val="16"/>
    </w:rPr>
  </w:style>
  <w:style w:type="paragraph" w:styleId="Predmetkomentra">
    <w:name w:val="annotation subject"/>
    <w:basedOn w:val="Textkomentra"/>
    <w:next w:val="Textkomentra"/>
    <w:link w:val="PredmetkomentraChar"/>
    <w:uiPriority w:val="99"/>
    <w:semiHidden/>
    <w:unhideWhenUsed/>
    <w:rsid w:val="00257449"/>
    <w:rPr>
      <w:b/>
      <w:bCs/>
    </w:rPr>
  </w:style>
  <w:style w:type="character" w:customStyle="1" w:styleId="PredmetkomentraChar">
    <w:name w:val="Predmet komentára Char"/>
    <w:basedOn w:val="TextkomentraChar"/>
    <w:link w:val="Predmetkomentra"/>
    <w:uiPriority w:val="99"/>
    <w:semiHidden/>
    <w:rsid w:val="00257449"/>
    <w:rPr>
      <w:rFonts w:ascii="Verdana" w:eastAsia="Times New Roman" w:hAnsi="Verdana" w:cs="Times New Roman"/>
      <w:b/>
      <w:bCs/>
      <w:sz w:val="20"/>
      <w:szCs w:val="20"/>
      <w:lang w:val="en-GB"/>
    </w:rPr>
  </w:style>
  <w:style w:type="paragraph" w:styleId="Textpoznmkypodiarou">
    <w:name w:val="footnote text"/>
    <w:basedOn w:val="Normlny"/>
    <w:link w:val="TextpoznmkypodiarouChar"/>
    <w:uiPriority w:val="99"/>
    <w:semiHidden/>
    <w:unhideWhenUsed/>
    <w:rsid w:val="005163D7"/>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163D7"/>
    <w:rPr>
      <w:rFonts w:ascii="Verdana" w:eastAsia="Times New Roman" w:hAnsi="Verdana" w:cs="Times New Roman"/>
      <w:sz w:val="20"/>
      <w:szCs w:val="20"/>
      <w:lang w:val="en-GB"/>
    </w:rPr>
  </w:style>
  <w:style w:type="character" w:styleId="Odkaznapoznmkupodiarou">
    <w:name w:val="footnote reference"/>
    <w:basedOn w:val="Predvolenpsmoodseku"/>
    <w:uiPriority w:val="99"/>
    <w:semiHidden/>
    <w:unhideWhenUsed/>
    <w:rsid w:val="005163D7"/>
    <w:rPr>
      <w:vertAlign w:val="superscript"/>
    </w:rPr>
  </w:style>
  <w:style w:type="character" w:styleId="PouitHypertextovPrepojenie">
    <w:name w:val="FollowedHyperlink"/>
    <w:basedOn w:val="Predvolenpsmoodseku"/>
    <w:uiPriority w:val="99"/>
    <w:semiHidden/>
    <w:unhideWhenUsed/>
    <w:rsid w:val="009E0051"/>
    <w:rPr>
      <w:color w:val="800080" w:themeColor="followedHyperlink"/>
      <w:u w:val="single"/>
    </w:rPr>
  </w:style>
  <w:style w:type="character" w:customStyle="1" w:styleId="Nadpis3Char">
    <w:name w:val="Nadpis 3 Char"/>
    <w:basedOn w:val="Predvolenpsmoodseku"/>
    <w:link w:val="Nadpis3"/>
    <w:uiPriority w:val="3"/>
    <w:rsid w:val="0032216E"/>
    <w:rPr>
      <w:rFonts w:asciiTheme="majorHAnsi" w:eastAsiaTheme="majorEastAsia" w:hAnsiTheme="majorHAnsi" w:cs="Arial"/>
      <w:b/>
      <w:bCs/>
      <w:color w:val="000000"/>
      <w:sz w:val="20"/>
      <w:szCs w:val="24"/>
      <w:lang w:val="sv-SE" w:eastAsia="sv-SE"/>
    </w:rPr>
  </w:style>
  <w:style w:type="paragraph" w:styleId="Revzia">
    <w:name w:val="Revision"/>
    <w:hidden/>
    <w:uiPriority w:val="99"/>
    <w:semiHidden/>
    <w:rsid w:val="0091507A"/>
    <w:pPr>
      <w:spacing w:after="0" w:line="240" w:lineRule="auto"/>
    </w:pPr>
    <w:rPr>
      <w:rFonts w:ascii="Verdana" w:eastAsia="Times New Roman" w:hAnsi="Verdana" w:cs="Times New Roman"/>
      <w:sz w:val="18"/>
      <w:szCs w:val="24"/>
      <w:lang w:val="en-GB"/>
    </w:rPr>
  </w:style>
  <w:style w:type="table" w:styleId="Mriekatabukysvetl">
    <w:name w:val="Grid Table Light"/>
    <w:basedOn w:val="Normlnatabuka"/>
    <w:uiPriority w:val="40"/>
    <w:rsid w:val="00D21A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3F1D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
    <w:name w:val="Grid Table 1 Light"/>
    <w:basedOn w:val="Normlnatabuka"/>
    <w:uiPriority w:val="46"/>
    <w:rsid w:val="003F1D57"/>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ideTWBExt">
    <w:name w:val="HideTWBExt"/>
    <w:rsid w:val="003F1D57"/>
    <w:rPr>
      <w:rFonts w:ascii="Arial" w:hAnsi="Arial"/>
      <w:noProof/>
      <w:vanish/>
      <w:color w:val="000080"/>
      <w:sz w:val="20"/>
    </w:rPr>
  </w:style>
  <w:style w:type="character" w:customStyle="1" w:styleId="CEABullet-Level1Char">
    <w:name w:val="CEA Bullet - Level 1 Char"/>
    <w:link w:val="CEABullet-Level1"/>
    <w:rsid w:val="00A15B8F"/>
    <w:rPr>
      <w:rFonts w:ascii="Verdana" w:eastAsia="Times New Roman" w:hAnsi="Verdana" w:cs="Frutiger LT Std 45 Light"/>
      <w:color w:val="000000"/>
      <w:sz w:val="17"/>
      <w:szCs w:val="20"/>
      <w:lang w:val="en-GB"/>
    </w:rPr>
  </w:style>
  <w:style w:type="paragraph" w:styleId="Normlnywebov">
    <w:name w:val="Normal (Web)"/>
    <w:basedOn w:val="Normlny"/>
    <w:uiPriority w:val="99"/>
    <w:semiHidden/>
    <w:unhideWhenUsed/>
    <w:rsid w:val="00EE78B4"/>
    <w:pPr>
      <w:spacing w:before="100" w:beforeAutospacing="1" w:after="100" w:afterAutospacing="1" w:line="240" w:lineRule="auto"/>
      <w:jc w:val="left"/>
    </w:pPr>
    <w:rPr>
      <w:rFonts w:ascii="Times New Roman" w:eastAsiaTheme="minorHAnsi" w:hAnsi="Times New Roman"/>
      <w:sz w:val="24"/>
      <w:lang w:eastAsia="en-GB"/>
    </w:rPr>
  </w:style>
  <w:style w:type="character" w:customStyle="1" w:styleId="Nadpis1Char">
    <w:name w:val="Nadpis 1 Char"/>
    <w:basedOn w:val="Predvolenpsmoodseku"/>
    <w:link w:val="Nadpis1"/>
    <w:uiPriority w:val="9"/>
    <w:rsid w:val="001B65F9"/>
    <w:rPr>
      <w:rFonts w:asciiTheme="majorHAnsi" w:eastAsiaTheme="majorEastAsia" w:hAnsiTheme="majorHAnsi" w:cstheme="majorBidi"/>
      <w:color w:val="365F91" w:themeColor="accent1" w:themeShade="BF"/>
      <w:sz w:val="32"/>
      <w:szCs w:val="32"/>
      <w:lang w:val="en-GB"/>
    </w:rPr>
  </w:style>
  <w:style w:type="paragraph" w:customStyle="1" w:styleId="Body">
    <w:name w:val="Body"/>
    <w:rsid w:val="00C852E0"/>
    <w:pPr>
      <w:pBdr>
        <w:top w:val="nil"/>
        <w:left w:val="nil"/>
        <w:bottom w:val="nil"/>
        <w:right w:val="nil"/>
        <w:between w:val="nil"/>
        <w:bar w:val="nil"/>
      </w:pBdr>
      <w:spacing w:line="288" w:lineRule="auto"/>
    </w:pPr>
    <w:rPr>
      <w:rFonts w:ascii="Verdana" w:eastAsia="Verdana" w:hAnsi="Verdana" w:cs="Verdana"/>
      <w:color w:val="000000"/>
      <w:sz w:val="17"/>
      <w:szCs w:val="17"/>
      <w:u w:color="000000"/>
      <w:bdr w:val="nil"/>
      <w:lang w:val="en-US" w:eastAsia="en-GB"/>
    </w:rPr>
  </w:style>
  <w:style w:type="paragraph" w:styleId="Zkladntext">
    <w:name w:val="Body Text"/>
    <w:basedOn w:val="Normlny"/>
    <w:link w:val="ZkladntextChar"/>
    <w:semiHidden/>
    <w:rsid w:val="00C852E0"/>
    <w:pPr>
      <w:spacing w:after="120"/>
    </w:pPr>
    <w:rPr>
      <w:sz w:val="17"/>
    </w:rPr>
  </w:style>
  <w:style w:type="character" w:customStyle="1" w:styleId="ZkladntextChar">
    <w:name w:val="Základný text Char"/>
    <w:basedOn w:val="Predvolenpsmoodseku"/>
    <w:link w:val="Zkladntext"/>
    <w:semiHidden/>
    <w:rsid w:val="00C852E0"/>
    <w:rPr>
      <w:rFonts w:ascii="Verdana" w:eastAsia="Times New Roman" w:hAnsi="Verdana" w:cs="Times New Roman"/>
      <w:sz w:val="17"/>
      <w:szCs w:val="24"/>
      <w:lang w:val="en-GB"/>
    </w:rPr>
  </w:style>
  <w:style w:type="character" w:customStyle="1" w:styleId="Nadpis2Char">
    <w:name w:val="Nadpis 2 Char"/>
    <w:basedOn w:val="Predvolenpsmoodseku"/>
    <w:link w:val="Nadpis2"/>
    <w:uiPriority w:val="9"/>
    <w:rsid w:val="00234A1B"/>
    <w:rPr>
      <w:rFonts w:ascii="Arial" w:eastAsia="Times New Roman" w:hAnsi="Arial" w:cs="Arial"/>
      <w:b/>
      <w:color w:val="EEECE1" w:themeColor="background2"/>
      <w:sz w:val="20"/>
      <w:szCs w:val="20"/>
      <w:shd w:val="clear" w:color="auto" w:fill="FFFFFF"/>
      <w:lang w:val="fr-FR" w:eastAsia="fr-FR"/>
    </w:rPr>
  </w:style>
  <w:style w:type="character" w:customStyle="1" w:styleId="OdsekzoznamuChar">
    <w:name w:val="Odsek zoznamu Char"/>
    <w:aliases w:val="Normal punkter Char"/>
    <w:link w:val="Odsekzoznamu"/>
    <w:uiPriority w:val="34"/>
    <w:rsid w:val="00234A1B"/>
    <w:rPr>
      <w:rFonts w:ascii="Times New Roman" w:hAnsi="Times New Roman" w:cs="Times New Roman"/>
      <w:sz w:val="24"/>
      <w:szCs w:val="24"/>
      <w:lang w:val="en-GB" w:eastAsia="en-GB"/>
    </w:rPr>
  </w:style>
  <w:style w:type="character" w:customStyle="1" w:styleId="UnresolvedMention1">
    <w:name w:val="Unresolved Mention1"/>
    <w:basedOn w:val="Predvolenpsmoodseku"/>
    <w:uiPriority w:val="99"/>
    <w:semiHidden/>
    <w:unhideWhenUsed/>
    <w:rsid w:val="00234A1B"/>
    <w:rPr>
      <w:color w:val="808080"/>
      <w:shd w:val="clear" w:color="auto" w:fill="E6E6E6"/>
    </w:rPr>
  </w:style>
  <w:style w:type="character" w:styleId="Vrazn">
    <w:name w:val="Strong"/>
    <w:basedOn w:val="Predvolenpsmoodseku"/>
    <w:uiPriority w:val="22"/>
    <w:qFormat/>
    <w:rsid w:val="00234A1B"/>
    <w:rPr>
      <w:b/>
      <w:bCs/>
    </w:rPr>
  </w:style>
  <w:style w:type="character" w:customStyle="1" w:styleId="UnresolvedMention2">
    <w:name w:val="Unresolved Mention2"/>
    <w:basedOn w:val="Predvolenpsmoodseku"/>
    <w:uiPriority w:val="99"/>
    <w:semiHidden/>
    <w:unhideWhenUsed/>
    <w:rsid w:val="00234A1B"/>
    <w:rPr>
      <w:color w:val="605E5C"/>
      <w:shd w:val="clear" w:color="auto" w:fill="E1DFDD"/>
    </w:rPr>
  </w:style>
  <w:style w:type="character" w:customStyle="1" w:styleId="optional1">
    <w:name w:val="optional1"/>
    <w:basedOn w:val="Predvolenpsmoodseku"/>
    <w:rsid w:val="00234A1B"/>
    <w:rPr>
      <w:rFonts w:ascii="inherit" w:hAnsi="inherit" w:hint="default"/>
    </w:rPr>
  </w:style>
  <w:style w:type="character" w:styleId="Zvraznenie">
    <w:name w:val="Emphasis"/>
    <w:basedOn w:val="Predvolenpsmoodseku"/>
    <w:uiPriority w:val="20"/>
    <w:qFormat/>
    <w:rsid w:val="00234A1B"/>
    <w:rPr>
      <w:i/>
      <w:iCs/>
    </w:rPr>
  </w:style>
  <w:style w:type="paragraph" w:styleId="z-Hornokrajformulra">
    <w:name w:val="HTML Top of Form"/>
    <w:basedOn w:val="Normlny"/>
    <w:next w:val="Normlny"/>
    <w:link w:val="z-HornokrajformulraChar"/>
    <w:hidden/>
    <w:uiPriority w:val="99"/>
    <w:semiHidden/>
    <w:unhideWhenUsed/>
    <w:rsid w:val="00234A1B"/>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234A1B"/>
    <w:rPr>
      <w:rFonts w:ascii="Arial" w:eastAsia="Times New Roman" w:hAnsi="Arial" w:cs="Arial"/>
      <w:vanish/>
      <w:sz w:val="16"/>
      <w:szCs w:val="16"/>
      <w:lang w:val="en-GB"/>
    </w:rPr>
  </w:style>
  <w:style w:type="paragraph" w:styleId="z-Spodnokrajformulra">
    <w:name w:val="HTML Bottom of Form"/>
    <w:basedOn w:val="Normlny"/>
    <w:next w:val="Normlny"/>
    <w:link w:val="z-SpodnokrajformulraChar"/>
    <w:hidden/>
    <w:uiPriority w:val="99"/>
    <w:semiHidden/>
    <w:unhideWhenUsed/>
    <w:rsid w:val="00234A1B"/>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234A1B"/>
    <w:rPr>
      <w:rFonts w:ascii="Arial" w:eastAsia="Times New Roman" w:hAnsi="Arial" w:cs="Arial"/>
      <w:vanish/>
      <w:sz w:val="16"/>
      <w:szCs w:val="16"/>
      <w:lang w:val="en-GB"/>
    </w:rPr>
  </w:style>
  <w:style w:type="character" w:styleId="Nevyrieenzmienka">
    <w:name w:val="Unresolved Mention"/>
    <w:basedOn w:val="Predvolenpsmoodseku"/>
    <w:uiPriority w:val="99"/>
    <w:semiHidden/>
    <w:unhideWhenUsed/>
    <w:rsid w:val="00E26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6164">
      <w:bodyDiv w:val="1"/>
      <w:marLeft w:val="0"/>
      <w:marRight w:val="0"/>
      <w:marTop w:val="0"/>
      <w:marBottom w:val="0"/>
      <w:divBdr>
        <w:top w:val="none" w:sz="0" w:space="0" w:color="auto"/>
        <w:left w:val="none" w:sz="0" w:space="0" w:color="auto"/>
        <w:bottom w:val="none" w:sz="0" w:space="0" w:color="auto"/>
        <w:right w:val="none" w:sz="0" w:space="0" w:color="auto"/>
      </w:divBdr>
    </w:div>
    <w:div w:id="146478764">
      <w:bodyDiv w:val="1"/>
      <w:marLeft w:val="0"/>
      <w:marRight w:val="0"/>
      <w:marTop w:val="0"/>
      <w:marBottom w:val="0"/>
      <w:divBdr>
        <w:top w:val="none" w:sz="0" w:space="0" w:color="auto"/>
        <w:left w:val="none" w:sz="0" w:space="0" w:color="auto"/>
        <w:bottom w:val="none" w:sz="0" w:space="0" w:color="auto"/>
        <w:right w:val="none" w:sz="0" w:space="0" w:color="auto"/>
      </w:divBdr>
      <w:divsChild>
        <w:div w:id="571891051">
          <w:marLeft w:val="0"/>
          <w:marRight w:val="0"/>
          <w:marTop w:val="0"/>
          <w:marBottom w:val="0"/>
          <w:divBdr>
            <w:top w:val="none" w:sz="0" w:space="0" w:color="auto"/>
            <w:left w:val="none" w:sz="0" w:space="0" w:color="auto"/>
            <w:bottom w:val="none" w:sz="0" w:space="0" w:color="auto"/>
            <w:right w:val="none" w:sz="0" w:space="0" w:color="auto"/>
          </w:divBdr>
        </w:div>
      </w:divsChild>
    </w:div>
    <w:div w:id="229511604">
      <w:bodyDiv w:val="1"/>
      <w:marLeft w:val="0"/>
      <w:marRight w:val="0"/>
      <w:marTop w:val="0"/>
      <w:marBottom w:val="0"/>
      <w:divBdr>
        <w:top w:val="none" w:sz="0" w:space="0" w:color="auto"/>
        <w:left w:val="none" w:sz="0" w:space="0" w:color="auto"/>
        <w:bottom w:val="none" w:sz="0" w:space="0" w:color="auto"/>
        <w:right w:val="none" w:sz="0" w:space="0" w:color="auto"/>
      </w:divBdr>
    </w:div>
    <w:div w:id="350035579">
      <w:bodyDiv w:val="1"/>
      <w:marLeft w:val="0"/>
      <w:marRight w:val="0"/>
      <w:marTop w:val="0"/>
      <w:marBottom w:val="0"/>
      <w:divBdr>
        <w:top w:val="none" w:sz="0" w:space="0" w:color="auto"/>
        <w:left w:val="none" w:sz="0" w:space="0" w:color="auto"/>
        <w:bottom w:val="none" w:sz="0" w:space="0" w:color="auto"/>
        <w:right w:val="none" w:sz="0" w:space="0" w:color="auto"/>
      </w:divBdr>
      <w:divsChild>
        <w:div w:id="784269563">
          <w:marLeft w:val="0"/>
          <w:marRight w:val="0"/>
          <w:marTop w:val="0"/>
          <w:marBottom w:val="0"/>
          <w:divBdr>
            <w:top w:val="none" w:sz="0" w:space="0" w:color="auto"/>
            <w:left w:val="none" w:sz="0" w:space="0" w:color="auto"/>
            <w:bottom w:val="none" w:sz="0" w:space="0" w:color="auto"/>
            <w:right w:val="none" w:sz="0" w:space="0" w:color="auto"/>
          </w:divBdr>
        </w:div>
      </w:divsChild>
    </w:div>
    <w:div w:id="360715477">
      <w:bodyDiv w:val="1"/>
      <w:marLeft w:val="0"/>
      <w:marRight w:val="0"/>
      <w:marTop w:val="0"/>
      <w:marBottom w:val="0"/>
      <w:divBdr>
        <w:top w:val="none" w:sz="0" w:space="0" w:color="auto"/>
        <w:left w:val="none" w:sz="0" w:space="0" w:color="auto"/>
        <w:bottom w:val="none" w:sz="0" w:space="0" w:color="auto"/>
        <w:right w:val="none" w:sz="0" w:space="0" w:color="auto"/>
      </w:divBdr>
    </w:div>
    <w:div w:id="377972045">
      <w:bodyDiv w:val="1"/>
      <w:marLeft w:val="0"/>
      <w:marRight w:val="0"/>
      <w:marTop w:val="0"/>
      <w:marBottom w:val="0"/>
      <w:divBdr>
        <w:top w:val="none" w:sz="0" w:space="0" w:color="auto"/>
        <w:left w:val="none" w:sz="0" w:space="0" w:color="auto"/>
        <w:bottom w:val="none" w:sz="0" w:space="0" w:color="auto"/>
        <w:right w:val="none" w:sz="0" w:space="0" w:color="auto"/>
      </w:divBdr>
      <w:divsChild>
        <w:div w:id="970398855">
          <w:marLeft w:val="0"/>
          <w:marRight w:val="0"/>
          <w:marTop w:val="0"/>
          <w:marBottom w:val="0"/>
          <w:divBdr>
            <w:top w:val="none" w:sz="0" w:space="0" w:color="auto"/>
            <w:left w:val="none" w:sz="0" w:space="0" w:color="auto"/>
            <w:bottom w:val="none" w:sz="0" w:space="0" w:color="auto"/>
            <w:right w:val="none" w:sz="0" w:space="0" w:color="auto"/>
          </w:divBdr>
          <w:divsChild>
            <w:div w:id="2033527389">
              <w:marLeft w:val="75"/>
              <w:marRight w:val="75"/>
              <w:marTop w:val="375"/>
              <w:marBottom w:val="75"/>
              <w:divBdr>
                <w:top w:val="none" w:sz="0" w:space="0" w:color="auto"/>
                <w:left w:val="none" w:sz="0" w:space="0" w:color="auto"/>
                <w:bottom w:val="none" w:sz="0" w:space="0" w:color="auto"/>
                <w:right w:val="none" w:sz="0" w:space="0" w:color="auto"/>
              </w:divBdr>
              <w:divsChild>
                <w:div w:id="828404580">
                  <w:marLeft w:val="0"/>
                  <w:marRight w:val="0"/>
                  <w:marTop w:val="0"/>
                  <w:marBottom w:val="0"/>
                  <w:divBdr>
                    <w:top w:val="none" w:sz="0" w:space="0" w:color="auto"/>
                    <w:left w:val="none" w:sz="0" w:space="0" w:color="auto"/>
                    <w:bottom w:val="none" w:sz="0" w:space="0" w:color="auto"/>
                    <w:right w:val="none" w:sz="0" w:space="0" w:color="auto"/>
                  </w:divBdr>
                  <w:divsChild>
                    <w:div w:id="1069111323">
                      <w:marLeft w:val="0"/>
                      <w:marRight w:val="0"/>
                      <w:marTop w:val="225"/>
                      <w:marBottom w:val="225"/>
                      <w:divBdr>
                        <w:top w:val="none" w:sz="0" w:space="0" w:color="auto"/>
                        <w:left w:val="none" w:sz="0" w:space="0" w:color="auto"/>
                        <w:bottom w:val="single" w:sz="12" w:space="0" w:color="004F98"/>
                        <w:right w:val="none" w:sz="0" w:space="0" w:color="auto"/>
                      </w:divBdr>
                    </w:div>
                  </w:divsChild>
                </w:div>
              </w:divsChild>
            </w:div>
          </w:divsChild>
        </w:div>
        <w:div w:id="1007056711">
          <w:marLeft w:val="0"/>
          <w:marRight w:val="0"/>
          <w:marTop w:val="0"/>
          <w:marBottom w:val="0"/>
          <w:divBdr>
            <w:top w:val="none" w:sz="0" w:space="0" w:color="auto"/>
            <w:left w:val="none" w:sz="0" w:space="0" w:color="auto"/>
            <w:bottom w:val="none" w:sz="0" w:space="0" w:color="auto"/>
            <w:right w:val="none" w:sz="0" w:space="0" w:color="auto"/>
          </w:divBdr>
          <w:divsChild>
            <w:div w:id="1372725118">
              <w:marLeft w:val="75"/>
              <w:marRight w:val="75"/>
              <w:marTop w:val="375"/>
              <w:marBottom w:val="75"/>
              <w:divBdr>
                <w:top w:val="none" w:sz="0" w:space="0" w:color="auto"/>
                <w:left w:val="none" w:sz="0" w:space="0" w:color="auto"/>
                <w:bottom w:val="none" w:sz="0" w:space="0" w:color="auto"/>
                <w:right w:val="none" w:sz="0" w:space="0" w:color="auto"/>
              </w:divBdr>
              <w:divsChild>
                <w:div w:id="1827554828">
                  <w:marLeft w:val="0"/>
                  <w:marRight w:val="0"/>
                  <w:marTop w:val="0"/>
                  <w:marBottom w:val="0"/>
                  <w:divBdr>
                    <w:top w:val="none" w:sz="0" w:space="0" w:color="auto"/>
                    <w:left w:val="none" w:sz="0" w:space="0" w:color="auto"/>
                    <w:bottom w:val="none" w:sz="0" w:space="0" w:color="auto"/>
                    <w:right w:val="none" w:sz="0" w:space="0" w:color="auto"/>
                  </w:divBdr>
                  <w:divsChild>
                    <w:div w:id="199695141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57335115">
          <w:marLeft w:val="0"/>
          <w:marRight w:val="0"/>
          <w:marTop w:val="0"/>
          <w:marBottom w:val="0"/>
          <w:divBdr>
            <w:top w:val="none" w:sz="0" w:space="0" w:color="auto"/>
            <w:left w:val="none" w:sz="0" w:space="0" w:color="auto"/>
            <w:bottom w:val="none" w:sz="0" w:space="0" w:color="auto"/>
            <w:right w:val="none" w:sz="0" w:space="0" w:color="auto"/>
          </w:divBdr>
          <w:divsChild>
            <w:div w:id="689524158">
              <w:marLeft w:val="75"/>
              <w:marRight w:val="75"/>
              <w:marTop w:val="375"/>
              <w:marBottom w:val="75"/>
              <w:divBdr>
                <w:top w:val="none" w:sz="0" w:space="0" w:color="auto"/>
                <w:left w:val="none" w:sz="0" w:space="0" w:color="auto"/>
                <w:bottom w:val="none" w:sz="0" w:space="0" w:color="auto"/>
                <w:right w:val="none" w:sz="0" w:space="0" w:color="auto"/>
              </w:divBdr>
              <w:divsChild>
                <w:div w:id="1065496544">
                  <w:marLeft w:val="0"/>
                  <w:marRight w:val="0"/>
                  <w:marTop w:val="0"/>
                  <w:marBottom w:val="0"/>
                  <w:divBdr>
                    <w:top w:val="none" w:sz="0" w:space="0" w:color="auto"/>
                    <w:left w:val="none" w:sz="0" w:space="0" w:color="auto"/>
                    <w:bottom w:val="none" w:sz="0" w:space="0" w:color="auto"/>
                    <w:right w:val="none" w:sz="0" w:space="0" w:color="auto"/>
                  </w:divBdr>
                  <w:divsChild>
                    <w:div w:id="13136396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415711088">
      <w:bodyDiv w:val="1"/>
      <w:marLeft w:val="0"/>
      <w:marRight w:val="0"/>
      <w:marTop w:val="0"/>
      <w:marBottom w:val="0"/>
      <w:divBdr>
        <w:top w:val="none" w:sz="0" w:space="0" w:color="auto"/>
        <w:left w:val="none" w:sz="0" w:space="0" w:color="auto"/>
        <w:bottom w:val="none" w:sz="0" w:space="0" w:color="auto"/>
        <w:right w:val="none" w:sz="0" w:space="0" w:color="auto"/>
      </w:divBdr>
      <w:divsChild>
        <w:div w:id="1356273820">
          <w:marLeft w:val="0"/>
          <w:marRight w:val="0"/>
          <w:marTop w:val="0"/>
          <w:marBottom w:val="0"/>
          <w:divBdr>
            <w:top w:val="none" w:sz="0" w:space="0" w:color="auto"/>
            <w:left w:val="none" w:sz="0" w:space="0" w:color="auto"/>
            <w:bottom w:val="none" w:sz="0" w:space="0" w:color="auto"/>
            <w:right w:val="none" w:sz="0" w:space="0" w:color="auto"/>
          </w:divBdr>
        </w:div>
      </w:divsChild>
    </w:div>
    <w:div w:id="425730116">
      <w:bodyDiv w:val="1"/>
      <w:marLeft w:val="0"/>
      <w:marRight w:val="0"/>
      <w:marTop w:val="0"/>
      <w:marBottom w:val="0"/>
      <w:divBdr>
        <w:top w:val="none" w:sz="0" w:space="0" w:color="auto"/>
        <w:left w:val="none" w:sz="0" w:space="0" w:color="auto"/>
        <w:bottom w:val="none" w:sz="0" w:space="0" w:color="auto"/>
        <w:right w:val="none" w:sz="0" w:space="0" w:color="auto"/>
      </w:divBdr>
      <w:divsChild>
        <w:div w:id="420759313">
          <w:marLeft w:val="418"/>
          <w:marRight w:val="0"/>
          <w:marTop w:val="67"/>
          <w:marBottom w:val="0"/>
          <w:divBdr>
            <w:top w:val="none" w:sz="0" w:space="0" w:color="auto"/>
            <w:left w:val="none" w:sz="0" w:space="0" w:color="auto"/>
            <w:bottom w:val="none" w:sz="0" w:space="0" w:color="auto"/>
            <w:right w:val="none" w:sz="0" w:space="0" w:color="auto"/>
          </w:divBdr>
        </w:div>
        <w:div w:id="1130322283">
          <w:marLeft w:val="1267"/>
          <w:marRight w:val="0"/>
          <w:marTop w:val="62"/>
          <w:marBottom w:val="0"/>
          <w:divBdr>
            <w:top w:val="none" w:sz="0" w:space="0" w:color="auto"/>
            <w:left w:val="none" w:sz="0" w:space="0" w:color="auto"/>
            <w:bottom w:val="none" w:sz="0" w:space="0" w:color="auto"/>
            <w:right w:val="none" w:sz="0" w:space="0" w:color="auto"/>
          </w:divBdr>
        </w:div>
        <w:div w:id="1980304849">
          <w:marLeft w:val="1267"/>
          <w:marRight w:val="0"/>
          <w:marTop w:val="62"/>
          <w:marBottom w:val="0"/>
          <w:divBdr>
            <w:top w:val="none" w:sz="0" w:space="0" w:color="auto"/>
            <w:left w:val="none" w:sz="0" w:space="0" w:color="auto"/>
            <w:bottom w:val="none" w:sz="0" w:space="0" w:color="auto"/>
            <w:right w:val="none" w:sz="0" w:space="0" w:color="auto"/>
          </w:divBdr>
        </w:div>
        <w:div w:id="932516293">
          <w:marLeft w:val="1267"/>
          <w:marRight w:val="0"/>
          <w:marTop w:val="62"/>
          <w:marBottom w:val="0"/>
          <w:divBdr>
            <w:top w:val="none" w:sz="0" w:space="0" w:color="auto"/>
            <w:left w:val="none" w:sz="0" w:space="0" w:color="auto"/>
            <w:bottom w:val="none" w:sz="0" w:space="0" w:color="auto"/>
            <w:right w:val="none" w:sz="0" w:space="0" w:color="auto"/>
          </w:divBdr>
        </w:div>
        <w:div w:id="2049210847">
          <w:marLeft w:val="1267"/>
          <w:marRight w:val="0"/>
          <w:marTop w:val="62"/>
          <w:marBottom w:val="0"/>
          <w:divBdr>
            <w:top w:val="none" w:sz="0" w:space="0" w:color="auto"/>
            <w:left w:val="none" w:sz="0" w:space="0" w:color="auto"/>
            <w:bottom w:val="none" w:sz="0" w:space="0" w:color="auto"/>
            <w:right w:val="none" w:sz="0" w:space="0" w:color="auto"/>
          </w:divBdr>
        </w:div>
      </w:divsChild>
    </w:div>
    <w:div w:id="798836104">
      <w:bodyDiv w:val="1"/>
      <w:marLeft w:val="0"/>
      <w:marRight w:val="0"/>
      <w:marTop w:val="0"/>
      <w:marBottom w:val="0"/>
      <w:divBdr>
        <w:top w:val="none" w:sz="0" w:space="0" w:color="auto"/>
        <w:left w:val="none" w:sz="0" w:space="0" w:color="auto"/>
        <w:bottom w:val="none" w:sz="0" w:space="0" w:color="auto"/>
        <w:right w:val="none" w:sz="0" w:space="0" w:color="auto"/>
      </w:divBdr>
      <w:divsChild>
        <w:div w:id="1182207664">
          <w:marLeft w:val="418"/>
          <w:marRight w:val="0"/>
          <w:marTop w:val="67"/>
          <w:marBottom w:val="0"/>
          <w:divBdr>
            <w:top w:val="none" w:sz="0" w:space="0" w:color="auto"/>
            <w:left w:val="none" w:sz="0" w:space="0" w:color="auto"/>
            <w:bottom w:val="none" w:sz="0" w:space="0" w:color="auto"/>
            <w:right w:val="none" w:sz="0" w:space="0" w:color="auto"/>
          </w:divBdr>
        </w:div>
        <w:div w:id="1534810328">
          <w:marLeft w:val="1166"/>
          <w:marRight w:val="0"/>
          <w:marTop w:val="62"/>
          <w:marBottom w:val="0"/>
          <w:divBdr>
            <w:top w:val="none" w:sz="0" w:space="0" w:color="auto"/>
            <w:left w:val="none" w:sz="0" w:space="0" w:color="auto"/>
            <w:bottom w:val="none" w:sz="0" w:space="0" w:color="auto"/>
            <w:right w:val="none" w:sz="0" w:space="0" w:color="auto"/>
          </w:divBdr>
        </w:div>
        <w:div w:id="931475974">
          <w:marLeft w:val="1166"/>
          <w:marRight w:val="0"/>
          <w:marTop w:val="62"/>
          <w:marBottom w:val="0"/>
          <w:divBdr>
            <w:top w:val="none" w:sz="0" w:space="0" w:color="auto"/>
            <w:left w:val="none" w:sz="0" w:space="0" w:color="auto"/>
            <w:bottom w:val="none" w:sz="0" w:space="0" w:color="auto"/>
            <w:right w:val="none" w:sz="0" w:space="0" w:color="auto"/>
          </w:divBdr>
        </w:div>
        <w:div w:id="725226868">
          <w:marLeft w:val="1166"/>
          <w:marRight w:val="0"/>
          <w:marTop w:val="62"/>
          <w:marBottom w:val="0"/>
          <w:divBdr>
            <w:top w:val="none" w:sz="0" w:space="0" w:color="auto"/>
            <w:left w:val="none" w:sz="0" w:space="0" w:color="auto"/>
            <w:bottom w:val="none" w:sz="0" w:space="0" w:color="auto"/>
            <w:right w:val="none" w:sz="0" w:space="0" w:color="auto"/>
          </w:divBdr>
        </w:div>
        <w:div w:id="1528718585">
          <w:marLeft w:val="1166"/>
          <w:marRight w:val="0"/>
          <w:marTop w:val="62"/>
          <w:marBottom w:val="0"/>
          <w:divBdr>
            <w:top w:val="none" w:sz="0" w:space="0" w:color="auto"/>
            <w:left w:val="none" w:sz="0" w:space="0" w:color="auto"/>
            <w:bottom w:val="none" w:sz="0" w:space="0" w:color="auto"/>
            <w:right w:val="none" w:sz="0" w:space="0" w:color="auto"/>
          </w:divBdr>
        </w:div>
        <w:div w:id="2097053496">
          <w:marLeft w:val="1166"/>
          <w:marRight w:val="0"/>
          <w:marTop w:val="62"/>
          <w:marBottom w:val="0"/>
          <w:divBdr>
            <w:top w:val="none" w:sz="0" w:space="0" w:color="auto"/>
            <w:left w:val="none" w:sz="0" w:space="0" w:color="auto"/>
            <w:bottom w:val="none" w:sz="0" w:space="0" w:color="auto"/>
            <w:right w:val="none" w:sz="0" w:space="0" w:color="auto"/>
          </w:divBdr>
        </w:div>
        <w:div w:id="73401184">
          <w:marLeft w:val="418"/>
          <w:marRight w:val="0"/>
          <w:marTop w:val="67"/>
          <w:marBottom w:val="0"/>
          <w:divBdr>
            <w:top w:val="none" w:sz="0" w:space="0" w:color="auto"/>
            <w:left w:val="none" w:sz="0" w:space="0" w:color="auto"/>
            <w:bottom w:val="none" w:sz="0" w:space="0" w:color="auto"/>
            <w:right w:val="none" w:sz="0" w:space="0" w:color="auto"/>
          </w:divBdr>
        </w:div>
        <w:div w:id="35741670">
          <w:marLeft w:val="1166"/>
          <w:marRight w:val="0"/>
          <w:marTop w:val="67"/>
          <w:marBottom w:val="0"/>
          <w:divBdr>
            <w:top w:val="none" w:sz="0" w:space="0" w:color="auto"/>
            <w:left w:val="none" w:sz="0" w:space="0" w:color="auto"/>
            <w:bottom w:val="none" w:sz="0" w:space="0" w:color="auto"/>
            <w:right w:val="none" w:sz="0" w:space="0" w:color="auto"/>
          </w:divBdr>
        </w:div>
        <w:div w:id="168637920">
          <w:marLeft w:val="1166"/>
          <w:marRight w:val="0"/>
          <w:marTop w:val="67"/>
          <w:marBottom w:val="0"/>
          <w:divBdr>
            <w:top w:val="none" w:sz="0" w:space="0" w:color="auto"/>
            <w:left w:val="none" w:sz="0" w:space="0" w:color="auto"/>
            <w:bottom w:val="none" w:sz="0" w:space="0" w:color="auto"/>
            <w:right w:val="none" w:sz="0" w:space="0" w:color="auto"/>
          </w:divBdr>
        </w:div>
        <w:div w:id="494566928">
          <w:marLeft w:val="1166"/>
          <w:marRight w:val="0"/>
          <w:marTop w:val="67"/>
          <w:marBottom w:val="0"/>
          <w:divBdr>
            <w:top w:val="none" w:sz="0" w:space="0" w:color="auto"/>
            <w:left w:val="none" w:sz="0" w:space="0" w:color="auto"/>
            <w:bottom w:val="none" w:sz="0" w:space="0" w:color="auto"/>
            <w:right w:val="none" w:sz="0" w:space="0" w:color="auto"/>
          </w:divBdr>
        </w:div>
        <w:div w:id="889994262">
          <w:marLeft w:val="1166"/>
          <w:marRight w:val="0"/>
          <w:marTop w:val="67"/>
          <w:marBottom w:val="0"/>
          <w:divBdr>
            <w:top w:val="none" w:sz="0" w:space="0" w:color="auto"/>
            <w:left w:val="none" w:sz="0" w:space="0" w:color="auto"/>
            <w:bottom w:val="none" w:sz="0" w:space="0" w:color="auto"/>
            <w:right w:val="none" w:sz="0" w:space="0" w:color="auto"/>
          </w:divBdr>
        </w:div>
      </w:divsChild>
    </w:div>
    <w:div w:id="804585690">
      <w:bodyDiv w:val="1"/>
      <w:marLeft w:val="0"/>
      <w:marRight w:val="0"/>
      <w:marTop w:val="0"/>
      <w:marBottom w:val="0"/>
      <w:divBdr>
        <w:top w:val="none" w:sz="0" w:space="0" w:color="auto"/>
        <w:left w:val="none" w:sz="0" w:space="0" w:color="auto"/>
        <w:bottom w:val="none" w:sz="0" w:space="0" w:color="auto"/>
        <w:right w:val="none" w:sz="0" w:space="0" w:color="auto"/>
      </w:divBdr>
    </w:div>
    <w:div w:id="805926438">
      <w:bodyDiv w:val="1"/>
      <w:marLeft w:val="0"/>
      <w:marRight w:val="0"/>
      <w:marTop w:val="0"/>
      <w:marBottom w:val="0"/>
      <w:divBdr>
        <w:top w:val="none" w:sz="0" w:space="0" w:color="auto"/>
        <w:left w:val="none" w:sz="0" w:space="0" w:color="auto"/>
        <w:bottom w:val="none" w:sz="0" w:space="0" w:color="auto"/>
        <w:right w:val="none" w:sz="0" w:space="0" w:color="auto"/>
      </w:divBdr>
    </w:div>
    <w:div w:id="907114755">
      <w:bodyDiv w:val="1"/>
      <w:marLeft w:val="0"/>
      <w:marRight w:val="0"/>
      <w:marTop w:val="0"/>
      <w:marBottom w:val="0"/>
      <w:divBdr>
        <w:top w:val="none" w:sz="0" w:space="0" w:color="auto"/>
        <w:left w:val="none" w:sz="0" w:space="0" w:color="auto"/>
        <w:bottom w:val="none" w:sz="0" w:space="0" w:color="auto"/>
        <w:right w:val="none" w:sz="0" w:space="0" w:color="auto"/>
      </w:divBdr>
      <w:divsChild>
        <w:div w:id="1175266488">
          <w:marLeft w:val="0"/>
          <w:marRight w:val="0"/>
          <w:marTop w:val="0"/>
          <w:marBottom w:val="0"/>
          <w:divBdr>
            <w:top w:val="none" w:sz="0" w:space="0" w:color="auto"/>
            <w:left w:val="none" w:sz="0" w:space="0" w:color="auto"/>
            <w:bottom w:val="none" w:sz="0" w:space="0" w:color="auto"/>
            <w:right w:val="none" w:sz="0" w:space="0" w:color="auto"/>
          </w:divBdr>
          <w:divsChild>
            <w:div w:id="2142846505">
              <w:marLeft w:val="75"/>
              <w:marRight w:val="75"/>
              <w:marTop w:val="375"/>
              <w:marBottom w:val="75"/>
              <w:divBdr>
                <w:top w:val="none" w:sz="0" w:space="0" w:color="auto"/>
                <w:left w:val="none" w:sz="0" w:space="0" w:color="auto"/>
                <w:bottom w:val="none" w:sz="0" w:space="0" w:color="auto"/>
                <w:right w:val="none" w:sz="0" w:space="0" w:color="auto"/>
              </w:divBdr>
              <w:divsChild>
                <w:div w:id="399063171">
                  <w:marLeft w:val="0"/>
                  <w:marRight w:val="0"/>
                  <w:marTop w:val="0"/>
                  <w:marBottom w:val="0"/>
                  <w:divBdr>
                    <w:top w:val="none" w:sz="0" w:space="0" w:color="auto"/>
                    <w:left w:val="none" w:sz="0" w:space="0" w:color="auto"/>
                    <w:bottom w:val="none" w:sz="0" w:space="0" w:color="auto"/>
                    <w:right w:val="none" w:sz="0" w:space="0" w:color="auto"/>
                  </w:divBdr>
                  <w:divsChild>
                    <w:div w:id="756832206">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189873846">
          <w:marLeft w:val="0"/>
          <w:marRight w:val="0"/>
          <w:marTop w:val="0"/>
          <w:marBottom w:val="0"/>
          <w:divBdr>
            <w:top w:val="none" w:sz="0" w:space="0" w:color="auto"/>
            <w:left w:val="none" w:sz="0" w:space="0" w:color="auto"/>
            <w:bottom w:val="none" w:sz="0" w:space="0" w:color="auto"/>
            <w:right w:val="none" w:sz="0" w:space="0" w:color="auto"/>
          </w:divBdr>
          <w:divsChild>
            <w:div w:id="609975947">
              <w:marLeft w:val="75"/>
              <w:marRight w:val="75"/>
              <w:marTop w:val="375"/>
              <w:marBottom w:val="75"/>
              <w:divBdr>
                <w:top w:val="none" w:sz="0" w:space="0" w:color="auto"/>
                <w:left w:val="none" w:sz="0" w:space="0" w:color="auto"/>
                <w:bottom w:val="none" w:sz="0" w:space="0" w:color="auto"/>
                <w:right w:val="none" w:sz="0" w:space="0" w:color="auto"/>
              </w:divBdr>
              <w:divsChild>
                <w:div w:id="1763405506">
                  <w:marLeft w:val="0"/>
                  <w:marRight w:val="0"/>
                  <w:marTop w:val="0"/>
                  <w:marBottom w:val="0"/>
                  <w:divBdr>
                    <w:top w:val="none" w:sz="0" w:space="0" w:color="auto"/>
                    <w:left w:val="none" w:sz="0" w:space="0" w:color="auto"/>
                    <w:bottom w:val="none" w:sz="0" w:space="0" w:color="auto"/>
                    <w:right w:val="none" w:sz="0" w:space="0" w:color="auto"/>
                  </w:divBdr>
                  <w:divsChild>
                    <w:div w:id="8924211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67362429">
          <w:marLeft w:val="0"/>
          <w:marRight w:val="0"/>
          <w:marTop w:val="0"/>
          <w:marBottom w:val="0"/>
          <w:divBdr>
            <w:top w:val="none" w:sz="0" w:space="0" w:color="auto"/>
            <w:left w:val="none" w:sz="0" w:space="0" w:color="auto"/>
            <w:bottom w:val="none" w:sz="0" w:space="0" w:color="auto"/>
            <w:right w:val="none" w:sz="0" w:space="0" w:color="auto"/>
          </w:divBdr>
          <w:divsChild>
            <w:div w:id="1549681319">
              <w:marLeft w:val="75"/>
              <w:marRight w:val="75"/>
              <w:marTop w:val="375"/>
              <w:marBottom w:val="75"/>
              <w:divBdr>
                <w:top w:val="none" w:sz="0" w:space="0" w:color="auto"/>
                <w:left w:val="none" w:sz="0" w:space="0" w:color="auto"/>
                <w:bottom w:val="none" w:sz="0" w:space="0" w:color="auto"/>
                <w:right w:val="none" w:sz="0" w:space="0" w:color="auto"/>
              </w:divBdr>
              <w:divsChild>
                <w:div w:id="626200086">
                  <w:marLeft w:val="0"/>
                  <w:marRight w:val="0"/>
                  <w:marTop w:val="0"/>
                  <w:marBottom w:val="0"/>
                  <w:divBdr>
                    <w:top w:val="none" w:sz="0" w:space="0" w:color="auto"/>
                    <w:left w:val="none" w:sz="0" w:space="0" w:color="auto"/>
                    <w:bottom w:val="none" w:sz="0" w:space="0" w:color="auto"/>
                    <w:right w:val="none" w:sz="0" w:space="0" w:color="auto"/>
                  </w:divBdr>
                  <w:divsChild>
                    <w:div w:id="105658537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9228120">
          <w:marLeft w:val="0"/>
          <w:marRight w:val="0"/>
          <w:marTop w:val="0"/>
          <w:marBottom w:val="0"/>
          <w:divBdr>
            <w:top w:val="none" w:sz="0" w:space="0" w:color="auto"/>
            <w:left w:val="none" w:sz="0" w:space="0" w:color="auto"/>
            <w:bottom w:val="none" w:sz="0" w:space="0" w:color="auto"/>
            <w:right w:val="none" w:sz="0" w:space="0" w:color="auto"/>
          </w:divBdr>
          <w:divsChild>
            <w:div w:id="714502779">
              <w:marLeft w:val="75"/>
              <w:marRight w:val="75"/>
              <w:marTop w:val="375"/>
              <w:marBottom w:val="75"/>
              <w:divBdr>
                <w:top w:val="none" w:sz="0" w:space="0" w:color="auto"/>
                <w:left w:val="none" w:sz="0" w:space="0" w:color="auto"/>
                <w:bottom w:val="none" w:sz="0" w:space="0" w:color="auto"/>
                <w:right w:val="none" w:sz="0" w:space="0" w:color="auto"/>
              </w:divBdr>
              <w:divsChild>
                <w:div w:id="152650744">
                  <w:marLeft w:val="0"/>
                  <w:marRight w:val="0"/>
                  <w:marTop w:val="0"/>
                  <w:marBottom w:val="0"/>
                  <w:divBdr>
                    <w:top w:val="none" w:sz="0" w:space="0" w:color="auto"/>
                    <w:left w:val="none" w:sz="0" w:space="0" w:color="auto"/>
                    <w:bottom w:val="none" w:sz="0" w:space="0" w:color="auto"/>
                    <w:right w:val="none" w:sz="0" w:space="0" w:color="auto"/>
                  </w:divBdr>
                  <w:divsChild>
                    <w:div w:id="209835754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746265">
          <w:marLeft w:val="0"/>
          <w:marRight w:val="0"/>
          <w:marTop w:val="0"/>
          <w:marBottom w:val="0"/>
          <w:divBdr>
            <w:top w:val="none" w:sz="0" w:space="0" w:color="auto"/>
            <w:left w:val="none" w:sz="0" w:space="0" w:color="auto"/>
            <w:bottom w:val="none" w:sz="0" w:space="0" w:color="auto"/>
            <w:right w:val="none" w:sz="0" w:space="0" w:color="auto"/>
          </w:divBdr>
          <w:divsChild>
            <w:div w:id="466120565">
              <w:marLeft w:val="75"/>
              <w:marRight w:val="75"/>
              <w:marTop w:val="375"/>
              <w:marBottom w:val="75"/>
              <w:divBdr>
                <w:top w:val="none" w:sz="0" w:space="0" w:color="auto"/>
                <w:left w:val="none" w:sz="0" w:space="0" w:color="auto"/>
                <w:bottom w:val="none" w:sz="0" w:space="0" w:color="auto"/>
                <w:right w:val="none" w:sz="0" w:space="0" w:color="auto"/>
              </w:divBdr>
              <w:divsChild>
                <w:div w:id="1426732577">
                  <w:marLeft w:val="0"/>
                  <w:marRight w:val="0"/>
                  <w:marTop w:val="0"/>
                  <w:marBottom w:val="0"/>
                  <w:divBdr>
                    <w:top w:val="none" w:sz="0" w:space="0" w:color="auto"/>
                    <w:left w:val="none" w:sz="0" w:space="0" w:color="auto"/>
                    <w:bottom w:val="none" w:sz="0" w:space="0" w:color="auto"/>
                    <w:right w:val="none" w:sz="0" w:space="0" w:color="auto"/>
                  </w:divBdr>
                  <w:divsChild>
                    <w:div w:id="39335280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15315750">
          <w:marLeft w:val="0"/>
          <w:marRight w:val="0"/>
          <w:marTop w:val="0"/>
          <w:marBottom w:val="0"/>
          <w:divBdr>
            <w:top w:val="none" w:sz="0" w:space="0" w:color="auto"/>
            <w:left w:val="none" w:sz="0" w:space="0" w:color="auto"/>
            <w:bottom w:val="none" w:sz="0" w:space="0" w:color="auto"/>
            <w:right w:val="none" w:sz="0" w:space="0" w:color="auto"/>
          </w:divBdr>
          <w:divsChild>
            <w:div w:id="360858208">
              <w:marLeft w:val="75"/>
              <w:marRight w:val="75"/>
              <w:marTop w:val="375"/>
              <w:marBottom w:val="75"/>
              <w:divBdr>
                <w:top w:val="none" w:sz="0" w:space="0" w:color="auto"/>
                <w:left w:val="none" w:sz="0" w:space="0" w:color="auto"/>
                <w:bottom w:val="none" w:sz="0" w:space="0" w:color="auto"/>
                <w:right w:val="none" w:sz="0" w:space="0" w:color="auto"/>
              </w:divBdr>
              <w:divsChild>
                <w:div w:id="168521082">
                  <w:marLeft w:val="0"/>
                  <w:marRight w:val="0"/>
                  <w:marTop w:val="0"/>
                  <w:marBottom w:val="0"/>
                  <w:divBdr>
                    <w:top w:val="none" w:sz="0" w:space="0" w:color="auto"/>
                    <w:left w:val="none" w:sz="0" w:space="0" w:color="auto"/>
                    <w:bottom w:val="none" w:sz="0" w:space="0" w:color="auto"/>
                    <w:right w:val="none" w:sz="0" w:space="0" w:color="auto"/>
                  </w:divBdr>
                  <w:divsChild>
                    <w:div w:id="3060539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50561868">
          <w:marLeft w:val="0"/>
          <w:marRight w:val="0"/>
          <w:marTop w:val="0"/>
          <w:marBottom w:val="0"/>
          <w:divBdr>
            <w:top w:val="none" w:sz="0" w:space="0" w:color="auto"/>
            <w:left w:val="none" w:sz="0" w:space="0" w:color="auto"/>
            <w:bottom w:val="none" w:sz="0" w:space="0" w:color="auto"/>
            <w:right w:val="none" w:sz="0" w:space="0" w:color="auto"/>
          </w:divBdr>
          <w:divsChild>
            <w:div w:id="2121101378">
              <w:marLeft w:val="75"/>
              <w:marRight w:val="75"/>
              <w:marTop w:val="375"/>
              <w:marBottom w:val="75"/>
              <w:divBdr>
                <w:top w:val="none" w:sz="0" w:space="0" w:color="auto"/>
                <w:left w:val="none" w:sz="0" w:space="0" w:color="auto"/>
                <w:bottom w:val="none" w:sz="0" w:space="0" w:color="auto"/>
                <w:right w:val="none" w:sz="0" w:space="0" w:color="auto"/>
              </w:divBdr>
              <w:divsChild>
                <w:div w:id="227692963">
                  <w:marLeft w:val="0"/>
                  <w:marRight w:val="0"/>
                  <w:marTop w:val="0"/>
                  <w:marBottom w:val="0"/>
                  <w:divBdr>
                    <w:top w:val="none" w:sz="0" w:space="0" w:color="auto"/>
                    <w:left w:val="none" w:sz="0" w:space="0" w:color="auto"/>
                    <w:bottom w:val="none" w:sz="0" w:space="0" w:color="auto"/>
                    <w:right w:val="none" w:sz="0" w:space="0" w:color="auto"/>
                  </w:divBdr>
                  <w:divsChild>
                    <w:div w:id="174845294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208885239">
          <w:marLeft w:val="0"/>
          <w:marRight w:val="0"/>
          <w:marTop w:val="0"/>
          <w:marBottom w:val="0"/>
          <w:divBdr>
            <w:top w:val="none" w:sz="0" w:space="0" w:color="auto"/>
            <w:left w:val="none" w:sz="0" w:space="0" w:color="auto"/>
            <w:bottom w:val="none" w:sz="0" w:space="0" w:color="auto"/>
            <w:right w:val="none" w:sz="0" w:space="0" w:color="auto"/>
          </w:divBdr>
          <w:divsChild>
            <w:div w:id="1667897689">
              <w:marLeft w:val="75"/>
              <w:marRight w:val="75"/>
              <w:marTop w:val="375"/>
              <w:marBottom w:val="75"/>
              <w:divBdr>
                <w:top w:val="none" w:sz="0" w:space="0" w:color="auto"/>
                <w:left w:val="none" w:sz="0" w:space="0" w:color="auto"/>
                <w:bottom w:val="none" w:sz="0" w:space="0" w:color="auto"/>
                <w:right w:val="none" w:sz="0" w:space="0" w:color="auto"/>
              </w:divBdr>
              <w:divsChild>
                <w:div w:id="1242525993">
                  <w:marLeft w:val="0"/>
                  <w:marRight w:val="0"/>
                  <w:marTop w:val="0"/>
                  <w:marBottom w:val="0"/>
                  <w:divBdr>
                    <w:top w:val="none" w:sz="0" w:space="0" w:color="auto"/>
                    <w:left w:val="none" w:sz="0" w:space="0" w:color="auto"/>
                    <w:bottom w:val="none" w:sz="0" w:space="0" w:color="auto"/>
                    <w:right w:val="none" w:sz="0" w:space="0" w:color="auto"/>
                  </w:divBdr>
                  <w:divsChild>
                    <w:div w:id="60727964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18194977">
          <w:marLeft w:val="0"/>
          <w:marRight w:val="0"/>
          <w:marTop w:val="0"/>
          <w:marBottom w:val="0"/>
          <w:divBdr>
            <w:top w:val="none" w:sz="0" w:space="0" w:color="auto"/>
            <w:left w:val="none" w:sz="0" w:space="0" w:color="auto"/>
            <w:bottom w:val="none" w:sz="0" w:space="0" w:color="auto"/>
            <w:right w:val="none" w:sz="0" w:space="0" w:color="auto"/>
          </w:divBdr>
          <w:divsChild>
            <w:div w:id="2081906207">
              <w:marLeft w:val="75"/>
              <w:marRight w:val="75"/>
              <w:marTop w:val="375"/>
              <w:marBottom w:val="75"/>
              <w:divBdr>
                <w:top w:val="none" w:sz="0" w:space="0" w:color="auto"/>
                <w:left w:val="none" w:sz="0" w:space="0" w:color="auto"/>
                <w:bottom w:val="none" w:sz="0" w:space="0" w:color="auto"/>
                <w:right w:val="none" w:sz="0" w:space="0" w:color="auto"/>
              </w:divBdr>
              <w:divsChild>
                <w:div w:id="1307782407">
                  <w:marLeft w:val="0"/>
                  <w:marRight w:val="0"/>
                  <w:marTop w:val="0"/>
                  <w:marBottom w:val="0"/>
                  <w:divBdr>
                    <w:top w:val="none" w:sz="0" w:space="0" w:color="auto"/>
                    <w:left w:val="none" w:sz="0" w:space="0" w:color="auto"/>
                    <w:bottom w:val="none" w:sz="0" w:space="0" w:color="auto"/>
                    <w:right w:val="none" w:sz="0" w:space="0" w:color="auto"/>
                  </w:divBdr>
                  <w:divsChild>
                    <w:div w:id="11622208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36095117">
          <w:marLeft w:val="0"/>
          <w:marRight w:val="0"/>
          <w:marTop w:val="0"/>
          <w:marBottom w:val="0"/>
          <w:divBdr>
            <w:top w:val="none" w:sz="0" w:space="0" w:color="auto"/>
            <w:left w:val="none" w:sz="0" w:space="0" w:color="auto"/>
            <w:bottom w:val="none" w:sz="0" w:space="0" w:color="auto"/>
            <w:right w:val="none" w:sz="0" w:space="0" w:color="auto"/>
          </w:divBdr>
          <w:divsChild>
            <w:div w:id="1855684441">
              <w:marLeft w:val="75"/>
              <w:marRight w:val="75"/>
              <w:marTop w:val="375"/>
              <w:marBottom w:val="75"/>
              <w:divBdr>
                <w:top w:val="none" w:sz="0" w:space="0" w:color="auto"/>
                <w:left w:val="none" w:sz="0" w:space="0" w:color="auto"/>
                <w:bottom w:val="none" w:sz="0" w:space="0" w:color="auto"/>
                <w:right w:val="none" w:sz="0" w:space="0" w:color="auto"/>
              </w:divBdr>
              <w:divsChild>
                <w:div w:id="211310077">
                  <w:marLeft w:val="0"/>
                  <w:marRight w:val="0"/>
                  <w:marTop w:val="0"/>
                  <w:marBottom w:val="0"/>
                  <w:divBdr>
                    <w:top w:val="none" w:sz="0" w:space="0" w:color="auto"/>
                    <w:left w:val="none" w:sz="0" w:space="0" w:color="auto"/>
                    <w:bottom w:val="none" w:sz="0" w:space="0" w:color="auto"/>
                    <w:right w:val="none" w:sz="0" w:space="0" w:color="auto"/>
                  </w:divBdr>
                  <w:divsChild>
                    <w:div w:id="86016560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796464">
          <w:marLeft w:val="0"/>
          <w:marRight w:val="0"/>
          <w:marTop w:val="0"/>
          <w:marBottom w:val="0"/>
          <w:divBdr>
            <w:top w:val="none" w:sz="0" w:space="0" w:color="auto"/>
            <w:left w:val="none" w:sz="0" w:space="0" w:color="auto"/>
            <w:bottom w:val="none" w:sz="0" w:space="0" w:color="auto"/>
            <w:right w:val="none" w:sz="0" w:space="0" w:color="auto"/>
          </w:divBdr>
          <w:divsChild>
            <w:div w:id="357312074">
              <w:marLeft w:val="75"/>
              <w:marRight w:val="75"/>
              <w:marTop w:val="375"/>
              <w:marBottom w:val="75"/>
              <w:divBdr>
                <w:top w:val="none" w:sz="0" w:space="0" w:color="auto"/>
                <w:left w:val="none" w:sz="0" w:space="0" w:color="auto"/>
                <w:bottom w:val="none" w:sz="0" w:space="0" w:color="auto"/>
                <w:right w:val="none" w:sz="0" w:space="0" w:color="auto"/>
              </w:divBdr>
              <w:divsChild>
                <w:div w:id="718672858">
                  <w:marLeft w:val="0"/>
                  <w:marRight w:val="0"/>
                  <w:marTop w:val="0"/>
                  <w:marBottom w:val="0"/>
                  <w:divBdr>
                    <w:top w:val="none" w:sz="0" w:space="0" w:color="auto"/>
                    <w:left w:val="none" w:sz="0" w:space="0" w:color="auto"/>
                    <w:bottom w:val="none" w:sz="0" w:space="0" w:color="auto"/>
                    <w:right w:val="none" w:sz="0" w:space="0" w:color="auto"/>
                  </w:divBdr>
                  <w:divsChild>
                    <w:div w:id="149803997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15821427">
      <w:bodyDiv w:val="1"/>
      <w:marLeft w:val="0"/>
      <w:marRight w:val="0"/>
      <w:marTop w:val="0"/>
      <w:marBottom w:val="0"/>
      <w:divBdr>
        <w:top w:val="none" w:sz="0" w:space="0" w:color="auto"/>
        <w:left w:val="none" w:sz="0" w:space="0" w:color="auto"/>
        <w:bottom w:val="none" w:sz="0" w:space="0" w:color="auto"/>
        <w:right w:val="none" w:sz="0" w:space="0" w:color="auto"/>
      </w:divBdr>
      <w:divsChild>
        <w:div w:id="873469490">
          <w:marLeft w:val="0"/>
          <w:marRight w:val="0"/>
          <w:marTop w:val="0"/>
          <w:marBottom w:val="0"/>
          <w:divBdr>
            <w:top w:val="none" w:sz="0" w:space="0" w:color="auto"/>
            <w:left w:val="none" w:sz="0" w:space="0" w:color="auto"/>
            <w:bottom w:val="none" w:sz="0" w:space="0" w:color="auto"/>
            <w:right w:val="none" w:sz="0" w:space="0" w:color="auto"/>
          </w:divBdr>
          <w:divsChild>
            <w:div w:id="1877113062">
              <w:marLeft w:val="75"/>
              <w:marRight w:val="75"/>
              <w:marTop w:val="375"/>
              <w:marBottom w:val="75"/>
              <w:divBdr>
                <w:top w:val="none" w:sz="0" w:space="0" w:color="auto"/>
                <w:left w:val="none" w:sz="0" w:space="0" w:color="auto"/>
                <w:bottom w:val="none" w:sz="0" w:space="0" w:color="auto"/>
                <w:right w:val="none" w:sz="0" w:space="0" w:color="auto"/>
              </w:divBdr>
              <w:divsChild>
                <w:div w:id="825363113">
                  <w:marLeft w:val="0"/>
                  <w:marRight w:val="0"/>
                  <w:marTop w:val="0"/>
                  <w:marBottom w:val="0"/>
                  <w:divBdr>
                    <w:top w:val="none" w:sz="0" w:space="0" w:color="auto"/>
                    <w:left w:val="none" w:sz="0" w:space="0" w:color="auto"/>
                    <w:bottom w:val="none" w:sz="0" w:space="0" w:color="auto"/>
                    <w:right w:val="none" w:sz="0" w:space="0" w:color="auto"/>
                  </w:divBdr>
                  <w:divsChild>
                    <w:div w:id="184663327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84771746">
          <w:marLeft w:val="0"/>
          <w:marRight w:val="0"/>
          <w:marTop w:val="0"/>
          <w:marBottom w:val="0"/>
          <w:divBdr>
            <w:top w:val="none" w:sz="0" w:space="0" w:color="auto"/>
            <w:left w:val="none" w:sz="0" w:space="0" w:color="auto"/>
            <w:bottom w:val="none" w:sz="0" w:space="0" w:color="auto"/>
            <w:right w:val="none" w:sz="0" w:space="0" w:color="auto"/>
          </w:divBdr>
          <w:divsChild>
            <w:div w:id="894051271">
              <w:marLeft w:val="75"/>
              <w:marRight w:val="75"/>
              <w:marTop w:val="375"/>
              <w:marBottom w:val="75"/>
              <w:divBdr>
                <w:top w:val="none" w:sz="0" w:space="0" w:color="auto"/>
                <w:left w:val="none" w:sz="0" w:space="0" w:color="auto"/>
                <w:bottom w:val="none" w:sz="0" w:space="0" w:color="auto"/>
                <w:right w:val="none" w:sz="0" w:space="0" w:color="auto"/>
              </w:divBdr>
              <w:divsChild>
                <w:div w:id="1448810192">
                  <w:marLeft w:val="0"/>
                  <w:marRight w:val="0"/>
                  <w:marTop w:val="0"/>
                  <w:marBottom w:val="0"/>
                  <w:divBdr>
                    <w:top w:val="none" w:sz="0" w:space="0" w:color="auto"/>
                    <w:left w:val="none" w:sz="0" w:space="0" w:color="auto"/>
                    <w:bottom w:val="none" w:sz="0" w:space="0" w:color="auto"/>
                    <w:right w:val="none" w:sz="0" w:space="0" w:color="auto"/>
                  </w:divBdr>
                  <w:divsChild>
                    <w:div w:id="206008427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9082772">
          <w:marLeft w:val="0"/>
          <w:marRight w:val="0"/>
          <w:marTop w:val="0"/>
          <w:marBottom w:val="0"/>
          <w:divBdr>
            <w:top w:val="none" w:sz="0" w:space="0" w:color="auto"/>
            <w:left w:val="none" w:sz="0" w:space="0" w:color="auto"/>
            <w:bottom w:val="none" w:sz="0" w:space="0" w:color="auto"/>
            <w:right w:val="none" w:sz="0" w:space="0" w:color="auto"/>
          </w:divBdr>
          <w:divsChild>
            <w:div w:id="669910610">
              <w:marLeft w:val="75"/>
              <w:marRight w:val="75"/>
              <w:marTop w:val="375"/>
              <w:marBottom w:val="75"/>
              <w:divBdr>
                <w:top w:val="none" w:sz="0" w:space="0" w:color="auto"/>
                <w:left w:val="none" w:sz="0" w:space="0" w:color="auto"/>
                <w:bottom w:val="none" w:sz="0" w:space="0" w:color="auto"/>
                <w:right w:val="none" w:sz="0" w:space="0" w:color="auto"/>
              </w:divBdr>
              <w:divsChild>
                <w:div w:id="955332903">
                  <w:marLeft w:val="0"/>
                  <w:marRight w:val="0"/>
                  <w:marTop w:val="0"/>
                  <w:marBottom w:val="0"/>
                  <w:divBdr>
                    <w:top w:val="none" w:sz="0" w:space="0" w:color="auto"/>
                    <w:left w:val="none" w:sz="0" w:space="0" w:color="auto"/>
                    <w:bottom w:val="none" w:sz="0" w:space="0" w:color="auto"/>
                    <w:right w:val="none" w:sz="0" w:space="0" w:color="auto"/>
                  </w:divBdr>
                  <w:divsChild>
                    <w:div w:id="200372852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80075958">
          <w:marLeft w:val="0"/>
          <w:marRight w:val="0"/>
          <w:marTop w:val="0"/>
          <w:marBottom w:val="0"/>
          <w:divBdr>
            <w:top w:val="none" w:sz="0" w:space="0" w:color="auto"/>
            <w:left w:val="none" w:sz="0" w:space="0" w:color="auto"/>
            <w:bottom w:val="none" w:sz="0" w:space="0" w:color="auto"/>
            <w:right w:val="none" w:sz="0" w:space="0" w:color="auto"/>
          </w:divBdr>
          <w:divsChild>
            <w:div w:id="1663855035">
              <w:marLeft w:val="75"/>
              <w:marRight w:val="75"/>
              <w:marTop w:val="375"/>
              <w:marBottom w:val="75"/>
              <w:divBdr>
                <w:top w:val="none" w:sz="0" w:space="0" w:color="auto"/>
                <w:left w:val="none" w:sz="0" w:space="0" w:color="auto"/>
                <w:bottom w:val="none" w:sz="0" w:space="0" w:color="auto"/>
                <w:right w:val="none" w:sz="0" w:space="0" w:color="auto"/>
              </w:divBdr>
              <w:divsChild>
                <w:div w:id="1332492895">
                  <w:marLeft w:val="0"/>
                  <w:marRight w:val="0"/>
                  <w:marTop w:val="0"/>
                  <w:marBottom w:val="0"/>
                  <w:divBdr>
                    <w:top w:val="none" w:sz="0" w:space="0" w:color="auto"/>
                    <w:left w:val="none" w:sz="0" w:space="0" w:color="auto"/>
                    <w:bottom w:val="none" w:sz="0" w:space="0" w:color="auto"/>
                    <w:right w:val="none" w:sz="0" w:space="0" w:color="auto"/>
                  </w:divBdr>
                  <w:divsChild>
                    <w:div w:id="17642623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888421924">
          <w:marLeft w:val="0"/>
          <w:marRight w:val="0"/>
          <w:marTop w:val="0"/>
          <w:marBottom w:val="0"/>
          <w:divBdr>
            <w:top w:val="none" w:sz="0" w:space="0" w:color="auto"/>
            <w:left w:val="none" w:sz="0" w:space="0" w:color="auto"/>
            <w:bottom w:val="none" w:sz="0" w:space="0" w:color="auto"/>
            <w:right w:val="none" w:sz="0" w:space="0" w:color="auto"/>
          </w:divBdr>
          <w:divsChild>
            <w:div w:id="2123181851">
              <w:marLeft w:val="75"/>
              <w:marRight w:val="75"/>
              <w:marTop w:val="375"/>
              <w:marBottom w:val="75"/>
              <w:divBdr>
                <w:top w:val="none" w:sz="0" w:space="0" w:color="auto"/>
                <w:left w:val="none" w:sz="0" w:space="0" w:color="auto"/>
                <w:bottom w:val="none" w:sz="0" w:space="0" w:color="auto"/>
                <w:right w:val="none" w:sz="0" w:space="0" w:color="auto"/>
              </w:divBdr>
              <w:divsChild>
                <w:div w:id="1352341055">
                  <w:marLeft w:val="0"/>
                  <w:marRight w:val="0"/>
                  <w:marTop w:val="0"/>
                  <w:marBottom w:val="0"/>
                  <w:divBdr>
                    <w:top w:val="none" w:sz="0" w:space="0" w:color="auto"/>
                    <w:left w:val="none" w:sz="0" w:space="0" w:color="auto"/>
                    <w:bottom w:val="none" w:sz="0" w:space="0" w:color="auto"/>
                    <w:right w:val="none" w:sz="0" w:space="0" w:color="auto"/>
                  </w:divBdr>
                  <w:divsChild>
                    <w:div w:id="65950006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507215159">
          <w:marLeft w:val="0"/>
          <w:marRight w:val="0"/>
          <w:marTop w:val="0"/>
          <w:marBottom w:val="0"/>
          <w:divBdr>
            <w:top w:val="none" w:sz="0" w:space="0" w:color="auto"/>
            <w:left w:val="none" w:sz="0" w:space="0" w:color="auto"/>
            <w:bottom w:val="none" w:sz="0" w:space="0" w:color="auto"/>
            <w:right w:val="none" w:sz="0" w:space="0" w:color="auto"/>
          </w:divBdr>
          <w:divsChild>
            <w:div w:id="1849825306">
              <w:marLeft w:val="75"/>
              <w:marRight w:val="75"/>
              <w:marTop w:val="375"/>
              <w:marBottom w:val="75"/>
              <w:divBdr>
                <w:top w:val="none" w:sz="0" w:space="0" w:color="auto"/>
                <w:left w:val="none" w:sz="0" w:space="0" w:color="auto"/>
                <w:bottom w:val="none" w:sz="0" w:space="0" w:color="auto"/>
                <w:right w:val="none" w:sz="0" w:space="0" w:color="auto"/>
              </w:divBdr>
              <w:divsChild>
                <w:div w:id="2036689146">
                  <w:marLeft w:val="0"/>
                  <w:marRight w:val="0"/>
                  <w:marTop w:val="0"/>
                  <w:marBottom w:val="0"/>
                  <w:divBdr>
                    <w:top w:val="none" w:sz="0" w:space="0" w:color="auto"/>
                    <w:left w:val="none" w:sz="0" w:space="0" w:color="auto"/>
                    <w:bottom w:val="none" w:sz="0" w:space="0" w:color="auto"/>
                    <w:right w:val="none" w:sz="0" w:space="0" w:color="auto"/>
                  </w:divBdr>
                  <w:divsChild>
                    <w:div w:id="2124553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96226332">
          <w:marLeft w:val="0"/>
          <w:marRight w:val="0"/>
          <w:marTop w:val="0"/>
          <w:marBottom w:val="0"/>
          <w:divBdr>
            <w:top w:val="none" w:sz="0" w:space="0" w:color="auto"/>
            <w:left w:val="none" w:sz="0" w:space="0" w:color="auto"/>
            <w:bottom w:val="none" w:sz="0" w:space="0" w:color="auto"/>
            <w:right w:val="none" w:sz="0" w:space="0" w:color="auto"/>
          </w:divBdr>
          <w:divsChild>
            <w:div w:id="1514756601">
              <w:marLeft w:val="75"/>
              <w:marRight w:val="75"/>
              <w:marTop w:val="375"/>
              <w:marBottom w:val="75"/>
              <w:divBdr>
                <w:top w:val="none" w:sz="0" w:space="0" w:color="auto"/>
                <w:left w:val="none" w:sz="0" w:space="0" w:color="auto"/>
                <w:bottom w:val="none" w:sz="0" w:space="0" w:color="auto"/>
                <w:right w:val="none" w:sz="0" w:space="0" w:color="auto"/>
              </w:divBdr>
              <w:divsChild>
                <w:div w:id="1076052011">
                  <w:marLeft w:val="0"/>
                  <w:marRight w:val="0"/>
                  <w:marTop w:val="0"/>
                  <w:marBottom w:val="0"/>
                  <w:divBdr>
                    <w:top w:val="none" w:sz="0" w:space="0" w:color="auto"/>
                    <w:left w:val="none" w:sz="0" w:space="0" w:color="auto"/>
                    <w:bottom w:val="none" w:sz="0" w:space="0" w:color="auto"/>
                    <w:right w:val="none" w:sz="0" w:space="0" w:color="auto"/>
                  </w:divBdr>
                  <w:divsChild>
                    <w:div w:id="146357058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372412523">
          <w:marLeft w:val="0"/>
          <w:marRight w:val="0"/>
          <w:marTop w:val="0"/>
          <w:marBottom w:val="0"/>
          <w:divBdr>
            <w:top w:val="none" w:sz="0" w:space="0" w:color="auto"/>
            <w:left w:val="none" w:sz="0" w:space="0" w:color="auto"/>
            <w:bottom w:val="none" w:sz="0" w:space="0" w:color="auto"/>
            <w:right w:val="none" w:sz="0" w:space="0" w:color="auto"/>
          </w:divBdr>
          <w:divsChild>
            <w:div w:id="209194571">
              <w:marLeft w:val="75"/>
              <w:marRight w:val="75"/>
              <w:marTop w:val="375"/>
              <w:marBottom w:val="75"/>
              <w:divBdr>
                <w:top w:val="none" w:sz="0" w:space="0" w:color="auto"/>
                <w:left w:val="none" w:sz="0" w:space="0" w:color="auto"/>
                <w:bottom w:val="none" w:sz="0" w:space="0" w:color="auto"/>
                <w:right w:val="none" w:sz="0" w:space="0" w:color="auto"/>
              </w:divBdr>
              <w:divsChild>
                <w:div w:id="1071390295">
                  <w:marLeft w:val="0"/>
                  <w:marRight w:val="0"/>
                  <w:marTop w:val="0"/>
                  <w:marBottom w:val="0"/>
                  <w:divBdr>
                    <w:top w:val="none" w:sz="0" w:space="0" w:color="auto"/>
                    <w:left w:val="none" w:sz="0" w:space="0" w:color="auto"/>
                    <w:bottom w:val="none" w:sz="0" w:space="0" w:color="auto"/>
                    <w:right w:val="none" w:sz="0" w:space="0" w:color="auto"/>
                  </w:divBdr>
                  <w:divsChild>
                    <w:div w:id="4430584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10669101">
          <w:marLeft w:val="0"/>
          <w:marRight w:val="0"/>
          <w:marTop w:val="0"/>
          <w:marBottom w:val="0"/>
          <w:divBdr>
            <w:top w:val="none" w:sz="0" w:space="0" w:color="auto"/>
            <w:left w:val="none" w:sz="0" w:space="0" w:color="auto"/>
            <w:bottom w:val="none" w:sz="0" w:space="0" w:color="auto"/>
            <w:right w:val="none" w:sz="0" w:space="0" w:color="auto"/>
          </w:divBdr>
          <w:divsChild>
            <w:div w:id="424499244">
              <w:marLeft w:val="75"/>
              <w:marRight w:val="75"/>
              <w:marTop w:val="375"/>
              <w:marBottom w:val="75"/>
              <w:divBdr>
                <w:top w:val="none" w:sz="0" w:space="0" w:color="auto"/>
                <w:left w:val="none" w:sz="0" w:space="0" w:color="auto"/>
                <w:bottom w:val="none" w:sz="0" w:space="0" w:color="auto"/>
                <w:right w:val="none" w:sz="0" w:space="0" w:color="auto"/>
              </w:divBdr>
              <w:divsChild>
                <w:div w:id="45378605">
                  <w:marLeft w:val="0"/>
                  <w:marRight w:val="0"/>
                  <w:marTop w:val="0"/>
                  <w:marBottom w:val="0"/>
                  <w:divBdr>
                    <w:top w:val="none" w:sz="0" w:space="0" w:color="auto"/>
                    <w:left w:val="none" w:sz="0" w:space="0" w:color="auto"/>
                    <w:bottom w:val="none" w:sz="0" w:space="0" w:color="auto"/>
                    <w:right w:val="none" w:sz="0" w:space="0" w:color="auto"/>
                  </w:divBdr>
                  <w:divsChild>
                    <w:div w:id="14953367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62447501">
          <w:marLeft w:val="0"/>
          <w:marRight w:val="0"/>
          <w:marTop w:val="0"/>
          <w:marBottom w:val="0"/>
          <w:divBdr>
            <w:top w:val="none" w:sz="0" w:space="0" w:color="auto"/>
            <w:left w:val="none" w:sz="0" w:space="0" w:color="auto"/>
            <w:bottom w:val="none" w:sz="0" w:space="0" w:color="auto"/>
            <w:right w:val="none" w:sz="0" w:space="0" w:color="auto"/>
          </w:divBdr>
          <w:divsChild>
            <w:div w:id="1201236985">
              <w:marLeft w:val="75"/>
              <w:marRight w:val="75"/>
              <w:marTop w:val="375"/>
              <w:marBottom w:val="75"/>
              <w:divBdr>
                <w:top w:val="none" w:sz="0" w:space="0" w:color="auto"/>
                <w:left w:val="none" w:sz="0" w:space="0" w:color="auto"/>
                <w:bottom w:val="none" w:sz="0" w:space="0" w:color="auto"/>
                <w:right w:val="none" w:sz="0" w:space="0" w:color="auto"/>
              </w:divBdr>
              <w:divsChild>
                <w:div w:id="1855530175">
                  <w:marLeft w:val="0"/>
                  <w:marRight w:val="0"/>
                  <w:marTop w:val="0"/>
                  <w:marBottom w:val="0"/>
                  <w:divBdr>
                    <w:top w:val="none" w:sz="0" w:space="0" w:color="auto"/>
                    <w:left w:val="none" w:sz="0" w:space="0" w:color="auto"/>
                    <w:bottom w:val="none" w:sz="0" w:space="0" w:color="auto"/>
                    <w:right w:val="none" w:sz="0" w:space="0" w:color="auto"/>
                  </w:divBdr>
                  <w:divsChild>
                    <w:div w:id="136578651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12853786">
          <w:marLeft w:val="0"/>
          <w:marRight w:val="0"/>
          <w:marTop w:val="0"/>
          <w:marBottom w:val="0"/>
          <w:divBdr>
            <w:top w:val="none" w:sz="0" w:space="0" w:color="auto"/>
            <w:left w:val="none" w:sz="0" w:space="0" w:color="auto"/>
            <w:bottom w:val="none" w:sz="0" w:space="0" w:color="auto"/>
            <w:right w:val="none" w:sz="0" w:space="0" w:color="auto"/>
          </w:divBdr>
          <w:divsChild>
            <w:div w:id="2089495793">
              <w:marLeft w:val="75"/>
              <w:marRight w:val="75"/>
              <w:marTop w:val="375"/>
              <w:marBottom w:val="75"/>
              <w:divBdr>
                <w:top w:val="none" w:sz="0" w:space="0" w:color="auto"/>
                <w:left w:val="none" w:sz="0" w:space="0" w:color="auto"/>
                <w:bottom w:val="none" w:sz="0" w:space="0" w:color="auto"/>
                <w:right w:val="none" w:sz="0" w:space="0" w:color="auto"/>
              </w:divBdr>
              <w:divsChild>
                <w:div w:id="530728931">
                  <w:marLeft w:val="0"/>
                  <w:marRight w:val="0"/>
                  <w:marTop w:val="0"/>
                  <w:marBottom w:val="0"/>
                  <w:divBdr>
                    <w:top w:val="none" w:sz="0" w:space="0" w:color="auto"/>
                    <w:left w:val="none" w:sz="0" w:space="0" w:color="auto"/>
                    <w:bottom w:val="none" w:sz="0" w:space="0" w:color="auto"/>
                    <w:right w:val="none" w:sz="0" w:space="0" w:color="auto"/>
                  </w:divBdr>
                  <w:divsChild>
                    <w:div w:id="122005065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94830796">
          <w:marLeft w:val="0"/>
          <w:marRight w:val="0"/>
          <w:marTop w:val="0"/>
          <w:marBottom w:val="0"/>
          <w:divBdr>
            <w:top w:val="none" w:sz="0" w:space="0" w:color="auto"/>
            <w:left w:val="none" w:sz="0" w:space="0" w:color="auto"/>
            <w:bottom w:val="none" w:sz="0" w:space="0" w:color="auto"/>
            <w:right w:val="none" w:sz="0" w:space="0" w:color="auto"/>
          </w:divBdr>
          <w:divsChild>
            <w:div w:id="888230530">
              <w:marLeft w:val="75"/>
              <w:marRight w:val="75"/>
              <w:marTop w:val="375"/>
              <w:marBottom w:val="75"/>
              <w:divBdr>
                <w:top w:val="none" w:sz="0" w:space="0" w:color="auto"/>
                <w:left w:val="none" w:sz="0" w:space="0" w:color="auto"/>
                <w:bottom w:val="none" w:sz="0" w:space="0" w:color="auto"/>
                <w:right w:val="none" w:sz="0" w:space="0" w:color="auto"/>
              </w:divBdr>
              <w:divsChild>
                <w:div w:id="1103770429">
                  <w:marLeft w:val="0"/>
                  <w:marRight w:val="0"/>
                  <w:marTop w:val="0"/>
                  <w:marBottom w:val="0"/>
                  <w:divBdr>
                    <w:top w:val="none" w:sz="0" w:space="0" w:color="auto"/>
                    <w:left w:val="none" w:sz="0" w:space="0" w:color="auto"/>
                    <w:bottom w:val="none" w:sz="0" w:space="0" w:color="auto"/>
                    <w:right w:val="none" w:sz="0" w:space="0" w:color="auto"/>
                  </w:divBdr>
                  <w:divsChild>
                    <w:div w:id="165086034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55391308">
          <w:marLeft w:val="0"/>
          <w:marRight w:val="0"/>
          <w:marTop w:val="0"/>
          <w:marBottom w:val="0"/>
          <w:divBdr>
            <w:top w:val="none" w:sz="0" w:space="0" w:color="auto"/>
            <w:left w:val="none" w:sz="0" w:space="0" w:color="auto"/>
            <w:bottom w:val="none" w:sz="0" w:space="0" w:color="auto"/>
            <w:right w:val="none" w:sz="0" w:space="0" w:color="auto"/>
          </w:divBdr>
          <w:divsChild>
            <w:div w:id="1903521759">
              <w:marLeft w:val="75"/>
              <w:marRight w:val="75"/>
              <w:marTop w:val="375"/>
              <w:marBottom w:val="75"/>
              <w:divBdr>
                <w:top w:val="none" w:sz="0" w:space="0" w:color="auto"/>
                <w:left w:val="none" w:sz="0" w:space="0" w:color="auto"/>
                <w:bottom w:val="none" w:sz="0" w:space="0" w:color="auto"/>
                <w:right w:val="none" w:sz="0" w:space="0" w:color="auto"/>
              </w:divBdr>
              <w:divsChild>
                <w:div w:id="294530171">
                  <w:marLeft w:val="0"/>
                  <w:marRight w:val="0"/>
                  <w:marTop w:val="0"/>
                  <w:marBottom w:val="0"/>
                  <w:divBdr>
                    <w:top w:val="none" w:sz="0" w:space="0" w:color="auto"/>
                    <w:left w:val="none" w:sz="0" w:space="0" w:color="auto"/>
                    <w:bottom w:val="none" w:sz="0" w:space="0" w:color="auto"/>
                    <w:right w:val="none" w:sz="0" w:space="0" w:color="auto"/>
                  </w:divBdr>
                  <w:divsChild>
                    <w:div w:id="25744640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4928087">
          <w:marLeft w:val="0"/>
          <w:marRight w:val="0"/>
          <w:marTop w:val="0"/>
          <w:marBottom w:val="0"/>
          <w:divBdr>
            <w:top w:val="none" w:sz="0" w:space="0" w:color="auto"/>
            <w:left w:val="none" w:sz="0" w:space="0" w:color="auto"/>
            <w:bottom w:val="none" w:sz="0" w:space="0" w:color="auto"/>
            <w:right w:val="none" w:sz="0" w:space="0" w:color="auto"/>
          </w:divBdr>
          <w:divsChild>
            <w:div w:id="2104521996">
              <w:marLeft w:val="75"/>
              <w:marRight w:val="75"/>
              <w:marTop w:val="375"/>
              <w:marBottom w:val="75"/>
              <w:divBdr>
                <w:top w:val="none" w:sz="0" w:space="0" w:color="auto"/>
                <w:left w:val="none" w:sz="0" w:space="0" w:color="auto"/>
                <w:bottom w:val="none" w:sz="0" w:space="0" w:color="auto"/>
                <w:right w:val="none" w:sz="0" w:space="0" w:color="auto"/>
              </w:divBdr>
              <w:divsChild>
                <w:div w:id="380984897">
                  <w:marLeft w:val="0"/>
                  <w:marRight w:val="0"/>
                  <w:marTop w:val="0"/>
                  <w:marBottom w:val="0"/>
                  <w:divBdr>
                    <w:top w:val="none" w:sz="0" w:space="0" w:color="auto"/>
                    <w:left w:val="none" w:sz="0" w:space="0" w:color="auto"/>
                    <w:bottom w:val="none" w:sz="0" w:space="0" w:color="auto"/>
                    <w:right w:val="none" w:sz="0" w:space="0" w:color="auto"/>
                  </w:divBdr>
                  <w:divsChild>
                    <w:div w:id="155346654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47540347">
          <w:marLeft w:val="0"/>
          <w:marRight w:val="0"/>
          <w:marTop w:val="0"/>
          <w:marBottom w:val="0"/>
          <w:divBdr>
            <w:top w:val="none" w:sz="0" w:space="0" w:color="auto"/>
            <w:left w:val="none" w:sz="0" w:space="0" w:color="auto"/>
            <w:bottom w:val="none" w:sz="0" w:space="0" w:color="auto"/>
            <w:right w:val="none" w:sz="0" w:space="0" w:color="auto"/>
          </w:divBdr>
          <w:divsChild>
            <w:div w:id="784815876">
              <w:marLeft w:val="75"/>
              <w:marRight w:val="75"/>
              <w:marTop w:val="375"/>
              <w:marBottom w:val="75"/>
              <w:divBdr>
                <w:top w:val="none" w:sz="0" w:space="0" w:color="auto"/>
                <w:left w:val="none" w:sz="0" w:space="0" w:color="auto"/>
                <w:bottom w:val="none" w:sz="0" w:space="0" w:color="auto"/>
                <w:right w:val="none" w:sz="0" w:space="0" w:color="auto"/>
              </w:divBdr>
              <w:divsChild>
                <w:div w:id="5254865">
                  <w:marLeft w:val="0"/>
                  <w:marRight w:val="0"/>
                  <w:marTop w:val="0"/>
                  <w:marBottom w:val="0"/>
                  <w:divBdr>
                    <w:top w:val="none" w:sz="0" w:space="0" w:color="auto"/>
                    <w:left w:val="none" w:sz="0" w:space="0" w:color="auto"/>
                    <w:bottom w:val="none" w:sz="0" w:space="0" w:color="auto"/>
                    <w:right w:val="none" w:sz="0" w:space="0" w:color="auto"/>
                  </w:divBdr>
                  <w:divsChild>
                    <w:div w:id="1150898915">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47602930">
          <w:marLeft w:val="0"/>
          <w:marRight w:val="0"/>
          <w:marTop w:val="0"/>
          <w:marBottom w:val="0"/>
          <w:divBdr>
            <w:top w:val="none" w:sz="0" w:space="0" w:color="auto"/>
            <w:left w:val="none" w:sz="0" w:space="0" w:color="auto"/>
            <w:bottom w:val="none" w:sz="0" w:space="0" w:color="auto"/>
            <w:right w:val="none" w:sz="0" w:space="0" w:color="auto"/>
          </w:divBdr>
          <w:divsChild>
            <w:div w:id="1594777617">
              <w:marLeft w:val="75"/>
              <w:marRight w:val="75"/>
              <w:marTop w:val="375"/>
              <w:marBottom w:val="75"/>
              <w:divBdr>
                <w:top w:val="none" w:sz="0" w:space="0" w:color="auto"/>
                <w:left w:val="none" w:sz="0" w:space="0" w:color="auto"/>
                <w:bottom w:val="none" w:sz="0" w:space="0" w:color="auto"/>
                <w:right w:val="none" w:sz="0" w:space="0" w:color="auto"/>
              </w:divBdr>
              <w:divsChild>
                <w:div w:id="71006569">
                  <w:marLeft w:val="0"/>
                  <w:marRight w:val="0"/>
                  <w:marTop w:val="0"/>
                  <w:marBottom w:val="0"/>
                  <w:divBdr>
                    <w:top w:val="none" w:sz="0" w:space="0" w:color="auto"/>
                    <w:left w:val="none" w:sz="0" w:space="0" w:color="auto"/>
                    <w:bottom w:val="none" w:sz="0" w:space="0" w:color="auto"/>
                    <w:right w:val="none" w:sz="0" w:space="0" w:color="auto"/>
                  </w:divBdr>
                  <w:divsChild>
                    <w:div w:id="103824230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724062285">
          <w:marLeft w:val="0"/>
          <w:marRight w:val="0"/>
          <w:marTop w:val="0"/>
          <w:marBottom w:val="0"/>
          <w:divBdr>
            <w:top w:val="none" w:sz="0" w:space="0" w:color="auto"/>
            <w:left w:val="none" w:sz="0" w:space="0" w:color="auto"/>
            <w:bottom w:val="none" w:sz="0" w:space="0" w:color="auto"/>
            <w:right w:val="none" w:sz="0" w:space="0" w:color="auto"/>
          </w:divBdr>
          <w:divsChild>
            <w:div w:id="143740421">
              <w:marLeft w:val="75"/>
              <w:marRight w:val="75"/>
              <w:marTop w:val="375"/>
              <w:marBottom w:val="75"/>
              <w:divBdr>
                <w:top w:val="none" w:sz="0" w:space="0" w:color="auto"/>
                <w:left w:val="none" w:sz="0" w:space="0" w:color="auto"/>
                <w:bottom w:val="none" w:sz="0" w:space="0" w:color="auto"/>
                <w:right w:val="none" w:sz="0" w:space="0" w:color="auto"/>
              </w:divBdr>
              <w:divsChild>
                <w:div w:id="1982465261">
                  <w:marLeft w:val="0"/>
                  <w:marRight w:val="0"/>
                  <w:marTop w:val="0"/>
                  <w:marBottom w:val="0"/>
                  <w:divBdr>
                    <w:top w:val="none" w:sz="0" w:space="0" w:color="auto"/>
                    <w:left w:val="none" w:sz="0" w:space="0" w:color="auto"/>
                    <w:bottom w:val="none" w:sz="0" w:space="0" w:color="auto"/>
                    <w:right w:val="none" w:sz="0" w:space="0" w:color="auto"/>
                  </w:divBdr>
                  <w:divsChild>
                    <w:div w:id="16760091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65116250">
          <w:marLeft w:val="0"/>
          <w:marRight w:val="0"/>
          <w:marTop w:val="0"/>
          <w:marBottom w:val="0"/>
          <w:divBdr>
            <w:top w:val="none" w:sz="0" w:space="0" w:color="auto"/>
            <w:left w:val="none" w:sz="0" w:space="0" w:color="auto"/>
            <w:bottom w:val="none" w:sz="0" w:space="0" w:color="auto"/>
            <w:right w:val="none" w:sz="0" w:space="0" w:color="auto"/>
          </w:divBdr>
          <w:divsChild>
            <w:div w:id="840583565">
              <w:marLeft w:val="75"/>
              <w:marRight w:val="75"/>
              <w:marTop w:val="375"/>
              <w:marBottom w:val="75"/>
              <w:divBdr>
                <w:top w:val="none" w:sz="0" w:space="0" w:color="auto"/>
                <w:left w:val="none" w:sz="0" w:space="0" w:color="auto"/>
                <w:bottom w:val="none" w:sz="0" w:space="0" w:color="auto"/>
                <w:right w:val="none" w:sz="0" w:space="0" w:color="auto"/>
              </w:divBdr>
              <w:divsChild>
                <w:div w:id="1743719042">
                  <w:marLeft w:val="0"/>
                  <w:marRight w:val="0"/>
                  <w:marTop w:val="0"/>
                  <w:marBottom w:val="0"/>
                  <w:divBdr>
                    <w:top w:val="none" w:sz="0" w:space="0" w:color="auto"/>
                    <w:left w:val="none" w:sz="0" w:space="0" w:color="auto"/>
                    <w:bottom w:val="none" w:sz="0" w:space="0" w:color="auto"/>
                    <w:right w:val="none" w:sz="0" w:space="0" w:color="auto"/>
                  </w:divBdr>
                  <w:divsChild>
                    <w:div w:id="857934378">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686835201">
          <w:marLeft w:val="0"/>
          <w:marRight w:val="0"/>
          <w:marTop w:val="0"/>
          <w:marBottom w:val="0"/>
          <w:divBdr>
            <w:top w:val="none" w:sz="0" w:space="0" w:color="auto"/>
            <w:left w:val="none" w:sz="0" w:space="0" w:color="auto"/>
            <w:bottom w:val="none" w:sz="0" w:space="0" w:color="auto"/>
            <w:right w:val="none" w:sz="0" w:space="0" w:color="auto"/>
          </w:divBdr>
          <w:divsChild>
            <w:div w:id="1994525835">
              <w:marLeft w:val="75"/>
              <w:marRight w:val="75"/>
              <w:marTop w:val="375"/>
              <w:marBottom w:val="75"/>
              <w:divBdr>
                <w:top w:val="none" w:sz="0" w:space="0" w:color="auto"/>
                <w:left w:val="none" w:sz="0" w:space="0" w:color="auto"/>
                <w:bottom w:val="none" w:sz="0" w:space="0" w:color="auto"/>
                <w:right w:val="none" w:sz="0" w:space="0" w:color="auto"/>
              </w:divBdr>
              <w:divsChild>
                <w:div w:id="1585725084">
                  <w:marLeft w:val="0"/>
                  <w:marRight w:val="0"/>
                  <w:marTop w:val="0"/>
                  <w:marBottom w:val="0"/>
                  <w:divBdr>
                    <w:top w:val="none" w:sz="0" w:space="0" w:color="auto"/>
                    <w:left w:val="none" w:sz="0" w:space="0" w:color="auto"/>
                    <w:bottom w:val="none" w:sz="0" w:space="0" w:color="auto"/>
                    <w:right w:val="none" w:sz="0" w:space="0" w:color="auto"/>
                  </w:divBdr>
                  <w:divsChild>
                    <w:div w:id="74554105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89021523">
          <w:marLeft w:val="0"/>
          <w:marRight w:val="0"/>
          <w:marTop w:val="0"/>
          <w:marBottom w:val="0"/>
          <w:divBdr>
            <w:top w:val="none" w:sz="0" w:space="0" w:color="auto"/>
            <w:left w:val="none" w:sz="0" w:space="0" w:color="auto"/>
            <w:bottom w:val="none" w:sz="0" w:space="0" w:color="auto"/>
            <w:right w:val="none" w:sz="0" w:space="0" w:color="auto"/>
          </w:divBdr>
          <w:divsChild>
            <w:div w:id="1328745419">
              <w:marLeft w:val="75"/>
              <w:marRight w:val="75"/>
              <w:marTop w:val="375"/>
              <w:marBottom w:val="75"/>
              <w:divBdr>
                <w:top w:val="none" w:sz="0" w:space="0" w:color="auto"/>
                <w:left w:val="none" w:sz="0" w:space="0" w:color="auto"/>
                <w:bottom w:val="none" w:sz="0" w:space="0" w:color="auto"/>
                <w:right w:val="none" w:sz="0" w:space="0" w:color="auto"/>
              </w:divBdr>
              <w:divsChild>
                <w:div w:id="2047870011">
                  <w:marLeft w:val="0"/>
                  <w:marRight w:val="0"/>
                  <w:marTop w:val="0"/>
                  <w:marBottom w:val="0"/>
                  <w:divBdr>
                    <w:top w:val="none" w:sz="0" w:space="0" w:color="auto"/>
                    <w:left w:val="none" w:sz="0" w:space="0" w:color="auto"/>
                    <w:bottom w:val="none" w:sz="0" w:space="0" w:color="auto"/>
                    <w:right w:val="none" w:sz="0" w:space="0" w:color="auto"/>
                  </w:divBdr>
                  <w:divsChild>
                    <w:div w:id="77117229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587154406">
          <w:marLeft w:val="0"/>
          <w:marRight w:val="0"/>
          <w:marTop w:val="0"/>
          <w:marBottom w:val="0"/>
          <w:divBdr>
            <w:top w:val="none" w:sz="0" w:space="0" w:color="auto"/>
            <w:left w:val="none" w:sz="0" w:space="0" w:color="auto"/>
            <w:bottom w:val="none" w:sz="0" w:space="0" w:color="auto"/>
            <w:right w:val="none" w:sz="0" w:space="0" w:color="auto"/>
          </w:divBdr>
          <w:divsChild>
            <w:div w:id="626736697">
              <w:marLeft w:val="75"/>
              <w:marRight w:val="75"/>
              <w:marTop w:val="375"/>
              <w:marBottom w:val="75"/>
              <w:divBdr>
                <w:top w:val="none" w:sz="0" w:space="0" w:color="auto"/>
                <w:left w:val="none" w:sz="0" w:space="0" w:color="auto"/>
                <w:bottom w:val="none" w:sz="0" w:space="0" w:color="auto"/>
                <w:right w:val="none" w:sz="0" w:space="0" w:color="auto"/>
              </w:divBdr>
              <w:divsChild>
                <w:div w:id="711267347">
                  <w:marLeft w:val="0"/>
                  <w:marRight w:val="0"/>
                  <w:marTop w:val="0"/>
                  <w:marBottom w:val="0"/>
                  <w:divBdr>
                    <w:top w:val="none" w:sz="0" w:space="0" w:color="auto"/>
                    <w:left w:val="none" w:sz="0" w:space="0" w:color="auto"/>
                    <w:bottom w:val="none" w:sz="0" w:space="0" w:color="auto"/>
                    <w:right w:val="none" w:sz="0" w:space="0" w:color="auto"/>
                  </w:divBdr>
                  <w:divsChild>
                    <w:div w:id="141212411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74650409">
          <w:marLeft w:val="0"/>
          <w:marRight w:val="0"/>
          <w:marTop w:val="0"/>
          <w:marBottom w:val="0"/>
          <w:divBdr>
            <w:top w:val="none" w:sz="0" w:space="0" w:color="auto"/>
            <w:left w:val="none" w:sz="0" w:space="0" w:color="auto"/>
            <w:bottom w:val="none" w:sz="0" w:space="0" w:color="auto"/>
            <w:right w:val="none" w:sz="0" w:space="0" w:color="auto"/>
          </w:divBdr>
          <w:divsChild>
            <w:div w:id="661542660">
              <w:marLeft w:val="75"/>
              <w:marRight w:val="75"/>
              <w:marTop w:val="375"/>
              <w:marBottom w:val="75"/>
              <w:divBdr>
                <w:top w:val="none" w:sz="0" w:space="0" w:color="auto"/>
                <w:left w:val="none" w:sz="0" w:space="0" w:color="auto"/>
                <w:bottom w:val="none" w:sz="0" w:space="0" w:color="auto"/>
                <w:right w:val="none" w:sz="0" w:space="0" w:color="auto"/>
              </w:divBdr>
              <w:divsChild>
                <w:div w:id="2090884180">
                  <w:marLeft w:val="0"/>
                  <w:marRight w:val="0"/>
                  <w:marTop w:val="0"/>
                  <w:marBottom w:val="0"/>
                  <w:divBdr>
                    <w:top w:val="none" w:sz="0" w:space="0" w:color="auto"/>
                    <w:left w:val="none" w:sz="0" w:space="0" w:color="auto"/>
                    <w:bottom w:val="none" w:sz="0" w:space="0" w:color="auto"/>
                    <w:right w:val="none" w:sz="0" w:space="0" w:color="auto"/>
                  </w:divBdr>
                  <w:divsChild>
                    <w:div w:id="180781423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3742970">
          <w:marLeft w:val="0"/>
          <w:marRight w:val="0"/>
          <w:marTop w:val="0"/>
          <w:marBottom w:val="0"/>
          <w:divBdr>
            <w:top w:val="none" w:sz="0" w:space="0" w:color="auto"/>
            <w:left w:val="none" w:sz="0" w:space="0" w:color="auto"/>
            <w:bottom w:val="none" w:sz="0" w:space="0" w:color="auto"/>
            <w:right w:val="none" w:sz="0" w:space="0" w:color="auto"/>
          </w:divBdr>
          <w:divsChild>
            <w:div w:id="369378445">
              <w:marLeft w:val="75"/>
              <w:marRight w:val="75"/>
              <w:marTop w:val="375"/>
              <w:marBottom w:val="75"/>
              <w:divBdr>
                <w:top w:val="none" w:sz="0" w:space="0" w:color="auto"/>
                <w:left w:val="none" w:sz="0" w:space="0" w:color="auto"/>
                <w:bottom w:val="none" w:sz="0" w:space="0" w:color="auto"/>
                <w:right w:val="none" w:sz="0" w:space="0" w:color="auto"/>
              </w:divBdr>
              <w:divsChild>
                <w:div w:id="434400407">
                  <w:marLeft w:val="0"/>
                  <w:marRight w:val="0"/>
                  <w:marTop w:val="0"/>
                  <w:marBottom w:val="0"/>
                  <w:divBdr>
                    <w:top w:val="none" w:sz="0" w:space="0" w:color="auto"/>
                    <w:left w:val="none" w:sz="0" w:space="0" w:color="auto"/>
                    <w:bottom w:val="none" w:sz="0" w:space="0" w:color="auto"/>
                    <w:right w:val="none" w:sz="0" w:space="0" w:color="auto"/>
                  </w:divBdr>
                  <w:divsChild>
                    <w:div w:id="1573734512">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667130065">
          <w:marLeft w:val="0"/>
          <w:marRight w:val="0"/>
          <w:marTop w:val="0"/>
          <w:marBottom w:val="0"/>
          <w:divBdr>
            <w:top w:val="none" w:sz="0" w:space="0" w:color="auto"/>
            <w:left w:val="none" w:sz="0" w:space="0" w:color="auto"/>
            <w:bottom w:val="none" w:sz="0" w:space="0" w:color="auto"/>
            <w:right w:val="none" w:sz="0" w:space="0" w:color="auto"/>
          </w:divBdr>
          <w:divsChild>
            <w:div w:id="55082826">
              <w:marLeft w:val="75"/>
              <w:marRight w:val="75"/>
              <w:marTop w:val="375"/>
              <w:marBottom w:val="75"/>
              <w:divBdr>
                <w:top w:val="none" w:sz="0" w:space="0" w:color="auto"/>
                <w:left w:val="none" w:sz="0" w:space="0" w:color="auto"/>
                <w:bottom w:val="none" w:sz="0" w:space="0" w:color="auto"/>
                <w:right w:val="none" w:sz="0" w:space="0" w:color="auto"/>
              </w:divBdr>
              <w:divsChild>
                <w:div w:id="1492864703">
                  <w:marLeft w:val="0"/>
                  <w:marRight w:val="0"/>
                  <w:marTop w:val="0"/>
                  <w:marBottom w:val="0"/>
                  <w:divBdr>
                    <w:top w:val="none" w:sz="0" w:space="0" w:color="auto"/>
                    <w:left w:val="none" w:sz="0" w:space="0" w:color="auto"/>
                    <w:bottom w:val="none" w:sz="0" w:space="0" w:color="auto"/>
                    <w:right w:val="none" w:sz="0" w:space="0" w:color="auto"/>
                  </w:divBdr>
                  <w:divsChild>
                    <w:div w:id="221730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70091231">
          <w:marLeft w:val="0"/>
          <w:marRight w:val="0"/>
          <w:marTop w:val="0"/>
          <w:marBottom w:val="0"/>
          <w:divBdr>
            <w:top w:val="none" w:sz="0" w:space="0" w:color="auto"/>
            <w:left w:val="none" w:sz="0" w:space="0" w:color="auto"/>
            <w:bottom w:val="none" w:sz="0" w:space="0" w:color="auto"/>
            <w:right w:val="none" w:sz="0" w:space="0" w:color="auto"/>
          </w:divBdr>
          <w:divsChild>
            <w:div w:id="1668558809">
              <w:marLeft w:val="75"/>
              <w:marRight w:val="75"/>
              <w:marTop w:val="375"/>
              <w:marBottom w:val="75"/>
              <w:divBdr>
                <w:top w:val="none" w:sz="0" w:space="0" w:color="auto"/>
                <w:left w:val="none" w:sz="0" w:space="0" w:color="auto"/>
                <w:bottom w:val="none" w:sz="0" w:space="0" w:color="auto"/>
                <w:right w:val="none" w:sz="0" w:space="0" w:color="auto"/>
              </w:divBdr>
              <w:divsChild>
                <w:div w:id="1311597407">
                  <w:marLeft w:val="0"/>
                  <w:marRight w:val="0"/>
                  <w:marTop w:val="0"/>
                  <w:marBottom w:val="0"/>
                  <w:divBdr>
                    <w:top w:val="none" w:sz="0" w:space="0" w:color="auto"/>
                    <w:left w:val="none" w:sz="0" w:space="0" w:color="auto"/>
                    <w:bottom w:val="none" w:sz="0" w:space="0" w:color="auto"/>
                    <w:right w:val="none" w:sz="0" w:space="0" w:color="auto"/>
                  </w:divBdr>
                  <w:divsChild>
                    <w:div w:id="125248450">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558594758">
          <w:marLeft w:val="0"/>
          <w:marRight w:val="0"/>
          <w:marTop w:val="0"/>
          <w:marBottom w:val="0"/>
          <w:divBdr>
            <w:top w:val="none" w:sz="0" w:space="0" w:color="auto"/>
            <w:left w:val="none" w:sz="0" w:space="0" w:color="auto"/>
            <w:bottom w:val="none" w:sz="0" w:space="0" w:color="auto"/>
            <w:right w:val="none" w:sz="0" w:space="0" w:color="auto"/>
          </w:divBdr>
          <w:divsChild>
            <w:div w:id="901670493">
              <w:marLeft w:val="75"/>
              <w:marRight w:val="75"/>
              <w:marTop w:val="375"/>
              <w:marBottom w:val="75"/>
              <w:divBdr>
                <w:top w:val="none" w:sz="0" w:space="0" w:color="auto"/>
                <w:left w:val="none" w:sz="0" w:space="0" w:color="auto"/>
                <w:bottom w:val="none" w:sz="0" w:space="0" w:color="auto"/>
                <w:right w:val="none" w:sz="0" w:space="0" w:color="auto"/>
              </w:divBdr>
              <w:divsChild>
                <w:div w:id="890725918">
                  <w:marLeft w:val="0"/>
                  <w:marRight w:val="0"/>
                  <w:marTop w:val="0"/>
                  <w:marBottom w:val="0"/>
                  <w:divBdr>
                    <w:top w:val="none" w:sz="0" w:space="0" w:color="auto"/>
                    <w:left w:val="none" w:sz="0" w:space="0" w:color="auto"/>
                    <w:bottom w:val="none" w:sz="0" w:space="0" w:color="auto"/>
                    <w:right w:val="none" w:sz="0" w:space="0" w:color="auto"/>
                  </w:divBdr>
                  <w:divsChild>
                    <w:div w:id="33897292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037007452">
      <w:bodyDiv w:val="1"/>
      <w:marLeft w:val="0"/>
      <w:marRight w:val="0"/>
      <w:marTop w:val="0"/>
      <w:marBottom w:val="0"/>
      <w:divBdr>
        <w:top w:val="none" w:sz="0" w:space="0" w:color="auto"/>
        <w:left w:val="none" w:sz="0" w:space="0" w:color="auto"/>
        <w:bottom w:val="none" w:sz="0" w:space="0" w:color="auto"/>
        <w:right w:val="none" w:sz="0" w:space="0" w:color="auto"/>
      </w:divBdr>
    </w:div>
    <w:div w:id="1091971928">
      <w:bodyDiv w:val="1"/>
      <w:marLeft w:val="0"/>
      <w:marRight w:val="0"/>
      <w:marTop w:val="0"/>
      <w:marBottom w:val="0"/>
      <w:divBdr>
        <w:top w:val="none" w:sz="0" w:space="0" w:color="auto"/>
        <w:left w:val="none" w:sz="0" w:space="0" w:color="auto"/>
        <w:bottom w:val="none" w:sz="0" w:space="0" w:color="auto"/>
        <w:right w:val="none" w:sz="0" w:space="0" w:color="auto"/>
      </w:divBdr>
    </w:div>
    <w:div w:id="1158225363">
      <w:bodyDiv w:val="1"/>
      <w:marLeft w:val="0"/>
      <w:marRight w:val="0"/>
      <w:marTop w:val="0"/>
      <w:marBottom w:val="0"/>
      <w:divBdr>
        <w:top w:val="none" w:sz="0" w:space="0" w:color="auto"/>
        <w:left w:val="none" w:sz="0" w:space="0" w:color="auto"/>
        <w:bottom w:val="none" w:sz="0" w:space="0" w:color="auto"/>
        <w:right w:val="none" w:sz="0" w:space="0" w:color="auto"/>
      </w:divBdr>
      <w:divsChild>
        <w:div w:id="1977105320">
          <w:marLeft w:val="418"/>
          <w:marRight w:val="0"/>
          <w:marTop w:val="72"/>
          <w:marBottom w:val="0"/>
          <w:divBdr>
            <w:top w:val="none" w:sz="0" w:space="0" w:color="auto"/>
            <w:left w:val="none" w:sz="0" w:space="0" w:color="auto"/>
            <w:bottom w:val="none" w:sz="0" w:space="0" w:color="auto"/>
            <w:right w:val="none" w:sz="0" w:space="0" w:color="auto"/>
          </w:divBdr>
        </w:div>
      </w:divsChild>
    </w:div>
    <w:div w:id="1213007021">
      <w:bodyDiv w:val="1"/>
      <w:marLeft w:val="0"/>
      <w:marRight w:val="0"/>
      <w:marTop w:val="0"/>
      <w:marBottom w:val="0"/>
      <w:divBdr>
        <w:top w:val="none" w:sz="0" w:space="0" w:color="auto"/>
        <w:left w:val="none" w:sz="0" w:space="0" w:color="auto"/>
        <w:bottom w:val="none" w:sz="0" w:space="0" w:color="auto"/>
        <w:right w:val="none" w:sz="0" w:space="0" w:color="auto"/>
      </w:divBdr>
      <w:divsChild>
        <w:div w:id="139732289">
          <w:marLeft w:val="446"/>
          <w:marRight w:val="0"/>
          <w:marTop w:val="80"/>
          <w:marBottom w:val="40"/>
          <w:divBdr>
            <w:top w:val="none" w:sz="0" w:space="0" w:color="auto"/>
            <w:left w:val="none" w:sz="0" w:space="0" w:color="auto"/>
            <w:bottom w:val="none" w:sz="0" w:space="0" w:color="auto"/>
            <w:right w:val="none" w:sz="0" w:space="0" w:color="auto"/>
          </w:divBdr>
        </w:div>
        <w:div w:id="1032461305">
          <w:marLeft w:val="446"/>
          <w:marRight w:val="0"/>
          <w:marTop w:val="80"/>
          <w:marBottom w:val="40"/>
          <w:divBdr>
            <w:top w:val="none" w:sz="0" w:space="0" w:color="auto"/>
            <w:left w:val="none" w:sz="0" w:space="0" w:color="auto"/>
            <w:bottom w:val="none" w:sz="0" w:space="0" w:color="auto"/>
            <w:right w:val="none" w:sz="0" w:space="0" w:color="auto"/>
          </w:divBdr>
        </w:div>
        <w:div w:id="1039470594">
          <w:marLeft w:val="446"/>
          <w:marRight w:val="0"/>
          <w:marTop w:val="80"/>
          <w:marBottom w:val="40"/>
          <w:divBdr>
            <w:top w:val="none" w:sz="0" w:space="0" w:color="auto"/>
            <w:left w:val="none" w:sz="0" w:space="0" w:color="auto"/>
            <w:bottom w:val="none" w:sz="0" w:space="0" w:color="auto"/>
            <w:right w:val="none" w:sz="0" w:space="0" w:color="auto"/>
          </w:divBdr>
        </w:div>
        <w:div w:id="1789666936">
          <w:marLeft w:val="979"/>
          <w:marRight w:val="0"/>
          <w:marTop w:val="80"/>
          <w:marBottom w:val="40"/>
          <w:divBdr>
            <w:top w:val="none" w:sz="0" w:space="0" w:color="auto"/>
            <w:left w:val="none" w:sz="0" w:space="0" w:color="auto"/>
            <w:bottom w:val="none" w:sz="0" w:space="0" w:color="auto"/>
            <w:right w:val="none" w:sz="0" w:space="0" w:color="auto"/>
          </w:divBdr>
        </w:div>
        <w:div w:id="1450199158">
          <w:marLeft w:val="979"/>
          <w:marRight w:val="0"/>
          <w:marTop w:val="80"/>
          <w:marBottom w:val="40"/>
          <w:divBdr>
            <w:top w:val="none" w:sz="0" w:space="0" w:color="auto"/>
            <w:left w:val="none" w:sz="0" w:space="0" w:color="auto"/>
            <w:bottom w:val="none" w:sz="0" w:space="0" w:color="auto"/>
            <w:right w:val="none" w:sz="0" w:space="0" w:color="auto"/>
          </w:divBdr>
        </w:div>
        <w:div w:id="1839222578">
          <w:marLeft w:val="446"/>
          <w:marRight w:val="0"/>
          <w:marTop w:val="80"/>
          <w:marBottom w:val="40"/>
          <w:divBdr>
            <w:top w:val="none" w:sz="0" w:space="0" w:color="auto"/>
            <w:left w:val="none" w:sz="0" w:space="0" w:color="auto"/>
            <w:bottom w:val="none" w:sz="0" w:space="0" w:color="auto"/>
            <w:right w:val="none" w:sz="0" w:space="0" w:color="auto"/>
          </w:divBdr>
        </w:div>
      </w:divsChild>
    </w:div>
    <w:div w:id="1352947915">
      <w:bodyDiv w:val="1"/>
      <w:marLeft w:val="0"/>
      <w:marRight w:val="0"/>
      <w:marTop w:val="0"/>
      <w:marBottom w:val="0"/>
      <w:divBdr>
        <w:top w:val="none" w:sz="0" w:space="0" w:color="auto"/>
        <w:left w:val="none" w:sz="0" w:space="0" w:color="auto"/>
        <w:bottom w:val="none" w:sz="0" w:space="0" w:color="auto"/>
        <w:right w:val="none" w:sz="0" w:space="0" w:color="auto"/>
      </w:divBdr>
    </w:div>
    <w:div w:id="1374037756">
      <w:bodyDiv w:val="1"/>
      <w:marLeft w:val="0"/>
      <w:marRight w:val="0"/>
      <w:marTop w:val="0"/>
      <w:marBottom w:val="0"/>
      <w:divBdr>
        <w:top w:val="none" w:sz="0" w:space="0" w:color="auto"/>
        <w:left w:val="none" w:sz="0" w:space="0" w:color="auto"/>
        <w:bottom w:val="none" w:sz="0" w:space="0" w:color="auto"/>
        <w:right w:val="none" w:sz="0" w:space="0" w:color="auto"/>
      </w:divBdr>
    </w:div>
    <w:div w:id="1563251668">
      <w:bodyDiv w:val="1"/>
      <w:marLeft w:val="0"/>
      <w:marRight w:val="0"/>
      <w:marTop w:val="0"/>
      <w:marBottom w:val="0"/>
      <w:divBdr>
        <w:top w:val="none" w:sz="0" w:space="0" w:color="auto"/>
        <w:left w:val="none" w:sz="0" w:space="0" w:color="auto"/>
        <w:bottom w:val="none" w:sz="0" w:space="0" w:color="auto"/>
        <w:right w:val="none" w:sz="0" w:space="0" w:color="auto"/>
      </w:divBdr>
      <w:divsChild>
        <w:div w:id="282420420">
          <w:marLeft w:val="418"/>
          <w:marRight w:val="0"/>
          <w:marTop w:val="72"/>
          <w:marBottom w:val="0"/>
          <w:divBdr>
            <w:top w:val="none" w:sz="0" w:space="0" w:color="auto"/>
            <w:left w:val="none" w:sz="0" w:space="0" w:color="auto"/>
            <w:bottom w:val="none" w:sz="0" w:space="0" w:color="auto"/>
            <w:right w:val="none" w:sz="0" w:space="0" w:color="auto"/>
          </w:divBdr>
        </w:div>
      </w:divsChild>
    </w:div>
    <w:div w:id="1750809766">
      <w:bodyDiv w:val="1"/>
      <w:marLeft w:val="0"/>
      <w:marRight w:val="0"/>
      <w:marTop w:val="0"/>
      <w:marBottom w:val="0"/>
      <w:divBdr>
        <w:top w:val="none" w:sz="0" w:space="0" w:color="auto"/>
        <w:left w:val="none" w:sz="0" w:space="0" w:color="auto"/>
        <w:bottom w:val="none" w:sz="0" w:space="0" w:color="auto"/>
        <w:right w:val="none" w:sz="0" w:space="0" w:color="auto"/>
      </w:divBdr>
      <w:divsChild>
        <w:div w:id="1014235474">
          <w:marLeft w:val="446"/>
          <w:marRight w:val="0"/>
          <w:marTop w:val="0"/>
          <w:marBottom w:val="0"/>
          <w:divBdr>
            <w:top w:val="none" w:sz="0" w:space="0" w:color="auto"/>
            <w:left w:val="none" w:sz="0" w:space="0" w:color="auto"/>
            <w:bottom w:val="none" w:sz="0" w:space="0" w:color="auto"/>
            <w:right w:val="none" w:sz="0" w:space="0" w:color="auto"/>
          </w:divBdr>
        </w:div>
        <w:div w:id="1450390563">
          <w:marLeft w:val="446"/>
          <w:marRight w:val="0"/>
          <w:marTop w:val="0"/>
          <w:marBottom w:val="0"/>
          <w:divBdr>
            <w:top w:val="none" w:sz="0" w:space="0" w:color="auto"/>
            <w:left w:val="none" w:sz="0" w:space="0" w:color="auto"/>
            <w:bottom w:val="none" w:sz="0" w:space="0" w:color="auto"/>
            <w:right w:val="none" w:sz="0" w:space="0" w:color="auto"/>
          </w:divBdr>
        </w:div>
        <w:div w:id="97264352">
          <w:marLeft w:val="1166"/>
          <w:marRight w:val="0"/>
          <w:marTop w:val="0"/>
          <w:marBottom w:val="0"/>
          <w:divBdr>
            <w:top w:val="none" w:sz="0" w:space="0" w:color="auto"/>
            <w:left w:val="none" w:sz="0" w:space="0" w:color="auto"/>
            <w:bottom w:val="none" w:sz="0" w:space="0" w:color="auto"/>
            <w:right w:val="none" w:sz="0" w:space="0" w:color="auto"/>
          </w:divBdr>
        </w:div>
        <w:div w:id="1671985774">
          <w:marLeft w:val="1166"/>
          <w:marRight w:val="0"/>
          <w:marTop w:val="0"/>
          <w:marBottom w:val="0"/>
          <w:divBdr>
            <w:top w:val="none" w:sz="0" w:space="0" w:color="auto"/>
            <w:left w:val="none" w:sz="0" w:space="0" w:color="auto"/>
            <w:bottom w:val="none" w:sz="0" w:space="0" w:color="auto"/>
            <w:right w:val="none" w:sz="0" w:space="0" w:color="auto"/>
          </w:divBdr>
        </w:div>
        <w:div w:id="1958296317">
          <w:marLeft w:val="446"/>
          <w:marRight w:val="0"/>
          <w:marTop w:val="0"/>
          <w:marBottom w:val="0"/>
          <w:divBdr>
            <w:top w:val="none" w:sz="0" w:space="0" w:color="auto"/>
            <w:left w:val="none" w:sz="0" w:space="0" w:color="auto"/>
            <w:bottom w:val="none" w:sz="0" w:space="0" w:color="auto"/>
            <w:right w:val="none" w:sz="0" w:space="0" w:color="auto"/>
          </w:divBdr>
        </w:div>
        <w:div w:id="323319945">
          <w:marLeft w:val="1166"/>
          <w:marRight w:val="0"/>
          <w:marTop w:val="0"/>
          <w:marBottom w:val="0"/>
          <w:divBdr>
            <w:top w:val="none" w:sz="0" w:space="0" w:color="auto"/>
            <w:left w:val="none" w:sz="0" w:space="0" w:color="auto"/>
            <w:bottom w:val="none" w:sz="0" w:space="0" w:color="auto"/>
            <w:right w:val="none" w:sz="0" w:space="0" w:color="auto"/>
          </w:divBdr>
        </w:div>
        <w:div w:id="1886721659">
          <w:marLeft w:val="446"/>
          <w:marRight w:val="0"/>
          <w:marTop w:val="0"/>
          <w:marBottom w:val="0"/>
          <w:divBdr>
            <w:top w:val="none" w:sz="0" w:space="0" w:color="auto"/>
            <w:left w:val="none" w:sz="0" w:space="0" w:color="auto"/>
            <w:bottom w:val="none" w:sz="0" w:space="0" w:color="auto"/>
            <w:right w:val="none" w:sz="0" w:space="0" w:color="auto"/>
          </w:divBdr>
        </w:div>
      </w:divsChild>
    </w:div>
    <w:div w:id="1821075596">
      <w:bodyDiv w:val="1"/>
      <w:marLeft w:val="0"/>
      <w:marRight w:val="0"/>
      <w:marTop w:val="0"/>
      <w:marBottom w:val="0"/>
      <w:divBdr>
        <w:top w:val="none" w:sz="0" w:space="0" w:color="auto"/>
        <w:left w:val="none" w:sz="0" w:space="0" w:color="auto"/>
        <w:bottom w:val="none" w:sz="0" w:space="0" w:color="auto"/>
        <w:right w:val="none" w:sz="0" w:space="0" w:color="auto"/>
      </w:divBdr>
    </w:div>
    <w:div w:id="1922443824">
      <w:bodyDiv w:val="1"/>
      <w:marLeft w:val="0"/>
      <w:marRight w:val="0"/>
      <w:marTop w:val="0"/>
      <w:marBottom w:val="0"/>
      <w:divBdr>
        <w:top w:val="none" w:sz="0" w:space="0" w:color="auto"/>
        <w:left w:val="none" w:sz="0" w:space="0" w:color="auto"/>
        <w:bottom w:val="none" w:sz="0" w:space="0" w:color="auto"/>
        <w:right w:val="none" w:sz="0" w:space="0" w:color="auto"/>
      </w:divBdr>
      <w:divsChild>
        <w:div w:id="940841081">
          <w:marLeft w:val="446"/>
          <w:marRight w:val="0"/>
          <w:marTop w:val="80"/>
          <w:marBottom w:val="40"/>
          <w:divBdr>
            <w:top w:val="none" w:sz="0" w:space="0" w:color="auto"/>
            <w:left w:val="none" w:sz="0" w:space="0" w:color="auto"/>
            <w:bottom w:val="none" w:sz="0" w:space="0" w:color="auto"/>
            <w:right w:val="none" w:sz="0" w:space="0" w:color="auto"/>
          </w:divBdr>
        </w:div>
        <w:div w:id="249049503">
          <w:marLeft w:val="979"/>
          <w:marRight w:val="0"/>
          <w:marTop w:val="80"/>
          <w:marBottom w:val="40"/>
          <w:divBdr>
            <w:top w:val="none" w:sz="0" w:space="0" w:color="auto"/>
            <w:left w:val="none" w:sz="0" w:space="0" w:color="auto"/>
            <w:bottom w:val="none" w:sz="0" w:space="0" w:color="auto"/>
            <w:right w:val="none" w:sz="0" w:space="0" w:color="auto"/>
          </w:divBdr>
        </w:div>
        <w:div w:id="1176919128">
          <w:marLeft w:val="979"/>
          <w:marRight w:val="0"/>
          <w:marTop w:val="80"/>
          <w:marBottom w:val="40"/>
          <w:divBdr>
            <w:top w:val="none" w:sz="0" w:space="0" w:color="auto"/>
            <w:left w:val="none" w:sz="0" w:space="0" w:color="auto"/>
            <w:bottom w:val="none" w:sz="0" w:space="0" w:color="auto"/>
            <w:right w:val="none" w:sz="0" w:space="0" w:color="auto"/>
          </w:divBdr>
        </w:div>
        <w:div w:id="1226381137">
          <w:marLeft w:val="446"/>
          <w:marRight w:val="0"/>
          <w:marTop w:val="80"/>
          <w:marBottom w:val="40"/>
          <w:divBdr>
            <w:top w:val="none" w:sz="0" w:space="0" w:color="auto"/>
            <w:left w:val="none" w:sz="0" w:space="0" w:color="auto"/>
            <w:bottom w:val="none" w:sz="0" w:space="0" w:color="auto"/>
            <w:right w:val="none" w:sz="0" w:space="0" w:color="auto"/>
          </w:divBdr>
        </w:div>
        <w:div w:id="1586453203">
          <w:marLeft w:val="979"/>
          <w:marRight w:val="0"/>
          <w:marTop w:val="80"/>
          <w:marBottom w:val="40"/>
          <w:divBdr>
            <w:top w:val="none" w:sz="0" w:space="0" w:color="auto"/>
            <w:left w:val="none" w:sz="0" w:space="0" w:color="auto"/>
            <w:bottom w:val="none" w:sz="0" w:space="0" w:color="auto"/>
            <w:right w:val="none" w:sz="0" w:space="0" w:color="auto"/>
          </w:divBdr>
        </w:div>
      </w:divsChild>
    </w:div>
    <w:div w:id="1960601818">
      <w:bodyDiv w:val="1"/>
      <w:marLeft w:val="0"/>
      <w:marRight w:val="0"/>
      <w:marTop w:val="0"/>
      <w:marBottom w:val="0"/>
      <w:divBdr>
        <w:top w:val="none" w:sz="0" w:space="0" w:color="auto"/>
        <w:left w:val="none" w:sz="0" w:space="0" w:color="auto"/>
        <w:bottom w:val="none" w:sz="0" w:space="0" w:color="auto"/>
        <w:right w:val="none" w:sz="0" w:space="0" w:color="auto"/>
      </w:divBdr>
      <w:divsChild>
        <w:div w:id="1848206386">
          <w:marLeft w:val="0"/>
          <w:marRight w:val="0"/>
          <w:marTop w:val="0"/>
          <w:marBottom w:val="0"/>
          <w:divBdr>
            <w:top w:val="none" w:sz="0" w:space="0" w:color="auto"/>
            <w:left w:val="none" w:sz="0" w:space="0" w:color="auto"/>
            <w:bottom w:val="none" w:sz="0" w:space="0" w:color="auto"/>
            <w:right w:val="none" w:sz="0" w:space="0" w:color="auto"/>
          </w:divBdr>
          <w:divsChild>
            <w:div w:id="440730033">
              <w:marLeft w:val="75"/>
              <w:marRight w:val="75"/>
              <w:marTop w:val="375"/>
              <w:marBottom w:val="75"/>
              <w:divBdr>
                <w:top w:val="none" w:sz="0" w:space="0" w:color="auto"/>
                <w:left w:val="none" w:sz="0" w:space="0" w:color="auto"/>
                <w:bottom w:val="none" w:sz="0" w:space="0" w:color="auto"/>
                <w:right w:val="none" w:sz="0" w:space="0" w:color="auto"/>
              </w:divBdr>
              <w:divsChild>
                <w:div w:id="1453665564">
                  <w:marLeft w:val="0"/>
                  <w:marRight w:val="0"/>
                  <w:marTop w:val="0"/>
                  <w:marBottom w:val="0"/>
                  <w:divBdr>
                    <w:top w:val="none" w:sz="0" w:space="0" w:color="auto"/>
                    <w:left w:val="none" w:sz="0" w:space="0" w:color="auto"/>
                    <w:bottom w:val="none" w:sz="0" w:space="0" w:color="auto"/>
                    <w:right w:val="none" w:sz="0" w:space="0" w:color="auto"/>
                  </w:divBdr>
                  <w:divsChild>
                    <w:div w:id="205870120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5677263">
          <w:marLeft w:val="0"/>
          <w:marRight w:val="0"/>
          <w:marTop w:val="0"/>
          <w:marBottom w:val="0"/>
          <w:divBdr>
            <w:top w:val="none" w:sz="0" w:space="0" w:color="auto"/>
            <w:left w:val="none" w:sz="0" w:space="0" w:color="auto"/>
            <w:bottom w:val="none" w:sz="0" w:space="0" w:color="auto"/>
            <w:right w:val="none" w:sz="0" w:space="0" w:color="auto"/>
          </w:divBdr>
          <w:divsChild>
            <w:div w:id="1453479348">
              <w:marLeft w:val="75"/>
              <w:marRight w:val="75"/>
              <w:marTop w:val="375"/>
              <w:marBottom w:val="75"/>
              <w:divBdr>
                <w:top w:val="none" w:sz="0" w:space="0" w:color="auto"/>
                <w:left w:val="none" w:sz="0" w:space="0" w:color="auto"/>
                <w:bottom w:val="none" w:sz="0" w:space="0" w:color="auto"/>
                <w:right w:val="none" w:sz="0" w:space="0" w:color="auto"/>
              </w:divBdr>
              <w:divsChild>
                <w:div w:id="1469738197">
                  <w:marLeft w:val="0"/>
                  <w:marRight w:val="0"/>
                  <w:marTop w:val="0"/>
                  <w:marBottom w:val="0"/>
                  <w:divBdr>
                    <w:top w:val="none" w:sz="0" w:space="0" w:color="auto"/>
                    <w:left w:val="none" w:sz="0" w:space="0" w:color="auto"/>
                    <w:bottom w:val="none" w:sz="0" w:space="0" w:color="auto"/>
                    <w:right w:val="none" w:sz="0" w:space="0" w:color="auto"/>
                  </w:divBdr>
                  <w:divsChild>
                    <w:div w:id="201414283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53130695">
          <w:marLeft w:val="0"/>
          <w:marRight w:val="0"/>
          <w:marTop w:val="0"/>
          <w:marBottom w:val="0"/>
          <w:divBdr>
            <w:top w:val="none" w:sz="0" w:space="0" w:color="auto"/>
            <w:left w:val="none" w:sz="0" w:space="0" w:color="auto"/>
            <w:bottom w:val="none" w:sz="0" w:space="0" w:color="auto"/>
            <w:right w:val="none" w:sz="0" w:space="0" w:color="auto"/>
          </w:divBdr>
          <w:divsChild>
            <w:div w:id="1237592440">
              <w:marLeft w:val="75"/>
              <w:marRight w:val="75"/>
              <w:marTop w:val="375"/>
              <w:marBottom w:val="75"/>
              <w:divBdr>
                <w:top w:val="none" w:sz="0" w:space="0" w:color="auto"/>
                <w:left w:val="none" w:sz="0" w:space="0" w:color="auto"/>
                <w:bottom w:val="none" w:sz="0" w:space="0" w:color="auto"/>
                <w:right w:val="none" w:sz="0" w:space="0" w:color="auto"/>
              </w:divBdr>
              <w:divsChild>
                <w:div w:id="1569537831">
                  <w:marLeft w:val="0"/>
                  <w:marRight w:val="0"/>
                  <w:marTop w:val="0"/>
                  <w:marBottom w:val="0"/>
                  <w:divBdr>
                    <w:top w:val="none" w:sz="0" w:space="0" w:color="auto"/>
                    <w:left w:val="none" w:sz="0" w:space="0" w:color="auto"/>
                    <w:bottom w:val="none" w:sz="0" w:space="0" w:color="auto"/>
                    <w:right w:val="none" w:sz="0" w:space="0" w:color="auto"/>
                  </w:divBdr>
                  <w:divsChild>
                    <w:div w:id="104105187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037051543">
          <w:marLeft w:val="0"/>
          <w:marRight w:val="0"/>
          <w:marTop w:val="0"/>
          <w:marBottom w:val="0"/>
          <w:divBdr>
            <w:top w:val="none" w:sz="0" w:space="0" w:color="auto"/>
            <w:left w:val="none" w:sz="0" w:space="0" w:color="auto"/>
            <w:bottom w:val="none" w:sz="0" w:space="0" w:color="auto"/>
            <w:right w:val="none" w:sz="0" w:space="0" w:color="auto"/>
          </w:divBdr>
          <w:divsChild>
            <w:div w:id="1117601865">
              <w:marLeft w:val="75"/>
              <w:marRight w:val="75"/>
              <w:marTop w:val="375"/>
              <w:marBottom w:val="75"/>
              <w:divBdr>
                <w:top w:val="none" w:sz="0" w:space="0" w:color="auto"/>
                <w:left w:val="none" w:sz="0" w:space="0" w:color="auto"/>
                <w:bottom w:val="none" w:sz="0" w:space="0" w:color="auto"/>
                <w:right w:val="none" w:sz="0" w:space="0" w:color="auto"/>
              </w:divBdr>
              <w:divsChild>
                <w:div w:id="1594824384">
                  <w:marLeft w:val="0"/>
                  <w:marRight w:val="0"/>
                  <w:marTop w:val="0"/>
                  <w:marBottom w:val="0"/>
                  <w:divBdr>
                    <w:top w:val="none" w:sz="0" w:space="0" w:color="auto"/>
                    <w:left w:val="none" w:sz="0" w:space="0" w:color="auto"/>
                    <w:bottom w:val="none" w:sz="0" w:space="0" w:color="auto"/>
                    <w:right w:val="none" w:sz="0" w:space="0" w:color="auto"/>
                  </w:divBdr>
                  <w:divsChild>
                    <w:div w:id="128171768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15703259">
          <w:marLeft w:val="0"/>
          <w:marRight w:val="0"/>
          <w:marTop w:val="0"/>
          <w:marBottom w:val="0"/>
          <w:divBdr>
            <w:top w:val="none" w:sz="0" w:space="0" w:color="auto"/>
            <w:left w:val="none" w:sz="0" w:space="0" w:color="auto"/>
            <w:bottom w:val="none" w:sz="0" w:space="0" w:color="auto"/>
            <w:right w:val="none" w:sz="0" w:space="0" w:color="auto"/>
          </w:divBdr>
          <w:divsChild>
            <w:div w:id="1194072004">
              <w:marLeft w:val="75"/>
              <w:marRight w:val="75"/>
              <w:marTop w:val="375"/>
              <w:marBottom w:val="75"/>
              <w:divBdr>
                <w:top w:val="none" w:sz="0" w:space="0" w:color="auto"/>
                <w:left w:val="none" w:sz="0" w:space="0" w:color="auto"/>
                <w:bottom w:val="none" w:sz="0" w:space="0" w:color="auto"/>
                <w:right w:val="none" w:sz="0" w:space="0" w:color="auto"/>
              </w:divBdr>
              <w:divsChild>
                <w:div w:id="92215363">
                  <w:marLeft w:val="0"/>
                  <w:marRight w:val="0"/>
                  <w:marTop w:val="0"/>
                  <w:marBottom w:val="0"/>
                  <w:divBdr>
                    <w:top w:val="none" w:sz="0" w:space="0" w:color="auto"/>
                    <w:left w:val="none" w:sz="0" w:space="0" w:color="auto"/>
                    <w:bottom w:val="none" w:sz="0" w:space="0" w:color="auto"/>
                    <w:right w:val="none" w:sz="0" w:space="0" w:color="auto"/>
                  </w:divBdr>
                  <w:divsChild>
                    <w:div w:id="213339763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326327914">
          <w:marLeft w:val="0"/>
          <w:marRight w:val="0"/>
          <w:marTop w:val="0"/>
          <w:marBottom w:val="0"/>
          <w:divBdr>
            <w:top w:val="none" w:sz="0" w:space="0" w:color="auto"/>
            <w:left w:val="none" w:sz="0" w:space="0" w:color="auto"/>
            <w:bottom w:val="none" w:sz="0" w:space="0" w:color="auto"/>
            <w:right w:val="none" w:sz="0" w:space="0" w:color="auto"/>
          </w:divBdr>
          <w:divsChild>
            <w:div w:id="1372073374">
              <w:marLeft w:val="75"/>
              <w:marRight w:val="75"/>
              <w:marTop w:val="375"/>
              <w:marBottom w:val="75"/>
              <w:divBdr>
                <w:top w:val="none" w:sz="0" w:space="0" w:color="auto"/>
                <w:left w:val="none" w:sz="0" w:space="0" w:color="auto"/>
                <w:bottom w:val="none" w:sz="0" w:space="0" w:color="auto"/>
                <w:right w:val="none" w:sz="0" w:space="0" w:color="auto"/>
              </w:divBdr>
              <w:divsChild>
                <w:div w:id="1296328963">
                  <w:marLeft w:val="0"/>
                  <w:marRight w:val="0"/>
                  <w:marTop w:val="0"/>
                  <w:marBottom w:val="0"/>
                  <w:divBdr>
                    <w:top w:val="none" w:sz="0" w:space="0" w:color="auto"/>
                    <w:left w:val="none" w:sz="0" w:space="0" w:color="auto"/>
                    <w:bottom w:val="none" w:sz="0" w:space="0" w:color="auto"/>
                    <w:right w:val="none" w:sz="0" w:space="0" w:color="auto"/>
                  </w:divBdr>
                  <w:divsChild>
                    <w:div w:id="213379088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68981392">
          <w:marLeft w:val="0"/>
          <w:marRight w:val="0"/>
          <w:marTop w:val="0"/>
          <w:marBottom w:val="0"/>
          <w:divBdr>
            <w:top w:val="none" w:sz="0" w:space="0" w:color="auto"/>
            <w:left w:val="none" w:sz="0" w:space="0" w:color="auto"/>
            <w:bottom w:val="none" w:sz="0" w:space="0" w:color="auto"/>
            <w:right w:val="none" w:sz="0" w:space="0" w:color="auto"/>
          </w:divBdr>
          <w:divsChild>
            <w:div w:id="318928138">
              <w:marLeft w:val="75"/>
              <w:marRight w:val="75"/>
              <w:marTop w:val="375"/>
              <w:marBottom w:val="75"/>
              <w:divBdr>
                <w:top w:val="none" w:sz="0" w:space="0" w:color="auto"/>
                <w:left w:val="none" w:sz="0" w:space="0" w:color="auto"/>
                <w:bottom w:val="none" w:sz="0" w:space="0" w:color="auto"/>
                <w:right w:val="none" w:sz="0" w:space="0" w:color="auto"/>
              </w:divBdr>
              <w:divsChild>
                <w:div w:id="1763866663">
                  <w:marLeft w:val="0"/>
                  <w:marRight w:val="0"/>
                  <w:marTop w:val="0"/>
                  <w:marBottom w:val="0"/>
                  <w:divBdr>
                    <w:top w:val="none" w:sz="0" w:space="0" w:color="auto"/>
                    <w:left w:val="none" w:sz="0" w:space="0" w:color="auto"/>
                    <w:bottom w:val="none" w:sz="0" w:space="0" w:color="auto"/>
                    <w:right w:val="none" w:sz="0" w:space="0" w:color="auto"/>
                  </w:divBdr>
                  <w:divsChild>
                    <w:div w:id="99164481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17030717">
          <w:marLeft w:val="0"/>
          <w:marRight w:val="0"/>
          <w:marTop w:val="0"/>
          <w:marBottom w:val="0"/>
          <w:divBdr>
            <w:top w:val="none" w:sz="0" w:space="0" w:color="auto"/>
            <w:left w:val="none" w:sz="0" w:space="0" w:color="auto"/>
            <w:bottom w:val="none" w:sz="0" w:space="0" w:color="auto"/>
            <w:right w:val="none" w:sz="0" w:space="0" w:color="auto"/>
          </w:divBdr>
          <w:divsChild>
            <w:div w:id="870843503">
              <w:marLeft w:val="75"/>
              <w:marRight w:val="75"/>
              <w:marTop w:val="375"/>
              <w:marBottom w:val="75"/>
              <w:divBdr>
                <w:top w:val="none" w:sz="0" w:space="0" w:color="auto"/>
                <w:left w:val="none" w:sz="0" w:space="0" w:color="auto"/>
                <w:bottom w:val="none" w:sz="0" w:space="0" w:color="auto"/>
                <w:right w:val="none" w:sz="0" w:space="0" w:color="auto"/>
              </w:divBdr>
              <w:divsChild>
                <w:div w:id="860314328">
                  <w:marLeft w:val="0"/>
                  <w:marRight w:val="0"/>
                  <w:marTop w:val="0"/>
                  <w:marBottom w:val="0"/>
                  <w:divBdr>
                    <w:top w:val="none" w:sz="0" w:space="0" w:color="auto"/>
                    <w:left w:val="none" w:sz="0" w:space="0" w:color="auto"/>
                    <w:bottom w:val="none" w:sz="0" w:space="0" w:color="auto"/>
                    <w:right w:val="none" w:sz="0" w:space="0" w:color="auto"/>
                  </w:divBdr>
                  <w:divsChild>
                    <w:div w:id="85126686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11315634">
          <w:marLeft w:val="0"/>
          <w:marRight w:val="0"/>
          <w:marTop w:val="0"/>
          <w:marBottom w:val="0"/>
          <w:divBdr>
            <w:top w:val="none" w:sz="0" w:space="0" w:color="auto"/>
            <w:left w:val="none" w:sz="0" w:space="0" w:color="auto"/>
            <w:bottom w:val="none" w:sz="0" w:space="0" w:color="auto"/>
            <w:right w:val="none" w:sz="0" w:space="0" w:color="auto"/>
          </w:divBdr>
          <w:divsChild>
            <w:div w:id="1578705711">
              <w:marLeft w:val="75"/>
              <w:marRight w:val="75"/>
              <w:marTop w:val="375"/>
              <w:marBottom w:val="75"/>
              <w:divBdr>
                <w:top w:val="none" w:sz="0" w:space="0" w:color="auto"/>
                <w:left w:val="none" w:sz="0" w:space="0" w:color="auto"/>
                <w:bottom w:val="none" w:sz="0" w:space="0" w:color="auto"/>
                <w:right w:val="none" w:sz="0" w:space="0" w:color="auto"/>
              </w:divBdr>
              <w:divsChild>
                <w:div w:id="1513759785">
                  <w:marLeft w:val="0"/>
                  <w:marRight w:val="0"/>
                  <w:marTop w:val="0"/>
                  <w:marBottom w:val="0"/>
                  <w:divBdr>
                    <w:top w:val="none" w:sz="0" w:space="0" w:color="auto"/>
                    <w:left w:val="none" w:sz="0" w:space="0" w:color="auto"/>
                    <w:bottom w:val="none" w:sz="0" w:space="0" w:color="auto"/>
                    <w:right w:val="none" w:sz="0" w:space="0" w:color="auto"/>
                  </w:divBdr>
                  <w:divsChild>
                    <w:div w:id="155873595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03831870">
          <w:marLeft w:val="0"/>
          <w:marRight w:val="0"/>
          <w:marTop w:val="0"/>
          <w:marBottom w:val="0"/>
          <w:divBdr>
            <w:top w:val="none" w:sz="0" w:space="0" w:color="auto"/>
            <w:left w:val="none" w:sz="0" w:space="0" w:color="auto"/>
            <w:bottom w:val="none" w:sz="0" w:space="0" w:color="auto"/>
            <w:right w:val="none" w:sz="0" w:space="0" w:color="auto"/>
          </w:divBdr>
          <w:divsChild>
            <w:div w:id="831679564">
              <w:marLeft w:val="75"/>
              <w:marRight w:val="75"/>
              <w:marTop w:val="375"/>
              <w:marBottom w:val="75"/>
              <w:divBdr>
                <w:top w:val="none" w:sz="0" w:space="0" w:color="auto"/>
                <w:left w:val="none" w:sz="0" w:space="0" w:color="auto"/>
                <w:bottom w:val="none" w:sz="0" w:space="0" w:color="auto"/>
                <w:right w:val="none" w:sz="0" w:space="0" w:color="auto"/>
              </w:divBdr>
              <w:divsChild>
                <w:div w:id="826362983">
                  <w:marLeft w:val="0"/>
                  <w:marRight w:val="0"/>
                  <w:marTop w:val="0"/>
                  <w:marBottom w:val="0"/>
                  <w:divBdr>
                    <w:top w:val="none" w:sz="0" w:space="0" w:color="auto"/>
                    <w:left w:val="none" w:sz="0" w:space="0" w:color="auto"/>
                    <w:bottom w:val="none" w:sz="0" w:space="0" w:color="auto"/>
                    <w:right w:val="none" w:sz="0" w:space="0" w:color="auto"/>
                  </w:divBdr>
                  <w:divsChild>
                    <w:div w:id="144854482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99542299">
          <w:marLeft w:val="0"/>
          <w:marRight w:val="0"/>
          <w:marTop w:val="0"/>
          <w:marBottom w:val="0"/>
          <w:divBdr>
            <w:top w:val="none" w:sz="0" w:space="0" w:color="auto"/>
            <w:left w:val="none" w:sz="0" w:space="0" w:color="auto"/>
            <w:bottom w:val="none" w:sz="0" w:space="0" w:color="auto"/>
            <w:right w:val="none" w:sz="0" w:space="0" w:color="auto"/>
          </w:divBdr>
          <w:divsChild>
            <w:div w:id="1231964508">
              <w:marLeft w:val="75"/>
              <w:marRight w:val="75"/>
              <w:marTop w:val="375"/>
              <w:marBottom w:val="75"/>
              <w:divBdr>
                <w:top w:val="none" w:sz="0" w:space="0" w:color="auto"/>
                <w:left w:val="none" w:sz="0" w:space="0" w:color="auto"/>
                <w:bottom w:val="none" w:sz="0" w:space="0" w:color="auto"/>
                <w:right w:val="none" w:sz="0" w:space="0" w:color="auto"/>
              </w:divBdr>
              <w:divsChild>
                <w:div w:id="969554286">
                  <w:marLeft w:val="0"/>
                  <w:marRight w:val="0"/>
                  <w:marTop w:val="0"/>
                  <w:marBottom w:val="0"/>
                  <w:divBdr>
                    <w:top w:val="none" w:sz="0" w:space="0" w:color="auto"/>
                    <w:left w:val="none" w:sz="0" w:space="0" w:color="auto"/>
                    <w:bottom w:val="none" w:sz="0" w:space="0" w:color="auto"/>
                    <w:right w:val="none" w:sz="0" w:space="0" w:color="auto"/>
                  </w:divBdr>
                  <w:divsChild>
                    <w:div w:id="82471163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058360338">
          <w:marLeft w:val="0"/>
          <w:marRight w:val="0"/>
          <w:marTop w:val="0"/>
          <w:marBottom w:val="0"/>
          <w:divBdr>
            <w:top w:val="none" w:sz="0" w:space="0" w:color="auto"/>
            <w:left w:val="none" w:sz="0" w:space="0" w:color="auto"/>
            <w:bottom w:val="none" w:sz="0" w:space="0" w:color="auto"/>
            <w:right w:val="none" w:sz="0" w:space="0" w:color="auto"/>
          </w:divBdr>
          <w:divsChild>
            <w:div w:id="18968946">
              <w:marLeft w:val="75"/>
              <w:marRight w:val="75"/>
              <w:marTop w:val="375"/>
              <w:marBottom w:val="75"/>
              <w:divBdr>
                <w:top w:val="none" w:sz="0" w:space="0" w:color="auto"/>
                <w:left w:val="none" w:sz="0" w:space="0" w:color="auto"/>
                <w:bottom w:val="none" w:sz="0" w:space="0" w:color="auto"/>
                <w:right w:val="none" w:sz="0" w:space="0" w:color="auto"/>
              </w:divBdr>
              <w:divsChild>
                <w:div w:id="1315336166">
                  <w:marLeft w:val="0"/>
                  <w:marRight w:val="0"/>
                  <w:marTop w:val="0"/>
                  <w:marBottom w:val="0"/>
                  <w:divBdr>
                    <w:top w:val="none" w:sz="0" w:space="0" w:color="auto"/>
                    <w:left w:val="none" w:sz="0" w:space="0" w:color="auto"/>
                    <w:bottom w:val="none" w:sz="0" w:space="0" w:color="auto"/>
                    <w:right w:val="none" w:sz="0" w:space="0" w:color="auto"/>
                  </w:divBdr>
                  <w:divsChild>
                    <w:div w:id="7612246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4131175">
          <w:marLeft w:val="0"/>
          <w:marRight w:val="0"/>
          <w:marTop w:val="0"/>
          <w:marBottom w:val="0"/>
          <w:divBdr>
            <w:top w:val="none" w:sz="0" w:space="0" w:color="auto"/>
            <w:left w:val="none" w:sz="0" w:space="0" w:color="auto"/>
            <w:bottom w:val="none" w:sz="0" w:space="0" w:color="auto"/>
            <w:right w:val="none" w:sz="0" w:space="0" w:color="auto"/>
          </w:divBdr>
          <w:divsChild>
            <w:div w:id="1450514129">
              <w:marLeft w:val="75"/>
              <w:marRight w:val="75"/>
              <w:marTop w:val="375"/>
              <w:marBottom w:val="75"/>
              <w:divBdr>
                <w:top w:val="none" w:sz="0" w:space="0" w:color="auto"/>
                <w:left w:val="none" w:sz="0" w:space="0" w:color="auto"/>
                <w:bottom w:val="none" w:sz="0" w:space="0" w:color="auto"/>
                <w:right w:val="none" w:sz="0" w:space="0" w:color="auto"/>
              </w:divBdr>
              <w:divsChild>
                <w:div w:id="1711148946">
                  <w:marLeft w:val="0"/>
                  <w:marRight w:val="0"/>
                  <w:marTop w:val="0"/>
                  <w:marBottom w:val="0"/>
                  <w:divBdr>
                    <w:top w:val="none" w:sz="0" w:space="0" w:color="auto"/>
                    <w:left w:val="none" w:sz="0" w:space="0" w:color="auto"/>
                    <w:bottom w:val="none" w:sz="0" w:space="0" w:color="auto"/>
                    <w:right w:val="none" w:sz="0" w:space="0" w:color="auto"/>
                  </w:divBdr>
                  <w:divsChild>
                    <w:div w:id="170945329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72276319">
          <w:marLeft w:val="0"/>
          <w:marRight w:val="0"/>
          <w:marTop w:val="0"/>
          <w:marBottom w:val="0"/>
          <w:divBdr>
            <w:top w:val="none" w:sz="0" w:space="0" w:color="auto"/>
            <w:left w:val="none" w:sz="0" w:space="0" w:color="auto"/>
            <w:bottom w:val="none" w:sz="0" w:space="0" w:color="auto"/>
            <w:right w:val="none" w:sz="0" w:space="0" w:color="auto"/>
          </w:divBdr>
          <w:divsChild>
            <w:div w:id="199129916">
              <w:marLeft w:val="75"/>
              <w:marRight w:val="75"/>
              <w:marTop w:val="375"/>
              <w:marBottom w:val="75"/>
              <w:divBdr>
                <w:top w:val="none" w:sz="0" w:space="0" w:color="auto"/>
                <w:left w:val="none" w:sz="0" w:space="0" w:color="auto"/>
                <w:bottom w:val="none" w:sz="0" w:space="0" w:color="auto"/>
                <w:right w:val="none" w:sz="0" w:space="0" w:color="auto"/>
              </w:divBdr>
              <w:divsChild>
                <w:div w:id="1021247808">
                  <w:marLeft w:val="0"/>
                  <w:marRight w:val="0"/>
                  <w:marTop w:val="0"/>
                  <w:marBottom w:val="0"/>
                  <w:divBdr>
                    <w:top w:val="none" w:sz="0" w:space="0" w:color="auto"/>
                    <w:left w:val="none" w:sz="0" w:space="0" w:color="auto"/>
                    <w:bottom w:val="none" w:sz="0" w:space="0" w:color="auto"/>
                    <w:right w:val="none" w:sz="0" w:space="0" w:color="auto"/>
                  </w:divBdr>
                  <w:divsChild>
                    <w:div w:id="42253177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73303495">
          <w:marLeft w:val="0"/>
          <w:marRight w:val="0"/>
          <w:marTop w:val="0"/>
          <w:marBottom w:val="0"/>
          <w:divBdr>
            <w:top w:val="none" w:sz="0" w:space="0" w:color="auto"/>
            <w:left w:val="none" w:sz="0" w:space="0" w:color="auto"/>
            <w:bottom w:val="none" w:sz="0" w:space="0" w:color="auto"/>
            <w:right w:val="none" w:sz="0" w:space="0" w:color="auto"/>
          </w:divBdr>
          <w:divsChild>
            <w:div w:id="731270518">
              <w:marLeft w:val="75"/>
              <w:marRight w:val="75"/>
              <w:marTop w:val="375"/>
              <w:marBottom w:val="75"/>
              <w:divBdr>
                <w:top w:val="none" w:sz="0" w:space="0" w:color="auto"/>
                <w:left w:val="none" w:sz="0" w:space="0" w:color="auto"/>
                <w:bottom w:val="none" w:sz="0" w:space="0" w:color="auto"/>
                <w:right w:val="none" w:sz="0" w:space="0" w:color="auto"/>
              </w:divBdr>
              <w:divsChild>
                <w:div w:id="1770811628">
                  <w:marLeft w:val="0"/>
                  <w:marRight w:val="0"/>
                  <w:marTop w:val="0"/>
                  <w:marBottom w:val="0"/>
                  <w:divBdr>
                    <w:top w:val="none" w:sz="0" w:space="0" w:color="auto"/>
                    <w:left w:val="none" w:sz="0" w:space="0" w:color="auto"/>
                    <w:bottom w:val="none" w:sz="0" w:space="0" w:color="auto"/>
                    <w:right w:val="none" w:sz="0" w:space="0" w:color="auto"/>
                  </w:divBdr>
                  <w:divsChild>
                    <w:div w:id="36772466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337470103">
          <w:marLeft w:val="0"/>
          <w:marRight w:val="0"/>
          <w:marTop w:val="0"/>
          <w:marBottom w:val="0"/>
          <w:divBdr>
            <w:top w:val="none" w:sz="0" w:space="0" w:color="auto"/>
            <w:left w:val="none" w:sz="0" w:space="0" w:color="auto"/>
            <w:bottom w:val="none" w:sz="0" w:space="0" w:color="auto"/>
            <w:right w:val="none" w:sz="0" w:space="0" w:color="auto"/>
          </w:divBdr>
          <w:divsChild>
            <w:div w:id="615911816">
              <w:marLeft w:val="75"/>
              <w:marRight w:val="75"/>
              <w:marTop w:val="375"/>
              <w:marBottom w:val="75"/>
              <w:divBdr>
                <w:top w:val="none" w:sz="0" w:space="0" w:color="auto"/>
                <w:left w:val="none" w:sz="0" w:space="0" w:color="auto"/>
                <w:bottom w:val="none" w:sz="0" w:space="0" w:color="auto"/>
                <w:right w:val="none" w:sz="0" w:space="0" w:color="auto"/>
              </w:divBdr>
              <w:divsChild>
                <w:div w:id="1639725928">
                  <w:marLeft w:val="0"/>
                  <w:marRight w:val="0"/>
                  <w:marTop w:val="0"/>
                  <w:marBottom w:val="0"/>
                  <w:divBdr>
                    <w:top w:val="none" w:sz="0" w:space="0" w:color="auto"/>
                    <w:left w:val="none" w:sz="0" w:space="0" w:color="auto"/>
                    <w:bottom w:val="none" w:sz="0" w:space="0" w:color="auto"/>
                    <w:right w:val="none" w:sz="0" w:space="0" w:color="auto"/>
                  </w:divBdr>
                  <w:divsChild>
                    <w:div w:id="120201417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98504961">
          <w:marLeft w:val="0"/>
          <w:marRight w:val="0"/>
          <w:marTop w:val="0"/>
          <w:marBottom w:val="0"/>
          <w:divBdr>
            <w:top w:val="none" w:sz="0" w:space="0" w:color="auto"/>
            <w:left w:val="none" w:sz="0" w:space="0" w:color="auto"/>
            <w:bottom w:val="none" w:sz="0" w:space="0" w:color="auto"/>
            <w:right w:val="none" w:sz="0" w:space="0" w:color="auto"/>
          </w:divBdr>
          <w:divsChild>
            <w:div w:id="756830570">
              <w:marLeft w:val="75"/>
              <w:marRight w:val="75"/>
              <w:marTop w:val="375"/>
              <w:marBottom w:val="75"/>
              <w:divBdr>
                <w:top w:val="none" w:sz="0" w:space="0" w:color="auto"/>
                <w:left w:val="none" w:sz="0" w:space="0" w:color="auto"/>
                <w:bottom w:val="none" w:sz="0" w:space="0" w:color="auto"/>
                <w:right w:val="none" w:sz="0" w:space="0" w:color="auto"/>
              </w:divBdr>
              <w:divsChild>
                <w:div w:id="868882391">
                  <w:marLeft w:val="0"/>
                  <w:marRight w:val="0"/>
                  <w:marTop w:val="0"/>
                  <w:marBottom w:val="0"/>
                  <w:divBdr>
                    <w:top w:val="none" w:sz="0" w:space="0" w:color="auto"/>
                    <w:left w:val="none" w:sz="0" w:space="0" w:color="auto"/>
                    <w:bottom w:val="none" w:sz="0" w:space="0" w:color="auto"/>
                    <w:right w:val="none" w:sz="0" w:space="0" w:color="auto"/>
                  </w:divBdr>
                  <w:divsChild>
                    <w:div w:id="153226427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45748993">
          <w:marLeft w:val="0"/>
          <w:marRight w:val="0"/>
          <w:marTop w:val="0"/>
          <w:marBottom w:val="0"/>
          <w:divBdr>
            <w:top w:val="none" w:sz="0" w:space="0" w:color="auto"/>
            <w:left w:val="none" w:sz="0" w:space="0" w:color="auto"/>
            <w:bottom w:val="none" w:sz="0" w:space="0" w:color="auto"/>
            <w:right w:val="none" w:sz="0" w:space="0" w:color="auto"/>
          </w:divBdr>
          <w:divsChild>
            <w:div w:id="1582713970">
              <w:marLeft w:val="75"/>
              <w:marRight w:val="75"/>
              <w:marTop w:val="375"/>
              <w:marBottom w:val="75"/>
              <w:divBdr>
                <w:top w:val="none" w:sz="0" w:space="0" w:color="auto"/>
                <w:left w:val="none" w:sz="0" w:space="0" w:color="auto"/>
                <w:bottom w:val="none" w:sz="0" w:space="0" w:color="auto"/>
                <w:right w:val="none" w:sz="0" w:space="0" w:color="auto"/>
              </w:divBdr>
              <w:divsChild>
                <w:div w:id="900756050">
                  <w:marLeft w:val="0"/>
                  <w:marRight w:val="0"/>
                  <w:marTop w:val="0"/>
                  <w:marBottom w:val="0"/>
                  <w:divBdr>
                    <w:top w:val="none" w:sz="0" w:space="0" w:color="auto"/>
                    <w:left w:val="none" w:sz="0" w:space="0" w:color="auto"/>
                    <w:bottom w:val="none" w:sz="0" w:space="0" w:color="auto"/>
                    <w:right w:val="none" w:sz="0" w:space="0" w:color="auto"/>
                  </w:divBdr>
                  <w:divsChild>
                    <w:div w:id="788620213">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238829393">
          <w:marLeft w:val="0"/>
          <w:marRight w:val="0"/>
          <w:marTop w:val="0"/>
          <w:marBottom w:val="0"/>
          <w:divBdr>
            <w:top w:val="none" w:sz="0" w:space="0" w:color="auto"/>
            <w:left w:val="none" w:sz="0" w:space="0" w:color="auto"/>
            <w:bottom w:val="none" w:sz="0" w:space="0" w:color="auto"/>
            <w:right w:val="none" w:sz="0" w:space="0" w:color="auto"/>
          </w:divBdr>
          <w:divsChild>
            <w:div w:id="1503819623">
              <w:marLeft w:val="75"/>
              <w:marRight w:val="75"/>
              <w:marTop w:val="375"/>
              <w:marBottom w:val="75"/>
              <w:divBdr>
                <w:top w:val="none" w:sz="0" w:space="0" w:color="auto"/>
                <w:left w:val="none" w:sz="0" w:space="0" w:color="auto"/>
                <w:bottom w:val="none" w:sz="0" w:space="0" w:color="auto"/>
                <w:right w:val="none" w:sz="0" w:space="0" w:color="auto"/>
              </w:divBdr>
              <w:divsChild>
                <w:div w:id="814490785">
                  <w:marLeft w:val="0"/>
                  <w:marRight w:val="0"/>
                  <w:marTop w:val="0"/>
                  <w:marBottom w:val="0"/>
                  <w:divBdr>
                    <w:top w:val="none" w:sz="0" w:space="0" w:color="auto"/>
                    <w:left w:val="none" w:sz="0" w:space="0" w:color="auto"/>
                    <w:bottom w:val="none" w:sz="0" w:space="0" w:color="auto"/>
                    <w:right w:val="none" w:sz="0" w:space="0" w:color="auto"/>
                  </w:divBdr>
                  <w:divsChild>
                    <w:div w:id="113444237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0193848">
          <w:marLeft w:val="0"/>
          <w:marRight w:val="0"/>
          <w:marTop w:val="0"/>
          <w:marBottom w:val="0"/>
          <w:divBdr>
            <w:top w:val="none" w:sz="0" w:space="0" w:color="auto"/>
            <w:left w:val="none" w:sz="0" w:space="0" w:color="auto"/>
            <w:bottom w:val="none" w:sz="0" w:space="0" w:color="auto"/>
            <w:right w:val="none" w:sz="0" w:space="0" w:color="auto"/>
          </w:divBdr>
          <w:divsChild>
            <w:div w:id="528372579">
              <w:marLeft w:val="75"/>
              <w:marRight w:val="75"/>
              <w:marTop w:val="375"/>
              <w:marBottom w:val="75"/>
              <w:divBdr>
                <w:top w:val="none" w:sz="0" w:space="0" w:color="auto"/>
                <w:left w:val="none" w:sz="0" w:space="0" w:color="auto"/>
                <w:bottom w:val="none" w:sz="0" w:space="0" w:color="auto"/>
                <w:right w:val="none" w:sz="0" w:space="0" w:color="auto"/>
              </w:divBdr>
              <w:divsChild>
                <w:div w:id="506944933">
                  <w:marLeft w:val="0"/>
                  <w:marRight w:val="0"/>
                  <w:marTop w:val="0"/>
                  <w:marBottom w:val="0"/>
                  <w:divBdr>
                    <w:top w:val="none" w:sz="0" w:space="0" w:color="auto"/>
                    <w:left w:val="none" w:sz="0" w:space="0" w:color="auto"/>
                    <w:bottom w:val="none" w:sz="0" w:space="0" w:color="auto"/>
                    <w:right w:val="none" w:sz="0" w:space="0" w:color="auto"/>
                  </w:divBdr>
                  <w:divsChild>
                    <w:div w:id="165098353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3332091">
          <w:marLeft w:val="0"/>
          <w:marRight w:val="0"/>
          <w:marTop w:val="0"/>
          <w:marBottom w:val="0"/>
          <w:divBdr>
            <w:top w:val="none" w:sz="0" w:space="0" w:color="auto"/>
            <w:left w:val="none" w:sz="0" w:space="0" w:color="auto"/>
            <w:bottom w:val="none" w:sz="0" w:space="0" w:color="auto"/>
            <w:right w:val="none" w:sz="0" w:space="0" w:color="auto"/>
          </w:divBdr>
          <w:divsChild>
            <w:div w:id="1534535909">
              <w:marLeft w:val="75"/>
              <w:marRight w:val="75"/>
              <w:marTop w:val="375"/>
              <w:marBottom w:val="75"/>
              <w:divBdr>
                <w:top w:val="none" w:sz="0" w:space="0" w:color="auto"/>
                <w:left w:val="none" w:sz="0" w:space="0" w:color="auto"/>
                <w:bottom w:val="none" w:sz="0" w:space="0" w:color="auto"/>
                <w:right w:val="none" w:sz="0" w:space="0" w:color="auto"/>
              </w:divBdr>
              <w:divsChild>
                <w:div w:id="9797536">
                  <w:marLeft w:val="0"/>
                  <w:marRight w:val="0"/>
                  <w:marTop w:val="0"/>
                  <w:marBottom w:val="0"/>
                  <w:divBdr>
                    <w:top w:val="none" w:sz="0" w:space="0" w:color="auto"/>
                    <w:left w:val="none" w:sz="0" w:space="0" w:color="auto"/>
                    <w:bottom w:val="none" w:sz="0" w:space="0" w:color="auto"/>
                    <w:right w:val="none" w:sz="0" w:space="0" w:color="auto"/>
                  </w:divBdr>
                  <w:divsChild>
                    <w:div w:id="66685929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842159485">
          <w:marLeft w:val="0"/>
          <w:marRight w:val="0"/>
          <w:marTop w:val="0"/>
          <w:marBottom w:val="0"/>
          <w:divBdr>
            <w:top w:val="none" w:sz="0" w:space="0" w:color="auto"/>
            <w:left w:val="none" w:sz="0" w:space="0" w:color="auto"/>
            <w:bottom w:val="none" w:sz="0" w:space="0" w:color="auto"/>
            <w:right w:val="none" w:sz="0" w:space="0" w:color="auto"/>
          </w:divBdr>
          <w:divsChild>
            <w:div w:id="1331328925">
              <w:marLeft w:val="75"/>
              <w:marRight w:val="75"/>
              <w:marTop w:val="375"/>
              <w:marBottom w:val="75"/>
              <w:divBdr>
                <w:top w:val="none" w:sz="0" w:space="0" w:color="auto"/>
                <w:left w:val="none" w:sz="0" w:space="0" w:color="auto"/>
                <w:bottom w:val="none" w:sz="0" w:space="0" w:color="auto"/>
                <w:right w:val="none" w:sz="0" w:space="0" w:color="auto"/>
              </w:divBdr>
              <w:divsChild>
                <w:div w:id="1745950123">
                  <w:marLeft w:val="0"/>
                  <w:marRight w:val="0"/>
                  <w:marTop w:val="0"/>
                  <w:marBottom w:val="0"/>
                  <w:divBdr>
                    <w:top w:val="none" w:sz="0" w:space="0" w:color="auto"/>
                    <w:left w:val="none" w:sz="0" w:space="0" w:color="auto"/>
                    <w:bottom w:val="none" w:sz="0" w:space="0" w:color="auto"/>
                    <w:right w:val="none" w:sz="0" w:space="0" w:color="auto"/>
                  </w:divBdr>
                  <w:divsChild>
                    <w:div w:id="137049836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96372467">
          <w:marLeft w:val="0"/>
          <w:marRight w:val="0"/>
          <w:marTop w:val="0"/>
          <w:marBottom w:val="0"/>
          <w:divBdr>
            <w:top w:val="none" w:sz="0" w:space="0" w:color="auto"/>
            <w:left w:val="none" w:sz="0" w:space="0" w:color="auto"/>
            <w:bottom w:val="none" w:sz="0" w:space="0" w:color="auto"/>
            <w:right w:val="none" w:sz="0" w:space="0" w:color="auto"/>
          </w:divBdr>
          <w:divsChild>
            <w:div w:id="1471246438">
              <w:marLeft w:val="75"/>
              <w:marRight w:val="75"/>
              <w:marTop w:val="375"/>
              <w:marBottom w:val="75"/>
              <w:divBdr>
                <w:top w:val="none" w:sz="0" w:space="0" w:color="auto"/>
                <w:left w:val="none" w:sz="0" w:space="0" w:color="auto"/>
                <w:bottom w:val="none" w:sz="0" w:space="0" w:color="auto"/>
                <w:right w:val="none" w:sz="0" w:space="0" w:color="auto"/>
              </w:divBdr>
              <w:divsChild>
                <w:div w:id="582838485">
                  <w:marLeft w:val="0"/>
                  <w:marRight w:val="0"/>
                  <w:marTop w:val="0"/>
                  <w:marBottom w:val="0"/>
                  <w:divBdr>
                    <w:top w:val="none" w:sz="0" w:space="0" w:color="auto"/>
                    <w:left w:val="none" w:sz="0" w:space="0" w:color="auto"/>
                    <w:bottom w:val="none" w:sz="0" w:space="0" w:color="auto"/>
                    <w:right w:val="none" w:sz="0" w:space="0" w:color="auto"/>
                  </w:divBdr>
                  <w:divsChild>
                    <w:div w:id="20899553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914075508">
          <w:marLeft w:val="0"/>
          <w:marRight w:val="0"/>
          <w:marTop w:val="0"/>
          <w:marBottom w:val="0"/>
          <w:divBdr>
            <w:top w:val="none" w:sz="0" w:space="0" w:color="auto"/>
            <w:left w:val="none" w:sz="0" w:space="0" w:color="auto"/>
            <w:bottom w:val="none" w:sz="0" w:space="0" w:color="auto"/>
            <w:right w:val="none" w:sz="0" w:space="0" w:color="auto"/>
          </w:divBdr>
          <w:divsChild>
            <w:div w:id="673804552">
              <w:marLeft w:val="75"/>
              <w:marRight w:val="75"/>
              <w:marTop w:val="375"/>
              <w:marBottom w:val="75"/>
              <w:divBdr>
                <w:top w:val="none" w:sz="0" w:space="0" w:color="auto"/>
                <w:left w:val="none" w:sz="0" w:space="0" w:color="auto"/>
                <w:bottom w:val="none" w:sz="0" w:space="0" w:color="auto"/>
                <w:right w:val="none" w:sz="0" w:space="0" w:color="auto"/>
              </w:divBdr>
              <w:divsChild>
                <w:div w:id="975796180">
                  <w:marLeft w:val="0"/>
                  <w:marRight w:val="0"/>
                  <w:marTop w:val="0"/>
                  <w:marBottom w:val="0"/>
                  <w:divBdr>
                    <w:top w:val="none" w:sz="0" w:space="0" w:color="auto"/>
                    <w:left w:val="none" w:sz="0" w:space="0" w:color="auto"/>
                    <w:bottom w:val="none" w:sz="0" w:space="0" w:color="auto"/>
                    <w:right w:val="none" w:sz="0" w:space="0" w:color="auto"/>
                  </w:divBdr>
                  <w:divsChild>
                    <w:div w:id="62462719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1102992">
          <w:marLeft w:val="0"/>
          <w:marRight w:val="0"/>
          <w:marTop w:val="0"/>
          <w:marBottom w:val="0"/>
          <w:divBdr>
            <w:top w:val="none" w:sz="0" w:space="0" w:color="auto"/>
            <w:left w:val="none" w:sz="0" w:space="0" w:color="auto"/>
            <w:bottom w:val="none" w:sz="0" w:space="0" w:color="auto"/>
            <w:right w:val="none" w:sz="0" w:space="0" w:color="auto"/>
          </w:divBdr>
          <w:divsChild>
            <w:div w:id="1096904838">
              <w:marLeft w:val="75"/>
              <w:marRight w:val="75"/>
              <w:marTop w:val="375"/>
              <w:marBottom w:val="75"/>
              <w:divBdr>
                <w:top w:val="none" w:sz="0" w:space="0" w:color="auto"/>
                <w:left w:val="none" w:sz="0" w:space="0" w:color="auto"/>
                <w:bottom w:val="none" w:sz="0" w:space="0" w:color="auto"/>
                <w:right w:val="none" w:sz="0" w:space="0" w:color="auto"/>
              </w:divBdr>
              <w:divsChild>
                <w:div w:id="2101018929">
                  <w:marLeft w:val="0"/>
                  <w:marRight w:val="0"/>
                  <w:marTop w:val="0"/>
                  <w:marBottom w:val="0"/>
                  <w:divBdr>
                    <w:top w:val="none" w:sz="0" w:space="0" w:color="auto"/>
                    <w:left w:val="none" w:sz="0" w:space="0" w:color="auto"/>
                    <w:bottom w:val="none" w:sz="0" w:space="0" w:color="auto"/>
                    <w:right w:val="none" w:sz="0" w:space="0" w:color="auto"/>
                  </w:divBdr>
                  <w:divsChild>
                    <w:div w:id="2110156814">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89297218">
          <w:marLeft w:val="0"/>
          <w:marRight w:val="0"/>
          <w:marTop w:val="0"/>
          <w:marBottom w:val="0"/>
          <w:divBdr>
            <w:top w:val="none" w:sz="0" w:space="0" w:color="auto"/>
            <w:left w:val="none" w:sz="0" w:space="0" w:color="auto"/>
            <w:bottom w:val="none" w:sz="0" w:space="0" w:color="auto"/>
            <w:right w:val="none" w:sz="0" w:space="0" w:color="auto"/>
          </w:divBdr>
          <w:divsChild>
            <w:div w:id="1945378371">
              <w:marLeft w:val="75"/>
              <w:marRight w:val="75"/>
              <w:marTop w:val="375"/>
              <w:marBottom w:val="75"/>
              <w:divBdr>
                <w:top w:val="none" w:sz="0" w:space="0" w:color="auto"/>
                <w:left w:val="none" w:sz="0" w:space="0" w:color="auto"/>
                <w:bottom w:val="none" w:sz="0" w:space="0" w:color="auto"/>
                <w:right w:val="none" w:sz="0" w:space="0" w:color="auto"/>
              </w:divBdr>
              <w:divsChild>
                <w:div w:id="572859991">
                  <w:marLeft w:val="0"/>
                  <w:marRight w:val="0"/>
                  <w:marTop w:val="0"/>
                  <w:marBottom w:val="0"/>
                  <w:divBdr>
                    <w:top w:val="none" w:sz="0" w:space="0" w:color="auto"/>
                    <w:left w:val="none" w:sz="0" w:space="0" w:color="auto"/>
                    <w:bottom w:val="none" w:sz="0" w:space="0" w:color="auto"/>
                    <w:right w:val="none" w:sz="0" w:space="0" w:color="auto"/>
                  </w:divBdr>
                  <w:divsChild>
                    <w:div w:id="2188319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20353834">
      <w:bodyDiv w:val="1"/>
      <w:marLeft w:val="0"/>
      <w:marRight w:val="0"/>
      <w:marTop w:val="0"/>
      <w:marBottom w:val="0"/>
      <w:divBdr>
        <w:top w:val="none" w:sz="0" w:space="0" w:color="auto"/>
        <w:left w:val="none" w:sz="0" w:space="0" w:color="auto"/>
        <w:bottom w:val="none" w:sz="0" w:space="0" w:color="auto"/>
        <w:right w:val="none" w:sz="0" w:space="0" w:color="auto"/>
      </w:divBdr>
      <w:divsChild>
        <w:div w:id="2130468151">
          <w:marLeft w:val="446"/>
          <w:marRight w:val="0"/>
          <w:marTop w:val="0"/>
          <w:marBottom w:val="0"/>
          <w:divBdr>
            <w:top w:val="none" w:sz="0" w:space="0" w:color="auto"/>
            <w:left w:val="none" w:sz="0" w:space="0" w:color="auto"/>
            <w:bottom w:val="none" w:sz="0" w:space="0" w:color="auto"/>
            <w:right w:val="none" w:sz="0" w:space="0" w:color="auto"/>
          </w:divBdr>
        </w:div>
        <w:div w:id="306865925">
          <w:marLeft w:val="446"/>
          <w:marRight w:val="0"/>
          <w:marTop w:val="0"/>
          <w:marBottom w:val="0"/>
          <w:divBdr>
            <w:top w:val="none" w:sz="0" w:space="0" w:color="auto"/>
            <w:left w:val="none" w:sz="0" w:space="0" w:color="auto"/>
            <w:bottom w:val="none" w:sz="0" w:space="0" w:color="auto"/>
            <w:right w:val="none" w:sz="0" w:space="0" w:color="auto"/>
          </w:divBdr>
        </w:div>
        <w:div w:id="376590338">
          <w:marLeft w:val="446"/>
          <w:marRight w:val="0"/>
          <w:marTop w:val="0"/>
          <w:marBottom w:val="0"/>
          <w:divBdr>
            <w:top w:val="none" w:sz="0" w:space="0" w:color="auto"/>
            <w:left w:val="none" w:sz="0" w:space="0" w:color="auto"/>
            <w:bottom w:val="none" w:sz="0" w:space="0" w:color="auto"/>
            <w:right w:val="none" w:sz="0" w:space="0" w:color="auto"/>
          </w:divBdr>
        </w:div>
        <w:div w:id="1247493081">
          <w:marLeft w:val="446"/>
          <w:marRight w:val="0"/>
          <w:marTop w:val="0"/>
          <w:marBottom w:val="0"/>
          <w:divBdr>
            <w:top w:val="none" w:sz="0" w:space="0" w:color="auto"/>
            <w:left w:val="none" w:sz="0" w:space="0" w:color="auto"/>
            <w:bottom w:val="none" w:sz="0" w:space="0" w:color="auto"/>
            <w:right w:val="none" w:sz="0" w:space="0" w:color="auto"/>
          </w:divBdr>
        </w:div>
        <w:div w:id="2066567250">
          <w:marLeft w:val="1166"/>
          <w:marRight w:val="0"/>
          <w:marTop w:val="0"/>
          <w:marBottom w:val="0"/>
          <w:divBdr>
            <w:top w:val="none" w:sz="0" w:space="0" w:color="auto"/>
            <w:left w:val="none" w:sz="0" w:space="0" w:color="auto"/>
            <w:bottom w:val="none" w:sz="0" w:space="0" w:color="auto"/>
            <w:right w:val="none" w:sz="0" w:space="0" w:color="auto"/>
          </w:divBdr>
        </w:div>
        <w:div w:id="49116348">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s://eur-lex.europa.eu/legal-content/EN/TXT/?toc=OJ%3AL%3A2019%3A317%3ATOC&amp;uri=uriserv%3AOJ.L_.2019.317.01.0001.01.ENG" TargetMode="External"/><Relationship Id="rId2" Type="http://schemas.openxmlformats.org/officeDocument/2006/relationships/hyperlink" Target="https://www.eiopa.europa.eu/content/joint-consultation-concerning-environmental-social-and-governance-esg-disclosures" TargetMode="External"/><Relationship Id="rId1" Type="http://schemas.openxmlformats.org/officeDocument/2006/relationships/image" Target="media/image4.png"/><Relationship Id="rId4" Type="http://schemas.openxmlformats.org/officeDocument/2006/relationships/hyperlink" Target="https://extranet.insuranceeurope.eu/Long%20Term%20Investment%20Project%20Group/PublishedDocuments/ECO-LTI-19-202.pdf"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ur-lex.europa.eu/legal-content/EN/TXT/?toc=OJ%3AL%3A2019%3A317%3ATOC&amp;uri=uriserv%3AOJ.L_.2019.317.01.0001.01.ENG" TargetMode="External"/><Relationship Id="rId2" Type="http://schemas.openxmlformats.org/officeDocument/2006/relationships/hyperlink" Target="https://www.eiopa.europa.eu/content/joint-consultation-concerning-environmental-social-and-governance-esg-disclosures" TargetMode="External"/><Relationship Id="rId1" Type="http://schemas.openxmlformats.org/officeDocument/2006/relationships/image" Target="media/image4.png"/><Relationship Id="rId4" Type="http://schemas.openxmlformats.org/officeDocument/2006/relationships/hyperlink" Target="https://extranet.insuranceeurope.eu/Long%20Term%20Investment%20Project%20Group/PublishedDocuments/ECO-LTI-19-202.pd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74B2763CE4D458480C0E95959EDB1" ma:contentTypeVersion="" ma:contentTypeDescription="Create a new document." ma:contentTypeScope="" ma:versionID="6049a9f36c177facf051bcc3cbccbc18">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61B35-FD9D-43E0-8F20-548F464A9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827B13-D241-4323-B7A9-75B7AD1AA6EE}">
  <ds:schemaRefs>
    <ds:schemaRef ds:uri="http://schemas.microsoft.com/sharepoint/v3/contenttype/forms"/>
  </ds:schemaRefs>
</ds:datastoreItem>
</file>

<file path=customXml/itemProps3.xml><?xml version="1.0" encoding="utf-8"?>
<ds:datastoreItem xmlns:ds="http://schemas.openxmlformats.org/officeDocument/2006/customXml" ds:itemID="{B35485A1-11AA-442D-8577-727460E39C5A}">
  <ds:schemaRefs>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1361C2D7-83A9-4E1C-8229-66730E63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5779</Words>
  <Characters>32941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Comments on the RTS of the SFDR - first draft</vt:lpstr>
    </vt:vector>
  </TitlesOfParts>
  <Company>Insurance Europe</Company>
  <LinksUpToDate>false</LinksUpToDate>
  <CharactersWithSpaces>38643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on the RTS of the SFDR - first draft</dc:title>
  <dc:creator>Insurance Europe</dc:creator>
  <cp:lastModifiedBy>Jurkovičová Monika</cp:lastModifiedBy>
  <cp:revision>2</cp:revision>
  <cp:lastPrinted>2020-02-26T17:05:00Z</cp:lastPrinted>
  <dcterms:created xsi:type="dcterms:W3CDTF">2020-05-19T11:19:00Z</dcterms:created>
  <dcterms:modified xsi:type="dcterms:W3CDTF">2020-05-19T11:19:00Z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0x01010000474B2763CE4D458480C0E95959EDB1</vt:lpwstr>
  </property>
  <property fmtid="{D5CDD505-2E9C-101B-9397-08002B2CF9AE}" pid="3" name="Can be edited">
    <vt:bool>true</vt:bool>
  </property>
  <property fmtid="{D5CDD505-2E9C-101B-9397-08002B2CF9AE}" pid="4" name="Type of document">
    <vt:lpwstr>Working Document</vt:lpwstr>
  </property>
  <property fmtid="{D5CDD505-2E9C-101B-9397-08002B2CF9AE}" pid="5" name="isAnnex">
    <vt:lpwstr>True</vt:lpwstr>
  </property>
  <property fmtid="{D5CDD505-2E9C-101B-9397-08002B2CF9AE}" pid="6" name="Validated">
    <vt:bool>false</vt:bool>
  </property>
  <property fmtid="{D5CDD505-2E9C-101B-9397-08002B2CF9AE}" pid="7" name="Display validated documents library button">
    <vt:bool>true</vt:bool>
  </property>
  <property fmtid="{D5CDD505-2E9C-101B-9397-08002B2CF9AE}" pid="8" name="AllowComments">
    <vt:bool>false</vt:bool>
  </property>
  <property fmtid="{D5CDD505-2E9C-101B-9397-08002B2CF9AE}" pid="9" name="Uploads">
    <vt:bool>true</vt:bool>
  </property>
</Properties>
</file>