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24" w:rsidRPr="00B64424" w:rsidRDefault="00B64424" w:rsidP="00B64424">
      <w:pPr>
        <w:pStyle w:val="Noparagraphstyle"/>
        <w:jc w:val="center"/>
        <w:rPr>
          <w:rFonts w:ascii="Verdana" w:hAnsi="Verdana"/>
          <w:b/>
          <w:sz w:val="17"/>
          <w:szCs w:val="17"/>
          <w:u w:val="single"/>
        </w:rPr>
      </w:pPr>
      <w:r w:rsidRPr="00B64424">
        <w:rPr>
          <w:rFonts w:ascii="Verdana" w:hAnsi="Verdana"/>
          <w:b/>
          <w:sz w:val="17"/>
          <w:szCs w:val="17"/>
          <w:u w:val="single"/>
        </w:rPr>
        <w:t>Results of mapping exercise on policyholders’ rights to not disclose certain data</w:t>
      </w:r>
    </w:p>
    <w:p w:rsidR="00B64424" w:rsidRPr="00B64424" w:rsidRDefault="00B64424" w:rsidP="00B64424">
      <w:pPr>
        <w:pStyle w:val="Noparagraphstyle"/>
        <w:rPr>
          <w:rStyle w:val="CEAGraphTitle"/>
          <w:b/>
          <w:szCs w:val="17"/>
        </w:rPr>
      </w:pPr>
    </w:p>
    <w:p w:rsidR="009176FF" w:rsidRDefault="007341CF" w:rsidP="007341CF">
      <w:pPr>
        <w:pStyle w:val="CEABullet-Level1"/>
        <w:rPr>
          <w:rStyle w:val="CEAGraphTitle"/>
          <w:b/>
          <w:szCs w:val="17"/>
        </w:rPr>
      </w:pPr>
      <w:r w:rsidRPr="007341CF">
        <w:rPr>
          <w:rStyle w:val="CEAGraphTitle"/>
          <w:b/>
          <w:szCs w:val="17"/>
        </w:rPr>
        <w:t>Current</w:t>
      </w:r>
    </w:p>
    <w:p w:rsidR="0076076D" w:rsidRDefault="0076076D" w:rsidP="0076076D">
      <w:pPr>
        <w:pStyle w:val="CEABullet-Level1"/>
        <w:numPr>
          <w:ilvl w:val="0"/>
          <w:numId w:val="0"/>
        </w:numPr>
        <w:ind w:left="720"/>
        <w:rPr>
          <w:rStyle w:val="CEAGraphTitle"/>
          <w:b/>
          <w:szCs w:val="17"/>
        </w:rPr>
      </w:pPr>
    </w:p>
    <w:tbl>
      <w:tblPr>
        <w:tblStyle w:val="GridTable1LightAccent1"/>
        <w:tblW w:w="14425" w:type="dxa"/>
        <w:tblLook w:val="04A0"/>
      </w:tblPr>
      <w:tblGrid>
        <w:gridCol w:w="971"/>
        <w:gridCol w:w="2801"/>
        <w:gridCol w:w="2409"/>
        <w:gridCol w:w="5976"/>
        <w:gridCol w:w="2268"/>
      </w:tblGrid>
      <w:tr w:rsidR="0080647C" w:rsidTr="00780D45">
        <w:trPr>
          <w:cnfStyle w:val="100000000000"/>
        </w:trPr>
        <w:tc>
          <w:tcPr>
            <w:cnfStyle w:val="001000000000"/>
            <w:tcW w:w="971" w:type="dxa"/>
          </w:tcPr>
          <w:p w:rsidR="0080647C" w:rsidRDefault="0080647C" w:rsidP="00780D45">
            <w:pPr>
              <w:spacing w:line="240" w:lineRule="auto"/>
              <w:jc w:val="center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Country</w:t>
            </w:r>
          </w:p>
        </w:tc>
        <w:tc>
          <w:tcPr>
            <w:tcW w:w="2801" w:type="dxa"/>
          </w:tcPr>
          <w:p w:rsidR="0080647C" w:rsidRDefault="0080647C" w:rsidP="00780D45">
            <w:pPr>
              <w:spacing w:line="240" w:lineRule="auto"/>
              <w:jc w:val="center"/>
              <w:cnfStyle w:val="1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Provision</w:t>
            </w:r>
          </w:p>
        </w:tc>
        <w:tc>
          <w:tcPr>
            <w:tcW w:w="0" w:type="auto"/>
          </w:tcPr>
          <w:p w:rsidR="0080647C" w:rsidRDefault="0080647C" w:rsidP="00780D45">
            <w:pPr>
              <w:spacing w:line="240" w:lineRule="auto"/>
              <w:jc w:val="center"/>
              <w:cnfStyle w:val="1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Scope</w:t>
            </w:r>
          </w:p>
        </w:tc>
        <w:tc>
          <w:tcPr>
            <w:tcW w:w="5976" w:type="dxa"/>
          </w:tcPr>
          <w:p w:rsidR="0080647C" w:rsidRDefault="0080647C" w:rsidP="00780D45">
            <w:pPr>
              <w:spacing w:line="240" w:lineRule="auto"/>
              <w:jc w:val="center"/>
              <w:cnfStyle w:val="1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Operation</w:t>
            </w:r>
          </w:p>
        </w:tc>
        <w:tc>
          <w:tcPr>
            <w:tcW w:w="2268" w:type="dxa"/>
          </w:tcPr>
          <w:p w:rsidR="0080647C" w:rsidRDefault="0080647C" w:rsidP="00780D45">
            <w:pPr>
              <w:spacing w:line="240" w:lineRule="auto"/>
              <w:jc w:val="center"/>
              <w:cnfStyle w:val="1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Product lines affected</w:t>
            </w:r>
          </w:p>
        </w:tc>
      </w:tr>
      <w:tr w:rsidR="004A552F" w:rsidTr="00780D45">
        <w:tc>
          <w:tcPr>
            <w:cnfStyle w:val="001000000000"/>
            <w:tcW w:w="971" w:type="dxa"/>
          </w:tcPr>
          <w:p w:rsidR="004A552F" w:rsidRDefault="004A552F" w:rsidP="004A552F">
            <w:pPr>
              <w:spacing w:line="240" w:lineRule="auto"/>
              <w:jc w:val="left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AT</w:t>
            </w:r>
          </w:p>
        </w:tc>
        <w:tc>
          <w:tcPr>
            <w:tcW w:w="2801" w:type="dxa"/>
          </w:tcPr>
          <w:p w:rsidR="004A552F" w:rsidRDefault="004A552F" w:rsidP="004A552F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AE413E">
              <w:t>No law</w:t>
            </w:r>
          </w:p>
        </w:tc>
        <w:tc>
          <w:tcPr>
            <w:tcW w:w="0" w:type="auto"/>
          </w:tcPr>
          <w:p w:rsidR="004A552F" w:rsidRDefault="004A552F" w:rsidP="004A552F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AE413E">
              <w:t>---</w:t>
            </w:r>
          </w:p>
        </w:tc>
        <w:tc>
          <w:tcPr>
            <w:tcW w:w="5976" w:type="dxa"/>
          </w:tcPr>
          <w:p w:rsidR="004A552F" w:rsidRDefault="004A552F" w:rsidP="004A552F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AE413E">
              <w:t>---</w:t>
            </w:r>
          </w:p>
        </w:tc>
        <w:tc>
          <w:tcPr>
            <w:tcW w:w="2268" w:type="dxa"/>
          </w:tcPr>
          <w:p w:rsidR="004A552F" w:rsidRDefault="004A552F" w:rsidP="004A552F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AE413E">
              <w:t>---</w:t>
            </w:r>
          </w:p>
        </w:tc>
      </w:tr>
      <w:tr w:rsidR="004A552F" w:rsidTr="00780D45">
        <w:tc>
          <w:tcPr>
            <w:cnfStyle w:val="001000000000"/>
            <w:tcW w:w="971" w:type="dxa"/>
          </w:tcPr>
          <w:p w:rsidR="004A552F" w:rsidRDefault="004A552F" w:rsidP="004A552F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4A552F" w:rsidRDefault="004A552F" w:rsidP="004A552F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AE413E">
              <w:t>No voluntary code</w:t>
            </w:r>
          </w:p>
        </w:tc>
        <w:tc>
          <w:tcPr>
            <w:tcW w:w="0" w:type="auto"/>
          </w:tcPr>
          <w:p w:rsidR="004A552F" w:rsidRDefault="004A552F" w:rsidP="004A552F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AE413E">
              <w:t>---</w:t>
            </w:r>
          </w:p>
        </w:tc>
        <w:tc>
          <w:tcPr>
            <w:tcW w:w="5976" w:type="dxa"/>
          </w:tcPr>
          <w:p w:rsidR="004A552F" w:rsidRDefault="004A552F" w:rsidP="004A552F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AE413E">
              <w:t>---</w:t>
            </w:r>
          </w:p>
        </w:tc>
        <w:tc>
          <w:tcPr>
            <w:tcW w:w="2268" w:type="dxa"/>
          </w:tcPr>
          <w:p w:rsidR="004A552F" w:rsidRDefault="004A552F" w:rsidP="004A552F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AE413E">
              <w:t>---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DE</w:t>
            </w: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Insurance Contract Law (VVG)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§19 Duty of disclosure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§213 Collection of personal health data from a third party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All illnesses/health data</w:t>
            </w:r>
          </w:p>
        </w:tc>
        <w:tc>
          <w:tcPr>
            <w:tcW w:w="5976" w:type="dxa"/>
          </w:tcPr>
          <w:p w:rsidR="0080647C" w:rsidRDefault="0080647C" w:rsidP="00780D45">
            <w:pPr>
              <w:spacing w:line="240" w:lineRule="auto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§19 Duty of disclosure</w:t>
            </w:r>
          </w:p>
          <w:p w:rsidR="0080647C" w:rsidRDefault="0080647C" w:rsidP="00780D45">
            <w:pPr>
              <w:pStyle w:val="Odsekzoznamu"/>
              <w:numPr>
                <w:ilvl w:val="0"/>
                <w:numId w:val="5"/>
              </w:numPr>
              <w:spacing w:line="240" w:lineRule="auto"/>
              <w:ind w:left="281" w:hanging="316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The applicant for insurance must disclose all risk relevant information the insurer explicitly asks for</w:t>
            </w:r>
          </w:p>
          <w:p w:rsidR="0080647C" w:rsidRDefault="0080647C" w:rsidP="00780D45">
            <w:pPr>
              <w:pStyle w:val="Odsekzoznamu"/>
              <w:numPr>
                <w:ilvl w:val="0"/>
                <w:numId w:val="5"/>
              </w:numPr>
              <w:spacing w:line="240" w:lineRule="auto"/>
              <w:ind w:left="281" w:hanging="316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Information not explicitly asked for by the insurer does not need to be disclosed</w:t>
            </w:r>
          </w:p>
          <w:p w:rsidR="0080647C" w:rsidRDefault="0080647C" w:rsidP="00780D45">
            <w:pPr>
              <w:spacing w:line="240" w:lineRule="auto"/>
              <w:cnfStyle w:val="000000000000"/>
              <w:rPr>
                <w:rStyle w:val="CEAGraphTitle"/>
                <w:szCs w:val="17"/>
              </w:rPr>
            </w:pPr>
          </w:p>
          <w:p w:rsidR="0080647C" w:rsidRDefault="0080647C" w:rsidP="00780D45">
            <w:pPr>
              <w:spacing w:line="240" w:lineRule="auto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§213 Collection of personal health data from a third party</w:t>
            </w:r>
          </w:p>
          <w:p w:rsidR="0080647C" w:rsidRDefault="0080647C" w:rsidP="00780D45">
            <w:pPr>
              <w:pStyle w:val="Odsekzoznamu"/>
              <w:numPr>
                <w:ilvl w:val="0"/>
                <w:numId w:val="5"/>
              </w:numPr>
              <w:spacing w:line="240" w:lineRule="auto"/>
              <w:ind w:left="308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Collection of health data by insurer from a third party (e.g. hospital, doctor, care facility) is only possible with the consent of the person</w:t>
            </w:r>
          </w:p>
          <w:p w:rsidR="0080647C" w:rsidRDefault="0080647C" w:rsidP="00780D45">
            <w:pPr>
              <w:pStyle w:val="Odsekzoznamu"/>
              <w:numPr>
                <w:ilvl w:val="0"/>
                <w:numId w:val="5"/>
              </w:numPr>
              <w:spacing w:line="240" w:lineRule="auto"/>
              <w:ind w:left="308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 xml:space="preserve">Consent can be ‘general’ or ‘specific’ </w:t>
            </w:r>
          </w:p>
          <w:p w:rsidR="0080647C" w:rsidRDefault="0080647C" w:rsidP="00780D45">
            <w:pPr>
              <w:pStyle w:val="Odsekzoznamu"/>
              <w:numPr>
                <w:ilvl w:val="0"/>
                <w:numId w:val="5"/>
              </w:numPr>
              <w:spacing w:line="240" w:lineRule="auto"/>
              <w:ind w:left="308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GDV provides a model clause for general consent</w:t>
            </w:r>
          </w:p>
          <w:p w:rsidR="0080647C" w:rsidRPr="005E250F" w:rsidRDefault="0080647C" w:rsidP="00780D45">
            <w:pPr>
              <w:pStyle w:val="Odsekzoznamu"/>
              <w:numPr>
                <w:ilvl w:val="0"/>
                <w:numId w:val="5"/>
              </w:numPr>
              <w:spacing w:line="240" w:lineRule="auto"/>
              <w:ind w:left="308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The person has the right to refuse to give consent, although refusal may have repercussions on acceptance/scope/exclusions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§19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All lines of insurance using health data for underwriting decisions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§213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All lines of insurance using health data for underwriting decisions or claims management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Act of Gene Diagnostics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EC42FA">
              <w:rPr>
                <w:szCs w:val="17"/>
              </w:rPr>
              <w:t>§</w:t>
            </w:r>
            <w:r>
              <w:rPr>
                <w:szCs w:val="17"/>
              </w:rPr>
              <w:t xml:space="preserve">18 </w:t>
            </w:r>
            <w:r>
              <w:t>Genetic testing and analysis in connection with the conclusion of an insurance contract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Results of genetic testing</w:t>
            </w:r>
          </w:p>
        </w:tc>
        <w:tc>
          <w:tcPr>
            <w:tcW w:w="5976" w:type="dxa"/>
          </w:tcPr>
          <w:p w:rsidR="0080647C" w:rsidRDefault="0080647C" w:rsidP="00050112">
            <w:pPr>
              <w:pStyle w:val="Odsekzoznamu"/>
              <w:numPr>
                <w:ilvl w:val="0"/>
                <w:numId w:val="5"/>
              </w:num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 xml:space="preserve">Results of genetic </w:t>
            </w:r>
            <w:r w:rsidRPr="009F6551">
              <w:rPr>
                <w:rStyle w:val="CEAGraphTitle"/>
                <w:szCs w:val="17"/>
                <w:u w:val="single"/>
              </w:rPr>
              <w:t>predictive</w:t>
            </w:r>
            <w:r>
              <w:rPr>
                <w:rStyle w:val="CEAGraphTitle"/>
                <w:szCs w:val="17"/>
              </w:rPr>
              <w:t xml:space="preserve"> testing must not be disclosed</w:t>
            </w:r>
          </w:p>
          <w:p w:rsidR="0080647C" w:rsidRDefault="0080647C" w:rsidP="00050112">
            <w:pPr>
              <w:pStyle w:val="Odsekzoznamu"/>
              <w:numPr>
                <w:ilvl w:val="0"/>
                <w:numId w:val="5"/>
              </w:num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Only in life insurance, occupational disability insurance, disability insurance and long-term care annuity insurance, the results have to be disclosed if the sum insured exceeds:</w:t>
            </w:r>
          </w:p>
          <w:p w:rsidR="0080647C" w:rsidRDefault="0080647C" w:rsidP="00050112">
            <w:pPr>
              <w:pStyle w:val="Odsekzoznamu"/>
              <w:numPr>
                <w:ilvl w:val="1"/>
                <w:numId w:val="5"/>
              </w:num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€300 000 lump sum or</w:t>
            </w:r>
          </w:p>
          <w:p w:rsidR="0080647C" w:rsidRDefault="0080647C" w:rsidP="00050112">
            <w:pPr>
              <w:pStyle w:val="Odsekzoznamu"/>
              <w:numPr>
                <w:ilvl w:val="1"/>
                <w:numId w:val="5"/>
              </w:num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€30 000 annual payment</w:t>
            </w:r>
          </w:p>
          <w:p w:rsidR="0080647C" w:rsidRPr="0066077A" w:rsidRDefault="0080647C" w:rsidP="00050112">
            <w:pPr>
              <w:pStyle w:val="Odsekzoznamu"/>
              <w:numPr>
                <w:ilvl w:val="0"/>
                <w:numId w:val="5"/>
              </w:num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Information on current or previous diseases has to be disclosed according to the insurance contract law (VVG)(see above)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All product lines where genetic data can be relevant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General Equal Treatment Act (AGG)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szCs w:val="17"/>
              </w:rPr>
            </w:pPr>
            <w:r w:rsidRPr="00EC42FA">
              <w:rPr>
                <w:szCs w:val="17"/>
              </w:rPr>
              <w:t>§19</w:t>
            </w:r>
            <w:r>
              <w:rPr>
                <w:szCs w:val="17"/>
              </w:rPr>
              <w:t xml:space="preserve"> </w:t>
            </w:r>
            <w:r>
              <w:t>limitations on the use of certain information (separate from non-disclosure under VVG)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</w:pP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EC42FA">
              <w:t>§</w:t>
            </w:r>
            <w:r>
              <w:t>20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lastRenderedPageBreak/>
              <w:t>Data related to disability, pregnancy and motherhood</w:t>
            </w:r>
          </w:p>
        </w:tc>
        <w:tc>
          <w:tcPr>
            <w:tcW w:w="5976" w:type="dxa"/>
          </w:tcPr>
          <w:p w:rsidR="0080647C" w:rsidRDefault="0080647C" w:rsidP="00050112">
            <w:pPr>
              <w:pStyle w:val="Odsekzoznamu"/>
              <w:numPr>
                <w:ilvl w:val="0"/>
                <w:numId w:val="5"/>
              </w:numPr>
              <w:spacing w:line="240" w:lineRule="auto"/>
              <w:jc w:val="left"/>
              <w:cnfStyle w:val="000000000000"/>
              <w:rPr>
                <w:szCs w:val="17"/>
              </w:rPr>
            </w:pPr>
            <w:r w:rsidRPr="002A2FE7">
              <w:rPr>
                <w:rStyle w:val="CEAGraphTitle"/>
                <w:szCs w:val="17"/>
              </w:rPr>
              <w:t xml:space="preserve">Prohibition against </w:t>
            </w:r>
            <w:r w:rsidRPr="002A2FE7">
              <w:rPr>
                <w:rStyle w:val="CEAGraphTitle"/>
                <w:szCs w:val="17"/>
                <w:u w:val="single"/>
              </w:rPr>
              <w:t>discrimination</w:t>
            </w:r>
            <w:r w:rsidRPr="002A2FE7">
              <w:rPr>
                <w:rStyle w:val="CEAGraphTitle"/>
                <w:szCs w:val="17"/>
              </w:rPr>
              <w:t xml:space="preserve"> on the grounds of race or ethnic origin, gender, religion, disability, age or sexual identity in private insurance </w:t>
            </w:r>
            <w:r>
              <w:rPr>
                <w:rStyle w:val="CEAGraphTitle"/>
              </w:rPr>
              <w:t>(</w:t>
            </w:r>
            <w:r w:rsidRPr="002A2FE7">
              <w:rPr>
                <w:szCs w:val="17"/>
              </w:rPr>
              <w:t>§19)</w:t>
            </w:r>
            <w:r w:rsidRPr="002A2FE7">
              <w:rPr>
                <w:rStyle w:val="CEAGraphTitle"/>
                <w:szCs w:val="17"/>
              </w:rPr>
              <w:t>. Different treatment on the above listed grounds is permitted based on accepted principles of risk adequate calculation (</w:t>
            </w:r>
            <w:r w:rsidRPr="002A2FE7">
              <w:rPr>
                <w:szCs w:val="17"/>
              </w:rPr>
              <w:t>§20).</w:t>
            </w:r>
          </w:p>
          <w:p w:rsidR="0080647C" w:rsidRPr="002A2FE7" w:rsidRDefault="0080647C" w:rsidP="00050112">
            <w:pPr>
              <w:pStyle w:val="Odsekzoznamu"/>
              <w:numPr>
                <w:ilvl w:val="0"/>
                <w:numId w:val="5"/>
              </w:num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 xml:space="preserve">Prohibition against </w:t>
            </w:r>
            <w:r w:rsidRPr="00465105">
              <w:rPr>
                <w:rStyle w:val="CEAGraphTitle"/>
                <w:szCs w:val="17"/>
                <w:u w:val="single"/>
              </w:rPr>
              <w:t>different</w:t>
            </w:r>
            <w:r>
              <w:rPr>
                <w:rStyle w:val="CEAGraphTitle"/>
                <w:szCs w:val="17"/>
              </w:rPr>
              <w:t xml:space="preserve"> premiums/benefits based on </w:t>
            </w:r>
            <w:r>
              <w:rPr>
                <w:rStyle w:val="CEAGraphTitle"/>
                <w:szCs w:val="17"/>
              </w:rPr>
              <w:lastRenderedPageBreak/>
              <w:t>gender because of costs of pregnancy/motherhood.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lastRenderedPageBreak/>
              <w:t>All insurance lines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lastRenderedPageBreak/>
              <w:t>FR</w:t>
            </w: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 xml:space="preserve">Article L1141-5 of the Public Health Code &amp; </w:t>
            </w:r>
            <w:r w:rsidRPr="00EF6415">
              <w:rPr>
                <w:szCs w:val="17"/>
              </w:rPr>
              <w:t>AERAS Convention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Cancers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The PH’s right to withhold survivorship is permitted in specific cases and differences in premium/benefits are prohibited in specific cases</w:t>
            </w:r>
          </w:p>
        </w:tc>
        <w:tc>
          <w:tcPr>
            <w:tcW w:w="2268" w:type="dxa"/>
          </w:tcPr>
          <w:p w:rsidR="0080647C" w:rsidRPr="00EF6415" w:rsidRDefault="0080647C" w:rsidP="00050112">
            <w:pPr>
              <w:spacing w:line="240" w:lineRule="auto"/>
              <w:jc w:val="left"/>
              <w:cnfStyle w:val="000000000000"/>
              <w:rPr>
                <w:szCs w:val="17"/>
              </w:rPr>
            </w:pPr>
            <w:r>
              <w:t>Life assurance linked to specific:</w:t>
            </w:r>
          </w:p>
          <w:p w:rsidR="0080647C" w:rsidRDefault="0080647C" w:rsidP="00050112">
            <w:pPr>
              <w:pStyle w:val="Odsekzoznamu"/>
              <w:numPr>
                <w:ilvl w:val="0"/>
                <w:numId w:val="4"/>
              </w:numPr>
              <w:spacing w:line="240" w:lineRule="auto"/>
              <w:ind w:left="190" w:hanging="193"/>
              <w:jc w:val="left"/>
              <w:cnfStyle w:val="000000000000"/>
              <w:rPr>
                <w:szCs w:val="17"/>
              </w:rPr>
            </w:pPr>
            <w:r>
              <w:rPr>
                <w:szCs w:val="17"/>
              </w:rPr>
              <w:t>Mortgages or</w:t>
            </w:r>
          </w:p>
          <w:p w:rsidR="0080647C" w:rsidRPr="00CF611F" w:rsidRDefault="0080647C" w:rsidP="00050112">
            <w:pPr>
              <w:pStyle w:val="Odsekzoznamu"/>
              <w:numPr>
                <w:ilvl w:val="0"/>
                <w:numId w:val="4"/>
              </w:numPr>
              <w:spacing w:line="240" w:lineRule="auto"/>
              <w:ind w:left="190" w:hanging="193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szCs w:val="17"/>
              </w:rPr>
              <w:t>B</w:t>
            </w:r>
            <w:r w:rsidRPr="00CF611F">
              <w:rPr>
                <w:szCs w:val="17"/>
              </w:rPr>
              <w:t>usiness loans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HU</w:t>
            </w: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No law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No voluntary code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</w:tr>
      <w:tr w:rsidR="0080647C" w:rsidTr="00780D45">
        <w:trPr>
          <w:trHeight w:val="730"/>
        </w:trPr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IT</w:t>
            </w: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Privacy NCA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General authorisation on use of genetic data (no. 8/2016)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Genetic data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Blanket ban against using or requesting genetic data/tests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 xml:space="preserve">All </w:t>
            </w:r>
            <w:r w:rsidRPr="004A552F">
              <w:rPr>
                <w:rStyle w:val="CEAGraphTitle"/>
                <w:szCs w:val="17"/>
              </w:rPr>
              <w:t>LOB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Law n. 18 of 3</w:t>
            </w:r>
            <w:r w:rsidRPr="00227A8F">
              <w:rPr>
                <w:rStyle w:val="CEAGraphTitle"/>
                <w:szCs w:val="17"/>
                <w:vertAlign w:val="superscript"/>
              </w:rPr>
              <w:t>rd</w:t>
            </w:r>
            <w:r>
              <w:rPr>
                <w:rStyle w:val="CEAGraphTitle"/>
                <w:szCs w:val="17"/>
              </w:rPr>
              <w:t xml:space="preserve"> March 2009 transposing the UN 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Convention on the Rights of Persons with Disabilities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Provision of insurance for persons with disabilities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Transposition of the UN Convention on the Rights of Persons with Disabilities (UNCRPD)– prohibition against discrimination of persons with disabilities in the provision of health and life insurance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Health and life insurances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NL</w:t>
            </w: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Medical Examinations Law</w:t>
            </w:r>
          </w:p>
          <w:p w:rsidR="0080647C" w:rsidRPr="0028767B" w:rsidRDefault="0080647C" w:rsidP="00050112">
            <w:pPr>
              <w:pStyle w:val="Odsekzoznamu"/>
              <w:numPr>
                <w:ilvl w:val="0"/>
                <w:numId w:val="4"/>
              </w:numPr>
              <w:spacing w:line="240" w:lineRule="auto"/>
              <w:ind w:left="164" w:hanging="141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Applies in context of medical examinations required for certain benefit schemes/employment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All diseases</w:t>
            </w:r>
          </w:p>
        </w:tc>
        <w:tc>
          <w:tcPr>
            <w:tcW w:w="5976" w:type="dxa"/>
          </w:tcPr>
          <w:p w:rsidR="0080647C" w:rsidRDefault="0080647C" w:rsidP="00050112">
            <w:pPr>
              <w:pStyle w:val="Odsekzoznamu"/>
              <w:numPr>
                <w:ilvl w:val="0"/>
                <w:numId w:val="4"/>
              </w:numPr>
              <w:spacing w:line="240" w:lineRule="auto"/>
              <w:ind w:left="150" w:hanging="189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Prohibition against asking about or requiring examination of a risk that could disproportionately impact the privacy of the insured person</w:t>
            </w:r>
          </w:p>
          <w:p w:rsidR="0080647C" w:rsidRDefault="0080647C" w:rsidP="00050112">
            <w:pPr>
              <w:pStyle w:val="Odsekzoznamu"/>
              <w:numPr>
                <w:ilvl w:val="0"/>
                <w:numId w:val="4"/>
              </w:numPr>
              <w:spacing w:line="240" w:lineRule="auto"/>
              <w:ind w:left="150" w:hanging="189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Limits applicable, below which less may be asked:</w:t>
            </w:r>
          </w:p>
          <w:p w:rsidR="0080647C" w:rsidRDefault="0080647C" w:rsidP="00050112">
            <w:pPr>
              <w:pStyle w:val="Odsekzoznamu"/>
              <w:numPr>
                <w:ilvl w:val="1"/>
                <w:numId w:val="4"/>
              </w:numPr>
              <w:spacing w:line="240" w:lineRule="auto"/>
              <w:ind w:left="736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Life: €278 004</w:t>
            </w:r>
          </w:p>
          <w:p w:rsidR="0080647C" w:rsidRPr="00E10015" w:rsidRDefault="0080647C" w:rsidP="00050112">
            <w:pPr>
              <w:pStyle w:val="Odsekzoznamu"/>
              <w:numPr>
                <w:ilvl w:val="1"/>
                <w:numId w:val="4"/>
              </w:numPr>
              <w:spacing w:line="240" w:lineRule="auto"/>
              <w:ind w:left="736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Disability: €40 039 in the first year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L</w:t>
            </w:r>
            <w:r w:rsidRPr="00D6331C">
              <w:rPr>
                <w:rStyle w:val="CEAGraphTitle"/>
                <w:szCs w:val="17"/>
              </w:rPr>
              <w:t>ife and disability insurances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Voluntary moratorium – hereditary research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*part of the Protocol insurance inspections of the Dutch Association of Insurers (Art 5)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Genetic diseases</w:t>
            </w:r>
          </w:p>
        </w:tc>
        <w:tc>
          <w:tcPr>
            <w:tcW w:w="5976" w:type="dxa"/>
          </w:tcPr>
          <w:p w:rsidR="0080647C" w:rsidRPr="002B4D68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2B4D68">
              <w:rPr>
                <w:rStyle w:val="CEAGraphTitle"/>
                <w:szCs w:val="17"/>
              </w:rPr>
              <w:t>Insurers voluntarily impose limits on how to deal with hereditary research outcomes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L</w:t>
            </w:r>
            <w:r w:rsidRPr="00D6331C">
              <w:rPr>
                <w:rStyle w:val="CEAGraphTitle"/>
                <w:szCs w:val="17"/>
              </w:rPr>
              <w:t>ife and disability insurances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Voluntary code – HIV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*part of the Protocol insurance inspections of the Dutch Association of Insurers (Art 6)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HIV</w:t>
            </w:r>
          </w:p>
        </w:tc>
        <w:tc>
          <w:tcPr>
            <w:tcW w:w="5976" w:type="dxa"/>
          </w:tcPr>
          <w:p w:rsidR="0080647C" w:rsidRPr="002B4D68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 w:rsidRPr="002B4D68">
              <w:rPr>
                <w:rStyle w:val="CEAGraphTitle"/>
                <w:szCs w:val="17"/>
              </w:rPr>
              <w:t>Insurers have set limits for themselves on identifying the risk of HIV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Li</w:t>
            </w:r>
            <w:r w:rsidRPr="00D6331C">
              <w:rPr>
                <w:rStyle w:val="CEAGraphTitle"/>
                <w:szCs w:val="17"/>
              </w:rPr>
              <w:t>fe and disability insurances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SE</w:t>
            </w: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Law on Genetic Integrity (2006:351)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 xml:space="preserve">Genetic information (incl. family history) produced within the health services for certain insurance contracts. </w:t>
            </w:r>
          </w:p>
          <w:p w:rsidR="0080647C" w:rsidRDefault="0080647C" w:rsidP="00050112">
            <w:pPr>
              <w:pStyle w:val="CEABullet-Level1"/>
              <w:numPr>
                <w:ilvl w:val="0"/>
                <w:numId w:val="0"/>
              </w:numPr>
              <w:spacing w:line="240" w:lineRule="auto"/>
              <w:cnfStyle w:val="000000000000"/>
              <w:rPr>
                <w:rStyle w:val="CEAGraphTitle"/>
                <w:szCs w:val="17"/>
              </w:rPr>
            </w:pPr>
            <w:r w:rsidRPr="006D149A">
              <w:rPr>
                <w:rStyle w:val="CEAGraphTitle"/>
                <w:rFonts w:cs="Times New Roman"/>
                <w:color w:val="auto"/>
                <w:szCs w:val="17"/>
              </w:rPr>
              <w:t xml:space="preserve">*Genetic information may be used if the </w:t>
            </w:r>
            <w:r w:rsidRPr="006D149A">
              <w:rPr>
                <w:rStyle w:val="CEAGraphTitle"/>
                <w:rFonts w:cs="Times New Roman"/>
                <w:color w:val="auto"/>
                <w:szCs w:val="17"/>
              </w:rPr>
              <w:lastRenderedPageBreak/>
              <w:t>person shows symptoms</w:t>
            </w:r>
            <w:r>
              <w:rPr>
                <w:rStyle w:val="CEAGraphTitle"/>
                <w:szCs w:val="17"/>
              </w:rPr>
              <w:t>.</w:t>
            </w:r>
          </w:p>
        </w:tc>
        <w:tc>
          <w:tcPr>
            <w:tcW w:w="5976" w:type="dxa"/>
          </w:tcPr>
          <w:p w:rsidR="0080647C" w:rsidRDefault="0080647C" w:rsidP="00050112">
            <w:pPr>
              <w:pStyle w:val="Odsekzoznamu"/>
              <w:numPr>
                <w:ilvl w:val="0"/>
                <w:numId w:val="4"/>
              </w:numPr>
              <w:spacing w:line="240" w:lineRule="auto"/>
              <w:ind w:left="180" w:hanging="169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lastRenderedPageBreak/>
              <w:t>Total ban for persons aged under 18 years of age</w:t>
            </w:r>
          </w:p>
          <w:p w:rsidR="0080647C" w:rsidRPr="001F2B34" w:rsidRDefault="0080647C" w:rsidP="00050112">
            <w:pPr>
              <w:pStyle w:val="Odsekzoznamu"/>
              <w:numPr>
                <w:ilvl w:val="0"/>
                <w:numId w:val="4"/>
              </w:numPr>
              <w:spacing w:line="240" w:lineRule="auto"/>
              <w:ind w:left="180" w:hanging="169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Ban on insurances where the sum insured is less than 30 price base amounts (2019: 1 395 000 SEK) or the periodical amount payed out is lower than 4 price base amounts per year (2019: 186 000 SE)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All products (</w:t>
            </w:r>
            <w:proofErr w:type="spellStart"/>
            <w:r>
              <w:rPr>
                <w:rStyle w:val="CEAGraphTitle"/>
                <w:szCs w:val="17"/>
              </w:rPr>
              <w:t>incl</w:t>
            </w:r>
            <w:proofErr w:type="spellEnd"/>
            <w:r>
              <w:rPr>
                <w:rStyle w:val="CEAGraphTitle"/>
                <w:szCs w:val="17"/>
              </w:rPr>
              <w:t xml:space="preserve"> child insurances)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The Swedish Contract Law (2005:104)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All diseases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szCs w:val="17"/>
              </w:rPr>
            </w:pPr>
            <w:r>
              <w:rPr>
                <w:szCs w:val="17"/>
              </w:rPr>
              <w:t>A r</w:t>
            </w:r>
            <w:r w:rsidRPr="00DF004A">
              <w:rPr>
                <w:szCs w:val="17"/>
              </w:rPr>
              <w:t>ight for a person’s application for cover to be properly assessed (not a right to insurance per se)</w:t>
            </w:r>
            <w:r>
              <w:rPr>
                <w:szCs w:val="17"/>
              </w:rPr>
              <w:t xml:space="preserve">. </w:t>
            </w:r>
          </w:p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szCs w:val="17"/>
              </w:rPr>
              <w:t>If cover is refused in full or terms vary (premium/benefits), there must be an underwriting justification.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All insurance of the person (</w:t>
            </w:r>
            <w:proofErr w:type="spellStart"/>
            <w:r>
              <w:rPr>
                <w:rStyle w:val="CEAGraphTitle"/>
                <w:szCs w:val="17"/>
              </w:rPr>
              <w:t>incl</w:t>
            </w:r>
            <w:proofErr w:type="spellEnd"/>
            <w:r>
              <w:rPr>
                <w:rStyle w:val="CEAGraphTitle"/>
                <w:szCs w:val="17"/>
              </w:rPr>
              <w:t xml:space="preserve"> child insurance)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 xml:space="preserve">No voluntary code 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SK</w:t>
            </w: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No law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</w:tr>
      <w:tr w:rsidR="0080647C" w:rsidTr="00780D45">
        <w:tc>
          <w:tcPr>
            <w:cnfStyle w:val="001000000000"/>
            <w:tcW w:w="971" w:type="dxa"/>
          </w:tcPr>
          <w:p w:rsidR="0080647C" w:rsidRDefault="0080647C" w:rsidP="00050112">
            <w:pPr>
              <w:spacing w:line="240" w:lineRule="auto"/>
              <w:jc w:val="left"/>
              <w:rPr>
                <w:rStyle w:val="CEAGraphTitle"/>
                <w:szCs w:val="17"/>
              </w:rPr>
            </w:pPr>
          </w:p>
        </w:tc>
        <w:tc>
          <w:tcPr>
            <w:tcW w:w="2801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No voluntary code</w:t>
            </w:r>
          </w:p>
        </w:tc>
        <w:tc>
          <w:tcPr>
            <w:tcW w:w="0" w:type="auto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5976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  <w:tc>
          <w:tcPr>
            <w:tcW w:w="2268" w:type="dxa"/>
          </w:tcPr>
          <w:p w:rsidR="0080647C" w:rsidRDefault="0080647C" w:rsidP="00050112">
            <w:pPr>
              <w:spacing w:line="240" w:lineRule="auto"/>
              <w:jc w:val="left"/>
              <w:cnfStyle w:val="000000000000"/>
              <w:rPr>
                <w:rStyle w:val="CEAGraphTitle"/>
                <w:szCs w:val="17"/>
              </w:rPr>
            </w:pPr>
            <w:r>
              <w:rPr>
                <w:rStyle w:val="CEAGraphTitle"/>
                <w:szCs w:val="17"/>
              </w:rPr>
              <w:t>---</w:t>
            </w:r>
          </w:p>
        </w:tc>
      </w:tr>
    </w:tbl>
    <w:p w:rsidR="0080647C" w:rsidRPr="007341CF" w:rsidRDefault="0080647C" w:rsidP="0080647C">
      <w:pPr>
        <w:pStyle w:val="CEABullet-Level1"/>
        <w:numPr>
          <w:ilvl w:val="0"/>
          <w:numId w:val="0"/>
        </w:numPr>
        <w:rPr>
          <w:rStyle w:val="CEAGraphTitle"/>
          <w:b/>
          <w:szCs w:val="17"/>
        </w:rPr>
      </w:pPr>
    </w:p>
    <w:p w:rsidR="007341CF" w:rsidRPr="00FA4DAB" w:rsidRDefault="007341CF" w:rsidP="009176FF">
      <w:pPr>
        <w:spacing w:line="240" w:lineRule="auto"/>
        <w:jc w:val="left"/>
        <w:rPr>
          <w:rStyle w:val="CEAGraphTitle"/>
          <w:szCs w:val="17"/>
        </w:rPr>
      </w:pPr>
    </w:p>
    <w:p w:rsidR="00440FEE" w:rsidRPr="007341CF" w:rsidRDefault="007341CF" w:rsidP="007341CF">
      <w:pPr>
        <w:pStyle w:val="CEABullet-Level1"/>
        <w:rPr>
          <w:b/>
        </w:rPr>
      </w:pPr>
      <w:r w:rsidRPr="007341CF">
        <w:rPr>
          <w:b/>
        </w:rPr>
        <w:t>Future</w:t>
      </w:r>
    </w:p>
    <w:p w:rsidR="007341CF" w:rsidRDefault="007341CF">
      <w:bookmarkStart w:id="0" w:name="_GoBack"/>
      <w:bookmarkEnd w:id="0"/>
    </w:p>
    <w:tbl>
      <w:tblPr>
        <w:tblStyle w:val="GridTable1LightAccent1"/>
        <w:tblW w:w="0" w:type="auto"/>
        <w:tblLook w:val="04A0"/>
      </w:tblPr>
      <w:tblGrid>
        <w:gridCol w:w="972"/>
        <w:gridCol w:w="2756"/>
        <w:gridCol w:w="5134"/>
        <w:gridCol w:w="5245"/>
      </w:tblGrid>
      <w:tr w:rsidR="00133D72" w:rsidTr="00050112">
        <w:trPr>
          <w:cnfStyle w:val="100000000000"/>
        </w:trPr>
        <w:tc>
          <w:tcPr>
            <w:cnfStyle w:val="001000000000"/>
            <w:tcW w:w="0" w:type="auto"/>
          </w:tcPr>
          <w:p w:rsidR="00133D72" w:rsidRDefault="00133D72" w:rsidP="00050112">
            <w:r>
              <w:t>Country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100000000000"/>
            </w:pPr>
            <w:r>
              <w:t>Data w/ impact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100000000000"/>
            </w:pPr>
            <w:r>
              <w:t>Product lines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100000000000"/>
            </w:pPr>
            <w:r>
              <w:t>Other risks w/detrimental impact</w:t>
            </w:r>
          </w:p>
        </w:tc>
      </w:tr>
      <w:tr w:rsidR="00133D72" w:rsidTr="00050112">
        <w:tc>
          <w:tcPr>
            <w:cnfStyle w:val="001000000000"/>
            <w:tcW w:w="0" w:type="auto"/>
          </w:tcPr>
          <w:p w:rsidR="00133D72" w:rsidRDefault="00133D72" w:rsidP="00050112">
            <w:r>
              <w:rPr>
                <w:rStyle w:val="CEAGraphTitle"/>
                <w:szCs w:val="17"/>
              </w:rPr>
              <w:t>AT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Cancer</w:t>
            </w:r>
          </w:p>
          <w:p w:rsidR="00133D72" w:rsidRDefault="00133D72" w:rsidP="00050112">
            <w:pPr>
              <w:cnfStyle w:val="000000000000"/>
            </w:pPr>
            <w:r>
              <w:t>Chronic diseases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Most likely all products, except those where health data do not play a major role (e.g. short-term contracts such as travel insurance)</w:t>
            </w:r>
          </w:p>
          <w:p w:rsidR="00133D72" w:rsidRDefault="00133D72" w:rsidP="00050112">
            <w:pPr>
              <w:cnfStyle w:val="000000000000"/>
            </w:pPr>
          </w:p>
          <w:p w:rsidR="00133D72" w:rsidRDefault="00133D72" w:rsidP="00050112">
            <w:pPr>
              <w:pStyle w:val="CEABullet-Level1"/>
              <w:numPr>
                <w:ilvl w:val="0"/>
                <w:numId w:val="0"/>
              </w:numPr>
              <w:cnfStyle w:val="000000000000"/>
            </w:pPr>
            <w:r>
              <w:t xml:space="preserve">*NB/AT operates AUSTRIACUM – health insurance contracts are lifelong. Insurers cannot therefore terminate health insurance contracts  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 xml:space="preserve">Risks incl.: 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78" w:hanging="218"/>
              <w:cnfStyle w:val="000000000000"/>
            </w:pPr>
            <w:r>
              <w:t xml:space="preserve">Information asymmetry 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78" w:hanging="218"/>
              <w:cnfStyle w:val="000000000000"/>
            </w:pPr>
            <w:r>
              <w:t>Premium miscalculation</w:t>
            </w:r>
          </w:p>
          <w:p w:rsidR="00133D72" w:rsidRDefault="00133D72" w:rsidP="00050112">
            <w:pPr>
              <w:cnfStyle w:val="000000000000"/>
            </w:pPr>
          </w:p>
        </w:tc>
      </w:tr>
      <w:tr w:rsidR="00133D72" w:rsidTr="00050112">
        <w:tc>
          <w:tcPr>
            <w:cnfStyle w:val="001000000000"/>
            <w:tcW w:w="0" w:type="auto"/>
          </w:tcPr>
          <w:p w:rsidR="00133D72" w:rsidRDefault="00133D72" w:rsidP="00050112">
            <w:r>
              <w:rPr>
                <w:rStyle w:val="CEAGraphTitle"/>
                <w:szCs w:val="17"/>
              </w:rPr>
              <w:t>DE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 xml:space="preserve">Risks </w:t>
            </w:r>
            <w:proofErr w:type="spellStart"/>
            <w:r>
              <w:t>incl</w:t>
            </w:r>
            <w:proofErr w:type="spellEnd"/>
            <w:r>
              <w:t>: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Inaccuracy of risk assessment and claims calculation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Higher premiums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Reduced coverage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Lower/rejected claim payments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Compromising product offering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Growth in regulated but uncompetitive products</w:t>
            </w:r>
          </w:p>
          <w:p w:rsidR="00133D72" w:rsidRDefault="00133D72" w:rsidP="00050112">
            <w:pPr>
              <w:cnfStyle w:val="000000000000"/>
            </w:pPr>
          </w:p>
          <w:p w:rsidR="00133D72" w:rsidRDefault="00133D72" w:rsidP="00050112">
            <w:pPr>
              <w:cnfStyle w:val="000000000000"/>
            </w:pPr>
            <w:r>
              <w:t>Reflection: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Current requirement to answer only explicitly put questions, strikes a balance on relevance vs privacy</w:t>
            </w:r>
          </w:p>
        </w:tc>
      </w:tr>
      <w:tr w:rsidR="00133D72" w:rsidTr="00050112">
        <w:tc>
          <w:tcPr>
            <w:cnfStyle w:val="001000000000"/>
            <w:tcW w:w="0" w:type="auto"/>
          </w:tcPr>
          <w:p w:rsidR="00133D72" w:rsidRDefault="00133D72" w:rsidP="00050112">
            <w:r>
              <w:rPr>
                <w:rStyle w:val="CEAGraphTitle"/>
                <w:szCs w:val="17"/>
              </w:rPr>
              <w:t>FR</w:t>
            </w:r>
          </w:p>
        </w:tc>
        <w:tc>
          <w:tcPr>
            <w:tcW w:w="0" w:type="auto"/>
          </w:tcPr>
          <w:p w:rsidR="00133D72" w:rsidRPr="00025277" w:rsidRDefault="00133D72" w:rsidP="00050112">
            <w:pPr>
              <w:cnfStyle w:val="000000000000"/>
              <w:rPr>
                <w:i/>
                <w:lang w:val="da-DK"/>
              </w:rPr>
            </w:pPr>
            <w:r>
              <w:rPr>
                <w:i/>
              </w:rPr>
              <w:t>---</w:t>
            </w:r>
          </w:p>
        </w:tc>
        <w:tc>
          <w:tcPr>
            <w:tcW w:w="0" w:type="auto"/>
          </w:tcPr>
          <w:p w:rsidR="00133D72" w:rsidRPr="00EF6415" w:rsidRDefault="00133D72" w:rsidP="00050112">
            <w:pPr>
              <w:cnfStyle w:val="000000000000"/>
              <w:rPr>
                <w:i/>
              </w:rPr>
            </w:pPr>
            <w:r>
              <w:rPr>
                <w:i/>
              </w:rPr>
              <w:t>---</w:t>
            </w:r>
          </w:p>
        </w:tc>
        <w:tc>
          <w:tcPr>
            <w:tcW w:w="0" w:type="auto"/>
          </w:tcPr>
          <w:p w:rsidR="00133D72" w:rsidRPr="00EF6415" w:rsidRDefault="00133D72" w:rsidP="00050112">
            <w:pPr>
              <w:cnfStyle w:val="000000000000"/>
              <w:rPr>
                <w:i/>
              </w:rPr>
            </w:pPr>
            <w:r>
              <w:rPr>
                <w:i/>
              </w:rPr>
              <w:t>---</w:t>
            </w:r>
          </w:p>
        </w:tc>
      </w:tr>
      <w:tr w:rsidR="00133D72" w:rsidTr="00050112">
        <w:tc>
          <w:tcPr>
            <w:cnfStyle w:val="001000000000"/>
            <w:tcW w:w="0" w:type="auto"/>
          </w:tcPr>
          <w:p w:rsidR="00133D72" w:rsidRDefault="00133D72" w:rsidP="00050112">
            <w:r>
              <w:rPr>
                <w:rStyle w:val="CEAGraphTitle"/>
                <w:szCs w:val="17"/>
              </w:rPr>
              <w:lastRenderedPageBreak/>
              <w:t>HU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Absence of morbidity data: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Diabetes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Heart disease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Osteoporosis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Alcoholism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Severe depression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HIV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Hepatitis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Malformations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302" w:hanging="218"/>
              <w:cnfStyle w:val="000000000000"/>
            </w:pPr>
            <w:r>
              <w:t>Chronic respiratory insufficiency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 Life insurance</w:t>
            </w:r>
          </w:p>
          <w:p w:rsidR="00133D72" w:rsidRDefault="00133D72" w:rsidP="00050112">
            <w:pPr>
              <w:cnfStyle w:val="000000000000"/>
            </w:pPr>
            <w:r>
              <w:t>- Health insurance</w:t>
            </w:r>
          </w:p>
          <w:p w:rsidR="00133D72" w:rsidRDefault="00133D72" w:rsidP="00050112">
            <w:pPr>
              <w:cnfStyle w:val="000000000000"/>
            </w:pPr>
            <w:r>
              <w:t>- (possibly) funeral insurance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 xml:space="preserve">Risks incl.: 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25" w:hanging="165"/>
              <w:cnfStyle w:val="000000000000"/>
            </w:pPr>
            <w:r>
              <w:t>Higher premium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25" w:hanging="165"/>
              <w:cnfStyle w:val="000000000000"/>
            </w:pPr>
            <w:r>
              <w:t>More exclusions from cover</w:t>
            </w:r>
          </w:p>
        </w:tc>
      </w:tr>
      <w:tr w:rsidR="00133D72" w:rsidTr="00050112">
        <w:tc>
          <w:tcPr>
            <w:cnfStyle w:val="001000000000"/>
            <w:tcW w:w="0" w:type="auto"/>
          </w:tcPr>
          <w:p w:rsidR="00133D72" w:rsidRDefault="00133D72" w:rsidP="00050112">
            <w:r>
              <w:rPr>
                <w:rStyle w:val="CEAGraphTitle"/>
                <w:szCs w:val="17"/>
              </w:rPr>
              <w:t>IT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</w:tr>
      <w:tr w:rsidR="00133D72" w:rsidTr="00050112">
        <w:tc>
          <w:tcPr>
            <w:cnfStyle w:val="001000000000"/>
            <w:tcW w:w="0" w:type="auto"/>
          </w:tcPr>
          <w:p w:rsidR="00133D72" w:rsidRDefault="00133D72" w:rsidP="00050112">
            <w:r>
              <w:rPr>
                <w:rStyle w:val="CEAGraphTitle"/>
                <w:szCs w:val="17"/>
              </w:rPr>
              <w:t>NL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</w:tr>
      <w:tr w:rsidR="00133D72" w:rsidTr="00050112">
        <w:tc>
          <w:tcPr>
            <w:cnfStyle w:val="001000000000"/>
            <w:tcW w:w="0" w:type="auto"/>
          </w:tcPr>
          <w:p w:rsidR="00133D72" w:rsidRDefault="00133D72" w:rsidP="00050112">
            <w:r>
              <w:rPr>
                <w:rStyle w:val="CEAGraphTitle"/>
                <w:szCs w:val="17"/>
              </w:rPr>
              <w:t>SE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Too complex to cover here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>---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 xml:space="preserve">Risks </w:t>
            </w:r>
            <w:proofErr w:type="spellStart"/>
            <w:r>
              <w:t>incl</w:t>
            </w:r>
            <w:proofErr w:type="spellEnd"/>
            <w:r>
              <w:t>: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74" w:hanging="172"/>
              <w:cnfStyle w:val="000000000000"/>
            </w:pPr>
            <w:r>
              <w:t>Premium variation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74" w:hanging="172"/>
              <w:cnfStyle w:val="000000000000"/>
            </w:pPr>
            <w:r>
              <w:t>Limitation to insurance coverage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74" w:hanging="172"/>
              <w:cnfStyle w:val="000000000000"/>
            </w:pPr>
            <w:r>
              <w:t>Uncertainty over actual insurance cover (</w:t>
            </w:r>
            <w:proofErr w:type="spellStart"/>
            <w:r>
              <w:t>eg</w:t>
            </w:r>
            <w:proofErr w:type="spellEnd"/>
            <w:r>
              <w:t xml:space="preserve"> how to deal w/side effects of initial illness)</w:t>
            </w:r>
          </w:p>
        </w:tc>
      </w:tr>
      <w:tr w:rsidR="00133D72" w:rsidTr="00050112">
        <w:tc>
          <w:tcPr>
            <w:cnfStyle w:val="001000000000"/>
            <w:tcW w:w="0" w:type="auto"/>
          </w:tcPr>
          <w:p w:rsidR="00133D72" w:rsidRDefault="00133D72" w:rsidP="00050112">
            <w:r>
              <w:rPr>
                <w:rStyle w:val="CEAGraphTitle"/>
                <w:szCs w:val="17"/>
              </w:rPr>
              <w:t>SK</w:t>
            </w:r>
          </w:p>
        </w:tc>
        <w:tc>
          <w:tcPr>
            <w:tcW w:w="0" w:type="auto"/>
          </w:tcPr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>Obstructive pulmonary disease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>HIV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>Cancer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>Stage 3 hypertension w/ cardiovascular risk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>Severe kidney disease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>Acute post-stroke period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>Angina pectoris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>Severe psychiatric conditions (</w:t>
            </w:r>
            <w:proofErr w:type="spellStart"/>
            <w:r>
              <w:t>eg</w:t>
            </w:r>
            <w:proofErr w:type="spellEnd"/>
            <w:r>
              <w:t xml:space="preserve"> schizophrenia)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160" w:hanging="218"/>
              <w:cnfStyle w:val="000000000000"/>
            </w:pPr>
            <w:r>
              <w:t xml:space="preserve">Pre-existing illnesses </w:t>
            </w:r>
          </w:p>
        </w:tc>
        <w:tc>
          <w:tcPr>
            <w:tcW w:w="0" w:type="auto"/>
          </w:tcPr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07" w:hanging="188"/>
              <w:cnfStyle w:val="000000000000"/>
            </w:pPr>
            <w:r>
              <w:t>Life insurance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07" w:hanging="188"/>
              <w:cnfStyle w:val="000000000000"/>
            </w:pPr>
            <w:r>
              <w:t>Disability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07" w:hanging="188"/>
              <w:cnfStyle w:val="000000000000"/>
            </w:pPr>
            <w:r>
              <w:t>Critical illness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07" w:hanging="188"/>
              <w:cnfStyle w:val="000000000000"/>
            </w:pPr>
            <w:r>
              <w:t>Long-term incapacity to work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ind w:left="207" w:hanging="188"/>
              <w:cnfStyle w:val="000000000000"/>
            </w:pPr>
            <w:r>
              <w:t>Health insurance</w:t>
            </w:r>
          </w:p>
        </w:tc>
        <w:tc>
          <w:tcPr>
            <w:tcW w:w="0" w:type="auto"/>
          </w:tcPr>
          <w:p w:rsidR="00133D72" w:rsidRDefault="00133D72" w:rsidP="00050112">
            <w:pPr>
              <w:cnfStyle w:val="000000000000"/>
            </w:pPr>
            <w:r>
              <w:t xml:space="preserve">Risks </w:t>
            </w:r>
            <w:proofErr w:type="spellStart"/>
            <w:r>
              <w:t>incl</w:t>
            </w:r>
            <w:proofErr w:type="spellEnd"/>
            <w:r>
              <w:t>: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Adverse selection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Increased premium rates for all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Inadequate claims reserves by insurer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Increased exclusions under cover (</w:t>
            </w:r>
            <w:proofErr w:type="spellStart"/>
            <w:r>
              <w:t>incl</w:t>
            </w:r>
            <w:proofErr w:type="spellEnd"/>
            <w:r>
              <w:t xml:space="preserve"> possibly exclusion of the risk in question)</w:t>
            </w:r>
          </w:p>
          <w:p w:rsidR="00133D72" w:rsidRDefault="00133D72" w:rsidP="00050112">
            <w:pPr>
              <w:cnfStyle w:val="000000000000"/>
            </w:pPr>
          </w:p>
          <w:p w:rsidR="00133D72" w:rsidRDefault="00133D72" w:rsidP="00050112">
            <w:pPr>
              <w:cnfStyle w:val="000000000000"/>
            </w:pPr>
            <w:r>
              <w:t>Reflection:</w:t>
            </w:r>
          </w:p>
          <w:p w:rsidR="00133D72" w:rsidRDefault="00133D72" w:rsidP="00050112">
            <w:pPr>
              <w:pStyle w:val="Odsekzoznamu"/>
              <w:numPr>
                <w:ilvl w:val="0"/>
                <w:numId w:val="4"/>
              </w:numPr>
              <w:cnfStyle w:val="000000000000"/>
            </w:pPr>
            <w:r>
              <w:t>Why preferential treatment of cancer/certain il</w:t>
            </w:r>
            <w:r w:rsidR="00050112">
              <w:t>l</w:t>
            </w:r>
            <w:r>
              <w:t>nesses over other illnesses?</w:t>
            </w:r>
          </w:p>
        </w:tc>
      </w:tr>
    </w:tbl>
    <w:p w:rsidR="007341CF" w:rsidRDefault="007341CF"/>
    <w:sectPr w:rsidR="007341CF" w:rsidSect="00A24644">
      <w:headerReference w:type="default" r:id="rId11"/>
      <w:footerReference w:type="default" r:id="rId12"/>
      <w:pgSz w:w="16839" w:h="11907" w:orient="landscape" w:code="9"/>
      <w:pgMar w:top="1418" w:right="1530" w:bottom="902" w:left="1418" w:header="1276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112" w:rsidRDefault="00050112">
      <w:pPr>
        <w:spacing w:line="240" w:lineRule="auto"/>
      </w:pPr>
      <w:r>
        <w:separator/>
      </w:r>
    </w:p>
  </w:endnote>
  <w:endnote w:type="continuationSeparator" w:id="0">
    <w:p w:rsidR="00050112" w:rsidRDefault="00050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 55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utiger LT Com 45 Light">
    <w:altName w:val="Corbel"/>
    <w:charset w:val="00"/>
    <w:family w:val="swiss"/>
    <w:pitch w:val="variable"/>
    <w:sig w:usb0="00000001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402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0112" w:rsidRDefault="00050112">
        <w:pPr>
          <w:pStyle w:val="Pta"/>
          <w:jc w:val="center"/>
        </w:pPr>
        <w:fldSimple w:instr=" PAGE   \* MERGEFORMAT ">
          <w:r w:rsidR="00CA0EE3">
            <w:rPr>
              <w:noProof/>
            </w:rPr>
            <w:t>1</w:t>
          </w:r>
        </w:fldSimple>
      </w:p>
    </w:sdtContent>
  </w:sdt>
  <w:p w:rsidR="00050112" w:rsidRPr="00CD51F6" w:rsidRDefault="00050112" w:rsidP="00050112">
    <w:pPr>
      <w:pStyle w:val="Pta"/>
      <w:ind w:left="546"/>
      <w:rPr>
        <w:rFonts w:cs="Arial"/>
        <w:b/>
        <w:color w:val="0032FF"/>
        <w:sz w:val="16"/>
        <w:szCs w:val="16"/>
        <w:lang w:val="pt-P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112" w:rsidRDefault="00050112">
      <w:pPr>
        <w:spacing w:line="240" w:lineRule="auto"/>
      </w:pPr>
      <w:r>
        <w:separator/>
      </w:r>
    </w:p>
  </w:footnote>
  <w:footnote w:type="continuationSeparator" w:id="0">
    <w:p w:rsidR="00050112" w:rsidRDefault="0005011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112" w:rsidRDefault="00050112" w:rsidP="00050112">
    <w:pPr>
      <w:pStyle w:val="Noparagraphstyle"/>
      <w:jc w:val="right"/>
      <w:rPr>
        <w:rFonts w:ascii="Verdana" w:hAnsi="Verdana"/>
        <w:sz w:val="17"/>
        <w:szCs w:val="17"/>
      </w:rPr>
    </w:pPr>
    <w:r>
      <w:rPr>
        <w:rFonts w:ascii="Verdana" w:hAnsi="Verdana"/>
        <w:sz w:val="17"/>
        <w:szCs w:val="17"/>
      </w:rPr>
      <w:t>INTERNAL DOCUMENT</w:t>
    </w:r>
  </w:p>
  <w:p w:rsidR="00050112" w:rsidRPr="0016302D" w:rsidRDefault="00050112" w:rsidP="00050112">
    <w:pPr>
      <w:pStyle w:val="Noparagraphstyle"/>
      <w:jc w:val="right"/>
      <w:rPr>
        <w:rFonts w:ascii="Verdana" w:hAnsi="Verdana"/>
        <w:sz w:val="17"/>
        <w:szCs w:val="17"/>
      </w:rPr>
    </w:pPr>
    <w:r>
      <w:rPr>
        <w:rFonts w:ascii="Verdana" w:hAnsi="Verdana"/>
        <w:sz w:val="17"/>
        <w:szCs w:val="17"/>
      </w:rPr>
      <w:t>Brussels 8 February 2019</w:t>
    </w:r>
  </w:p>
  <w:p w:rsidR="00050112" w:rsidRPr="00CD51F6" w:rsidRDefault="00050112" w:rsidP="00050112">
    <w:pPr>
      <w:pStyle w:val="Noparagraphstyle"/>
      <w:jc w:val="right"/>
      <w:rPr>
        <w:rFonts w:ascii="Arial" w:hAnsi="Arial" w:cs="Arial"/>
        <w:i/>
        <w:iCs/>
        <w:color w:val="034EA2"/>
      </w:rPr>
    </w:pPr>
    <w:r>
      <w:tab/>
    </w:r>
  </w:p>
  <w:p w:rsidR="00050112" w:rsidRPr="007349E1" w:rsidRDefault="00050112" w:rsidP="00050112">
    <w:pPr>
      <w:pStyle w:val="Hlavika"/>
      <w:tabs>
        <w:tab w:val="clear" w:pos="4320"/>
        <w:tab w:val="clear" w:pos="8640"/>
        <w:tab w:val="center" w:pos="0"/>
        <w:tab w:val="right" w:pos="10440"/>
      </w:tabs>
      <w:rPr>
        <w:b/>
        <w:sz w:val="40"/>
        <w:szCs w:val="40"/>
      </w:rPr>
    </w:pPr>
    <w:r w:rsidRPr="00164309">
      <w:rPr>
        <w:b/>
        <w:noProof/>
        <w:sz w:val="40"/>
        <w:szCs w:val="40"/>
        <w:lang w:val="sk-SK" w:eastAsia="sk-SK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524888</wp:posOffset>
          </wp:positionH>
          <wp:positionV relativeFrom="page">
            <wp:posOffset>525294</wp:posOffset>
          </wp:positionV>
          <wp:extent cx="1459555" cy="894944"/>
          <wp:effectExtent l="19050" t="0" r="0" b="0"/>
          <wp:wrapSquare wrapText="bothSides"/>
          <wp:docPr id="7" name="Picture 11" descr="CEA+baseline_RVB_200dpi(ps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EA+baseline_RVB_200dpi(psd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6193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CEA - Bullets Rounded Squares_BulletLevel1_forMS"/>
      </v:shape>
    </w:pict>
  </w:numPicBullet>
  <w:numPicBullet w:numPicBulletId="1">
    <w:pict>
      <v:shape id="_x0000_i1036" type="#_x0000_t75" style="width:7.5pt;height:7.5pt" o:bullet="t">
        <v:imagedata r:id="rId2" o:title="CEA - Bullets Rounded Squares_BulletLevel2_forMS"/>
      </v:shape>
    </w:pict>
  </w:numPicBullet>
  <w:numPicBullet w:numPicBulletId="2">
    <w:pict>
      <v:shape id="_x0000_i1037" type="#_x0000_t75" style="width:9pt;height:9pt" o:bullet="t">
        <v:imagedata r:id="rId3" o:title="CEA - Bullets Rounded Squares_BulletLevel3_forMS"/>
      </v:shape>
    </w:pict>
  </w:numPicBullet>
  <w:abstractNum w:abstractNumId="0">
    <w:nsid w:val="1054071E"/>
    <w:multiLevelType w:val="hybridMultilevel"/>
    <w:tmpl w:val="EBE65710"/>
    <w:lvl w:ilvl="0" w:tplc="A0240652">
      <w:start w:val="165"/>
      <w:numFmt w:val="bullet"/>
      <w:pStyle w:val="CEABullet-Level2"/>
      <w:lvlText w:val=""/>
      <w:lvlPicBulletId w:val="1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0F434D8"/>
    <w:multiLevelType w:val="hybridMultilevel"/>
    <w:tmpl w:val="283A81F2"/>
    <w:lvl w:ilvl="0" w:tplc="4AFAB68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E4D85"/>
    <w:multiLevelType w:val="hybridMultilevel"/>
    <w:tmpl w:val="36024468"/>
    <w:lvl w:ilvl="0" w:tplc="37180294">
      <w:start w:val="165"/>
      <w:numFmt w:val="bullet"/>
      <w:pStyle w:val="CEABullet-Level3"/>
      <w:lvlText w:val=""/>
      <w:lvlPicBulletId w:val="2"/>
      <w:lvlJc w:val="left"/>
      <w:pPr>
        <w:ind w:left="2673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99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71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433" w:hanging="360"/>
      </w:pPr>
      <w:rPr>
        <w:rFonts w:ascii="Wingdings" w:hAnsi="Wingdings" w:hint="default"/>
      </w:rPr>
    </w:lvl>
  </w:abstractNum>
  <w:abstractNum w:abstractNumId="3">
    <w:nsid w:val="44D435D6"/>
    <w:multiLevelType w:val="hybridMultilevel"/>
    <w:tmpl w:val="275C7D10"/>
    <w:lvl w:ilvl="0" w:tplc="8056E1B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E2B88"/>
    <w:multiLevelType w:val="hybridMultilevel"/>
    <w:tmpl w:val="636CBA02"/>
    <w:lvl w:ilvl="0" w:tplc="2CF65F2A">
      <w:start w:val="165"/>
      <w:numFmt w:val="bullet"/>
      <w:pStyle w:val="CEABullet-Level1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6FF"/>
    <w:rsid w:val="0001384C"/>
    <w:rsid w:val="00025277"/>
    <w:rsid w:val="00050112"/>
    <w:rsid w:val="00067409"/>
    <w:rsid w:val="00072297"/>
    <w:rsid w:val="00087A49"/>
    <w:rsid w:val="000B43D0"/>
    <w:rsid w:val="000E640B"/>
    <w:rsid w:val="00111C22"/>
    <w:rsid w:val="001126A0"/>
    <w:rsid w:val="00127926"/>
    <w:rsid w:val="00133D72"/>
    <w:rsid w:val="00142AFE"/>
    <w:rsid w:val="0016302D"/>
    <w:rsid w:val="00171F04"/>
    <w:rsid w:val="00173856"/>
    <w:rsid w:val="00192946"/>
    <w:rsid w:val="001C2F82"/>
    <w:rsid w:val="001F2B34"/>
    <w:rsid w:val="00227A8F"/>
    <w:rsid w:val="00237C41"/>
    <w:rsid w:val="002813C6"/>
    <w:rsid w:val="00285DD6"/>
    <w:rsid w:val="002C7442"/>
    <w:rsid w:val="002D3D29"/>
    <w:rsid w:val="003032CC"/>
    <w:rsid w:val="003317C4"/>
    <w:rsid w:val="00371E97"/>
    <w:rsid w:val="00394C22"/>
    <w:rsid w:val="003C306B"/>
    <w:rsid w:val="003C54CC"/>
    <w:rsid w:val="0040075F"/>
    <w:rsid w:val="00410097"/>
    <w:rsid w:val="00440FEE"/>
    <w:rsid w:val="004614A2"/>
    <w:rsid w:val="004A3EBE"/>
    <w:rsid w:val="004A552F"/>
    <w:rsid w:val="004E0C7C"/>
    <w:rsid w:val="004E75AC"/>
    <w:rsid w:val="004F42BF"/>
    <w:rsid w:val="004F5E35"/>
    <w:rsid w:val="00503D51"/>
    <w:rsid w:val="0052693F"/>
    <w:rsid w:val="00532883"/>
    <w:rsid w:val="005378CB"/>
    <w:rsid w:val="0054373D"/>
    <w:rsid w:val="005445DE"/>
    <w:rsid w:val="00580FC3"/>
    <w:rsid w:val="005B238F"/>
    <w:rsid w:val="005B653F"/>
    <w:rsid w:val="005C3336"/>
    <w:rsid w:val="005E297D"/>
    <w:rsid w:val="005F40BE"/>
    <w:rsid w:val="00603F96"/>
    <w:rsid w:val="0060533E"/>
    <w:rsid w:val="00607171"/>
    <w:rsid w:val="00614E04"/>
    <w:rsid w:val="006153F5"/>
    <w:rsid w:val="00644C88"/>
    <w:rsid w:val="00661248"/>
    <w:rsid w:val="00662D4C"/>
    <w:rsid w:val="0067434A"/>
    <w:rsid w:val="006766A7"/>
    <w:rsid w:val="006B6382"/>
    <w:rsid w:val="006C5B9A"/>
    <w:rsid w:val="006D149A"/>
    <w:rsid w:val="006D776C"/>
    <w:rsid w:val="007341CF"/>
    <w:rsid w:val="00734AE1"/>
    <w:rsid w:val="007549FA"/>
    <w:rsid w:val="0076076D"/>
    <w:rsid w:val="007702CC"/>
    <w:rsid w:val="00780D45"/>
    <w:rsid w:val="00794595"/>
    <w:rsid w:val="007A4FB7"/>
    <w:rsid w:val="007C4A56"/>
    <w:rsid w:val="007C6BC9"/>
    <w:rsid w:val="007E4935"/>
    <w:rsid w:val="0080647C"/>
    <w:rsid w:val="008244B8"/>
    <w:rsid w:val="00843A06"/>
    <w:rsid w:val="0084611B"/>
    <w:rsid w:val="00874EB4"/>
    <w:rsid w:val="008C524B"/>
    <w:rsid w:val="008F5DA9"/>
    <w:rsid w:val="009018C7"/>
    <w:rsid w:val="00903530"/>
    <w:rsid w:val="009176FF"/>
    <w:rsid w:val="00932FEA"/>
    <w:rsid w:val="00966F1D"/>
    <w:rsid w:val="00971903"/>
    <w:rsid w:val="00984E55"/>
    <w:rsid w:val="009A2A1F"/>
    <w:rsid w:val="009C001D"/>
    <w:rsid w:val="009E4D97"/>
    <w:rsid w:val="009F7660"/>
    <w:rsid w:val="00A13EBB"/>
    <w:rsid w:val="00A24644"/>
    <w:rsid w:val="00A30815"/>
    <w:rsid w:val="00A30EE7"/>
    <w:rsid w:val="00A3686F"/>
    <w:rsid w:val="00A40874"/>
    <w:rsid w:val="00A51D58"/>
    <w:rsid w:val="00A6230E"/>
    <w:rsid w:val="00A76265"/>
    <w:rsid w:val="00AA0C3D"/>
    <w:rsid w:val="00AD11AB"/>
    <w:rsid w:val="00AD460C"/>
    <w:rsid w:val="00AD6153"/>
    <w:rsid w:val="00AF184B"/>
    <w:rsid w:val="00B0074E"/>
    <w:rsid w:val="00B02756"/>
    <w:rsid w:val="00B103D1"/>
    <w:rsid w:val="00B50F8C"/>
    <w:rsid w:val="00B60FC7"/>
    <w:rsid w:val="00B64424"/>
    <w:rsid w:val="00B77782"/>
    <w:rsid w:val="00BB274E"/>
    <w:rsid w:val="00BB6945"/>
    <w:rsid w:val="00BC5A14"/>
    <w:rsid w:val="00C14B8C"/>
    <w:rsid w:val="00C30097"/>
    <w:rsid w:val="00C3327E"/>
    <w:rsid w:val="00C473C6"/>
    <w:rsid w:val="00C64463"/>
    <w:rsid w:val="00C661A3"/>
    <w:rsid w:val="00C73DDD"/>
    <w:rsid w:val="00C915DE"/>
    <w:rsid w:val="00CA0EE3"/>
    <w:rsid w:val="00CA6A38"/>
    <w:rsid w:val="00CF3671"/>
    <w:rsid w:val="00CF611F"/>
    <w:rsid w:val="00CF6F11"/>
    <w:rsid w:val="00D04B70"/>
    <w:rsid w:val="00D04B74"/>
    <w:rsid w:val="00D122A7"/>
    <w:rsid w:val="00D16534"/>
    <w:rsid w:val="00D16794"/>
    <w:rsid w:val="00D46BD5"/>
    <w:rsid w:val="00D71121"/>
    <w:rsid w:val="00DB4848"/>
    <w:rsid w:val="00DB72AA"/>
    <w:rsid w:val="00DF004A"/>
    <w:rsid w:val="00E02333"/>
    <w:rsid w:val="00E02C6D"/>
    <w:rsid w:val="00E816C5"/>
    <w:rsid w:val="00E9187F"/>
    <w:rsid w:val="00EA40CE"/>
    <w:rsid w:val="00EC42FA"/>
    <w:rsid w:val="00ED7236"/>
    <w:rsid w:val="00EF6415"/>
    <w:rsid w:val="00F6481F"/>
    <w:rsid w:val="00F8705B"/>
    <w:rsid w:val="00F9120E"/>
    <w:rsid w:val="00FA072A"/>
    <w:rsid w:val="00FA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76FF"/>
    <w:pPr>
      <w:spacing w:after="0" w:line="288" w:lineRule="auto"/>
      <w:jc w:val="both"/>
    </w:pPr>
    <w:rPr>
      <w:rFonts w:ascii="Verdana" w:eastAsia="Times New Roman" w:hAnsi="Verdana" w:cs="Times New Roman"/>
      <w:sz w:val="17"/>
      <w:szCs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9176F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semiHidden/>
    <w:rsid w:val="009176FF"/>
    <w:rPr>
      <w:rFonts w:ascii="Verdana" w:eastAsia="Times New Roman" w:hAnsi="Verdana" w:cs="Times New Roman"/>
      <w:sz w:val="17"/>
      <w:szCs w:val="24"/>
      <w:lang w:val="en-GB"/>
    </w:rPr>
  </w:style>
  <w:style w:type="paragraph" w:styleId="Pta">
    <w:name w:val="footer"/>
    <w:basedOn w:val="Normlny"/>
    <w:link w:val="PtaChar"/>
    <w:uiPriority w:val="99"/>
    <w:rsid w:val="009176F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9176FF"/>
    <w:rPr>
      <w:rFonts w:ascii="Verdana" w:eastAsia="Times New Roman" w:hAnsi="Verdana" w:cs="Times New Roman"/>
      <w:sz w:val="17"/>
      <w:szCs w:val="24"/>
      <w:lang w:val="en-GB"/>
    </w:rPr>
  </w:style>
  <w:style w:type="paragraph" w:customStyle="1" w:styleId="Noparagraphstyle">
    <w:name w:val="[No paragraph style]"/>
    <w:semiHidden/>
    <w:rsid w:val="009176F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character" w:customStyle="1" w:styleId="CEAGraphTitle">
    <w:name w:val="CEA Graph Title"/>
    <w:basedOn w:val="Predvolenpsmoodseku"/>
    <w:uiPriority w:val="1"/>
    <w:qFormat/>
    <w:rsid w:val="009176FF"/>
    <w:rPr>
      <w:rFonts w:ascii="Verdana" w:hAnsi="Verdana"/>
      <w:smallCaps w:val="0"/>
      <w:sz w:val="17"/>
      <w:lang w:val="en-GB"/>
    </w:rPr>
  </w:style>
  <w:style w:type="paragraph" w:customStyle="1" w:styleId="CEABullet-Level1">
    <w:name w:val="CEA Bullet - Level 1"/>
    <w:basedOn w:val="Normlny"/>
    <w:qFormat/>
    <w:rsid w:val="001126A0"/>
    <w:pPr>
      <w:numPr>
        <w:numId w:val="1"/>
      </w:numPr>
      <w:autoSpaceDE w:val="0"/>
      <w:autoSpaceDN w:val="0"/>
      <w:adjustRightInd w:val="0"/>
    </w:pPr>
    <w:rPr>
      <w:rFonts w:cs="Frutiger LT Std 45 Light"/>
      <w:color w:val="000000"/>
      <w:szCs w:val="20"/>
    </w:rPr>
  </w:style>
  <w:style w:type="paragraph" w:customStyle="1" w:styleId="CEABullet-Level2">
    <w:name w:val="CEA Bullet - Level 2"/>
    <w:basedOn w:val="CEABullet-Level1"/>
    <w:next w:val="Normlny"/>
    <w:qFormat/>
    <w:rsid w:val="001126A0"/>
    <w:pPr>
      <w:numPr>
        <w:numId w:val="2"/>
      </w:numPr>
    </w:pPr>
  </w:style>
  <w:style w:type="paragraph" w:customStyle="1" w:styleId="CEABullet-Level3">
    <w:name w:val="CEA Bullet - Level 3"/>
    <w:basedOn w:val="Normlny"/>
    <w:qFormat/>
    <w:rsid w:val="001126A0"/>
    <w:pPr>
      <w:numPr>
        <w:numId w:val="3"/>
      </w:numPr>
      <w:autoSpaceDE w:val="0"/>
      <w:autoSpaceDN w:val="0"/>
      <w:adjustRightInd w:val="0"/>
    </w:pPr>
    <w:rPr>
      <w:rFonts w:cs="Frutiger LT Std 45 Light"/>
      <w:color w:val="000000"/>
      <w:szCs w:val="20"/>
    </w:rPr>
  </w:style>
  <w:style w:type="paragraph" w:customStyle="1" w:styleId="CEADirectorGeneral">
    <w:name w:val="CEA Director General"/>
    <w:basedOn w:val="Normlny"/>
    <w:semiHidden/>
    <w:qFormat/>
    <w:rsid w:val="001126A0"/>
    <w:pPr>
      <w:tabs>
        <w:tab w:val="right" w:pos="360"/>
        <w:tab w:val="left" w:pos="540"/>
      </w:tabs>
      <w:autoSpaceDE w:val="0"/>
      <w:autoSpaceDN w:val="0"/>
      <w:adjustRightInd w:val="0"/>
      <w:textAlignment w:val="center"/>
    </w:pPr>
    <w:rPr>
      <w:sz w:val="22"/>
      <w:szCs w:val="22"/>
    </w:rPr>
  </w:style>
  <w:style w:type="paragraph" w:customStyle="1" w:styleId="CEADocumentType">
    <w:name w:val="CEA Document Type"/>
    <w:basedOn w:val="Normlny"/>
    <w:semiHidden/>
    <w:qFormat/>
    <w:rsid w:val="001126A0"/>
    <w:pPr>
      <w:jc w:val="right"/>
    </w:pPr>
    <w:rPr>
      <w:rFonts w:cs="Frutiger LT Std 55 Roman"/>
      <w:b/>
      <w:color w:val="0032FF"/>
      <w:sz w:val="40"/>
      <w:szCs w:val="40"/>
    </w:rPr>
  </w:style>
  <w:style w:type="paragraph" w:customStyle="1" w:styleId="CEADraft">
    <w:name w:val="CEA Draft"/>
    <w:basedOn w:val="Normlny"/>
    <w:semiHidden/>
    <w:qFormat/>
    <w:rsid w:val="001126A0"/>
    <w:pPr>
      <w:jc w:val="right"/>
    </w:pPr>
    <w:rPr>
      <w:rFonts w:cs="Arial"/>
      <w:b/>
      <w:i/>
      <w:color w:val="034EA2"/>
      <w:sz w:val="32"/>
      <w:szCs w:val="40"/>
    </w:rPr>
  </w:style>
  <w:style w:type="paragraph" w:customStyle="1" w:styleId="CEAFooterauthorinfo">
    <w:name w:val="CEA Footer (author info)"/>
    <w:basedOn w:val="Normlny"/>
    <w:semiHidden/>
    <w:qFormat/>
    <w:rsid w:val="001126A0"/>
    <w:pPr>
      <w:autoSpaceDE w:val="0"/>
      <w:autoSpaceDN w:val="0"/>
      <w:adjustRightInd w:val="0"/>
      <w:textAlignment w:val="center"/>
    </w:pPr>
    <w:rPr>
      <w:rFonts w:cs="Arial"/>
      <w:b/>
      <w:color w:val="034EA2"/>
      <w:sz w:val="16"/>
      <w:szCs w:val="16"/>
    </w:rPr>
  </w:style>
  <w:style w:type="paragraph" w:customStyle="1" w:styleId="CEAFootnote">
    <w:name w:val="CEA Footnote"/>
    <w:basedOn w:val="Normlny"/>
    <w:semiHidden/>
    <w:qFormat/>
    <w:rsid w:val="001126A0"/>
    <w:pPr>
      <w:spacing w:line="240" w:lineRule="auto"/>
    </w:pPr>
    <w:rPr>
      <w:sz w:val="16"/>
    </w:rPr>
  </w:style>
  <w:style w:type="character" w:customStyle="1" w:styleId="CEAGraphX">
    <w:name w:val="CEA Graph X"/>
    <w:uiPriority w:val="1"/>
    <w:qFormat/>
    <w:rsid w:val="001126A0"/>
    <w:rPr>
      <w:rFonts w:ascii="Verdana" w:hAnsi="Verdana"/>
      <w:smallCaps/>
      <w:sz w:val="19"/>
      <w:lang w:val="en-GB"/>
    </w:rPr>
  </w:style>
  <w:style w:type="paragraph" w:customStyle="1" w:styleId="CEALabel">
    <w:name w:val="CEA Label"/>
    <w:basedOn w:val="Normlny"/>
    <w:semiHidden/>
    <w:qFormat/>
    <w:rsid w:val="001126A0"/>
    <w:rPr>
      <w:rFonts w:cs="Arial"/>
      <w:b/>
      <w:color w:val="034EA2"/>
      <w:sz w:val="18"/>
      <w:szCs w:val="18"/>
    </w:rPr>
  </w:style>
  <w:style w:type="paragraph" w:customStyle="1" w:styleId="CEAPositionPaperTitle">
    <w:name w:val="CEA Position Paper Title"/>
    <w:basedOn w:val="Normlny"/>
    <w:semiHidden/>
    <w:qFormat/>
    <w:rsid w:val="001126A0"/>
    <w:pPr>
      <w:ind w:left="-27"/>
    </w:pPr>
    <w:rPr>
      <w:b/>
      <w:color w:val="034EA2"/>
      <w:sz w:val="32"/>
      <w:szCs w:val="32"/>
    </w:rPr>
  </w:style>
  <w:style w:type="paragraph" w:customStyle="1" w:styleId="CEAPressReleaseSubtitle">
    <w:name w:val="CEA Press Release Subtitle"/>
    <w:basedOn w:val="Normlny"/>
    <w:semiHidden/>
    <w:qFormat/>
    <w:rsid w:val="001126A0"/>
    <w:rPr>
      <w:sz w:val="22"/>
      <w:szCs w:val="22"/>
    </w:rPr>
  </w:style>
  <w:style w:type="paragraph" w:customStyle="1" w:styleId="CEAPressReleaseTitle">
    <w:name w:val="CEA Press Release Title"/>
    <w:basedOn w:val="Normlny"/>
    <w:semiHidden/>
    <w:qFormat/>
    <w:rsid w:val="001126A0"/>
    <w:pPr>
      <w:autoSpaceDE w:val="0"/>
      <w:autoSpaceDN w:val="0"/>
      <w:adjustRightInd w:val="0"/>
      <w:spacing w:line="240" w:lineRule="auto"/>
    </w:pPr>
    <w:rPr>
      <w:rFonts w:ascii="Frutiger LT Com 45 Light" w:hAnsi="Frutiger LT Com 45 Light"/>
      <w:b/>
      <w:color w:val="034EA2"/>
      <w:sz w:val="36"/>
      <w:szCs w:val="36"/>
    </w:rPr>
  </w:style>
  <w:style w:type="paragraph" w:customStyle="1" w:styleId="CEASubjectLine">
    <w:name w:val="CEA Subject Line"/>
    <w:basedOn w:val="Normlny"/>
    <w:semiHidden/>
    <w:qFormat/>
    <w:rsid w:val="001126A0"/>
    <w:rPr>
      <w:rFonts w:cs="Frutiger LT Std 55 Roman"/>
      <w:b/>
      <w:szCs w:val="20"/>
    </w:rPr>
  </w:style>
  <w:style w:type="paragraph" w:customStyle="1" w:styleId="DecimalAligned">
    <w:name w:val="Decimal Aligned"/>
    <w:basedOn w:val="Normlny"/>
    <w:uiPriority w:val="40"/>
    <w:qFormat/>
    <w:rsid w:val="009018C7"/>
    <w:pPr>
      <w:tabs>
        <w:tab w:val="decimal" w:pos="360"/>
      </w:tabs>
      <w:spacing w:after="200" w:line="276" w:lineRule="auto"/>
      <w:jc w:val="left"/>
    </w:pPr>
    <w:rPr>
      <w:rFonts w:asciiTheme="minorHAnsi" w:eastAsiaTheme="minorEastAsia" w:hAnsiTheme="minorHAnsi"/>
      <w:sz w:val="22"/>
      <w:szCs w:val="22"/>
      <w:lang w:val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18C7"/>
    <w:pPr>
      <w:spacing w:line="240" w:lineRule="auto"/>
      <w:jc w:val="left"/>
    </w:pPr>
    <w:rPr>
      <w:rFonts w:asciiTheme="minorHAnsi" w:eastAsiaTheme="minorEastAsia" w:hAnsiTheme="minorHAnsi"/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18C7"/>
    <w:rPr>
      <w:rFonts w:eastAsiaTheme="minorEastAsia" w:cs="Times New Roman"/>
      <w:sz w:val="20"/>
      <w:szCs w:val="20"/>
      <w:lang w:val="en-US"/>
    </w:rPr>
  </w:style>
  <w:style w:type="character" w:styleId="Jemnzvraznenie">
    <w:name w:val="Subtle Emphasis"/>
    <w:basedOn w:val="Predvolenpsmoodseku"/>
    <w:uiPriority w:val="19"/>
    <w:qFormat/>
    <w:rsid w:val="009018C7"/>
    <w:rPr>
      <w:i/>
      <w:iCs/>
    </w:rPr>
  </w:style>
  <w:style w:type="table" w:styleId="Svetlpodfarbeniezvraznenie1">
    <w:name w:val="Light Shading Accent 1"/>
    <w:basedOn w:val="Normlnatabuka"/>
    <w:uiPriority w:val="60"/>
    <w:rsid w:val="009018C7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riekatabuky">
    <w:name w:val="Table Grid"/>
    <w:basedOn w:val="Normlnatabuka"/>
    <w:uiPriority w:val="59"/>
    <w:rsid w:val="00901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Normlnatabuka"/>
    <w:uiPriority w:val="46"/>
    <w:rsid w:val="009018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CF61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0C7059824FC4ABBDB3FA7E3F5421C" ma:contentTypeVersion="" ma:contentTypeDescription="Create a new document." ma:contentTypeScope="" ma:versionID="67f52a9e5ed5912848c15121f8e8a7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8496-0FDC-4718-A413-EA00469A5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477B21-A4B4-4AC0-87A8-CD7CFA056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D7A0EA-14CF-4487-AFCD-561CDD8E319F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1618FF-35F8-4631-871C-1BB03EF2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Results of mapping exercise - V1</vt:lpstr>
      <vt:lpstr/>
    </vt:vector>
  </TitlesOfParts>
  <Company>Insurance Europe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 of mapping exercise - V1</dc:title>
  <dc:creator>Insurance Europe</dc:creator>
  <cp:lastModifiedBy>jurkovicova</cp:lastModifiedBy>
  <cp:revision>2</cp:revision>
  <cp:lastPrinted>2019-02-12T08:53:00Z</cp:lastPrinted>
  <dcterms:created xsi:type="dcterms:W3CDTF">2019-02-12T11:02:00Z</dcterms:created>
  <dcterms:modified xsi:type="dcterms:W3CDTF">2019-02-12T11:02:00Z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0x0101003B70C7059824FC4ABBDB3FA7E3F5421C</vt:lpwstr>
  </property>
  <property fmtid="{D5CDD505-2E9C-101B-9397-08002B2CF9AE}" pid="3" name="Can be edited">
    <vt:bool>true</vt:bool>
  </property>
  <property fmtid="{D5CDD505-2E9C-101B-9397-08002B2CF9AE}" pid="4" name="isAnnex">
    <vt:lpwstr>True</vt:lpwstr>
  </property>
  <property fmtid="{D5CDD505-2E9C-101B-9397-08002B2CF9AE}" pid="5" name="Validated">
    <vt:bool>false</vt:bool>
  </property>
  <property fmtid="{D5CDD505-2E9C-101B-9397-08002B2CF9AE}" pid="6" name="Display validated documents library button">
    <vt:bool>true</vt:bool>
  </property>
  <property fmtid="{D5CDD505-2E9C-101B-9397-08002B2CF9AE}" pid="7" name="AllowComments">
    <vt:bool>true</vt:bool>
  </property>
  <property fmtid="{D5CDD505-2E9C-101B-9397-08002B2CF9AE}" pid="8" name="Uploads">
    <vt:bool>true</vt:bool>
  </property>
</Properties>
</file>