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3DA" w:rsidRDefault="005563DA" w:rsidP="005563DA">
      <w:pPr>
        <w:jc w:val="center"/>
        <w:rPr>
          <w:rFonts w:ascii="Calibri" w:hAnsi="Calibri" w:cs="Calibri"/>
          <w:b/>
          <w:bCs/>
          <w:sz w:val="32"/>
          <w:szCs w:val="20"/>
        </w:rPr>
      </w:pPr>
      <w:bookmarkStart w:id="0" w:name="_GoBack"/>
      <w:bookmarkEnd w:id="0"/>
    </w:p>
    <w:p w:rsidR="005563DA" w:rsidRPr="00B2300C" w:rsidRDefault="007F5A84" w:rsidP="005563DA">
      <w:pPr>
        <w:jc w:val="center"/>
        <w:rPr>
          <w:rFonts w:ascii="Calibri" w:hAnsi="Calibri" w:cs="Calibri"/>
          <w:b/>
          <w:bCs/>
          <w:sz w:val="32"/>
          <w:szCs w:val="20"/>
        </w:rPr>
      </w:pPr>
      <w:r>
        <w:rPr>
          <w:rFonts w:ascii="Calibri" w:hAnsi="Calibri" w:cs="Calibri"/>
          <w:b/>
          <w:bCs/>
          <w:sz w:val="32"/>
          <w:szCs w:val="20"/>
        </w:rPr>
        <w:t>3</w:t>
      </w:r>
      <w:r w:rsidR="005563DA">
        <w:rPr>
          <w:rFonts w:ascii="Calibri" w:hAnsi="Calibri" w:cs="Calibri"/>
          <w:b/>
          <w:bCs/>
          <w:sz w:val="32"/>
          <w:szCs w:val="20"/>
        </w:rPr>
        <w:t>. konzultácia</w:t>
      </w:r>
      <w:r w:rsidR="005563DA" w:rsidRPr="000C1C4C">
        <w:rPr>
          <w:rFonts w:ascii="Calibri" w:hAnsi="Calibri" w:cs="Calibri"/>
          <w:b/>
          <w:bCs/>
          <w:sz w:val="32"/>
          <w:szCs w:val="20"/>
        </w:rPr>
        <w:t xml:space="preserve"> </w:t>
      </w:r>
      <w:proofErr w:type="spellStart"/>
      <w:r w:rsidR="005563DA" w:rsidRPr="000C1C4C">
        <w:rPr>
          <w:rFonts w:ascii="Calibri" w:hAnsi="Calibri" w:cs="Calibri"/>
          <w:b/>
          <w:bCs/>
          <w:sz w:val="32"/>
          <w:szCs w:val="20"/>
        </w:rPr>
        <w:t>ESAs</w:t>
      </w:r>
      <w:proofErr w:type="spellEnd"/>
      <w:r w:rsidR="005563DA" w:rsidRPr="000C1C4C">
        <w:rPr>
          <w:rFonts w:ascii="Calibri" w:hAnsi="Calibri" w:cs="Calibri"/>
          <w:b/>
          <w:bCs/>
          <w:sz w:val="32"/>
          <w:szCs w:val="20"/>
        </w:rPr>
        <w:t>, ktorá sa týka úpravy PRIIPS KID</w:t>
      </w:r>
    </w:p>
    <w:p w:rsidR="005563DA" w:rsidRDefault="00E41589" w:rsidP="00EB21E0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7D9B48D3" wp14:editId="4945B219">
            <wp:simplePos x="0" y="0"/>
            <wp:positionH relativeFrom="margin">
              <wp:posOffset>6806948</wp:posOffset>
            </wp:positionH>
            <wp:positionV relativeFrom="paragraph">
              <wp:posOffset>174721</wp:posOffset>
            </wp:positionV>
            <wp:extent cx="1141172" cy="642842"/>
            <wp:effectExtent l="0" t="0" r="1905" b="5080"/>
            <wp:wrapNone/>
            <wp:docPr id="3" name="Picture 3" descr="Výsledok vyhľadávania obrázkov pre dopyt insurance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ok vyhľadávania obrázkov pre dopyt insurance europ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172" cy="64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6C627D9A" wp14:editId="1979639A">
            <wp:simplePos x="0" y="0"/>
            <wp:positionH relativeFrom="margin">
              <wp:posOffset>1776730</wp:posOffset>
            </wp:positionH>
            <wp:positionV relativeFrom="paragraph">
              <wp:posOffset>86300</wp:posOffset>
            </wp:positionV>
            <wp:extent cx="2296973" cy="732190"/>
            <wp:effectExtent l="0" t="0" r="8255" b="0"/>
            <wp:wrapNone/>
            <wp:docPr id="2" name="Picture 2" descr="Výsledok vyhľadávania obrázkov pre dopyt european supervisory author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ok vyhľadávania obrázkov pre dopyt european supervisory authoriti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973" cy="73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3DA" w:rsidRDefault="005563DA" w:rsidP="00EB21E0">
      <w:pPr>
        <w:jc w:val="center"/>
      </w:pPr>
    </w:p>
    <w:p w:rsidR="00965F41" w:rsidRDefault="00965F41" w:rsidP="00EB21E0">
      <w:pPr>
        <w:jc w:val="center"/>
      </w:pPr>
    </w:p>
    <w:tbl>
      <w:tblPr>
        <w:tblStyle w:val="Mriekatabuky"/>
        <w:tblW w:w="5000" w:type="pct"/>
        <w:jc w:val="center"/>
        <w:tblLook w:val="04A0" w:firstRow="1" w:lastRow="0" w:firstColumn="1" w:lastColumn="0" w:noHBand="0" w:noVBand="1"/>
      </w:tblPr>
      <w:tblGrid>
        <w:gridCol w:w="1552"/>
        <w:gridCol w:w="6918"/>
        <w:gridCol w:w="6918"/>
      </w:tblGrid>
      <w:tr w:rsidR="00965F41" w:rsidRPr="00381C7D" w:rsidTr="00EB21E0">
        <w:trPr>
          <w:jc w:val="center"/>
        </w:trPr>
        <w:tc>
          <w:tcPr>
            <w:tcW w:w="504" w:type="pct"/>
            <w:shd w:val="clear" w:color="auto" w:fill="002060"/>
            <w:vAlign w:val="center"/>
          </w:tcPr>
          <w:p w:rsidR="00965F41" w:rsidRPr="00381C7D" w:rsidRDefault="00965F41" w:rsidP="000C1C4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381C7D">
              <w:br w:type="page"/>
            </w:r>
            <w:r w:rsidRPr="00381C7D">
              <w:rPr>
                <w:rFonts w:ascii="Calibri" w:hAnsi="Calibri" w:cs="Calibri"/>
                <w:b/>
                <w:bCs/>
                <w:color w:val="FFFFFF" w:themeColor="background1"/>
              </w:rPr>
              <w:t>Scenáre budúcej výkonnosti</w:t>
            </w:r>
          </w:p>
        </w:tc>
        <w:tc>
          <w:tcPr>
            <w:tcW w:w="2248" w:type="pct"/>
            <w:shd w:val="clear" w:color="auto" w:fill="E7E6E6" w:themeFill="background2"/>
          </w:tcPr>
          <w:p w:rsidR="00965F41" w:rsidRPr="00E41589" w:rsidRDefault="00822002" w:rsidP="000C1C4C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S</w:t>
            </w:r>
            <w:r w:rsidR="00965F41" w:rsidRPr="00E41589">
              <w:rPr>
                <w:rFonts w:ascii="Calibri" w:hAnsi="Calibri" w:cs="Calibri"/>
              </w:rPr>
              <w:t>účasná metodológia generuje vysoké očakávané výnosy ak boli zaznamenané vysoké výnosy za posledných 5 rokov (a naopak)</w:t>
            </w:r>
          </w:p>
          <w:p w:rsidR="00965F41" w:rsidRPr="00E41589" w:rsidRDefault="00822002" w:rsidP="000C1C4C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M</w:t>
            </w:r>
            <w:r w:rsidR="00965F41" w:rsidRPr="00E41589">
              <w:rPr>
                <w:rFonts w:ascii="Calibri" w:hAnsi="Calibri" w:cs="Calibri"/>
              </w:rPr>
              <w:t>etodológia ignoruje cyklický charakter výnosnosti</w:t>
            </w:r>
          </w:p>
          <w:p w:rsidR="00965F41" w:rsidRPr="00E41589" w:rsidRDefault="00822002" w:rsidP="000C1C4C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N</w:t>
            </w:r>
            <w:r w:rsidR="00965F41" w:rsidRPr="00E41589">
              <w:rPr>
                <w:rFonts w:ascii="Calibri" w:hAnsi="Calibri" w:cs="Calibri"/>
              </w:rPr>
              <w:t>ávrh:</w:t>
            </w:r>
          </w:p>
          <w:p w:rsidR="00965F41" w:rsidRPr="00E41589" w:rsidRDefault="00965F41" w:rsidP="000C1C4C">
            <w:pPr>
              <w:pStyle w:val="Odsekzoznamu"/>
              <w:numPr>
                <w:ilvl w:val="1"/>
                <w:numId w:val="5"/>
              </w:numPr>
            </w:pPr>
            <w:r w:rsidRPr="00E41589">
              <w:t>rozšíriť sledované obdobie na 10 rokov</w:t>
            </w:r>
          </w:p>
          <w:p w:rsidR="00965F41" w:rsidRPr="00E41589" w:rsidRDefault="00965F41" w:rsidP="000C1C4C">
            <w:pPr>
              <w:pStyle w:val="Odsekzoznamu"/>
              <w:numPr>
                <w:ilvl w:val="1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očakávané tempo rastu by už nebolo ovplyvňované predchádzajúcim tempom rastu</w:t>
            </w:r>
          </w:p>
          <w:p w:rsidR="00965F41" w:rsidRPr="00E41589" w:rsidRDefault="00965F41" w:rsidP="000C1C4C">
            <w:pPr>
              <w:pStyle w:val="Odsekzoznamu"/>
              <w:numPr>
                <w:ilvl w:val="1"/>
                <w:numId w:val="5"/>
              </w:numPr>
              <w:rPr>
                <w:rFonts w:ascii="Calibri" w:hAnsi="Calibri" w:cs="Calibri"/>
              </w:rPr>
            </w:pPr>
            <w:r w:rsidRPr="00E41589">
              <w:t>očakávaná miera rastu konkrétneho aktíva súčtom referenčnej sadzby spoločnej pre všetky typy aktív a rizikovej prémie za konkrétne aktívum</w:t>
            </w:r>
          </w:p>
          <w:p w:rsidR="00965F41" w:rsidRPr="00E41589" w:rsidRDefault="00822002" w:rsidP="00965F41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M</w:t>
            </w:r>
            <w:r w:rsidR="00965F41" w:rsidRPr="00E41589">
              <w:rPr>
                <w:rFonts w:ascii="Calibri" w:hAnsi="Calibri" w:cs="Calibri"/>
              </w:rPr>
              <w:t xml:space="preserve">ala by sa používať </w:t>
            </w:r>
            <w:proofErr w:type="spellStart"/>
            <w:r w:rsidR="00965F41" w:rsidRPr="00E41589">
              <w:rPr>
                <w:rFonts w:ascii="Calibri" w:hAnsi="Calibri" w:cs="Calibri"/>
                <w:u w:val="single"/>
              </w:rPr>
              <w:t>metódológia</w:t>
            </w:r>
            <w:proofErr w:type="spellEnd"/>
            <w:r w:rsidR="00965F41" w:rsidRPr="00E41589">
              <w:rPr>
                <w:rFonts w:ascii="Calibri" w:hAnsi="Calibri" w:cs="Calibri"/>
                <w:u w:val="single"/>
              </w:rPr>
              <w:t xml:space="preserve"> dividendového výnosu</w:t>
            </w:r>
            <w:r w:rsidR="00965F41" w:rsidRPr="00E41589">
              <w:rPr>
                <w:rFonts w:ascii="Calibri" w:hAnsi="Calibri" w:cs="Calibri"/>
              </w:rPr>
              <w:t xml:space="preserve"> (dividend </w:t>
            </w:r>
            <w:proofErr w:type="spellStart"/>
            <w:r w:rsidR="00965F41" w:rsidRPr="00E41589">
              <w:rPr>
                <w:rFonts w:ascii="Calibri" w:hAnsi="Calibri" w:cs="Calibri"/>
              </w:rPr>
              <w:t>yield</w:t>
            </w:r>
            <w:proofErr w:type="spellEnd"/>
            <w:r w:rsidR="00965F41" w:rsidRPr="00E41589">
              <w:rPr>
                <w:rFonts w:ascii="Calibri" w:hAnsi="Calibri" w:cs="Calibri"/>
              </w:rPr>
              <w:t xml:space="preserve"> </w:t>
            </w:r>
            <w:proofErr w:type="spellStart"/>
            <w:r w:rsidR="00965F41" w:rsidRPr="00E41589">
              <w:rPr>
                <w:rFonts w:ascii="Calibri" w:hAnsi="Calibri" w:cs="Calibri"/>
              </w:rPr>
              <w:t>methodology</w:t>
            </w:r>
            <w:proofErr w:type="spellEnd"/>
            <w:r w:rsidR="00965F41" w:rsidRPr="00E41589">
              <w:rPr>
                <w:rFonts w:ascii="Calibri" w:hAnsi="Calibri" w:cs="Calibri"/>
              </w:rPr>
              <w:t>)</w:t>
            </w:r>
          </w:p>
        </w:tc>
        <w:tc>
          <w:tcPr>
            <w:tcW w:w="2248" w:type="pct"/>
            <w:shd w:val="clear" w:color="auto" w:fill="E7E6E6" w:themeFill="background2"/>
          </w:tcPr>
          <w:p w:rsidR="00965F41" w:rsidRPr="00E41589" w:rsidRDefault="00965F41" w:rsidP="00965F41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Metodika dividendového výnosu navrhovaná európskymi orgánmi dohľadu je príliš zložitá a predstavuje významné výzvy, pokiaľ ide o výpočty, zber údajov a vysvetlenia pre spotrebiteľov: poisťovatelia by museli hľadať a ďalej monitorovať každé základné aktívum svojich produktov (potenciálne stovky tisíc aktív)</w:t>
            </w:r>
            <w:r w:rsidR="00B001D2">
              <w:rPr>
                <w:rFonts w:ascii="Calibri" w:hAnsi="Calibri" w:cs="Calibri"/>
              </w:rPr>
              <w:t xml:space="preserve"> </w:t>
            </w:r>
            <w:r w:rsidRPr="00E41589">
              <w:rPr>
                <w:rFonts w:ascii="Calibri" w:hAnsi="Calibri" w:cs="Calibri"/>
              </w:rPr>
              <w:t>a museli by čeliť oveľa vyšším nákladom na prístup a používanie rozsiahleho súboru údajov, ktorý vyžaduje nová metodika.</w:t>
            </w:r>
          </w:p>
        </w:tc>
      </w:tr>
      <w:tr w:rsidR="00965F41" w:rsidRPr="00381C7D" w:rsidTr="00EB21E0">
        <w:trPr>
          <w:jc w:val="center"/>
        </w:trPr>
        <w:tc>
          <w:tcPr>
            <w:tcW w:w="504" w:type="pct"/>
            <w:shd w:val="clear" w:color="auto" w:fill="002060"/>
            <w:vAlign w:val="center"/>
          </w:tcPr>
          <w:p w:rsidR="00965F41" w:rsidRPr="00381C7D" w:rsidRDefault="00965F41" w:rsidP="007F7F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381C7D">
              <w:rPr>
                <w:rFonts w:ascii="Calibri" w:hAnsi="Calibri" w:cs="Calibri"/>
                <w:b/>
                <w:bCs/>
                <w:color w:val="FFFFFF" w:themeColor="background1"/>
              </w:rPr>
              <w:t>Scenáre minulej výkonnosti</w:t>
            </w:r>
          </w:p>
        </w:tc>
        <w:tc>
          <w:tcPr>
            <w:tcW w:w="2248" w:type="pct"/>
            <w:shd w:val="clear" w:color="auto" w:fill="E7E6E6" w:themeFill="background2"/>
          </w:tcPr>
          <w:p w:rsidR="00965F41" w:rsidRPr="00E41589" w:rsidRDefault="00B065ED" w:rsidP="007F7F31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 xml:space="preserve">Navrhuje sa zahrnúť do </w:t>
            </w:r>
            <w:proofErr w:type="spellStart"/>
            <w:r w:rsidRPr="00E41589">
              <w:rPr>
                <w:rFonts w:ascii="Calibri" w:hAnsi="Calibri" w:cs="Calibri"/>
              </w:rPr>
              <w:t>PRIIPs</w:t>
            </w:r>
            <w:proofErr w:type="spellEnd"/>
            <w:r w:rsidRPr="00E41589">
              <w:rPr>
                <w:rFonts w:ascii="Calibri" w:hAnsi="Calibri" w:cs="Calibri"/>
              </w:rPr>
              <w:t xml:space="preserve"> KID aj scenáre minulej výkonnosti.</w:t>
            </w:r>
          </w:p>
        </w:tc>
        <w:tc>
          <w:tcPr>
            <w:tcW w:w="2248" w:type="pct"/>
            <w:shd w:val="clear" w:color="auto" w:fill="E7E6E6" w:themeFill="background2"/>
          </w:tcPr>
          <w:p w:rsidR="00965F41" w:rsidRPr="00E41589" w:rsidRDefault="00B065ED" w:rsidP="00B065ED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S</w:t>
            </w:r>
            <w:r w:rsidR="00965F41" w:rsidRPr="00E41589">
              <w:rPr>
                <w:rFonts w:ascii="Calibri" w:hAnsi="Calibri" w:cs="Calibri"/>
              </w:rPr>
              <w:t xml:space="preserve">potrebiteľom </w:t>
            </w:r>
            <w:r w:rsidRPr="00E41589">
              <w:rPr>
                <w:rFonts w:ascii="Calibri" w:hAnsi="Calibri" w:cs="Calibri"/>
              </w:rPr>
              <w:t xml:space="preserve">to nepomôže </w:t>
            </w:r>
            <w:r w:rsidR="00965F41" w:rsidRPr="00E41589">
              <w:rPr>
                <w:rFonts w:ascii="Calibri" w:hAnsi="Calibri" w:cs="Calibri"/>
              </w:rPr>
              <w:t xml:space="preserve">pochopiť vlastnosti produktu. Naopak, </w:t>
            </w:r>
            <w:r w:rsidRPr="00E41589">
              <w:rPr>
                <w:rFonts w:ascii="Calibri" w:hAnsi="Calibri" w:cs="Calibri"/>
              </w:rPr>
              <w:t xml:space="preserve">budú zbytočne zahltení údajmi. </w:t>
            </w:r>
          </w:p>
        </w:tc>
      </w:tr>
      <w:tr w:rsidR="00965F41" w:rsidRPr="00381C7D" w:rsidTr="00EB21E0">
        <w:trPr>
          <w:jc w:val="center"/>
        </w:trPr>
        <w:tc>
          <w:tcPr>
            <w:tcW w:w="504" w:type="pct"/>
            <w:shd w:val="clear" w:color="auto" w:fill="002060"/>
            <w:vAlign w:val="center"/>
          </w:tcPr>
          <w:p w:rsidR="00965F41" w:rsidRPr="00381C7D" w:rsidRDefault="00B065ED" w:rsidP="007F7F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381C7D">
              <w:rPr>
                <w:rFonts w:ascii="Calibri" w:hAnsi="Calibri" w:cs="Calibri"/>
                <w:b/>
                <w:bCs/>
                <w:color w:val="FFFFFF" w:themeColor="background1"/>
              </w:rPr>
              <w:t>Náklady</w:t>
            </w:r>
          </w:p>
        </w:tc>
        <w:tc>
          <w:tcPr>
            <w:tcW w:w="2248" w:type="pct"/>
            <w:shd w:val="clear" w:color="auto" w:fill="E7E6E6" w:themeFill="background2"/>
          </w:tcPr>
          <w:p w:rsidR="00965F41" w:rsidRPr="00E41589" w:rsidRDefault="00B065ED" w:rsidP="00B065ED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 xml:space="preserve">Zvažuje sa odklon od ukazovateľa Zníženie výnosu (RIY – </w:t>
            </w:r>
            <w:proofErr w:type="spellStart"/>
            <w:r w:rsidRPr="00E41589">
              <w:rPr>
                <w:rFonts w:ascii="Calibri" w:hAnsi="Calibri" w:cs="Calibri"/>
              </w:rPr>
              <w:t>reduction</w:t>
            </w:r>
            <w:proofErr w:type="spellEnd"/>
            <w:r w:rsidRPr="00E41589">
              <w:rPr>
                <w:rFonts w:ascii="Calibri" w:hAnsi="Calibri" w:cs="Calibri"/>
              </w:rPr>
              <w:t xml:space="preserve"> in </w:t>
            </w:r>
            <w:proofErr w:type="spellStart"/>
            <w:r w:rsidRPr="00E41589">
              <w:rPr>
                <w:rFonts w:ascii="Calibri" w:hAnsi="Calibri" w:cs="Calibri"/>
              </w:rPr>
              <w:t>yield</w:t>
            </w:r>
            <w:proofErr w:type="spellEnd"/>
            <w:r w:rsidRPr="00E41589">
              <w:rPr>
                <w:rFonts w:ascii="Calibri" w:hAnsi="Calibri" w:cs="Calibri"/>
              </w:rPr>
              <w:t xml:space="preserve">). </w:t>
            </w:r>
          </w:p>
          <w:p w:rsidR="00B001D2" w:rsidRDefault="00B001D2" w:rsidP="00B065ED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 xml:space="preserve">Navrhuje sa použitie rôznych metodológií v dvoch tabuľkách </w:t>
            </w:r>
            <w:r>
              <w:rPr>
                <w:rFonts w:ascii="Calibri" w:hAnsi="Calibri" w:cs="Calibri"/>
              </w:rPr>
              <w:t>s nákladmi v </w:t>
            </w:r>
            <w:proofErr w:type="spellStart"/>
            <w:r>
              <w:rPr>
                <w:rFonts w:ascii="Calibri" w:hAnsi="Calibri" w:cs="Calibri"/>
              </w:rPr>
              <w:t>KIDe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E41589">
              <w:rPr>
                <w:rFonts w:ascii="Calibri" w:hAnsi="Calibri" w:cs="Calibri"/>
              </w:rPr>
              <w:t xml:space="preserve">(„náklady v priebehu času“ a „zloženie nákladov“). </w:t>
            </w:r>
          </w:p>
          <w:p w:rsidR="00B065ED" w:rsidRPr="00B001D2" w:rsidRDefault="00B065ED" w:rsidP="00B001D2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Podľa preferovanej možnosti ESA by spotrebitelia mali v rámci KID 18 peňažných hodnôt a šesť percentuálnych hodnôt.</w:t>
            </w:r>
          </w:p>
        </w:tc>
        <w:tc>
          <w:tcPr>
            <w:tcW w:w="2248" w:type="pct"/>
            <w:shd w:val="clear" w:color="auto" w:fill="E7E6E6" w:themeFill="background2"/>
          </w:tcPr>
          <w:p w:rsidR="00965F41" w:rsidRPr="00E41589" w:rsidRDefault="00B065ED" w:rsidP="00B065ED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 xml:space="preserve">IE nesúhlasí - </w:t>
            </w:r>
            <w:proofErr w:type="spellStart"/>
            <w:r w:rsidRPr="00E41589">
              <w:rPr>
                <w:rFonts w:ascii="Calibri" w:hAnsi="Calibri" w:cs="Calibri"/>
              </w:rPr>
              <w:t>RiY</w:t>
            </w:r>
            <w:proofErr w:type="spellEnd"/>
            <w:r w:rsidRPr="00E41589">
              <w:rPr>
                <w:rFonts w:ascii="Calibri" w:hAnsi="Calibri" w:cs="Calibri"/>
              </w:rPr>
              <w:t xml:space="preserve"> je robustný a spoľahlivý ukazovateľ, ktorý umožňuje porovnateľnosť medzi produktmi.</w:t>
            </w:r>
          </w:p>
          <w:p w:rsidR="00B065ED" w:rsidRPr="00E41589" w:rsidRDefault="00B065ED" w:rsidP="00B065ED">
            <w:pPr>
              <w:rPr>
                <w:rFonts w:ascii="Calibri" w:hAnsi="Calibri" w:cs="Calibri"/>
              </w:rPr>
            </w:pPr>
          </w:p>
          <w:p w:rsidR="00B065ED" w:rsidRPr="00E41589" w:rsidRDefault="00B065ED" w:rsidP="00B065ED">
            <w:pPr>
              <w:rPr>
                <w:rFonts w:ascii="Calibri" w:hAnsi="Calibri" w:cs="Calibri"/>
              </w:rPr>
            </w:pPr>
          </w:p>
          <w:p w:rsidR="00B065ED" w:rsidRPr="00E41589" w:rsidRDefault="00B065ED" w:rsidP="00B065ED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To by malo negatívny vplyv na pochopenie zo strany spotrebiteľa, pretože tieto dve tabuľky by boli nekonzistentné a nebolo by možné porovnávať údaje v každej tabuľke.</w:t>
            </w:r>
          </w:p>
        </w:tc>
      </w:tr>
      <w:tr w:rsidR="00E649DD" w:rsidRPr="00381C7D" w:rsidTr="00EB21E0">
        <w:trPr>
          <w:jc w:val="center"/>
        </w:trPr>
        <w:tc>
          <w:tcPr>
            <w:tcW w:w="504" w:type="pct"/>
            <w:shd w:val="clear" w:color="auto" w:fill="002060"/>
            <w:vAlign w:val="center"/>
          </w:tcPr>
          <w:p w:rsidR="00E649DD" w:rsidRPr="00381C7D" w:rsidRDefault="00E649DD" w:rsidP="007F7F3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381C7D">
              <w:rPr>
                <w:rFonts w:ascii="Calibri" w:hAnsi="Calibri" w:cs="Calibri"/>
                <w:b/>
                <w:bCs/>
                <w:color w:val="FFFFFF" w:themeColor="background1"/>
              </w:rPr>
              <w:t>Produkty s viacerými možnosťami (</w:t>
            </w:r>
            <w:proofErr w:type="spellStart"/>
            <w:r w:rsidRPr="00381C7D">
              <w:rPr>
                <w:rFonts w:ascii="Calibri" w:hAnsi="Calibri" w:cs="Calibri"/>
                <w:b/>
                <w:bCs/>
                <w:color w:val="FFFFFF" w:themeColor="background1"/>
              </w:rPr>
              <w:t>MOPs</w:t>
            </w:r>
            <w:proofErr w:type="spellEnd"/>
            <w:r w:rsidRPr="00381C7D">
              <w:rPr>
                <w:rFonts w:ascii="Calibri" w:hAnsi="Calibri" w:cs="Calibri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2248" w:type="pct"/>
            <w:shd w:val="clear" w:color="auto" w:fill="E7E6E6" w:themeFill="background2"/>
          </w:tcPr>
          <w:p w:rsidR="00E649DD" w:rsidRPr="00E41589" w:rsidRDefault="00822002" w:rsidP="00822002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Návrh poskytovať úplné informácie o „najmenej štyroch najbežnejšie vybratých“ možnostiach MOP.</w:t>
            </w:r>
          </w:p>
        </w:tc>
        <w:tc>
          <w:tcPr>
            <w:tcW w:w="2248" w:type="pct"/>
            <w:shd w:val="clear" w:color="auto" w:fill="E7E6E6" w:themeFill="background2"/>
          </w:tcPr>
          <w:p w:rsidR="00E649DD" w:rsidRPr="00E41589" w:rsidRDefault="00822002" w:rsidP="00822002">
            <w:pPr>
              <w:pStyle w:val="Odsekzoznamu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E41589">
              <w:rPr>
                <w:rFonts w:ascii="Calibri" w:hAnsi="Calibri" w:cs="Calibri"/>
              </w:rPr>
              <w:t>Značne náročné na implementáciu bez dôkazov o pridanej hodnote pre spotrebiteľov. Nákladné pre poisťovateľov.</w:t>
            </w:r>
          </w:p>
        </w:tc>
      </w:tr>
    </w:tbl>
    <w:p w:rsidR="00D16450" w:rsidRDefault="00D16450"/>
    <w:sectPr w:rsidR="00D16450" w:rsidSect="00B2300C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080" w:rsidRDefault="00090080" w:rsidP="006E770C">
      <w:pPr>
        <w:spacing w:after="0" w:line="240" w:lineRule="auto"/>
      </w:pPr>
      <w:r>
        <w:separator/>
      </w:r>
    </w:p>
  </w:endnote>
  <w:endnote w:type="continuationSeparator" w:id="0">
    <w:p w:rsidR="00090080" w:rsidRDefault="00090080" w:rsidP="006E7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080" w:rsidRDefault="00090080" w:rsidP="006E770C">
      <w:pPr>
        <w:spacing w:after="0" w:line="240" w:lineRule="auto"/>
      </w:pPr>
      <w:r>
        <w:separator/>
      </w:r>
    </w:p>
  </w:footnote>
  <w:footnote w:type="continuationSeparator" w:id="0">
    <w:p w:rsidR="00090080" w:rsidRDefault="00090080" w:rsidP="006E7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70C" w:rsidRPr="006E770C" w:rsidRDefault="006E770C" w:rsidP="006E770C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9185021</wp:posOffset>
          </wp:positionH>
          <wp:positionV relativeFrom="paragraph">
            <wp:posOffset>-398831</wp:posOffset>
          </wp:positionV>
          <wp:extent cx="936346" cy="542660"/>
          <wp:effectExtent l="0" t="0" r="0" b="0"/>
          <wp:wrapNone/>
          <wp:docPr id="4" name="Picture 4" descr="Výsledok vyhľadávania obrázkov pre dopyt slas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ok vyhľadávania obrázkov pre dopyt slas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346" cy="54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C019F"/>
    <w:multiLevelType w:val="hybridMultilevel"/>
    <w:tmpl w:val="C2746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16058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5592"/>
    <w:multiLevelType w:val="hybridMultilevel"/>
    <w:tmpl w:val="20D00D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C079F"/>
    <w:multiLevelType w:val="hybridMultilevel"/>
    <w:tmpl w:val="F9306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6048F"/>
    <w:multiLevelType w:val="hybridMultilevel"/>
    <w:tmpl w:val="1096AB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B4106"/>
    <w:multiLevelType w:val="hybridMultilevel"/>
    <w:tmpl w:val="28AA6C18"/>
    <w:lvl w:ilvl="0" w:tplc="06C401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1067B"/>
    <w:multiLevelType w:val="hybridMultilevel"/>
    <w:tmpl w:val="AAF60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45909"/>
    <w:multiLevelType w:val="hybridMultilevel"/>
    <w:tmpl w:val="E780A986"/>
    <w:lvl w:ilvl="0" w:tplc="41605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D406C"/>
    <w:multiLevelType w:val="hybridMultilevel"/>
    <w:tmpl w:val="6F6CDE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153C2"/>
    <w:multiLevelType w:val="hybridMultilevel"/>
    <w:tmpl w:val="F0D490C2"/>
    <w:lvl w:ilvl="0" w:tplc="06C401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B3512"/>
    <w:multiLevelType w:val="hybridMultilevel"/>
    <w:tmpl w:val="7D465A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00C"/>
    <w:rsid w:val="00090080"/>
    <w:rsid w:val="000C1C4C"/>
    <w:rsid w:val="00381C7D"/>
    <w:rsid w:val="004224A9"/>
    <w:rsid w:val="00532AC3"/>
    <w:rsid w:val="005563DA"/>
    <w:rsid w:val="005F30BC"/>
    <w:rsid w:val="006E770C"/>
    <w:rsid w:val="007A36CE"/>
    <w:rsid w:val="007F5A84"/>
    <w:rsid w:val="00822002"/>
    <w:rsid w:val="00965F41"/>
    <w:rsid w:val="00976C00"/>
    <w:rsid w:val="00B001D2"/>
    <w:rsid w:val="00B065ED"/>
    <w:rsid w:val="00B2300C"/>
    <w:rsid w:val="00C263E8"/>
    <w:rsid w:val="00D04342"/>
    <w:rsid w:val="00D16450"/>
    <w:rsid w:val="00D81B8F"/>
    <w:rsid w:val="00E41589"/>
    <w:rsid w:val="00E649DD"/>
    <w:rsid w:val="00EB21E0"/>
    <w:rsid w:val="00F756B6"/>
    <w:rsid w:val="00F95D10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7D9003-D616-4594-A2B4-F78F6702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2300C"/>
    <w:pPr>
      <w:ind w:left="720"/>
      <w:contextualSpacing/>
    </w:pPr>
  </w:style>
  <w:style w:type="table" w:styleId="Mriekatabuky">
    <w:name w:val="Table Grid"/>
    <w:basedOn w:val="Normlnatabuka"/>
    <w:uiPriority w:val="39"/>
    <w:rsid w:val="00B2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7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70C"/>
  </w:style>
  <w:style w:type="paragraph" w:styleId="Pta">
    <w:name w:val="footer"/>
    <w:basedOn w:val="Normlny"/>
    <w:link w:val="PtaChar"/>
    <w:uiPriority w:val="99"/>
    <w:unhideWhenUsed/>
    <w:rsid w:val="006E7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80206-67B3-4612-8E9B-6EF37E88E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Jurkovičová Monika</cp:lastModifiedBy>
  <cp:revision>2</cp:revision>
  <dcterms:created xsi:type="dcterms:W3CDTF">2020-02-13T09:44:00Z</dcterms:created>
  <dcterms:modified xsi:type="dcterms:W3CDTF">2020-02-13T09:44:00Z</dcterms:modified>
</cp:coreProperties>
</file>