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8E33" w14:textId="77777777" w:rsidR="00152882" w:rsidRPr="00732D7B" w:rsidRDefault="00152882" w:rsidP="00732D7B">
      <w:pPr>
        <w:sectPr w:rsidR="00152882" w:rsidRPr="00732D7B" w:rsidSect="00825DAE">
          <w:headerReference w:type="even" r:id="rId11"/>
          <w:headerReference w:type="default" r:id="rId12"/>
          <w:footerReference w:type="even" r:id="rId13"/>
          <w:footerReference w:type="default" r:id="rId14"/>
          <w:headerReference w:type="first" r:id="rId15"/>
          <w:footerReference w:type="first" r:id="rId16"/>
          <w:pgSz w:w="11907" w:h="16839" w:code="9"/>
          <w:pgMar w:top="2336" w:right="900" w:bottom="1600" w:left="900" w:header="708" w:footer="236" w:gutter="0"/>
          <w:cols w:space="708"/>
          <w:titlePg/>
          <w:docGrid w:linePitch="360"/>
        </w:sectPr>
      </w:pPr>
    </w:p>
    <w:p w14:paraId="31E05B84" w14:textId="135B28EC" w:rsidR="00A218E1" w:rsidRPr="00732D7B" w:rsidRDefault="00A218E1" w:rsidP="00732D7B">
      <w:pPr>
        <w:autoSpaceDE w:val="0"/>
        <w:autoSpaceDN w:val="0"/>
        <w:adjustRightInd w:val="0"/>
        <w:rPr>
          <w:b/>
          <w:color w:val="002957"/>
          <w:sz w:val="19"/>
          <w:szCs w:val="19"/>
        </w:rPr>
      </w:pPr>
    </w:p>
    <w:p w14:paraId="36DD10CF" w14:textId="572483CE" w:rsidR="00152882" w:rsidRPr="00732D7B" w:rsidRDefault="006B046C" w:rsidP="00732D7B">
      <w:pPr>
        <w:pStyle w:val="Nadpis1"/>
        <w:spacing w:before="0"/>
        <w:rPr>
          <w:rFonts w:ascii="Verdana" w:hAnsi="Verdana"/>
        </w:rPr>
      </w:pPr>
      <w:r>
        <w:rPr>
          <w:rStyle w:val="Heading1CEAChar"/>
          <w:rFonts w:ascii="Verdana" w:eastAsiaTheme="majorEastAsia" w:hAnsi="Verdana"/>
          <w:color w:val="002957"/>
          <w:sz w:val="19"/>
          <w:szCs w:val="19"/>
        </w:rPr>
        <w:t>Summary</w:t>
      </w:r>
    </w:p>
    <w:p w14:paraId="33D07772" w14:textId="7B46741E" w:rsidR="00152882" w:rsidRPr="00B04FBB" w:rsidRDefault="00ED5B62" w:rsidP="00732D7B">
      <w:pPr>
        <w:rPr>
          <w:sz w:val="17"/>
          <w:szCs w:val="17"/>
        </w:rPr>
      </w:pPr>
      <w:r w:rsidRPr="00B04FBB">
        <w:rPr>
          <w:b/>
          <w:bCs/>
          <w:sz w:val="17"/>
          <w:szCs w:val="17"/>
        </w:rPr>
        <w:t xml:space="preserve">Insurance Europe </w:t>
      </w:r>
      <w:r w:rsidR="009F5D95" w:rsidRPr="00B04FBB">
        <w:rPr>
          <w:b/>
          <w:bCs/>
          <w:sz w:val="17"/>
          <w:szCs w:val="17"/>
        </w:rPr>
        <w:t xml:space="preserve">supports </w:t>
      </w:r>
      <w:r w:rsidR="006F3DD3" w:rsidRPr="00B04FBB">
        <w:rPr>
          <w:b/>
          <w:bCs/>
          <w:sz w:val="17"/>
          <w:szCs w:val="17"/>
        </w:rPr>
        <w:t xml:space="preserve">the European Commission’s plans to establish a European Single Access Point (ESAP) for financial and non-financial information disclosed by companies and </w:t>
      </w:r>
      <w:r w:rsidRPr="00B04FBB">
        <w:rPr>
          <w:b/>
          <w:bCs/>
          <w:sz w:val="17"/>
          <w:szCs w:val="17"/>
        </w:rPr>
        <w:t>welcomes the opportunity to comment on the inception impact assessment.</w:t>
      </w:r>
      <w:r w:rsidR="001D1037" w:rsidRPr="00B04FBB">
        <w:rPr>
          <w:b/>
          <w:bCs/>
          <w:sz w:val="17"/>
          <w:szCs w:val="17"/>
        </w:rPr>
        <w:t xml:space="preserve"> </w:t>
      </w:r>
      <w:r w:rsidR="009F5D95" w:rsidRPr="00B04FBB">
        <w:rPr>
          <w:b/>
          <w:bCs/>
          <w:sz w:val="17"/>
          <w:szCs w:val="17"/>
        </w:rPr>
        <w:t>T</w:t>
      </w:r>
      <w:r w:rsidR="001D1037" w:rsidRPr="00B04FBB">
        <w:rPr>
          <w:b/>
          <w:bCs/>
          <w:sz w:val="17"/>
          <w:szCs w:val="17"/>
        </w:rPr>
        <w:t xml:space="preserve">he </w:t>
      </w:r>
      <w:r w:rsidR="00AF6378" w:rsidRPr="00B04FBB">
        <w:rPr>
          <w:b/>
          <w:bCs/>
          <w:sz w:val="17"/>
          <w:szCs w:val="17"/>
        </w:rPr>
        <w:t>comments</w:t>
      </w:r>
      <w:r w:rsidR="001D1037" w:rsidRPr="00B04FBB">
        <w:rPr>
          <w:b/>
          <w:bCs/>
          <w:sz w:val="17"/>
          <w:szCs w:val="17"/>
        </w:rPr>
        <w:t xml:space="preserve"> below focus primarily on </w:t>
      </w:r>
      <w:r w:rsidR="006907D1" w:rsidRPr="00B04FBB">
        <w:rPr>
          <w:b/>
          <w:bCs/>
          <w:sz w:val="17"/>
          <w:szCs w:val="17"/>
        </w:rPr>
        <w:t xml:space="preserve">the aspect of </w:t>
      </w:r>
      <w:r w:rsidR="001D1037" w:rsidRPr="00B04FBB">
        <w:rPr>
          <w:rFonts w:cs="Arial"/>
          <w:b/>
          <w:bCs/>
          <w:sz w:val="17"/>
          <w:szCs w:val="17"/>
          <w:shd w:val="clear" w:color="auto" w:fill="FFFFFF"/>
        </w:rPr>
        <w:t>environmental, social and governance (ESG)</w:t>
      </w:r>
      <w:r w:rsidR="001D1037" w:rsidRPr="00B04FBB">
        <w:rPr>
          <w:b/>
          <w:bCs/>
          <w:sz w:val="17"/>
          <w:szCs w:val="17"/>
        </w:rPr>
        <w:t xml:space="preserve"> data</w:t>
      </w:r>
      <w:r w:rsidR="00220FF8" w:rsidRPr="00B04FBB">
        <w:rPr>
          <w:b/>
          <w:bCs/>
          <w:sz w:val="17"/>
          <w:szCs w:val="17"/>
        </w:rPr>
        <w:t xml:space="preserve">, which </w:t>
      </w:r>
      <w:r w:rsidR="006F3DD3" w:rsidRPr="00B04FBB">
        <w:rPr>
          <w:b/>
          <w:bCs/>
          <w:sz w:val="17"/>
          <w:szCs w:val="17"/>
        </w:rPr>
        <w:t xml:space="preserve">is the priority for </w:t>
      </w:r>
      <w:r w:rsidR="00220FF8" w:rsidRPr="00B04FBB">
        <w:rPr>
          <w:b/>
          <w:bCs/>
          <w:sz w:val="17"/>
          <w:szCs w:val="17"/>
        </w:rPr>
        <w:t xml:space="preserve">the industry </w:t>
      </w:r>
      <w:r w:rsidR="007D15BF" w:rsidRPr="00B04FBB">
        <w:rPr>
          <w:b/>
          <w:bCs/>
          <w:sz w:val="17"/>
          <w:szCs w:val="17"/>
        </w:rPr>
        <w:t xml:space="preserve">given existing issues with </w:t>
      </w:r>
      <w:r w:rsidR="004F4159">
        <w:rPr>
          <w:b/>
          <w:bCs/>
          <w:sz w:val="17"/>
          <w:szCs w:val="17"/>
        </w:rPr>
        <w:t xml:space="preserve">the </w:t>
      </w:r>
      <w:r w:rsidR="007D15BF" w:rsidRPr="00B04FBB">
        <w:rPr>
          <w:b/>
          <w:bCs/>
          <w:sz w:val="17"/>
          <w:szCs w:val="17"/>
        </w:rPr>
        <w:t xml:space="preserve">availability, reliability and comparability of ESG data for investors. </w:t>
      </w:r>
      <w:r w:rsidR="006F3DD3" w:rsidRPr="00B04FBB">
        <w:rPr>
          <w:b/>
          <w:bCs/>
          <w:sz w:val="17"/>
          <w:szCs w:val="17"/>
        </w:rPr>
        <w:t xml:space="preserve">It is important that </w:t>
      </w:r>
      <w:r w:rsidR="00B834B4" w:rsidRPr="00B04FBB">
        <w:rPr>
          <w:b/>
          <w:bCs/>
          <w:sz w:val="17"/>
          <w:szCs w:val="17"/>
        </w:rPr>
        <w:t>the</w:t>
      </w:r>
      <w:r w:rsidR="006F3DD3" w:rsidRPr="00B04FBB">
        <w:rPr>
          <w:b/>
          <w:bCs/>
          <w:sz w:val="17"/>
          <w:szCs w:val="17"/>
        </w:rPr>
        <w:t xml:space="preserve"> wider scope beyond ESG data does not </w:t>
      </w:r>
      <w:r w:rsidR="009F5D95" w:rsidRPr="00B04FBB">
        <w:rPr>
          <w:b/>
          <w:bCs/>
          <w:sz w:val="17"/>
          <w:szCs w:val="17"/>
        </w:rPr>
        <w:t>slow down the availability of ESG data within the ESAP</w:t>
      </w:r>
      <w:r w:rsidR="009F5D95" w:rsidRPr="00B04FBB">
        <w:rPr>
          <w:sz w:val="17"/>
          <w:szCs w:val="17"/>
        </w:rPr>
        <w:t>.</w:t>
      </w:r>
    </w:p>
    <w:p w14:paraId="37356E24" w14:textId="77777777" w:rsidR="00F02CA8" w:rsidRDefault="00F02CA8" w:rsidP="00732D7B">
      <w:pPr>
        <w:rPr>
          <w:sz w:val="17"/>
          <w:szCs w:val="17"/>
        </w:rPr>
      </w:pPr>
    </w:p>
    <w:p w14:paraId="03E801E7" w14:textId="4840EB57" w:rsidR="00F02CA8" w:rsidRDefault="00F02CA8" w:rsidP="00F02CA8">
      <w:pPr>
        <w:pStyle w:val="CEABullet-Level1"/>
        <w:numPr>
          <w:ilvl w:val="0"/>
          <w:numId w:val="0"/>
        </w:numPr>
        <w:rPr>
          <w:color w:val="auto"/>
        </w:rPr>
      </w:pPr>
      <w:r>
        <w:rPr>
          <w:color w:val="auto"/>
        </w:rPr>
        <w:t xml:space="preserve">Insurance Europe has the following comments </w:t>
      </w:r>
      <w:r w:rsidR="00E43E44">
        <w:rPr>
          <w:color w:val="auto"/>
        </w:rPr>
        <w:t>on</w:t>
      </w:r>
      <w:r>
        <w:rPr>
          <w:color w:val="auto"/>
        </w:rPr>
        <w:t xml:space="preserve"> the establishment of the ESAP: </w:t>
      </w:r>
    </w:p>
    <w:p w14:paraId="64D3ECD6" w14:textId="7D914A62" w:rsidR="00D66033" w:rsidRDefault="00F02CA8" w:rsidP="00F02CA8">
      <w:pPr>
        <w:pStyle w:val="CEABullet-Level1"/>
        <w:rPr>
          <w:szCs w:val="17"/>
        </w:rPr>
      </w:pPr>
      <w:r w:rsidRPr="00B04FBB">
        <w:rPr>
          <w:szCs w:val="17"/>
        </w:rPr>
        <w:t xml:space="preserve">The data included in the ESAP must be fully aligned </w:t>
      </w:r>
      <w:r w:rsidR="00E43E44">
        <w:rPr>
          <w:szCs w:val="17"/>
        </w:rPr>
        <w:t>with</w:t>
      </w:r>
      <w:r w:rsidR="00E43E44" w:rsidRPr="00B04FBB">
        <w:rPr>
          <w:szCs w:val="17"/>
        </w:rPr>
        <w:t xml:space="preserve"> </w:t>
      </w:r>
      <w:r w:rsidRPr="00D66033">
        <w:rPr>
          <w:b/>
          <w:bCs/>
          <w:szCs w:val="17"/>
        </w:rPr>
        <w:t xml:space="preserve">the regulatory requirements set by the </w:t>
      </w:r>
      <w:bookmarkStart w:id="1" w:name="_Hlk61433993"/>
      <w:r w:rsidR="008E2DBC">
        <w:rPr>
          <w:b/>
          <w:bCs/>
          <w:szCs w:val="17"/>
        </w:rPr>
        <w:t>SFDR</w:t>
      </w:r>
      <w:bookmarkEnd w:id="1"/>
      <w:r w:rsidRPr="00D66033">
        <w:rPr>
          <w:b/>
          <w:bCs/>
          <w:szCs w:val="17"/>
        </w:rPr>
        <w:t>, T</w:t>
      </w:r>
      <w:r w:rsidR="00891834">
        <w:rPr>
          <w:b/>
          <w:bCs/>
          <w:szCs w:val="17"/>
        </w:rPr>
        <w:t xml:space="preserve">axonomy </w:t>
      </w:r>
      <w:r w:rsidR="000A4A21">
        <w:rPr>
          <w:b/>
          <w:bCs/>
          <w:szCs w:val="17"/>
        </w:rPr>
        <w:t>R</w:t>
      </w:r>
      <w:r w:rsidR="00891834">
        <w:rPr>
          <w:b/>
          <w:bCs/>
          <w:szCs w:val="17"/>
        </w:rPr>
        <w:t>egulation</w:t>
      </w:r>
      <w:r w:rsidRPr="00D66033">
        <w:rPr>
          <w:b/>
          <w:bCs/>
          <w:szCs w:val="17"/>
        </w:rPr>
        <w:t xml:space="preserve"> and N</w:t>
      </w:r>
      <w:r w:rsidR="008E2DBC">
        <w:rPr>
          <w:b/>
          <w:bCs/>
          <w:szCs w:val="17"/>
        </w:rPr>
        <w:t>FRD</w:t>
      </w:r>
      <w:r w:rsidRPr="00B04FBB">
        <w:rPr>
          <w:szCs w:val="17"/>
        </w:rPr>
        <w:t>.</w:t>
      </w:r>
    </w:p>
    <w:p w14:paraId="0EEFBF6B" w14:textId="3C786911" w:rsidR="00F02CA8" w:rsidRPr="00B04FBB" w:rsidRDefault="00780569" w:rsidP="00F02CA8">
      <w:pPr>
        <w:pStyle w:val="CEABullet-Level1"/>
        <w:rPr>
          <w:szCs w:val="17"/>
        </w:rPr>
      </w:pPr>
      <w:r w:rsidRPr="00B04FBB">
        <w:t>As another building block</w:t>
      </w:r>
      <w:r w:rsidR="006B5E2F">
        <w:t>,</w:t>
      </w:r>
      <w:r w:rsidRPr="00B04FBB">
        <w:t xml:space="preserve"> the register should include relevant </w:t>
      </w:r>
      <w:r w:rsidRPr="00D66033">
        <w:rPr>
          <w:b/>
          <w:bCs/>
        </w:rPr>
        <w:t>ESG information already collected by European and national institutions</w:t>
      </w:r>
      <w:r w:rsidRPr="00B04FBB">
        <w:t xml:space="preserve"> such as governments, central banks, statistical bodies, etc.</w:t>
      </w:r>
    </w:p>
    <w:p w14:paraId="1E8F2425" w14:textId="3F9ED645" w:rsidR="00F02CA8" w:rsidRPr="00B04FBB" w:rsidRDefault="00F02CA8" w:rsidP="00F02CA8">
      <w:pPr>
        <w:pStyle w:val="CEABullet-Level1"/>
        <w:rPr>
          <w:szCs w:val="17"/>
        </w:rPr>
      </w:pPr>
      <w:r w:rsidRPr="00B04FBB">
        <w:rPr>
          <w:szCs w:val="17"/>
        </w:rPr>
        <w:t xml:space="preserve">Beyond what is required to comply with regulatory requirements, care should be taken to ensure that the </w:t>
      </w:r>
      <w:r w:rsidRPr="00D66033">
        <w:rPr>
          <w:b/>
          <w:bCs/>
          <w:szCs w:val="17"/>
        </w:rPr>
        <w:t>benefits outweigh the costs</w:t>
      </w:r>
      <w:r w:rsidRPr="00B04FBB">
        <w:rPr>
          <w:szCs w:val="17"/>
        </w:rPr>
        <w:t>.</w:t>
      </w:r>
    </w:p>
    <w:p w14:paraId="746A62B9" w14:textId="77777777" w:rsidR="00F02CA8" w:rsidRPr="00B04FBB" w:rsidRDefault="00F02CA8" w:rsidP="00F02CA8">
      <w:pPr>
        <w:pStyle w:val="CEABullet-Level1"/>
        <w:rPr>
          <w:szCs w:val="17"/>
        </w:rPr>
      </w:pPr>
      <w:r w:rsidRPr="00B04FBB">
        <w:rPr>
          <w:szCs w:val="17"/>
        </w:rPr>
        <w:t xml:space="preserve">The </w:t>
      </w:r>
      <w:r w:rsidRPr="00D66033">
        <w:rPr>
          <w:b/>
          <w:bCs/>
          <w:szCs w:val="17"/>
        </w:rPr>
        <w:t>materiality of disclosures</w:t>
      </w:r>
      <w:r w:rsidRPr="00B04FBB">
        <w:rPr>
          <w:szCs w:val="17"/>
        </w:rPr>
        <w:t xml:space="preserve"> should be taken into account to avoid unnecessary costs and proportionality more generally should be fully taken into account, with the size and complexity of undertakings considered when developing guidance or requirements.</w:t>
      </w:r>
    </w:p>
    <w:p w14:paraId="40A26CD8" w14:textId="0B8098E3" w:rsidR="00F02CA8" w:rsidRPr="00780569" w:rsidRDefault="00780569" w:rsidP="00780569">
      <w:pPr>
        <w:pStyle w:val="CEABullet-Level1"/>
        <w:rPr>
          <w:szCs w:val="17"/>
        </w:rPr>
      </w:pPr>
      <w:r w:rsidRPr="00780569">
        <w:rPr>
          <w:szCs w:val="17"/>
        </w:rPr>
        <w:t xml:space="preserve">With respect to </w:t>
      </w:r>
      <w:r w:rsidR="00F02CA8" w:rsidRPr="00D66033">
        <w:rPr>
          <w:b/>
          <w:bCs/>
          <w:szCs w:val="17"/>
        </w:rPr>
        <w:t>sustainability research and ratings</w:t>
      </w:r>
      <w:r w:rsidRPr="00780569">
        <w:rPr>
          <w:szCs w:val="17"/>
        </w:rPr>
        <w:t xml:space="preserve">, </w:t>
      </w:r>
      <w:r w:rsidR="00F02CA8" w:rsidRPr="00780569">
        <w:rPr>
          <w:szCs w:val="17"/>
        </w:rPr>
        <w:t>the ESAP can help</w:t>
      </w:r>
      <w:r w:rsidRPr="00780569">
        <w:rPr>
          <w:szCs w:val="17"/>
        </w:rPr>
        <w:t xml:space="preserve"> </w:t>
      </w:r>
      <w:r w:rsidR="00F02CA8" w:rsidRPr="00780569">
        <w:rPr>
          <w:szCs w:val="17"/>
        </w:rPr>
        <w:t xml:space="preserve">minimise </w:t>
      </w:r>
      <w:r w:rsidR="006B5E2F">
        <w:rPr>
          <w:szCs w:val="17"/>
        </w:rPr>
        <w:t>related</w:t>
      </w:r>
      <w:r w:rsidR="006B5E2F" w:rsidRPr="00780569">
        <w:rPr>
          <w:szCs w:val="17"/>
        </w:rPr>
        <w:t xml:space="preserve"> </w:t>
      </w:r>
      <w:r w:rsidR="00F02CA8" w:rsidRPr="00780569">
        <w:rPr>
          <w:szCs w:val="17"/>
        </w:rPr>
        <w:t xml:space="preserve">costs and avoid market participants </w:t>
      </w:r>
      <w:r w:rsidR="00CB488E">
        <w:rPr>
          <w:szCs w:val="17"/>
        </w:rPr>
        <w:t>being</w:t>
      </w:r>
      <w:r w:rsidR="00CB488E" w:rsidRPr="00780569">
        <w:rPr>
          <w:szCs w:val="17"/>
        </w:rPr>
        <w:t xml:space="preserve"> </w:t>
      </w:r>
      <w:r w:rsidR="00F02CA8" w:rsidRPr="00780569">
        <w:rPr>
          <w:szCs w:val="17"/>
        </w:rPr>
        <w:t>forced to rely on third</w:t>
      </w:r>
      <w:r w:rsidR="00CB488E">
        <w:rPr>
          <w:szCs w:val="17"/>
        </w:rPr>
        <w:t>-</w:t>
      </w:r>
      <w:r w:rsidR="00F02CA8" w:rsidRPr="00780569">
        <w:rPr>
          <w:szCs w:val="17"/>
        </w:rPr>
        <w:t>party providers.</w:t>
      </w:r>
      <w:r w:rsidRPr="00780569">
        <w:rPr>
          <w:szCs w:val="17"/>
        </w:rPr>
        <w:t xml:space="preserve"> In addition, it can </w:t>
      </w:r>
      <w:r>
        <w:rPr>
          <w:szCs w:val="17"/>
        </w:rPr>
        <w:t xml:space="preserve">help </w:t>
      </w:r>
      <w:r w:rsidR="00F02CA8" w:rsidRPr="00780569">
        <w:rPr>
          <w:szCs w:val="17"/>
        </w:rPr>
        <w:t xml:space="preserve">improve transparency about ESG data and enhance </w:t>
      </w:r>
      <w:r w:rsidR="00CB488E">
        <w:rPr>
          <w:szCs w:val="17"/>
        </w:rPr>
        <w:t xml:space="preserve">the </w:t>
      </w:r>
      <w:r w:rsidR="00F02CA8" w:rsidRPr="00780569">
        <w:rPr>
          <w:szCs w:val="17"/>
        </w:rPr>
        <w:t>comparability and reliability of research and ratings</w:t>
      </w:r>
      <w:r>
        <w:rPr>
          <w:szCs w:val="17"/>
        </w:rPr>
        <w:t>.</w:t>
      </w:r>
    </w:p>
    <w:p w14:paraId="6EFEC206" w14:textId="48D0B5C0" w:rsidR="00F02CA8" w:rsidRPr="00780569" w:rsidRDefault="00F02CA8" w:rsidP="00780569">
      <w:pPr>
        <w:pStyle w:val="CEABullet-Level1"/>
        <w:rPr>
          <w:szCs w:val="18"/>
        </w:rPr>
      </w:pPr>
      <w:r w:rsidRPr="00F444FE">
        <w:rPr>
          <w:szCs w:val="17"/>
        </w:rPr>
        <w:t>Beyond</w:t>
      </w:r>
      <w:r w:rsidRPr="00B04FBB">
        <w:t xml:space="preserve"> sustainability data, research and ratings, </w:t>
      </w:r>
      <w:r w:rsidRPr="00D66033">
        <w:rPr>
          <w:b/>
          <w:bCs/>
        </w:rPr>
        <w:t>credit rating databases</w:t>
      </w:r>
      <w:r w:rsidRPr="00B04FBB">
        <w:t xml:space="preserve"> are also needed by insurers to comply with certain regulations (</w:t>
      </w:r>
      <w:proofErr w:type="spellStart"/>
      <w:r w:rsidRPr="00B04FBB">
        <w:t>eg</w:t>
      </w:r>
      <w:proofErr w:type="spellEnd"/>
      <w:r w:rsidRPr="00B04FBB">
        <w:t xml:space="preserve"> Solvency II). However, they can currently be excessively expensive for insurers to access/use. If the scope of </w:t>
      </w:r>
      <w:r w:rsidR="00CB488E">
        <w:t xml:space="preserve">the </w:t>
      </w:r>
      <w:r w:rsidRPr="00B04FBB">
        <w:t>ESAP goes beyond ESG data, the EC should consider how credit ratings</w:t>
      </w:r>
      <w:r w:rsidR="00780569">
        <w:t xml:space="preserve"> </w:t>
      </w:r>
      <w:r w:rsidRPr="00B04FBB">
        <w:t xml:space="preserve">could be included into </w:t>
      </w:r>
      <w:r w:rsidR="00CB488E">
        <w:t>it</w:t>
      </w:r>
      <w:r w:rsidRPr="00B04FBB">
        <w:t xml:space="preserve"> as a way to address this issue.</w:t>
      </w:r>
    </w:p>
    <w:p w14:paraId="333B3996" w14:textId="275BC488" w:rsidR="00F02CA8" w:rsidRPr="006B046C" w:rsidRDefault="00F02CA8" w:rsidP="00FD71F6">
      <w:pPr>
        <w:pStyle w:val="CEABullet-Level1"/>
        <w:ind w:left="714" w:hanging="357"/>
        <w:rPr>
          <w:szCs w:val="17"/>
        </w:rPr>
      </w:pPr>
      <w:r w:rsidRPr="006B046C">
        <w:rPr>
          <w:color w:val="auto"/>
          <w:szCs w:val="17"/>
        </w:rPr>
        <w:lastRenderedPageBreak/>
        <w:t xml:space="preserve">In the context of the post COVID-19 recovery, it is key that it also </w:t>
      </w:r>
      <w:r w:rsidRPr="006B046C">
        <w:rPr>
          <w:szCs w:val="17"/>
        </w:rPr>
        <w:t xml:space="preserve">enables digital transformation, which in turn can help </w:t>
      </w:r>
      <w:r w:rsidRPr="006B046C">
        <w:rPr>
          <w:color w:val="auto"/>
          <w:szCs w:val="17"/>
        </w:rPr>
        <w:t>embed sustainability in the financial sector</w:t>
      </w:r>
      <w:r w:rsidRPr="006B046C">
        <w:rPr>
          <w:szCs w:val="17"/>
        </w:rPr>
        <w:t xml:space="preserve">. </w:t>
      </w:r>
      <w:r w:rsidRPr="006B046C">
        <w:rPr>
          <w:color w:val="auto"/>
          <w:szCs w:val="17"/>
        </w:rPr>
        <w:t xml:space="preserve">EU policy action will be crucial to maximise the </w:t>
      </w:r>
      <w:r w:rsidRPr="00D66033">
        <w:rPr>
          <w:b/>
          <w:bCs/>
          <w:color w:val="auto"/>
          <w:szCs w:val="17"/>
        </w:rPr>
        <w:t>potential of digital tools for sustainable finance</w:t>
      </w:r>
      <w:r w:rsidRPr="006B046C">
        <w:rPr>
          <w:color w:val="auto"/>
          <w:szCs w:val="17"/>
        </w:rPr>
        <w:t>. Any proposed regulatory actions should be innovation-friendly and technology neutral to ensure that they are fit for the digital age and do not create any obstacles to innovation.</w:t>
      </w:r>
    </w:p>
    <w:p w14:paraId="7FB3E5DE" w14:textId="0C8435E4" w:rsidR="00F02CA8" w:rsidRDefault="00F02CA8" w:rsidP="00732D7B">
      <w:pPr>
        <w:rPr>
          <w:sz w:val="17"/>
          <w:szCs w:val="17"/>
        </w:rPr>
      </w:pPr>
    </w:p>
    <w:p w14:paraId="471416EA" w14:textId="7B127FFA" w:rsidR="00F02CA8" w:rsidRDefault="00F02CA8" w:rsidP="00732D7B">
      <w:pPr>
        <w:rPr>
          <w:sz w:val="17"/>
          <w:szCs w:val="17"/>
        </w:rPr>
      </w:pPr>
    </w:p>
    <w:p w14:paraId="0FC488B8" w14:textId="4B53C8E0" w:rsidR="00F02CA8" w:rsidRPr="006B046C" w:rsidRDefault="00691747" w:rsidP="006B046C">
      <w:pPr>
        <w:autoSpaceDE w:val="0"/>
        <w:autoSpaceDN w:val="0"/>
        <w:adjustRightInd w:val="0"/>
        <w:rPr>
          <w:rStyle w:val="Heading1CEAChar"/>
          <w:rFonts w:ascii="Verdana" w:hAnsi="Verdana"/>
          <w:bCs/>
          <w:color w:val="002957"/>
          <w:sz w:val="19"/>
          <w:szCs w:val="19"/>
        </w:rPr>
      </w:pPr>
      <w:r>
        <w:rPr>
          <w:rStyle w:val="Heading1CEAChar"/>
          <w:rFonts w:ascii="Verdana" w:hAnsi="Verdana"/>
          <w:bCs/>
          <w:color w:val="002957"/>
          <w:sz w:val="19"/>
          <w:szCs w:val="19"/>
        </w:rPr>
        <w:t xml:space="preserve">Further </w:t>
      </w:r>
      <w:r w:rsidR="00B1048F">
        <w:rPr>
          <w:rStyle w:val="Heading1CEAChar"/>
          <w:rFonts w:ascii="Verdana" w:hAnsi="Verdana"/>
          <w:bCs/>
          <w:color w:val="002957"/>
          <w:sz w:val="19"/>
          <w:szCs w:val="19"/>
        </w:rPr>
        <w:t>c</w:t>
      </w:r>
      <w:r w:rsidR="006B046C" w:rsidRPr="006B046C">
        <w:rPr>
          <w:rStyle w:val="Heading1CEAChar"/>
          <w:rFonts w:ascii="Verdana" w:hAnsi="Verdana"/>
          <w:bCs/>
          <w:color w:val="002957"/>
          <w:sz w:val="19"/>
          <w:szCs w:val="19"/>
        </w:rPr>
        <w:t>omments</w:t>
      </w:r>
    </w:p>
    <w:p w14:paraId="5F8325E8" w14:textId="77777777" w:rsidR="00152882" w:rsidRPr="00732D7B" w:rsidRDefault="00152882" w:rsidP="00732D7B">
      <w:pPr>
        <w:rPr>
          <w:szCs w:val="18"/>
        </w:rPr>
      </w:pPr>
    </w:p>
    <w:p w14:paraId="0BEE7A13" w14:textId="28E820BC" w:rsidR="00A218E1" w:rsidRPr="00732D7B" w:rsidRDefault="00A218E1" w:rsidP="00732D7B">
      <w:pPr>
        <w:autoSpaceDE w:val="0"/>
        <w:autoSpaceDN w:val="0"/>
        <w:adjustRightInd w:val="0"/>
        <w:rPr>
          <w:rStyle w:val="Heading1CEAChar"/>
          <w:rFonts w:ascii="Verdana" w:hAnsi="Verdana"/>
          <w:bCs/>
          <w:color w:val="002957"/>
          <w:sz w:val="19"/>
          <w:szCs w:val="19"/>
        </w:rPr>
      </w:pPr>
      <w:r w:rsidRPr="00732D7B">
        <w:rPr>
          <w:rStyle w:val="Heading1CEAChar"/>
          <w:rFonts w:ascii="Verdana" w:hAnsi="Verdana"/>
          <w:bCs/>
          <w:color w:val="002957"/>
          <w:sz w:val="19"/>
          <w:szCs w:val="19"/>
        </w:rPr>
        <w:t xml:space="preserve">Considerations </w:t>
      </w:r>
      <w:r w:rsidR="0048141F">
        <w:rPr>
          <w:rStyle w:val="Heading1CEAChar"/>
          <w:rFonts w:ascii="Verdana" w:hAnsi="Verdana"/>
          <w:bCs/>
          <w:color w:val="002957"/>
          <w:sz w:val="19"/>
          <w:szCs w:val="19"/>
        </w:rPr>
        <w:t>relating</w:t>
      </w:r>
      <w:r w:rsidRPr="00732D7B">
        <w:rPr>
          <w:rStyle w:val="Heading1CEAChar"/>
          <w:rFonts w:ascii="Verdana" w:hAnsi="Verdana"/>
          <w:bCs/>
          <w:color w:val="002957"/>
          <w:sz w:val="19"/>
          <w:szCs w:val="19"/>
        </w:rPr>
        <w:t xml:space="preserve"> to ESG data for investors</w:t>
      </w:r>
    </w:p>
    <w:p w14:paraId="17985EB3" w14:textId="77777777" w:rsidR="00691747" w:rsidRDefault="00691747" w:rsidP="00691747">
      <w:pPr>
        <w:rPr>
          <w:sz w:val="17"/>
          <w:szCs w:val="17"/>
        </w:rPr>
      </w:pPr>
      <w:r w:rsidRPr="00B04FBB">
        <w:rPr>
          <w:sz w:val="17"/>
          <w:szCs w:val="17"/>
        </w:rPr>
        <w:t xml:space="preserve">Through its role both as an investor and </w:t>
      </w:r>
      <w:r>
        <w:rPr>
          <w:sz w:val="17"/>
          <w:szCs w:val="17"/>
        </w:rPr>
        <w:t xml:space="preserve">a </w:t>
      </w:r>
      <w:r w:rsidRPr="00B04FBB">
        <w:rPr>
          <w:sz w:val="17"/>
          <w:szCs w:val="17"/>
        </w:rPr>
        <w:t xml:space="preserve">provider of protection, the </w:t>
      </w:r>
      <w:r>
        <w:rPr>
          <w:sz w:val="17"/>
          <w:szCs w:val="17"/>
        </w:rPr>
        <w:t xml:space="preserve">European insurance </w:t>
      </w:r>
      <w:r w:rsidRPr="00B04FBB">
        <w:rPr>
          <w:sz w:val="17"/>
          <w:szCs w:val="17"/>
        </w:rPr>
        <w:t xml:space="preserve">sector is uniquely positioned to contribute to sustainable economic growth, and it can help to finance the transition to a carbon-neutral, resource-efficient and more sustainable economy. The insurance industry is both an issuer and a preparer of non-financial information. As investors, insurers need to have access to reliable and comparable </w:t>
      </w:r>
      <w:r w:rsidRPr="00B04FBB">
        <w:rPr>
          <w:rFonts w:cs="Arial"/>
          <w:sz w:val="17"/>
          <w:szCs w:val="17"/>
          <w:shd w:val="clear" w:color="auto" w:fill="FFFFFF"/>
        </w:rPr>
        <w:t>ESG</w:t>
      </w:r>
      <w:r w:rsidRPr="00B04FBB">
        <w:rPr>
          <w:sz w:val="17"/>
          <w:szCs w:val="17"/>
        </w:rPr>
        <w:t xml:space="preserve"> data on investee companies</w:t>
      </w:r>
      <w:r>
        <w:rPr>
          <w:sz w:val="17"/>
          <w:szCs w:val="17"/>
        </w:rPr>
        <w:t>;</w:t>
      </w:r>
      <w:r w:rsidRPr="00B04FBB">
        <w:rPr>
          <w:sz w:val="17"/>
          <w:szCs w:val="17"/>
        </w:rPr>
        <w:t xml:space="preserve"> meaningful, consistent and comparable ESG reporting from companies helps investors to consider and account for sustainability impacts when making investment decisions. As preparers, it is important for companies to ensure that any requirements and standardisation are as effective and efficient as possible to avoid unnecessary costs and unintended consequences.</w:t>
      </w:r>
    </w:p>
    <w:p w14:paraId="0A2E79FF" w14:textId="77777777" w:rsidR="00691747" w:rsidRDefault="00691747" w:rsidP="00691747">
      <w:pPr>
        <w:rPr>
          <w:sz w:val="17"/>
          <w:szCs w:val="17"/>
        </w:rPr>
      </w:pPr>
    </w:p>
    <w:p w14:paraId="7064DF90" w14:textId="0A72020E" w:rsidR="006F3DD3" w:rsidRPr="00B04FBB" w:rsidRDefault="00552FC4" w:rsidP="00732D7B">
      <w:pPr>
        <w:rPr>
          <w:sz w:val="17"/>
          <w:szCs w:val="17"/>
        </w:rPr>
      </w:pPr>
      <w:r w:rsidRPr="00B04FBB">
        <w:rPr>
          <w:sz w:val="17"/>
          <w:szCs w:val="17"/>
        </w:rPr>
        <w:t xml:space="preserve">Non-financial data is particularly relevant when ambitious and fast-paced policy actions rely on their availability, as it is the case for sustainable finance. Developments in this area have highlighted issues with the availability and reliability of ESG data </w:t>
      </w:r>
      <w:r w:rsidR="006F3DD3" w:rsidRPr="00B04FBB">
        <w:rPr>
          <w:sz w:val="17"/>
          <w:szCs w:val="17"/>
        </w:rPr>
        <w:t xml:space="preserve">that </w:t>
      </w:r>
      <w:r w:rsidRPr="00B04FBB">
        <w:rPr>
          <w:sz w:val="17"/>
          <w:szCs w:val="17"/>
        </w:rPr>
        <w:t>investors</w:t>
      </w:r>
      <w:r w:rsidR="006F3DD3" w:rsidRPr="00B04FBB">
        <w:rPr>
          <w:sz w:val="17"/>
          <w:szCs w:val="17"/>
        </w:rPr>
        <w:t xml:space="preserve"> need both for their investment decisions and to comply </w:t>
      </w:r>
      <w:r w:rsidR="0048141F">
        <w:rPr>
          <w:sz w:val="17"/>
          <w:szCs w:val="17"/>
        </w:rPr>
        <w:t xml:space="preserve">with the SFDR </w:t>
      </w:r>
      <w:r w:rsidR="006F3DD3" w:rsidRPr="00B04FBB">
        <w:rPr>
          <w:sz w:val="17"/>
          <w:szCs w:val="17"/>
        </w:rPr>
        <w:t xml:space="preserve">and </w:t>
      </w:r>
      <w:r w:rsidR="00891834">
        <w:rPr>
          <w:sz w:val="17"/>
          <w:szCs w:val="17"/>
        </w:rPr>
        <w:t xml:space="preserve">the </w:t>
      </w:r>
      <w:r w:rsidR="006F3DD3" w:rsidRPr="00B04FBB">
        <w:rPr>
          <w:sz w:val="17"/>
          <w:szCs w:val="17"/>
        </w:rPr>
        <w:t xml:space="preserve">Taxonomy </w:t>
      </w:r>
      <w:r w:rsidR="00891834">
        <w:rPr>
          <w:sz w:val="17"/>
          <w:szCs w:val="17"/>
        </w:rPr>
        <w:t>R</w:t>
      </w:r>
      <w:r w:rsidR="006F3DD3" w:rsidRPr="00B04FBB">
        <w:rPr>
          <w:sz w:val="17"/>
          <w:szCs w:val="17"/>
        </w:rPr>
        <w:t>egulation</w:t>
      </w:r>
      <w:r w:rsidRPr="00B04FBB">
        <w:rPr>
          <w:sz w:val="17"/>
          <w:szCs w:val="17"/>
        </w:rPr>
        <w:t xml:space="preserve">. </w:t>
      </w:r>
    </w:p>
    <w:p w14:paraId="2CF808BF" w14:textId="77777777" w:rsidR="006F3DD3" w:rsidRPr="00B04FBB" w:rsidRDefault="006F3DD3" w:rsidP="00732D7B">
      <w:pPr>
        <w:rPr>
          <w:sz w:val="17"/>
          <w:szCs w:val="17"/>
        </w:rPr>
      </w:pPr>
    </w:p>
    <w:p w14:paraId="455218C9" w14:textId="25EF6F1A" w:rsidR="00152882" w:rsidRPr="00B04FBB" w:rsidRDefault="006F3DD3" w:rsidP="00732D7B">
      <w:pPr>
        <w:rPr>
          <w:rStyle w:val="Heading1CEAChar"/>
          <w:rFonts w:ascii="Verdana" w:hAnsi="Verdana"/>
          <w:b w:val="0"/>
          <w:color w:val="auto"/>
          <w:sz w:val="17"/>
          <w:szCs w:val="17"/>
        </w:rPr>
      </w:pPr>
      <w:r w:rsidRPr="00B04FBB">
        <w:rPr>
          <w:sz w:val="17"/>
          <w:szCs w:val="17"/>
        </w:rPr>
        <w:t>T</w:t>
      </w:r>
      <w:r w:rsidR="00552FC4" w:rsidRPr="00B04FBB">
        <w:rPr>
          <w:sz w:val="17"/>
          <w:szCs w:val="17"/>
        </w:rPr>
        <w:t xml:space="preserve">he insurance industry </w:t>
      </w:r>
      <w:r w:rsidRPr="00B04FBB">
        <w:rPr>
          <w:sz w:val="17"/>
          <w:szCs w:val="17"/>
        </w:rPr>
        <w:t xml:space="preserve">therefore </w:t>
      </w:r>
      <w:r w:rsidR="00552FC4" w:rsidRPr="00B04FBB">
        <w:rPr>
          <w:sz w:val="17"/>
          <w:szCs w:val="17"/>
        </w:rPr>
        <w:t>welcomes the recommendation of the E</w:t>
      </w:r>
      <w:r w:rsidR="00F44D67">
        <w:rPr>
          <w:sz w:val="17"/>
          <w:szCs w:val="17"/>
        </w:rPr>
        <w:t>C</w:t>
      </w:r>
      <w:r w:rsidR="00552FC4" w:rsidRPr="00B04FBB">
        <w:rPr>
          <w:sz w:val="17"/>
          <w:szCs w:val="17"/>
        </w:rPr>
        <w:t xml:space="preserve">’s Action Plan on the CMU to establish </w:t>
      </w:r>
      <w:r w:rsidR="00FD261C">
        <w:rPr>
          <w:sz w:val="17"/>
          <w:szCs w:val="17"/>
        </w:rPr>
        <w:t xml:space="preserve">the </w:t>
      </w:r>
      <w:r w:rsidR="00552FC4" w:rsidRPr="00B04FBB">
        <w:rPr>
          <w:sz w:val="17"/>
          <w:szCs w:val="17"/>
        </w:rPr>
        <w:t>ESAP</w:t>
      </w:r>
      <w:r w:rsidR="00F44D67">
        <w:rPr>
          <w:sz w:val="17"/>
          <w:szCs w:val="17"/>
        </w:rPr>
        <w:t>,</w:t>
      </w:r>
      <w:r w:rsidR="00552FC4" w:rsidRPr="00B04FBB">
        <w:rPr>
          <w:sz w:val="17"/>
          <w:szCs w:val="17"/>
        </w:rPr>
        <w:t xml:space="preserve"> as it recognises the increasing importance for investors </w:t>
      </w:r>
      <w:r w:rsidR="001827F5">
        <w:rPr>
          <w:sz w:val="17"/>
          <w:szCs w:val="17"/>
        </w:rPr>
        <w:t>of</w:t>
      </w:r>
      <w:r w:rsidR="00552FC4" w:rsidRPr="00B04FBB">
        <w:rPr>
          <w:sz w:val="17"/>
          <w:szCs w:val="17"/>
        </w:rPr>
        <w:t xml:space="preserve"> access to non-financial information. This is particularly relevant in the context of recent regulatory developments </w:t>
      </w:r>
      <w:r w:rsidR="001827F5">
        <w:rPr>
          <w:sz w:val="17"/>
          <w:szCs w:val="17"/>
        </w:rPr>
        <w:t xml:space="preserve">on the </w:t>
      </w:r>
      <w:r w:rsidR="00552FC4" w:rsidRPr="00B04FBB">
        <w:rPr>
          <w:sz w:val="17"/>
          <w:szCs w:val="17"/>
        </w:rPr>
        <w:t xml:space="preserve">NFRD, the SFDR and the Taxonomy </w:t>
      </w:r>
      <w:r w:rsidR="001827F5">
        <w:rPr>
          <w:sz w:val="17"/>
          <w:szCs w:val="17"/>
        </w:rPr>
        <w:t>R</w:t>
      </w:r>
      <w:r w:rsidR="00552FC4" w:rsidRPr="00B04FBB">
        <w:rPr>
          <w:sz w:val="17"/>
          <w:szCs w:val="17"/>
        </w:rPr>
        <w:t xml:space="preserve">egulation. </w:t>
      </w:r>
      <w:r w:rsidR="00917435" w:rsidRPr="00B04FBB">
        <w:rPr>
          <w:sz w:val="17"/>
          <w:szCs w:val="17"/>
        </w:rPr>
        <w:t xml:space="preserve">The ESAP including ESG is </w:t>
      </w:r>
      <w:r w:rsidR="00A218E1" w:rsidRPr="00B04FBB">
        <w:rPr>
          <w:sz w:val="17"/>
          <w:szCs w:val="17"/>
        </w:rPr>
        <w:t xml:space="preserve">in line with the </w:t>
      </w:r>
      <w:hyperlink r:id="rId17" w:history="1">
        <w:r w:rsidR="00A218E1" w:rsidRPr="00B04FBB">
          <w:rPr>
            <w:rStyle w:val="Hypertextovprepojenie"/>
            <w:sz w:val="17"/>
            <w:szCs w:val="17"/>
          </w:rPr>
          <w:t xml:space="preserve">joint industry </w:t>
        </w:r>
        <w:r w:rsidR="00B62E5A" w:rsidRPr="00B04FBB">
          <w:rPr>
            <w:rStyle w:val="Hypertextovprepojenie"/>
            <w:sz w:val="17"/>
            <w:szCs w:val="17"/>
          </w:rPr>
          <w:t xml:space="preserve">letter </w:t>
        </w:r>
        <w:r w:rsidR="00A218E1" w:rsidRPr="00B04FBB">
          <w:rPr>
            <w:rStyle w:val="Hypertextovprepojenie"/>
            <w:sz w:val="17"/>
            <w:szCs w:val="17"/>
          </w:rPr>
          <w:t>call</w:t>
        </w:r>
        <w:r w:rsidR="00B62E5A" w:rsidRPr="00B04FBB">
          <w:rPr>
            <w:rStyle w:val="Hypertextovprepojenie"/>
            <w:sz w:val="17"/>
            <w:szCs w:val="17"/>
          </w:rPr>
          <w:t>ing</w:t>
        </w:r>
        <w:r w:rsidR="00A218E1" w:rsidRPr="00B04FBB">
          <w:rPr>
            <w:rStyle w:val="Hypertextovprepojenie"/>
            <w:sz w:val="17"/>
            <w:szCs w:val="17"/>
          </w:rPr>
          <w:t xml:space="preserve"> for </w:t>
        </w:r>
        <w:r w:rsidR="00917435" w:rsidRPr="00B04FBB">
          <w:rPr>
            <w:rStyle w:val="Hypertextovprepojenie"/>
            <w:sz w:val="17"/>
            <w:szCs w:val="17"/>
          </w:rPr>
          <w:t>the creation of a European ESG database</w:t>
        </w:r>
      </w:hyperlink>
      <w:r w:rsidR="00552FC4" w:rsidRPr="00B04FBB">
        <w:rPr>
          <w:sz w:val="17"/>
          <w:szCs w:val="17"/>
        </w:rPr>
        <w:t xml:space="preserve">. Robust, comparable and reliable ESG data is </w:t>
      </w:r>
      <w:r w:rsidR="009507D0">
        <w:rPr>
          <w:sz w:val="17"/>
          <w:szCs w:val="17"/>
        </w:rPr>
        <w:t>vital</w:t>
      </w:r>
      <w:r w:rsidR="009507D0" w:rsidRPr="00B04FBB">
        <w:rPr>
          <w:sz w:val="17"/>
          <w:szCs w:val="17"/>
        </w:rPr>
        <w:t xml:space="preserve"> </w:t>
      </w:r>
      <w:r w:rsidR="009507D0">
        <w:rPr>
          <w:sz w:val="17"/>
          <w:szCs w:val="17"/>
        </w:rPr>
        <w:t>for</w:t>
      </w:r>
      <w:r w:rsidR="00552FC4" w:rsidRPr="00B04FBB">
        <w:rPr>
          <w:sz w:val="17"/>
          <w:szCs w:val="17"/>
        </w:rPr>
        <w:t xml:space="preserve"> identify</w:t>
      </w:r>
      <w:r w:rsidR="009507D0">
        <w:rPr>
          <w:sz w:val="17"/>
          <w:szCs w:val="17"/>
        </w:rPr>
        <w:t>ing</w:t>
      </w:r>
      <w:r w:rsidR="00552FC4" w:rsidRPr="00B04FBB">
        <w:rPr>
          <w:sz w:val="17"/>
          <w:szCs w:val="17"/>
        </w:rPr>
        <w:t xml:space="preserve"> and assess</w:t>
      </w:r>
      <w:r w:rsidR="009507D0">
        <w:rPr>
          <w:sz w:val="17"/>
          <w:szCs w:val="17"/>
        </w:rPr>
        <w:t>ing</w:t>
      </w:r>
      <w:r w:rsidR="00552FC4" w:rsidRPr="00B04FBB">
        <w:rPr>
          <w:sz w:val="17"/>
          <w:szCs w:val="17"/>
        </w:rPr>
        <w:t xml:space="preserve"> sustainability risks in insurers</w:t>
      </w:r>
      <w:r w:rsidR="00B973A1">
        <w:rPr>
          <w:sz w:val="17"/>
          <w:szCs w:val="17"/>
        </w:rPr>
        <w:t>’</w:t>
      </w:r>
      <w:r w:rsidR="00552FC4" w:rsidRPr="00B04FBB">
        <w:rPr>
          <w:sz w:val="17"/>
          <w:szCs w:val="17"/>
        </w:rPr>
        <w:t xml:space="preserve"> activities and is necessary to enable investors to steer their portfolios towards sustainability objectives, in line with the ambitions of the Paris Agreement and of the European Green Deal.</w:t>
      </w:r>
    </w:p>
    <w:p w14:paraId="798DB93F" w14:textId="4C6B5FD4" w:rsidR="00152882" w:rsidRPr="00B04FBB" w:rsidRDefault="00152882" w:rsidP="00732D7B">
      <w:pPr>
        <w:autoSpaceDE w:val="0"/>
        <w:autoSpaceDN w:val="0"/>
        <w:adjustRightInd w:val="0"/>
        <w:rPr>
          <w:sz w:val="17"/>
          <w:szCs w:val="17"/>
        </w:rPr>
      </w:pPr>
      <w:bookmarkStart w:id="2" w:name="BorderPlate"/>
      <w:bookmarkEnd w:id="2"/>
    </w:p>
    <w:p w14:paraId="763C1EC3" w14:textId="46DDC137" w:rsidR="00C45E84" w:rsidRPr="00B04FBB" w:rsidRDefault="00552FC4" w:rsidP="00732D7B">
      <w:pPr>
        <w:autoSpaceDE w:val="0"/>
        <w:autoSpaceDN w:val="0"/>
        <w:adjustRightInd w:val="0"/>
        <w:rPr>
          <w:sz w:val="17"/>
          <w:szCs w:val="17"/>
        </w:rPr>
      </w:pPr>
      <w:r w:rsidRPr="00B04FBB">
        <w:rPr>
          <w:sz w:val="17"/>
          <w:szCs w:val="17"/>
        </w:rPr>
        <w:t>Unfortunately, the availability of reliable public ESG data is currently limited</w:t>
      </w:r>
      <w:r w:rsidR="00C45E84" w:rsidRPr="00B04FBB">
        <w:rPr>
          <w:sz w:val="17"/>
          <w:szCs w:val="17"/>
        </w:rPr>
        <w:t xml:space="preserve"> and in aggregate </w:t>
      </w:r>
      <w:r w:rsidR="00B973A1">
        <w:rPr>
          <w:sz w:val="17"/>
          <w:szCs w:val="17"/>
        </w:rPr>
        <w:t xml:space="preserve">its collection and use </w:t>
      </w:r>
      <w:r w:rsidR="00C45E84" w:rsidRPr="00B04FBB">
        <w:rPr>
          <w:sz w:val="17"/>
          <w:szCs w:val="17"/>
        </w:rPr>
        <w:t>can add significant costs</w:t>
      </w:r>
      <w:r w:rsidRPr="00B04FBB">
        <w:rPr>
          <w:sz w:val="17"/>
          <w:szCs w:val="17"/>
        </w:rPr>
        <w:t>. A centralised electronic EU ESG data register will help to achieve better comparability, increased transparency</w:t>
      </w:r>
      <w:r w:rsidR="00CE5F33">
        <w:rPr>
          <w:sz w:val="17"/>
          <w:szCs w:val="17"/>
        </w:rPr>
        <w:t xml:space="preserve"> and</w:t>
      </w:r>
      <w:r w:rsidRPr="00B04FBB">
        <w:rPr>
          <w:sz w:val="17"/>
          <w:szCs w:val="17"/>
        </w:rPr>
        <w:t xml:space="preserve"> lower barriers and costs, as well as help data preparers by eliminating multiple different requests for information. </w:t>
      </w:r>
    </w:p>
    <w:p w14:paraId="577C976F" w14:textId="77777777" w:rsidR="00C45E84" w:rsidRPr="00B04FBB" w:rsidRDefault="00C45E84" w:rsidP="00732D7B">
      <w:pPr>
        <w:autoSpaceDE w:val="0"/>
        <w:autoSpaceDN w:val="0"/>
        <w:adjustRightInd w:val="0"/>
        <w:rPr>
          <w:sz w:val="17"/>
          <w:szCs w:val="17"/>
        </w:rPr>
      </w:pPr>
    </w:p>
    <w:p w14:paraId="60DEC371" w14:textId="1CEEF6C6" w:rsidR="00C45E84" w:rsidRPr="00B04FBB" w:rsidRDefault="00C45E84" w:rsidP="00732D7B">
      <w:pPr>
        <w:autoSpaceDE w:val="0"/>
        <w:autoSpaceDN w:val="0"/>
        <w:adjustRightInd w:val="0"/>
        <w:rPr>
          <w:sz w:val="17"/>
          <w:szCs w:val="17"/>
        </w:rPr>
      </w:pPr>
      <w:r w:rsidRPr="00B04FBB">
        <w:rPr>
          <w:sz w:val="17"/>
          <w:szCs w:val="17"/>
        </w:rPr>
        <w:t xml:space="preserve">The first priority should be </w:t>
      </w:r>
      <w:r w:rsidR="00CE5F33">
        <w:rPr>
          <w:sz w:val="17"/>
          <w:szCs w:val="17"/>
        </w:rPr>
        <w:t>to</w:t>
      </w:r>
      <w:r w:rsidR="00CE5F33" w:rsidRPr="00B04FBB">
        <w:rPr>
          <w:sz w:val="17"/>
          <w:szCs w:val="17"/>
        </w:rPr>
        <w:t xml:space="preserve"> </w:t>
      </w:r>
      <w:r w:rsidRPr="00B04FBB">
        <w:rPr>
          <w:sz w:val="17"/>
          <w:szCs w:val="17"/>
        </w:rPr>
        <w:t>includ</w:t>
      </w:r>
      <w:r w:rsidR="00CE5F33">
        <w:rPr>
          <w:sz w:val="17"/>
          <w:szCs w:val="17"/>
        </w:rPr>
        <w:t>e</w:t>
      </w:r>
      <w:r w:rsidRPr="00B04FBB">
        <w:rPr>
          <w:sz w:val="17"/>
          <w:szCs w:val="17"/>
        </w:rPr>
        <w:t xml:space="preserve"> the ESG data relating to </w:t>
      </w:r>
      <w:r w:rsidR="00CE5F33">
        <w:rPr>
          <w:sz w:val="17"/>
          <w:szCs w:val="17"/>
        </w:rPr>
        <w:t xml:space="preserve">the </w:t>
      </w:r>
      <w:r w:rsidRPr="00B04FBB">
        <w:rPr>
          <w:sz w:val="17"/>
          <w:szCs w:val="17"/>
        </w:rPr>
        <w:t>NFRD, SFDR and EU taxonomy. As another building block</w:t>
      </w:r>
      <w:r w:rsidR="00A44CF4">
        <w:rPr>
          <w:sz w:val="17"/>
          <w:szCs w:val="17"/>
        </w:rPr>
        <w:t>,</w:t>
      </w:r>
      <w:r w:rsidRPr="00B04FBB">
        <w:rPr>
          <w:sz w:val="17"/>
          <w:szCs w:val="17"/>
        </w:rPr>
        <w:t xml:space="preserve"> the register should include relevant ESG information already collected by European and national institutions such as governments, central banks, statistical bodies, etc. Member </w:t>
      </w:r>
      <w:r w:rsidR="00A44CF4">
        <w:rPr>
          <w:sz w:val="17"/>
          <w:szCs w:val="17"/>
        </w:rPr>
        <w:t>s</w:t>
      </w:r>
      <w:r w:rsidRPr="00B04FBB">
        <w:rPr>
          <w:sz w:val="17"/>
          <w:szCs w:val="17"/>
        </w:rPr>
        <w:t xml:space="preserve">tates are already reporting environmental expenditure under the System of Environmental Economic Accounting </w:t>
      </w:r>
      <w:r w:rsidR="00A44CF4">
        <w:rPr>
          <w:sz w:val="17"/>
          <w:szCs w:val="17"/>
        </w:rPr>
        <w:t>(</w:t>
      </w:r>
      <w:r w:rsidRPr="00B04FBB">
        <w:rPr>
          <w:sz w:val="17"/>
          <w:szCs w:val="17"/>
        </w:rPr>
        <w:t>SEEA 2012</w:t>
      </w:r>
      <w:r w:rsidR="00A44CF4">
        <w:rPr>
          <w:sz w:val="17"/>
          <w:szCs w:val="17"/>
        </w:rPr>
        <w:t>)</w:t>
      </w:r>
      <w:r w:rsidRPr="00B04FBB">
        <w:rPr>
          <w:sz w:val="17"/>
          <w:szCs w:val="17"/>
        </w:rPr>
        <w:t xml:space="preserve">. The EU should open up its databases that collect environmental reporting data and make those re-usable. </w:t>
      </w:r>
    </w:p>
    <w:p w14:paraId="03085661" w14:textId="378F21F6" w:rsidR="0057672D" w:rsidRPr="00B04FBB" w:rsidRDefault="0057672D" w:rsidP="00732D7B">
      <w:pPr>
        <w:autoSpaceDE w:val="0"/>
        <w:autoSpaceDN w:val="0"/>
        <w:adjustRightInd w:val="0"/>
        <w:rPr>
          <w:sz w:val="17"/>
          <w:szCs w:val="17"/>
        </w:rPr>
      </w:pPr>
    </w:p>
    <w:p w14:paraId="0916B243" w14:textId="0C221F67" w:rsidR="0057672D" w:rsidRPr="00B04FBB" w:rsidRDefault="0057672D" w:rsidP="00732D7B">
      <w:pPr>
        <w:autoSpaceDE w:val="0"/>
        <w:autoSpaceDN w:val="0"/>
        <w:adjustRightInd w:val="0"/>
        <w:rPr>
          <w:sz w:val="17"/>
          <w:szCs w:val="17"/>
        </w:rPr>
      </w:pPr>
      <w:r w:rsidRPr="00B04FBB">
        <w:rPr>
          <w:sz w:val="17"/>
          <w:szCs w:val="17"/>
        </w:rPr>
        <w:t>The European insurance sector would like to stress the importance of taking into account the following factors when considering policy options:</w:t>
      </w:r>
    </w:p>
    <w:p w14:paraId="2775108A" w14:textId="3ECAFEA3" w:rsidR="0057672D" w:rsidRPr="00B04FBB" w:rsidRDefault="0057672D" w:rsidP="00732D7B">
      <w:pPr>
        <w:pStyle w:val="CEABullet-Level1"/>
        <w:rPr>
          <w:szCs w:val="17"/>
        </w:rPr>
      </w:pPr>
      <w:r w:rsidRPr="00B04FBB">
        <w:rPr>
          <w:szCs w:val="17"/>
        </w:rPr>
        <w:t xml:space="preserve">The data </w:t>
      </w:r>
      <w:r w:rsidR="00B834B4" w:rsidRPr="00B04FBB">
        <w:rPr>
          <w:szCs w:val="17"/>
        </w:rPr>
        <w:t>included in the ESAP</w:t>
      </w:r>
      <w:r w:rsidRPr="00B04FBB">
        <w:rPr>
          <w:szCs w:val="17"/>
        </w:rPr>
        <w:t xml:space="preserve"> must be </w:t>
      </w:r>
      <w:r w:rsidR="00C45E84" w:rsidRPr="00B04FBB">
        <w:rPr>
          <w:szCs w:val="17"/>
        </w:rPr>
        <w:t xml:space="preserve">fully </w:t>
      </w:r>
      <w:r w:rsidRPr="00B04FBB">
        <w:rPr>
          <w:szCs w:val="17"/>
        </w:rPr>
        <w:t xml:space="preserve">aligned </w:t>
      </w:r>
      <w:r w:rsidR="00777B33">
        <w:rPr>
          <w:szCs w:val="17"/>
        </w:rPr>
        <w:t>with</w:t>
      </w:r>
      <w:r w:rsidR="00777B33" w:rsidRPr="00B04FBB">
        <w:rPr>
          <w:szCs w:val="17"/>
        </w:rPr>
        <w:t xml:space="preserve"> </w:t>
      </w:r>
      <w:r w:rsidRPr="00B04FBB">
        <w:rPr>
          <w:szCs w:val="17"/>
        </w:rPr>
        <w:t xml:space="preserve">the regulatory requirements set by </w:t>
      </w:r>
      <w:r w:rsidR="00777B33">
        <w:rPr>
          <w:szCs w:val="17"/>
        </w:rPr>
        <w:t>SFDR</w:t>
      </w:r>
      <w:r w:rsidR="00220FF8" w:rsidRPr="00B04FBB">
        <w:rPr>
          <w:szCs w:val="17"/>
        </w:rPr>
        <w:t>,</w:t>
      </w:r>
      <w:r w:rsidRPr="00B04FBB">
        <w:rPr>
          <w:szCs w:val="17"/>
        </w:rPr>
        <w:t xml:space="preserve"> </w:t>
      </w:r>
      <w:r w:rsidR="00220FF8" w:rsidRPr="00B04FBB">
        <w:rPr>
          <w:szCs w:val="17"/>
        </w:rPr>
        <w:t>T</w:t>
      </w:r>
      <w:r w:rsidRPr="00B04FBB">
        <w:rPr>
          <w:szCs w:val="17"/>
        </w:rPr>
        <w:t xml:space="preserve">axonomy </w:t>
      </w:r>
      <w:r w:rsidR="00777B33">
        <w:rPr>
          <w:szCs w:val="17"/>
        </w:rPr>
        <w:t>R</w:t>
      </w:r>
      <w:r w:rsidRPr="00B04FBB">
        <w:rPr>
          <w:szCs w:val="17"/>
        </w:rPr>
        <w:t>egulation</w:t>
      </w:r>
      <w:r w:rsidR="00220FF8" w:rsidRPr="00B04FBB">
        <w:rPr>
          <w:szCs w:val="17"/>
        </w:rPr>
        <w:t xml:space="preserve"> and </w:t>
      </w:r>
      <w:r w:rsidR="00777B33">
        <w:rPr>
          <w:szCs w:val="17"/>
        </w:rPr>
        <w:t>NFRD</w:t>
      </w:r>
      <w:r w:rsidRPr="00B04FBB">
        <w:rPr>
          <w:szCs w:val="17"/>
        </w:rPr>
        <w:t xml:space="preserve">. </w:t>
      </w:r>
    </w:p>
    <w:p w14:paraId="3A1AA591" w14:textId="67A32575" w:rsidR="0057672D" w:rsidRPr="00B04FBB" w:rsidRDefault="0057672D" w:rsidP="00732D7B">
      <w:pPr>
        <w:pStyle w:val="CEABullet-Level1"/>
        <w:rPr>
          <w:szCs w:val="17"/>
        </w:rPr>
      </w:pPr>
      <w:r w:rsidRPr="00B04FBB">
        <w:rPr>
          <w:szCs w:val="17"/>
        </w:rPr>
        <w:t xml:space="preserve">Beyond what is required to comply with </w:t>
      </w:r>
      <w:r w:rsidR="00220FF8" w:rsidRPr="00B04FBB">
        <w:rPr>
          <w:szCs w:val="17"/>
        </w:rPr>
        <w:t>regulatory requirements</w:t>
      </w:r>
      <w:r w:rsidRPr="00B04FBB">
        <w:rPr>
          <w:szCs w:val="17"/>
        </w:rPr>
        <w:t xml:space="preserve">, </w:t>
      </w:r>
      <w:r w:rsidR="00917435" w:rsidRPr="00B04FBB">
        <w:rPr>
          <w:szCs w:val="17"/>
        </w:rPr>
        <w:t xml:space="preserve">care should be taken to ensure that the benefits </w:t>
      </w:r>
      <w:r w:rsidRPr="00B04FBB">
        <w:rPr>
          <w:szCs w:val="17"/>
        </w:rPr>
        <w:t xml:space="preserve">outweigh the costs. </w:t>
      </w:r>
    </w:p>
    <w:p w14:paraId="141B65F9" w14:textId="7D4142F2" w:rsidR="0057672D" w:rsidRPr="00B04FBB" w:rsidRDefault="0057672D" w:rsidP="00732D7B">
      <w:pPr>
        <w:pStyle w:val="CEABullet-Level1"/>
        <w:rPr>
          <w:szCs w:val="17"/>
        </w:rPr>
      </w:pPr>
      <w:r w:rsidRPr="00B04FBB">
        <w:rPr>
          <w:szCs w:val="17"/>
        </w:rPr>
        <w:t xml:space="preserve">The materiality of disclosures should be taken into account to avoid </w:t>
      </w:r>
      <w:r w:rsidR="00B834B4" w:rsidRPr="00B04FBB">
        <w:rPr>
          <w:szCs w:val="17"/>
        </w:rPr>
        <w:t>unnecessary costs and p</w:t>
      </w:r>
      <w:r w:rsidRPr="00B04FBB">
        <w:rPr>
          <w:szCs w:val="17"/>
        </w:rPr>
        <w:t xml:space="preserve">roportionality </w:t>
      </w:r>
      <w:r w:rsidR="00C45E84" w:rsidRPr="00B04FBB">
        <w:rPr>
          <w:szCs w:val="17"/>
        </w:rPr>
        <w:t xml:space="preserve">more generally </w:t>
      </w:r>
      <w:r w:rsidRPr="00B04FBB">
        <w:rPr>
          <w:szCs w:val="17"/>
        </w:rPr>
        <w:t xml:space="preserve">should be </w:t>
      </w:r>
      <w:r w:rsidR="00C45E84" w:rsidRPr="00B04FBB">
        <w:rPr>
          <w:szCs w:val="17"/>
        </w:rPr>
        <w:t>fully taken into account, with t</w:t>
      </w:r>
      <w:r w:rsidRPr="00B04FBB">
        <w:rPr>
          <w:szCs w:val="17"/>
        </w:rPr>
        <w:t>he size and complexity of undertakings considered when developing guidance or requirements.</w:t>
      </w:r>
    </w:p>
    <w:p w14:paraId="29CB7A98" w14:textId="6C5FFED0" w:rsidR="007B503F" w:rsidRPr="00B04FBB" w:rsidRDefault="007B503F" w:rsidP="00732D7B">
      <w:pPr>
        <w:pStyle w:val="CEABullet-Level1"/>
        <w:rPr>
          <w:szCs w:val="17"/>
        </w:rPr>
      </w:pPr>
      <w:bookmarkStart w:id="3" w:name="_Hlk61004567"/>
      <w:r w:rsidRPr="00B04FBB">
        <w:rPr>
          <w:szCs w:val="17"/>
        </w:rPr>
        <w:t xml:space="preserve">The need for comparability, </w:t>
      </w:r>
      <w:r w:rsidR="00264DFD">
        <w:rPr>
          <w:szCs w:val="17"/>
        </w:rPr>
        <w:t xml:space="preserve">the </w:t>
      </w:r>
      <w:r w:rsidRPr="00B04FBB">
        <w:rPr>
          <w:szCs w:val="17"/>
        </w:rPr>
        <w:t xml:space="preserve">broad coverage of ESG assessment and the resource/expertise intensive nature of sustainability research and ratings is quickly leading to strong concentration in this market. </w:t>
      </w:r>
      <w:r w:rsidRPr="00B04FBB">
        <w:rPr>
          <w:szCs w:val="17"/>
        </w:rPr>
        <w:lastRenderedPageBreak/>
        <w:t xml:space="preserve">As a result, ESG ratings and data providers are developing into oligopolistic structures, </w:t>
      </w:r>
      <w:r w:rsidR="00B04FBB">
        <w:rPr>
          <w:szCs w:val="17"/>
        </w:rPr>
        <w:t xml:space="preserve">with increasing costs </w:t>
      </w:r>
      <w:r w:rsidR="00264DFD">
        <w:rPr>
          <w:szCs w:val="17"/>
        </w:rPr>
        <w:t>for</w:t>
      </w:r>
      <w:r w:rsidR="00264DFD" w:rsidRPr="00B04FBB">
        <w:rPr>
          <w:szCs w:val="17"/>
        </w:rPr>
        <w:t xml:space="preserve"> </w:t>
      </w:r>
      <w:r w:rsidRPr="00B04FBB">
        <w:rPr>
          <w:szCs w:val="17"/>
        </w:rPr>
        <w:t>access</w:t>
      </w:r>
      <w:r w:rsidR="00264DFD">
        <w:rPr>
          <w:szCs w:val="17"/>
        </w:rPr>
        <w:t>ing</w:t>
      </w:r>
      <w:r w:rsidRPr="00B04FBB">
        <w:rPr>
          <w:szCs w:val="17"/>
        </w:rPr>
        <w:t xml:space="preserve"> ESG ratings/data. </w:t>
      </w:r>
      <w:r w:rsidR="00B04FBB">
        <w:rPr>
          <w:szCs w:val="17"/>
        </w:rPr>
        <w:t>In this respect</w:t>
      </w:r>
      <w:r w:rsidRPr="00B04FBB">
        <w:rPr>
          <w:szCs w:val="17"/>
        </w:rPr>
        <w:t>, the ESAP can help:</w:t>
      </w:r>
    </w:p>
    <w:p w14:paraId="7E2AD2AF" w14:textId="026CEA5B" w:rsidR="007B503F" w:rsidRPr="00B04FBB" w:rsidRDefault="008E2AE2" w:rsidP="00F444FE">
      <w:pPr>
        <w:pStyle w:val="CEABullet-Level2"/>
        <w:ind w:left="1418" w:hanging="357"/>
        <w:rPr>
          <w:szCs w:val="17"/>
        </w:rPr>
      </w:pPr>
      <w:r>
        <w:rPr>
          <w:szCs w:val="17"/>
        </w:rPr>
        <w:t>minimise</w:t>
      </w:r>
      <w:r w:rsidR="007B503F" w:rsidRPr="00B04FBB">
        <w:rPr>
          <w:szCs w:val="17"/>
        </w:rPr>
        <w:t xml:space="preserve"> such costs and avoid market participants </w:t>
      </w:r>
      <w:r w:rsidR="00264DFD">
        <w:rPr>
          <w:szCs w:val="17"/>
        </w:rPr>
        <w:t>being</w:t>
      </w:r>
      <w:r w:rsidR="00264DFD" w:rsidRPr="00B04FBB">
        <w:rPr>
          <w:szCs w:val="17"/>
        </w:rPr>
        <w:t xml:space="preserve"> </w:t>
      </w:r>
      <w:r w:rsidR="007B503F" w:rsidRPr="00B04FBB">
        <w:rPr>
          <w:szCs w:val="17"/>
        </w:rPr>
        <w:t>forced to rely on third</w:t>
      </w:r>
      <w:r w:rsidR="00264DFD">
        <w:rPr>
          <w:szCs w:val="17"/>
        </w:rPr>
        <w:t>-</w:t>
      </w:r>
      <w:r w:rsidR="007B503F" w:rsidRPr="00B04FBB">
        <w:rPr>
          <w:szCs w:val="17"/>
        </w:rPr>
        <w:t>party providers</w:t>
      </w:r>
      <w:r w:rsidR="00B04FBB">
        <w:rPr>
          <w:szCs w:val="17"/>
        </w:rPr>
        <w:t>.</w:t>
      </w:r>
    </w:p>
    <w:p w14:paraId="4BE18FFD" w14:textId="27674A73" w:rsidR="007B503F" w:rsidRPr="00B04FBB" w:rsidRDefault="007B503F" w:rsidP="00F444FE">
      <w:pPr>
        <w:pStyle w:val="CEABullet-Level2"/>
        <w:ind w:left="1418"/>
        <w:rPr>
          <w:szCs w:val="17"/>
        </w:rPr>
      </w:pPr>
      <w:r w:rsidRPr="00B04FBB">
        <w:rPr>
          <w:szCs w:val="17"/>
        </w:rPr>
        <w:t xml:space="preserve">improve transparency about ESG data and therefore enhance </w:t>
      </w:r>
      <w:r w:rsidR="00264DFD">
        <w:rPr>
          <w:szCs w:val="17"/>
        </w:rPr>
        <w:t xml:space="preserve">the </w:t>
      </w:r>
      <w:r w:rsidRPr="00B04FBB">
        <w:rPr>
          <w:szCs w:val="17"/>
        </w:rPr>
        <w:t>comparability and reliability of research and ratings</w:t>
      </w:r>
      <w:r w:rsidR="00B04FBB">
        <w:rPr>
          <w:szCs w:val="17"/>
        </w:rPr>
        <w:t xml:space="preserve"> (</w:t>
      </w:r>
      <w:r w:rsidRPr="00B04FBB">
        <w:rPr>
          <w:szCs w:val="17"/>
        </w:rPr>
        <w:t xml:space="preserve">currently problematic due to differences in definitions, data sources, methodologies, frequency </w:t>
      </w:r>
      <w:r w:rsidR="00B04FBB">
        <w:rPr>
          <w:szCs w:val="17"/>
        </w:rPr>
        <w:t xml:space="preserve">of </w:t>
      </w:r>
      <w:r w:rsidRPr="00B04FBB">
        <w:rPr>
          <w:szCs w:val="17"/>
        </w:rPr>
        <w:t xml:space="preserve">data collection). </w:t>
      </w:r>
    </w:p>
    <w:bookmarkEnd w:id="3"/>
    <w:p w14:paraId="1E994508" w14:textId="6E45889B" w:rsidR="00F444FE" w:rsidRPr="00B04FBB" w:rsidRDefault="00F444FE" w:rsidP="00F444FE">
      <w:pPr>
        <w:pStyle w:val="CEABullet-Level1"/>
      </w:pPr>
      <w:r w:rsidRPr="00F444FE">
        <w:rPr>
          <w:szCs w:val="17"/>
        </w:rPr>
        <w:t>Beyond</w:t>
      </w:r>
      <w:r w:rsidRPr="00B04FBB">
        <w:t xml:space="preserve"> sustainability data, research and ratings, credit rating databases are also needed by insurers to comply with certain regulations (</w:t>
      </w:r>
      <w:proofErr w:type="spellStart"/>
      <w:r w:rsidRPr="00B04FBB">
        <w:t>eg</w:t>
      </w:r>
      <w:proofErr w:type="spellEnd"/>
      <w:r w:rsidRPr="00B04FBB">
        <w:t xml:space="preserve"> Solvency II). However, they can currently be excessively expensive for insurers to access/use. If the scope of </w:t>
      </w:r>
      <w:r w:rsidR="00A04962">
        <w:t xml:space="preserve">the </w:t>
      </w:r>
      <w:r w:rsidRPr="00B04FBB">
        <w:t>ESAP goes beyond ESG data, the EC should consider how credit ratings, especially those which have already been paid for by the companies, could be included in the ESAP as a way to address this issue. This would also be consistent with the ongoing ESMA work on the European Rating Platform (ERP).</w:t>
      </w:r>
    </w:p>
    <w:p w14:paraId="4D08AB1C" w14:textId="77777777" w:rsidR="00152882" w:rsidRPr="00732D7B" w:rsidRDefault="00152882" w:rsidP="00732D7B">
      <w:pPr>
        <w:jc w:val="left"/>
        <w:rPr>
          <w:szCs w:val="18"/>
        </w:rPr>
      </w:pPr>
    </w:p>
    <w:p w14:paraId="60992983" w14:textId="1AF3992B" w:rsidR="00152882" w:rsidRPr="00732D7B" w:rsidRDefault="00AF6378" w:rsidP="00732D7B">
      <w:pPr>
        <w:autoSpaceDE w:val="0"/>
        <w:autoSpaceDN w:val="0"/>
        <w:adjustRightInd w:val="0"/>
        <w:rPr>
          <w:rStyle w:val="Heading1CEAChar"/>
          <w:rFonts w:ascii="Verdana" w:hAnsi="Verdana"/>
          <w:bCs/>
          <w:color w:val="002957"/>
          <w:sz w:val="19"/>
          <w:szCs w:val="19"/>
        </w:rPr>
      </w:pPr>
      <w:r w:rsidRPr="00732D7B">
        <w:rPr>
          <w:rStyle w:val="Heading1CEAChar"/>
          <w:rFonts w:ascii="Verdana" w:hAnsi="Verdana"/>
          <w:bCs/>
          <w:color w:val="002957"/>
          <w:sz w:val="19"/>
          <w:szCs w:val="19"/>
        </w:rPr>
        <w:t>Other</w:t>
      </w:r>
      <w:r w:rsidRPr="00732D7B">
        <w:rPr>
          <w:rStyle w:val="Heading1CEAChar"/>
          <w:rFonts w:ascii="Verdana" w:hAnsi="Verdana"/>
          <w:b w:val="0"/>
          <w:color w:val="002957"/>
          <w:sz w:val="19"/>
          <w:szCs w:val="19"/>
        </w:rPr>
        <w:t xml:space="preserve"> </w:t>
      </w:r>
      <w:r w:rsidRPr="00732D7B">
        <w:rPr>
          <w:rStyle w:val="Heading1CEAChar"/>
          <w:rFonts w:ascii="Verdana" w:hAnsi="Verdana"/>
          <w:bCs/>
          <w:color w:val="002957"/>
          <w:sz w:val="19"/>
          <w:szCs w:val="19"/>
        </w:rPr>
        <w:t xml:space="preserve">considerations </w:t>
      </w:r>
    </w:p>
    <w:p w14:paraId="4AC70BC8" w14:textId="37AC26F2" w:rsidR="00B306F4" w:rsidRPr="008739DB" w:rsidRDefault="00B306F4" w:rsidP="00732D7B">
      <w:pPr>
        <w:pStyle w:val="CEABullet-Level1"/>
        <w:ind w:left="714" w:hanging="357"/>
        <w:rPr>
          <w:color w:val="auto"/>
          <w:szCs w:val="17"/>
        </w:rPr>
      </w:pPr>
      <w:r w:rsidRPr="008739DB">
        <w:rPr>
          <w:color w:val="auto"/>
          <w:szCs w:val="17"/>
        </w:rPr>
        <w:t>In the context of the post COVID-19 recovery, it is key t</w:t>
      </w:r>
      <w:r w:rsidR="00780569">
        <w:rPr>
          <w:color w:val="auto"/>
          <w:szCs w:val="17"/>
        </w:rPr>
        <w:t xml:space="preserve">o </w:t>
      </w:r>
      <w:r w:rsidRPr="008739DB">
        <w:rPr>
          <w:szCs w:val="17"/>
        </w:rPr>
        <w:t>enable</w:t>
      </w:r>
      <w:r w:rsidR="00780569">
        <w:rPr>
          <w:szCs w:val="17"/>
        </w:rPr>
        <w:t xml:space="preserve"> </w:t>
      </w:r>
      <w:r w:rsidRPr="008739DB">
        <w:rPr>
          <w:szCs w:val="17"/>
        </w:rPr>
        <w:t xml:space="preserve">digital transformation, which in turn can help </w:t>
      </w:r>
      <w:r w:rsidRPr="008739DB">
        <w:rPr>
          <w:color w:val="auto"/>
          <w:szCs w:val="17"/>
        </w:rPr>
        <w:t>embed sustainability in the financial sector</w:t>
      </w:r>
      <w:r w:rsidRPr="008739DB">
        <w:rPr>
          <w:szCs w:val="17"/>
        </w:rPr>
        <w:t xml:space="preserve">. </w:t>
      </w:r>
      <w:r w:rsidRPr="008739DB">
        <w:rPr>
          <w:color w:val="auto"/>
          <w:szCs w:val="17"/>
        </w:rPr>
        <w:t xml:space="preserve">The industry is supportive of the development of digital finance solutions and encourages the EU to develop the standards required for </w:t>
      </w:r>
      <w:r w:rsidR="00A04962">
        <w:rPr>
          <w:color w:val="auto"/>
          <w:szCs w:val="17"/>
        </w:rPr>
        <w:t xml:space="preserve">the </w:t>
      </w:r>
      <w:r w:rsidRPr="008739DB">
        <w:rPr>
          <w:color w:val="auto"/>
          <w:szCs w:val="17"/>
        </w:rPr>
        <w:t>transparency of sustainable finance, so that the recovery is aligned with the objectives of the digital transformation.</w:t>
      </w:r>
    </w:p>
    <w:p w14:paraId="6EDA6658" w14:textId="625ED652" w:rsidR="00152882" w:rsidRPr="008739DB" w:rsidRDefault="00B306F4" w:rsidP="00732D7B">
      <w:pPr>
        <w:pStyle w:val="CEABullet-Level1"/>
        <w:ind w:left="714" w:hanging="357"/>
        <w:rPr>
          <w:szCs w:val="17"/>
        </w:rPr>
      </w:pPr>
      <w:r w:rsidRPr="008739DB">
        <w:rPr>
          <w:color w:val="auto"/>
          <w:szCs w:val="17"/>
        </w:rPr>
        <w:t>EU policy action will be crucial to maximise the potential of digital tools for sustainable finance. Any proposed regulatory actions should be innovation-friendly and technology neutral to ensure that they are fit for the digital age and do not create any obstacles to innovation.</w:t>
      </w:r>
    </w:p>
    <w:p w14:paraId="4B95436A" w14:textId="179904AF" w:rsidR="00152882" w:rsidRPr="008739DB" w:rsidRDefault="006B3A6B" w:rsidP="00732D7B">
      <w:pPr>
        <w:pStyle w:val="CEABullet-Level1"/>
        <w:ind w:left="714" w:hanging="357"/>
        <w:rPr>
          <w:szCs w:val="17"/>
        </w:rPr>
      </w:pPr>
      <w:r w:rsidRPr="008739DB">
        <w:rPr>
          <w:szCs w:val="17"/>
        </w:rPr>
        <w:t>While t</w:t>
      </w:r>
      <w:r w:rsidR="00F444FE" w:rsidRPr="008739DB">
        <w:rPr>
          <w:szCs w:val="17"/>
        </w:rPr>
        <w:t>he</w:t>
      </w:r>
      <w:r w:rsidR="000543AB" w:rsidRPr="008739DB">
        <w:rPr>
          <w:szCs w:val="17"/>
        </w:rPr>
        <w:t xml:space="preserve"> general idea behind common European data spaces is to be welcomed</w:t>
      </w:r>
      <w:r w:rsidRPr="008739DB">
        <w:rPr>
          <w:szCs w:val="17"/>
        </w:rPr>
        <w:t xml:space="preserve">, </w:t>
      </w:r>
      <w:r w:rsidR="000543AB" w:rsidRPr="008739DB">
        <w:rPr>
          <w:szCs w:val="17"/>
        </w:rPr>
        <w:t>much depends on the specific operating model and implementation chosen for the data space. Where possible and feasible, the data should be presented in anonymised form. It is important that the development of common European data spaces creates a common understanding between industries with regard to data specification, update frequencies, governance, data quality, enforcement, etc. The alternative may result in a patchwork of unrelated, non-interoperable databases that offer no real benefit.</w:t>
      </w:r>
    </w:p>
    <w:p w14:paraId="4300ADA3" w14:textId="3B4E7B43" w:rsidR="00152882" w:rsidRPr="00732D7B" w:rsidRDefault="00152882" w:rsidP="00732D7B">
      <w:pPr>
        <w:autoSpaceDE w:val="0"/>
        <w:autoSpaceDN w:val="0"/>
        <w:adjustRightInd w:val="0"/>
        <w:rPr>
          <w:sz w:val="20"/>
          <w:szCs w:val="20"/>
        </w:rPr>
      </w:pPr>
    </w:p>
    <w:p w14:paraId="5C2BD2E9" w14:textId="0D2800CA" w:rsidR="00A73C39" w:rsidRPr="00732D7B" w:rsidRDefault="00A73C39" w:rsidP="00732D7B">
      <w:pPr>
        <w:autoSpaceDE w:val="0"/>
        <w:autoSpaceDN w:val="0"/>
        <w:adjustRightInd w:val="0"/>
        <w:rPr>
          <w:sz w:val="20"/>
          <w:szCs w:val="20"/>
        </w:rPr>
      </w:pPr>
    </w:p>
    <w:sectPr w:rsidR="00A73C39" w:rsidRPr="00732D7B" w:rsidSect="000C5B5F">
      <w:type w:val="continuous"/>
      <w:pgSz w:w="11907" w:h="16839" w:code="9"/>
      <w:pgMar w:top="2336" w:right="902" w:bottom="1077" w:left="1474" w:header="709"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E6341" w14:textId="77777777" w:rsidR="00100CCD" w:rsidRDefault="00100CCD">
      <w:pPr>
        <w:spacing w:line="240" w:lineRule="auto"/>
      </w:pPr>
      <w:r>
        <w:separator/>
      </w:r>
    </w:p>
  </w:endnote>
  <w:endnote w:type="continuationSeparator" w:id="0">
    <w:p w14:paraId="794A7C0B" w14:textId="77777777" w:rsidR="00100CCD" w:rsidRDefault="00100CCD">
      <w:pPr>
        <w:spacing w:line="240" w:lineRule="auto"/>
      </w:pPr>
      <w:r>
        <w:continuationSeparator/>
      </w:r>
    </w:p>
  </w:endnote>
  <w:endnote w:type="continuationNotice" w:id="1">
    <w:p w14:paraId="59D87746" w14:textId="77777777" w:rsidR="00100CCD" w:rsidRDefault="00100C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0043B" w14:textId="77777777" w:rsidR="005A13D6" w:rsidRDefault="005A13D6" w:rsidP="000C5B5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21F481D" w14:textId="77777777" w:rsidR="005A13D6" w:rsidRDefault="005A13D6" w:rsidP="000C5B5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DD611" w14:textId="77777777" w:rsidR="005A13D6" w:rsidRPr="00723412" w:rsidRDefault="005A13D6" w:rsidP="000C5B5F">
    <w:pPr>
      <w:pStyle w:val="Pta"/>
      <w:framePr w:wrap="around" w:vAnchor="page" w:hAnchor="margin" w:xAlign="right" w:y="16161"/>
      <w:rPr>
        <w:rStyle w:val="slostrany"/>
        <w:color w:val="002957"/>
      </w:rPr>
    </w:pPr>
    <w:r>
      <w:rPr>
        <w:rStyle w:val="slostrany"/>
        <w:color w:val="002957"/>
        <w:szCs w:val="17"/>
      </w:rPr>
      <w:fldChar w:fldCharType="begin"/>
    </w:r>
    <w:r>
      <w:rPr>
        <w:rStyle w:val="slostrany"/>
        <w:color w:val="002957"/>
        <w:szCs w:val="17"/>
      </w:rPr>
      <w:instrText xml:space="preserve"> PAGE   \* MERGEFORMAT </w:instrText>
    </w:r>
    <w:r>
      <w:rPr>
        <w:rStyle w:val="slostrany"/>
        <w:color w:val="002957"/>
        <w:szCs w:val="17"/>
      </w:rPr>
      <w:fldChar w:fldCharType="separate"/>
    </w:r>
    <w:r>
      <w:rPr>
        <w:rStyle w:val="slostrany"/>
        <w:noProof/>
        <w:color w:val="002957"/>
        <w:szCs w:val="17"/>
      </w:rPr>
      <w:t>2</w:t>
    </w:r>
    <w:r>
      <w:rPr>
        <w:rStyle w:val="slostrany"/>
        <w:color w:val="002957"/>
        <w:szCs w:val="17"/>
      </w:rPr>
      <w:fldChar w:fldCharType="end"/>
    </w:r>
  </w:p>
  <w:p w14:paraId="643A341F" w14:textId="77777777" w:rsidR="005A13D6" w:rsidRPr="0085650F" w:rsidRDefault="005A13D6" w:rsidP="000C5B5F">
    <w:pPr>
      <w:tabs>
        <w:tab w:val="right" w:pos="10260"/>
      </w:tabs>
      <w:autoSpaceDE w:val="0"/>
      <w:autoSpaceDN w:val="0"/>
      <w:adjustRightInd w:val="0"/>
      <w:ind w:right="360"/>
      <w:textAlignment w:val="center"/>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3052C" w14:textId="77777777" w:rsidR="005A13D6" w:rsidRPr="006A3720" w:rsidRDefault="005A13D6" w:rsidP="000C5B5F">
    <w:pPr>
      <w:framePr w:w="3958" w:h="1015" w:hRule="exact" w:hSpace="181" w:wrap="around" w:vAnchor="page" w:hAnchor="page" w:x="7259" w:y="15423" w:anchorLock="1"/>
      <w:rPr>
        <w:rFonts w:cs="Tahoma"/>
        <w:color w:val="002957"/>
        <w:sz w:val="14"/>
        <w:szCs w:val="14"/>
      </w:rPr>
    </w:pPr>
    <w:r w:rsidRPr="006A3720">
      <w:rPr>
        <w:rFonts w:cs="Tahoma"/>
        <w:color w:val="002957"/>
        <w:sz w:val="14"/>
        <w:szCs w:val="14"/>
      </w:rPr>
      <w:t xml:space="preserve">© </w:t>
    </w:r>
    <w:r w:rsidRPr="006A3720">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14:paraId="15FA2B39" w14:textId="77777777" w:rsidR="005A13D6" w:rsidRDefault="005A13D6" w:rsidP="00BD3110">
    <w:pPr>
      <w:pStyle w:val="CEAFooterauthorinfo"/>
      <w:ind w:left="567"/>
      <w:jc w:val="left"/>
      <w:rPr>
        <w:b w:val="0"/>
        <w:color w:val="002957"/>
        <w:sz w:val="14"/>
        <w:szCs w:val="14"/>
        <w:lang w:val="pt-PT"/>
      </w:rPr>
    </w:pPr>
    <w:r w:rsidRPr="00A4463C">
      <w:rPr>
        <w:b w:val="0"/>
        <w:color w:val="002957"/>
        <w:sz w:val="14"/>
        <w:szCs w:val="14"/>
        <w:lang w:val="fr-BE"/>
      </w:rPr>
      <w:t>Insurance Europe aisbl</w:t>
    </w:r>
  </w:p>
  <w:p w14:paraId="3958F310" w14:textId="77777777" w:rsidR="005A13D6" w:rsidRPr="00A4463C" w:rsidRDefault="005A13D6" w:rsidP="00BD3110">
    <w:pPr>
      <w:pStyle w:val="CEAFooterauthorinfo"/>
      <w:ind w:left="567"/>
      <w:jc w:val="left"/>
      <w:rPr>
        <w:b w:val="0"/>
        <w:color w:val="002957"/>
        <w:sz w:val="14"/>
        <w:szCs w:val="14"/>
        <w:lang w:val="fr-BE"/>
      </w:rPr>
    </w:pPr>
    <w:r w:rsidRPr="00A4463C">
      <w:rPr>
        <w:b w:val="0"/>
        <w:color w:val="002957"/>
        <w:sz w:val="14"/>
        <w:szCs w:val="14"/>
        <w:lang w:val="fr-BE"/>
      </w:rPr>
      <w:t xml:space="preserve">Rue Montoyer 51, B-1000 Brussels </w:t>
    </w:r>
  </w:p>
  <w:p w14:paraId="24717FFC" w14:textId="77777777" w:rsidR="005A13D6" w:rsidRDefault="005A13D6" w:rsidP="000C5B5F">
    <w:pPr>
      <w:pStyle w:val="CEAFooterauthorinfo"/>
      <w:ind w:left="567"/>
      <w:jc w:val="left"/>
      <w:rPr>
        <w:b w:val="0"/>
        <w:color w:val="002957"/>
        <w:sz w:val="14"/>
        <w:szCs w:val="14"/>
        <w:lang w:val="pt-PT"/>
      </w:rPr>
    </w:pPr>
    <w:r w:rsidRPr="0085650F">
      <w:rPr>
        <w:b w:val="0"/>
        <w:color w:val="002957"/>
        <w:sz w:val="14"/>
        <w:szCs w:val="14"/>
        <w:lang w:val="pt-PT"/>
      </w:rPr>
      <w:t>Tel:</w:t>
    </w:r>
    <w:r>
      <w:rPr>
        <w:b w:val="0"/>
        <w:color w:val="002957"/>
        <w:sz w:val="14"/>
        <w:szCs w:val="14"/>
        <w:lang w:val="pt-PT"/>
      </w:rPr>
      <w:t xml:space="preserve"> +32 2 894 30 00 • Fax: +32 2 894 30 01</w:t>
    </w:r>
  </w:p>
  <w:p w14:paraId="3147B1DA" w14:textId="77777777" w:rsidR="005A13D6" w:rsidRDefault="005A13D6" w:rsidP="000C5B5F">
    <w:pPr>
      <w:pStyle w:val="CEAFooterauthorinfo"/>
      <w:ind w:left="567"/>
      <w:jc w:val="left"/>
      <w:rPr>
        <w:b w:val="0"/>
        <w:color w:val="82C55B"/>
        <w:sz w:val="14"/>
        <w:szCs w:val="14"/>
        <w:lang w:val="pt-PT"/>
      </w:rPr>
    </w:pPr>
    <w:r>
      <w:rPr>
        <w:b w:val="0"/>
        <w:color w:val="002957"/>
        <w:sz w:val="14"/>
        <w:szCs w:val="14"/>
        <w:lang w:val="pt-PT"/>
      </w:rPr>
      <w:t>E-mail : info@insuranceeurope.eu</w:t>
    </w:r>
  </w:p>
  <w:p w14:paraId="267EC0BA" w14:textId="77777777" w:rsidR="005A13D6" w:rsidRPr="0085650F" w:rsidRDefault="005A13D6" w:rsidP="00A4463C">
    <w:pPr>
      <w:pStyle w:val="CEAFooterauthorinfo"/>
      <w:jc w:val="left"/>
      <w:rPr>
        <w:b w:val="0"/>
        <w:color w:val="82C55B"/>
        <w:sz w:val="14"/>
        <w:szCs w:val="14"/>
        <w:lang w:val="pt-PT"/>
      </w:rPr>
    </w:pPr>
    <w:r>
      <w:rPr>
        <w:b w:val="0"/>
        <w:color w:val="82C55B"/>
        <w:sz w:val="14"/>
        <w:szCs w:val="14"/>
        <w:lang w:val="pt-PT"/>
      </w:rPr>
      <w:t xml:space="preserve">           </w:t>
    </w:r>
    <w:r w:rsidRPr="00A4463C">
      <w:rPr>
        <w:b w:val="0"/>
        <w:color w:val="82C55B"/>
        <w:sz w:val="14"/>
        <w:szCs w:val="14"/>
        <w:lang w:val="pt-PT"/>
      </w:rPr>
      <w:t>www.insuranceeurope.eu</w:t>
    </w:r>
  </w:p>
  <w:p w14:paraId="67B472D0" w14:textId="77777777" w:rsidR="005A13D6" w:rsidRPr="00A4463C" w:rsidRDefault="005A13D6">
    <w:pPr>
      <w:pStyle w:val="Pta"/>
      <w:rPr>
        <w:color w:val="002957"/>
        <w:sz w:val="14"/>
        <w:szCs w:val="14"/>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3EC28" w14:textId="77777777" w:rsidR="00100CCD" w:rsidRDefault="00100CCD">
      <w:pPr>
        <w:spacing w:line="240" w:lineRule="auto"/>
      </w:pPr>
      <w:r>
        <w:separator/>
      </w:r>
    </w:p>
  </w:footnote>
  <w:footnote w:type="continuationSeparator" w:id="0">
    <w:p w14:paraId="599F2628" w14:textId="77777777" w:rsidR="00100CCD" w:rsidRDefault="00100CCD">
      <w:pPr>
        <w:spacing w:line="240" w:lineRule="auto"/>
      </w:pPr>
      <w:r>
        <w:continuationSeparator/>
      </w:r>
    </w:p>
  </w:footnote>
  <w:footnote w:type="continuationNotice" w:id="1">
    <w:p w14:paraId="74037C4F" w14:textId="77777777" w:rsidR="00100CCD" w:rsidRDefault="00100C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AF3AB" w14:textId="77777777" w:rsidR="00606C7F" w:rsidRDefault="00606C7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50C2B" w14:textId="77777777" w:rsidR="005A13D6" w:rsidRPr="00323E1C" w:rsidRDefault="005A13D6" w:rsidP="000C5B5F">
    <w:pPr>
      <w:pStyle w:val="Noparagraphstyle"/>
      <w:jc w:val="right"/>
      <w:rPr>
        <w:rFonts w:ascii="Verdana" w:hAnsi="Verdana"/>
        <w:sz w:val="18"/>
        <w:szCs w:val="18"/>
      </w:rPr>
    </w:pPr>
    <w:r w:rsidRPr="000D41DA">
      <w:rPr>
        <w:rFonts w:ascii="Frutiger LT Com 45 Light" w:hAnsi="Frutiger LT Com 45 Light"/>
        <w:noProof/>
        <w:lang w:val="nl-BE" w:eastAsia="nl-BE"/>
      </w:rPr>
      <w:drawing>
        <wp:anchor distT="0" distB="0" distL="114300" distR="114300" simplePos="0" relativeHeight="251658241" behindDoc="0" locked="0" layoutInCell="1" allowOverlap="1" wp14:anchorId="21275F8D" wp14:editId="7E895CB7">
          <wp:simplePos x="0" y="0"/>
          <wp:positionH relativeFrom="page">
            <wp:posOffset>528955</wp:posOffset>
          </wp:positionH>
          <wp:positionV relativeFrom="page">
            <wp:posOffset>521970</wp:posOffset>
          </wp:positionV>
          <wp:extent cx="1457325" cy="895350"/>
          <wp:effectExtent l="19050" t="0" r="0" b="0"/>
          <wp:wrapSquare wrapText="bothSides"/>
          <wp:docPr id="6"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3EDF952B" w14:textId="6DFF156E" w:rsidR="00C55F3F" w:rsidRPr="00C55F3F" w:rsidRDefault="00C55F3F" w:rsidP="00C55F3F">
    <w:pPr>
      <w:pStyle w:val="Hlavika"/>
      <w:jc w:val="right"/>
      <w:rPr>
        <w:b/>
        <w:bCs/>
      </w:rPr>
    </w:pPr>
    <w:r w:rsidRPr="00C55F3F">
      <w:rPr>
        <w:b/>
        <w:bCs/>
        <w:color w:val="FF0000"/>
        <w:sz w:val="24"/>
        <w:szCs w:val="36"/>
      </w:rPr>
      <w:t xml:space="preserve">DRAFT FOR BLOCKING CONCERNS BY 14 </w:t>
    </w:r>
    <w:r w:rsidR="0068506F">
      <w:rPr>
        <w:b/>
        <w:bCs/>
        <w:color w:val="FF0000"/>
        <w:sz w:val="24"/>
        <w:szCs w:val="36"/>
      </w:rPr>
      <w:t>JANUARY</w:t>
    </w:r>
  </w:p>
  <w:p w14:paraId="6020CE6C" w14:textId="77777777" w:rsidR="005A13D6" w:rsidRPr="0085650F" w:rsidRDefault="005A13D6" w:rsidP="000C5B5F">
    <w:pPr>
      <w:pStyle w:val="Noparagraphstyle"/>
      <w:jc w:val="right"/>
      <w:rPr>
        <w:rFonts w:ascii="Verdana" w:hAnsi="Verdana" w:cs="Arial"/>
        <w:i/>
        <w:iCs/>
        <w:color w:val="034EA2"/>
      </w:rPr>
    </w:pPr>
    <w:r w:rsidRPr="00323E1C">
      <w:rPr>
        <w:rFonts w:ascii="Verdana" w:hAnsi="Verdana"/>
      </w:rPr>
      <w:tab/>
    </w:r>
  </w:p>
  <w:p w14:paraId="659BE85D" w14:textId="77777777" w:rsidR="005A13D6" w:rsidRPr="00491802" w:rsidRDefault="005A13D6" w:rsidP="000C5B5F">
    <w:pPr>
      <w:pStyle w:val="Hlavika"/>
      <w:tabs>
        <w:tab w:val="clear" w:pos="4320"/>
        <w:tab w:val="clear" w:pos="8640"/>
        <w:tab w:val="center" w:pos="0"/>
        <w:tab w:val="right" w:pos="1044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0B683" w14:textId="77777777" w:rsidR="005A13D6" w:rsidRPr="00323E1C" w:rsidRDefault="005A13D6" w:rsidP="000C5B5F">
    <w:pPr>
      <w:pStyle w:val="Noparagraphstyle"/>
      <w:jc w:val="right"/>
      <w:rPr>
        <w:rFonts w:ascii="Verdana" w:hAnsi="Verdana"/>
        <w:sz w:val="18"/>
        <w:szCs w:val="18"/>
      </w:rPr>
    </w:pPr>
    <w:r w:rsidRPr="000D41DA">
      <w:rPr>
        <w:rFonts w:ascii="Frutiger LT Com 45 Light" w:hAnsi="Frutiger LT Com 45 Light"/>
        <w:noProof/>
        <w:sz w:val="18"/>
        <w:szCs w:val="18"/>
        <w:lang w:val="nl-BE" w:eastAsia="nl-BE"/>
      </w:rPr>
      <w:drawing>
        <wp:anchor distT="0" distB="0" distL="114300" distR="114300" simplePos="0" relativeHeight="251658240" behindDoc="0" locked="0" layoutInCell="1" allowOverlap="1" wp14:anchorId="7D8FF058" wp14:editId="160468A4">
          <wp:simplePos x="0" y="0"/>
          <wp:positionH relativeFrom="page">
            <wp:posOffset>523875</wp:posOffset>
          </wp:positionH>
          <wp:positionV relativeFrom="page">
            <wp:posOffset>523875</wp:posOffset>
          </wp:positionV>
          <wp:extent cx="1457325" cy="895350"/>
          <wp:effectExtent l="19050" t="0" r="0" b="0"/>
          <wp:wrapSquare wrapText="bothSides"/>
          <wp:docPr id="7"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14:paraId="28A77EEA" w14:textId="77777777" w:rsidR="00C55F3F" w:rsidRDefault="00C55F3F" w:rsidP="00C55F3F">
    <w:pPr>
      <w:pStyle w:val="Hlavika"/>
      <w:jc w:val="right"/>
      <w:rPr>
        <w:b/>
        <w:bCs/>
        <w:color w:val="FF0000"/>
        <w:sz w:val="28"/>
        <w:szCs w:val="40"/>
      </w:rPr>
    </w:pPr>
    <w:r w:rsidRPr="00C55F3F">
      <w:rPr>
        <w:b/>
        <w:bCs/>
        <w:color w:val="FF0000"/>
        <w:sz w:val="28"/>
        <w:szCs w:val="40"/>
      </w:rPr>
      <w:t>DRAFT FOR BLOCKING CONCERNS</w:t>
    </w:r>
    <w:r>
      <w:rPr>
        <w:b/>
        <w:bCs/>
        <w:color w:val="FF0000"/>
        <w:sz w:val="28"/>
        <w:szCs w:val="40"/>
      </w:rPr>
      <w:t xml:space="preserve"> </w:t>
    </w:r>
  </w:p>
  <w:p w14:paraId="5BD66B46" w14:textId="524FDE2A" w:rsidR="005A13D6" w:rsidRPr="00C55F3F" w:rsidRDefault="00C55F3F" w:rsidP="00C55F3F">
    <w:pPr>
      <w:pStyle w:val="Hlavika"/>
      <w:jc w:val="right"/>
      <w:rPr>
        <w:b/>
        <w:bCs/>
      </w:rPr>
    </w:pPr>
    <w:r>
      <w:rPr>
        <w:b/>
        <w:bCs/>
        <w:color w:val="FF0000"/>
        <w:sz w:val="28"/>
        <w:szCs w:val="40"/>
      </w:rPr>
      <w:t xml:space="preserve">BY 14 </w:t>
    </w:r>
    <w:r w:rsidR="0068506F">
      <w:rPr>
        <w:b/>
        <w:bCs/>
        <w:color w:val="FF0000"/>
        <w:sz w:val="28"/>
        <w:szCs w:val="40"/>
      </w:rPr>
      <w:t>JANUARY</w:t>
    </w:r>
  </w:p>
  <w:p w14:paraId="4BDE324C" w14:textId="77777777" w:rsidR="005A13D6" w:rsidRDefault="005A13D6">
    <w:pPr>
      <w:pStyle w:val="Hlavika"/>
    </w:pPr>
  </w:p>
  <w:p w14:paraId="263C6D98" w14:textId="77777777" w:rsidR="005A13D6" w:rsidRDefault="005A13D6">
    <w:pPr>
      <w:pStyle w:val="Hlavika"/>
    </w:pPr>
  </w:p>
  <w:p w14:paraId="77452DD7" w14:textId="4FEC8A80" w:rsidR="005A13D6" w:rsidRPr="009F36CD" w:rsidRDefault="005A13D6" w:rsidP="000C5B5F">
    <w:pPr>
      <w:jc w:val="right"/>
      <w:rPr>
        <w:rFonts w:cs="Arial"/>
        <w:color w:val="002957"/>
        <w:sz w:val="36"/>
        <w:szCs w:val="36"/>
      </w:rPr>
    </w:pPr>
    <w:r>
      <w:tab/>
    </w:r>
    <w:r>
      <w:tab/>
    </w:r>
    <w:r w:rsidRPr="0085650F">
      <w:rPr>
        <w:rFonts w:cs="Arial"/>
        <w:b/>
        <w:color w:val="034EA2"/>
        <w:sz w:val="40"/>
        <w:szCs w:val="40"/>
      </w:rPr>
      <w:tab/>
    </w:r>
    <w:r w:rsidRPr="0085650F">
      <w:rPr>
        <w:rFonts w:cs="Arial"/>
        <w:b/>
        <w:color w:val="034EA2"/>
        <w:sz w:val="40"/>
        <w:szCs w:val="40"/>
      </w:rPr>
      <w:tab/>
    </w:r>
    <w:r w:rsidRPr="0085650F">
      <w:rPr>
        <w:rFonts w:cs="Arial"/>
        <w:b/>
        <w:color w:val="034EA2"/>
        <w:sz w:val="40"/>
        <w:szCs w:val="40"/>
      </w:rPr>
      <w:tab/>
    </w:r>
    <w:r w:rsidRPr="0085650F">
      <w:rPr>
        <w:rFonts w:cs="Arial"/>
        <w:b/>
        <w:color w:val="034EA2"/>
        <w:sz w:val="40"/>
        <w:szCs w:val="40"/>
      </w:rPr>
      <w:tab/>
    </w:r>
    <w:r w:rsidRPr="0085650F">
      <w:rPr>
        <w:rFonts w:cs="Arial"/>
        <w:b/>
        <w:color w:val="034EA2"/>
        <w:sz w:val="40"/>
        <w:szCs w:val="40"/>
      </w:rPr>
      <w:tab/>
    </w:r>
    <w:r>
      <w:rPr>
        <w:rFonts w:cs="Arial"/>
        <w:color w:val="002957"/>
        <w:sz w:val="36"/>
        <w:szCs w:val="36"/>
      </w:rPr>
      <w:t>Position Paper</w:t>
    </w:r>
  </w:p>
  <w:p w14:paraId="7C67C98B" w14:textId="77777777" w:rsidR="005A13D6" w:rsidRPr="00ED5B62" w:rsidRDefault="005A13D6" w:rsidP="001D1037">
    <w:pPr>
      <w:pStyle w:val="CEADraft"/>
      <w:jc w:val="both"/>
      <w:rPr>
        <w:color w:val="002957"/>
      </w:rPr>
    </w:pPr>
    <w:bookmarkStart w:id="0" w:name="Draft1st"/>
    <w:bookmarkEnd w:id="0"/>
  </w:p>
  <w:p w14:paraId="34ABE4B7" w14:textId="77777777" w:rsidR="005A13D6" w:rsidRPr="00ED5B62" w:rsidRDefault="005A13D6" w:rsidP="000C5B5F">
    <w:pPr>
      <w:rPr>
        <w:color w:val="002957"/>
      </w:rPr>
    </w:pPr>
  </w:p>
  <w:p w14:paraId="417206D7" w14:textId="41B9B34E" w:rsidR="005A13D6" w:rsidRPr="00ED5B62" w:rsidRDefault="005A13D6" w:rsidP="000C5B5F">
    <w:pPr>
      <w:pStyle w:val="CEAPositionPaperTitle"/>
      <w:ind w:left="567"/>
      <w:rPr>
        <w:b w:val="0"/>
        <w:color w:val="002957"/>
        <w:sz w:val="28"/>
        <w:szCs w:val="28"/>
      </w:rPr>
    </w:pPr>
    <w:r w:rsidRPr="00ED5B62">
      <w:rPr>
        <w:b w:val="0"/>
        <w:color w:val="002957"/>
        <w:sz w:val="28"/>
        <w:szCs w:val="28"/>
      </w:rPr>
      <w:t xml:space="preserve">Insurance Europe comments on the EC inception impact assessment on </w:t>
    </w:r>
    <w:r w:rsidR="00057820">
      <w:rPr>
        <w:b w:val="0"/>
        <w:color w:val="002957"/>
        <w:sz w:val="28"/>
        <w:szCs w:val="28"/>
      </w:rPr>
      <w:t xml:space="preserve">a </w:t>
    </w:r>
    <w:r w:rsidRPr="00ED5B62">
      <w:rPr>
        <w:b w:val="0"/>
        <w:color w:val="002957"/>
        <w:sz w:val="28"/>
        <w:szCs w:val="28"/>
      </w:rPr>
      <w:t xml:space="preserve">single EU access point for company information </w:t>
    </w:r>
  </w:p>
  <w:p w14:paraId="4E7D2F16" w14:textId="77777777" w:rsidR="005A13D6" w:rsidRPr="00ED5B62" w:rsidRDefault="005A13D6" w:rsidP="000C5B5F"/>
  <w:p w14:paraId="338435AF" w14:textId="77777777" w:rsidR="005A13D6" w:rsidRPr="00ED5B62" w:rsidRDefault="005A13D6" w:rsidP="000C5B5F">
    <w:r>
      <w:rPr>
        <w:noProof/>
        <w:lang w:val="nl-BE" w:eastAsia="nl-BE"/>
      </w:rPr>
      <mc:AlternateContent>
        <mc:Choice Requires="wps">
          <w:drawing>
            <wp:anchor distT="0" distB="0" distL="114300" distR="114300" simplePos="0" relativeHeight="251658242" behindDoc="1" locked="1" layoutInCell="1" allowOverlap="1" wp14:anchorId="422F1B0B" wp14:editId="03E8C1B0">
              <wp:simplePos x="0" y="0"/>
              <wp:positionH relativeFrom="page">
                <wp:posOffset>923925</wp:posOffset>
              </wp:positionH>
              <wp:positionV relativeFrom="paragraph">
                <wp:posOffset>87630</wp:posOffset>
              </wp:positionV>
              <wp:extent cx="6076315" cy="1792605"/>
              <wp:effectExtent l="0" t="0" r="19685" b="1714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315" cy="1792605"/>
                      </a:xfrm>
                      <a:prstGeom prst="roundRect">
                        <a:avLst>
                          <a:gd name="adj" fmla="val 16667"/>
                        </a:avLst>
                      </a:prstGeom>
                      <a:noFill/>
                      <a:ln w="6350">
                        <a:solidFill>
                          <a:srgbClr val="82C5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1EE9A5" id="AutoShape 18" o:spid="_x0000_s1026" style="position:absolute;margin-left:72.75pt;margin-top:6.9pt;width:478.45pt;height:141.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" filled="f" strokecolor="#82c55b" strokeweight=".5pt">
              <w10:wrap anchorx="page"/>
              <w10:anchorlock/>
            </v:roundrect>
          </w:pict>
        </mc:Fallback>
      </mc:AlternateContent>
    </w:r>
  </w:p>
  <w:tbl>
    <w:tblPr>
      <w:tblW w:w="9498" w:type="dxa"/>
      <w:tblInd w:w="675" w:type="dxa"/>
      <w:tblBorders>
        <w:insideH w:val="single" w:sz="4" w:space="0" w:color="82C55B"/>
      </w:tblBorders>
      <w:tblLayout w:type="fixed"/>
      <w:tblLook w:val="0000" w:firstRow="0" w:lastRow="0" w:firstColumn="0" w:lastColumn="0" w:noHBand="0" w:noVBand="0"/>
    </w:tblPr>
    <w:tblGrid>
      <w:gridCol w:w="1394"/>
      <w:gridCol w:w="24"/>
      <w:gridCol w:w="3533"/>
      <w:gridCol w:w="1570"/>
      <w:gridCol w:w="2977"/>
    </w:tblGrid>
    <w:tr w:rsidR="005A13D6" w:rsidRPr="000D41DA" w14:paraId="6BC66E2A" w14:textId="77777777" w:rsidTr="00974483">
      <w:trPr>
        <w:cantSplit/>
        <w:trHeight w:hRule="exact" w:val="584"/>
      </w:trPr>
      <w:tc>
        <w:tcPr>
          <w:tcW w:w="1394" w:type="dxa"/>
          <w:shd w:val="clear" w:color="auto" w:fill="auto"/>
          <w:vAlign w:val="center"/>
        </w:tcPr>
        <w:p w14:paraId="720C5A7B" w14:textId="77777777" w:rsidR="005A13D6" w:rsidRPr="0085650F" w:rsidRDefault="005A13D6" w:rsidP="000C5B5F">
          <w:pPr>
            <w:pStyle w:val="CEALabel"/>
            <w:rPr>
              <w:b w:val="0"/>
              <w:color w:val="002957"/>
              <w:sz w:val="17"/>
              <w:szCs w:val="17"/>
            </w:rPr>
          </w:pPr>
          <w:r w:rsidRPr="0085650F">
            <w:rPr>
              <w:b w:val="0"/>
              <w:color w:val="002957"/>
              <w:sz w:val="17"/>
              <w:szCs w:val="17"/>
            </w:rPr>
            <w:t xml:space="preserve">Our reference: </w:t>
          </w:r>
        </w:p>
      </w:tc>
      <w:tc>
        <w:tcPr>
          <w:tcW w:w="3557" w:type="dxa"/>
          <w:gridSpan w:val="2"/>
          <w:shd w:val="clear" w:color="auto" w:fill="auto"/>
          <w:vAlign w:val="center"/>
        </w:tcPr>
        <w:p w14:paraId="5EF80DB4" w14:textId="38C88929" w:rsidR="005A13D6" w:rsidRPr="00585988" w:rsidRDefault="00100CCD" w:rsidP="0008034A">
          <w:pPr>
            <w:jc w:val="left"/>
            <w:rPr>
              <w:color w:val="002957"/>
              <w:sz w:val="17"/>
              <w:szCs w:val="17"/>
            </w:rPr>
          </w:pPr>
          <w:sdt>
            <w:sdtPr>
              <w:rPr>
                <w:color w:val="002957"/>
                <w:sz w:val="17"/>
                <w:szCs w:val="17"/>
              </w:rPr>
              <w:alias w:val="Reference"/>
              <w:tag w:val="Reference"/>
              <w:id w:val="-329138674"/>
              <w:placeholder>
                <w:docPart w:val="C599D63AA9CF4AA08BF74B58D808EA35"/>
              </w:placeholder>
              <w:dataBinding w:prefixMappings="xmlns:ns0='http://schemas.microsoft.com/office/2006/metadata/properties' xmlns:ns1='http://www.w3.org/2001/XMLSchema-instance' xmlns:ns2='http://schemas.microsoft.com/office/infopath/2007/PartnerControls' xmlns:ns3='e0da4f5e-37e5-4fce-b2cf-d2352e4e27d6' xmlns:ns4='d113e6c9-68c2-4198-bb3a-f8ecf571e120' " w:xpath="/ns0:properties[1]/documentManagement[1]/ns4:Reference[1]" w:storeItemID="{B35485A1-11AA-442D-8577-727460E39C5A}"/>
              <w:text/>
            </w:sdtPr>
            <w:sdtEndPr/>
            <w:sdtContent>
              <w:r w:rsidR="0068506F">
                <w:rPr>
                  <w:color w:val="002957"/>
                  <w:sz w:val="17"/>
                  <w:szCs w:val="17"/>
                </w:rPr>
                <w:t>ECO-FRG-21-014</w:t>
              </w:r>
            </w:sdtContent>
          </w:sdt>
        </w:p>
      </w:tc>
      <w:tc>
        <w:tcPr>
          <w:tcW w:w="1570" w:type="dxa"/>
          <w:shd w:val="clear" w:color="auto" w:fill="auto"/>
          <w:vAlign w:val="center"/>
        </w:tcPr>
        <w:p w14:paraId="6D329751" w14:textId="77777777" w:rsidR="005A13D6" w:rsidRPr="0085650F" w:rsidRDefault="005A13D6" w:rsidP="000C5B5F">
          <w:pPr>
            <w:pStyle w:val="CEALabel"/>
            <w:rPr>
              <w:b w:val="0"/>
              <w:color w:val="002957"/>
              <w:sz w:val="17"/>
              <w:szCs w:val="17"/>
            </w:rPr>
          </w:pPr>
          <w:r w:rsidRPr="0085650F">
            <w:rPr>
              <w:b w:val="0"/>
              <w:color w:val="002957"/>
              <w:sz w:val="17"/>
              <w:szCs w:val="17"/>
            </w:rPr>
            <w:t>Date:</w:t>
          </w:r>
        </w:p>
      </w:tc>
      <w:tc>
        <w:tcPr>
          <w:tcW w:w="2977" w:type="dxa"/>
          <w:shd w:val="clear" w:color="auto" w:fill="auto"/>
          <w:vAlign w:val="center"/>
        </w:tcPr>
        <w:p w14:paraId="48E3F1F7" w14:textId="114F475C" w:rsidR="005A13D6" w:rsidRPr="00585988" w:rsidRDefault="005A13D6" w:rsidP="000C5B5F">
          <w:pPr>
            <w:jc w:val="left"/>
            <w:rPr>
              <w:color w:val="002957"/>
              <w:sz w:val="17"/>
              <w:szCs w:val="17"/>
            </w:rPr>
          </w:pPr>
          <w:r>
            <w:rPr>
              <w:color w:val="002957"/>
              <w:sz w:val="17"/>
              <w:szCs w:val="17"/>
            </w:rPr>
            <w:t>January 2021</w:t>
          </w:r>
          <w:r w:rsidRPr="00585988">
            <w:rPr>
              <w:color w:val="002957"/>
              <w:sz w:val="17"/>
              <w:szCs w:val="17"/>
            </w:rPr>
            <w:t xml:space="preserve"> </w:t>
          </w:r>
        </w:p>
      </w:tc>
    </w:tr>
    <w:tr w:rsidR="005A13D6" w:rsidRPr="000D41DA" w14:paraId="7556C1D2" w14:textId="77777777" w:rsidTr="000C5B5F">
      <w:trPr>
        <w:cantSplit/>
        <w:trHeight w:hRule="exact" w:val="584"/>
      </w:trPr>
      <w:tc>
        <w:tcPr>
          <w:tcW w:w="1394" w:type="dxa"/>
          <w:shd w:val="clear" w:color="auto" w:fill="auto"/>
          <w:vAlign w:val="center"/>
        </w:tcPr>
        <w:p w14:paraId="367D2E81" w14:textId="77777777" w:rsidR="005A13D6" w:rsidRPr="0085650F" w:rsidRDefault="005A13D6" w:rsidP="000C5B5F">
          <w:pPr>
            <w:pStyle w:val="CEALabel"/>
            <w:rPr>
              <w:b w:val="0"/>
              <w:color w:val="002957"/>
              <w:sz w:val="17"/>
              <w:szCs w:val="17"/>
            </w:rPr>
          </w:pPr>
          <w:r w:rsidRPr="0085650F">
            <w:rPr>
              <w:b w:val="0"/>
              <w:color w:val="002957"/>
              <w:sz w:val="17"/>
              <w:szCs w:val="17"/>
            </w:rPr>
            <w:t>Referring to:</w:t>
          </w:r>
        </w:p>
      </w:tc>
      <w:tc>
        <w:tcPr>
          <w:tcW w:w="8104" w:type="dxa"/>
          <w:gridSpan w:val="4"/>
          <w:shd w:val="clear" w:color="auto" w:fill="auto"/>
          <w:vAlign w:val="center"/>
        </w:tcPr>
        <w:p w14:paraId="58274389" w14:textId="68189A27" w:rsidR="005A13D6" w:rsidRPr="00585988" w:rsidRDefault="00100CCD" w:rsidP="000C5B5F">
          <w:pPr>
            <w:jc w:val="left"/>
            <w:rPr>
              <w:color w:val="002957"/>
              <w:sz w:val="17"/>
              <w:szCs w:val="17"/>
            </w:rPr>
          </w:pPr>
          <w:hyperlink r:id="rId2" w:history="1">
            <w:r w:rsidR="005A13D6" w:rsidRPr="00ED5B62">
              <w:rPr>
                <w:rStyle w:val="Hypertextovprepojenie"/>
                <w:sz w:val="17"/>
                <w:szCs w:val="17"/>
              </w:rPr>
              <w:t>EC inception impact assessment on single EU access point for company information</w:t>
            </w:r>
          </w:hyperlink>
          <w:r w:rsidR="005A13D6">
            <w:rPr>
              <w:color w:val="002957"/>
              <w:sz w:val="17"/>
              <w:szCs w:val="17"/>
            </w:rPr>
            <w:t xml:space="preserve"> </w:t>
          </w:r>
        </w:p>
      </w:tc>
    </w:tr>
    <w:tr w:rsidR="005A13D6" w:rsidRPr="000D41DA" w14:paraId="08ADAE6F" w14:textId="77777777" w:rsidTr="00ED5B62">
      <w:trPr>
        <w:cantSplit/>
        <w:trHeight w:hRule="exact" w:val="584"/>
      </w:trPr>
      <w:tc>
        <w:tcPr>
          <w:tcW w:w="1418" w:type="dxa"/>
          <w:gridSpan w:val="2"/>
          <w:shd w:val="clear" w:color="auto" w:fill="auto"/>
          <w:vAlign w:val="center"/>
        </w:tcPr>
        <w:p w14:paraId="18DE6211" w14:textId="77777777" w:rsidR="005A13D6" w:rsidRPr="0085650F" w:rsidRDefault="005A13D6" w:rsidP="000C5B5F">
          <w:pPr>
            <w:pStyle w:val="CEALabel"/>
            <w:rPr>
              <w:b w:val="0"/>
              <w:color w:val="002957"/>
              <w:sz w:val="17"/>
              <w:szCs w:val="17"/>
            </w:rPr>
          </w:pPr>
          <w:r w:rsidRPr="0085650F">
            <w:rPr>
              <w:b w:val="0"/>
              <w:color w:val="002957"/>
              <w:sz w:val="17"/>
              <w:szCs w:val="17"/>
            </w:rPr>
            <w:t>E-mail:</w:t>
          </w:r>
        </w:p>
      </w:tc>
      <w:tc>
        <w:tcPr>
          <w:tcW w:w="8080" w:type="dxa"/>
          <w:gridSpan w:val="3"/>
          <w:shd w:val="clear" w:color="auto" w:fill="auto"/>
          <w:vAlign w:val="center"/>
        </w:tcPr>
        <w:p w14:paraId="2664EB90" w14:textId="058208D7" w:rsidR="005A13D6" w:rsidRPr="00585988" w:rsidRDefault="00100CCD" w:rsidP="000C5B5F">
          <w:pPr>
            <w:jc w:val="left"/>
            <w:rPr>
              <w:color w:val="002957"/>
              <w:sz w:val="17"/>
              <w:szCs w:val="17"/>
            </w:rPr>
          </w:pPr>
          <w:hyperlink r:id="rId3" w:history="1">
            <w:r w:rsidR="005A13D6" w:rsidRPr="00C02EA0">
              <w:rPr>
                <w:rStyle w:val="Hypertextovprepojenie"/>
              </w:rPr>
              <w:t>info</w:t>
            </w:r>
            <w:r w:rsidR="005A13D6" w:rsidRPr="00C02EA0">
              <w:rPr>
                <w:rStyle w:val="Hypertextovprepojenie"/>
                <w:sz w:val="17"/>
                <w:szCs w:val="17"/>
              </w:rPr>
              <w:t>@insuranceeurope.eu</w:t>
            </w:r>
          </w:hyperlink>
          <w:r w:rsidR="005A13D6">
            <w:rPr>
              <w:color w:val="002957"/>
              <w:sz w:val="17"/>
              <w:szCs w:val="17"/>
            </w:rPr>
            <w:t xml:space="preserve"> </w:t>
          </w:r>
        </w:p>
      </w:tc>
    </w:tr>
    <w:tr w:rsidR="005A13D6" w:rsidRPr="000D41DA" w14:paraId="6CA65E8B" w14:textId="77777777" w:rsidTr="00974483">
      <w:trPr>
        <w:cantSplit/>
        <w:trHeight w:hRule="exact" w:val="584"/>
      </w:trPr>
      <w:tc>
        <w:tcPr>
          <w:tcW w:w="1394" w:type="dxa"/>
          <w:shd w:val="clear" w:color="auto" w:fill="auto"/>
          <w:vAlign w:val="center"/>
        </w:tcPr>
        <w:p w14:paraId="0A0997DE" w14:textId="77777777" w:rsidR="005A13D6" w:rsidRPr="0085650F" w:rsidRDefault="005A13D6" w:rsidP="000C5B5F">
          <w:pPr>
            <w:pStyle w:val="CEALabel"/>
            <w:rPr>
              <w:b w:val="0"/>
              <w:color w:val="002957"/>
              <w:sz w:val="17"/>
              <w:szCs w:val="17"/>
            </w:rPr>
          </w:pPr>
          <w:r w:rsidRPr="0085650F">
            <w:rPr>
              <w:b w:val="0"/>
              <w:color w:val="002957"/>
              <w:sz w:val="17"/>
              <w:szCs w:val="17"/>
            </w:rPr>
            <w:t xml:space="preserve">Pages: </w:t>
          </w:r>
        </w:p>
      </w:tc>
      <w:tc>
        <w:tcPr>
          <w:tcW w:w="3557" w:type="dxa"/>
          <w:gridSpan w:val="2"/>
          <w:shd w:val="clear" w:color="auto" w:fill="auto"/>
          <w:vAlign w:val="center"/>
        </w:tcPr>
        <w:p w14:paraId="2D13D453" w14:textId="77777777" w:rsidR="005A13D6" w:rsidRPr="00585988" w:rsidRDefault="005A13D6" w:rsidP="000C5B5F">
          <w:pPr>
            <w:rPr>
              <w:color w:val="002957"/>
              <w:spacing w:val="-4"/>
              <w:w w:val="90"/>
              <w:sz w:val="17"/>
              <w:szCs w:val="17"/>
            </w:rPr>
          </w:pPr>
          <w:r w:rsidRPr="00585988">
            <w:rPr>
              <w:rStyle w:val="slostrany"/>
              <w:color w:val="002957"/>
              <w:sz w:val="17"/>
              <w:szCs w:val="17"/>
            </w:rPr>
            <w:fldChar w:fldCharType="begin"/>
          </w:r>
          <w:r w:rsidRPr="00585988">
            <w:rPr>
              <w:rStyle w:val="slostrany"/>
              <w:color w:val="002957"/>
              <w:sz w:val="17"/>
              <w:szCs w:val="17"/>
            </w:rPr>
            <w:instrText xml:space="preserve"> NUMPAGES </w:instrText>
          </w:r>
          <w:r w:rsidRPr="00585988">
            <w:rPr>
              <w:rStyle w:val="slostrany"/>
              <w:color w:val="002957"/>
              <w:sz w:val="17"/>
              <w:szCs w:val="17"/>
            </w:rPr>
            <w:fldChar w:fldCharType="separate"/>
          </w:r>
          <w:r>
            <w:rPr>
              <w:rStyle w:val="slostrany"/>
              <w:noProof/>
              <w:color w:val="002957"/>
              <w:sz w:val="17"/>
              <w:szCs w:val="17"/>
            </w:rPr>
            <w:t>2</w:t>
          </w:r>
          <w:r w:rsidRPr="00585988">
            <w:rPr>
              <w:rStyle w:val="slostrany"/>
              <w:color w:val="002957"/>
              <w:sz w:val="17"/>
              <w:szCs w:val="17"/>
            </w:rPr>
            <w:fldChar w:fldCharType="end"/>
          </w:r>
        </w:p>
      </w:tc>
      <w:tc>
        <w:tcPr>
          <w:tcW w:w="1570" w:type="dxa"/>
          <w:shd w:val="clear" w:color="auto" w:fill="auto"/>
          <w:vAlign w:val="center"/>
        </w:tcPr>
        <w:p w14:paraId="6CC5423A" w14:textId="77777777" w:rsidR="005A13D6" w:rsidRPr="00585988" w:rsidRDefault="005A13D6" w:rsidP="000C5B5F">
          <w:pPr>
            <w:ind w:right="-117"/>
            <w:rPr>
              <w:b/>
              <w:color w:val="002957"/>
              <w:sz w:val="17"/>
              <w:szCs w:val="17"/>
            </w:rPr>
          </w:pPr>
          <w:r>
            <w:rPr>
              <w:rFonts w:cs="Arial"/>
              <w:color w:val="002957"/>
              <w:sz w:val="17"/>
              <w:szCs w:val="17"/>
            </w:rPr>
            <w:t xml:space="preserve">Transparency Register </w:t>
          </w:r>
          <w:r w:rsidRPr="00585988">
            <w:rPr>
              <w:rFonts w:cs="Arial"/>
              <w:color w:val="002957"/>
              <w:sz w:val="17"/>
              <w:szCs w:val="17"/>
            </w:rPr>
            <w:t>ID no.:</w:t>
          </w:r>
        </w:p>
      </w:tc>
      <w:tc>
        <w:tcPr>
          <w:tcW w:w="2977" w:type="dxa"/>
          <w:shd w:val="clear" w:color="auto" w:fill="auto"/>
          <w:vAlign w:val="center"/>
        </w:tcPr>
        <w:p w14:paraId="668A8F3F" w14:textId="77777777" w:rsidR="005A13D6" w:rsidRPr="00585988" w:rsidRDefault="005A13D6" w:rsidP="000C5B5F">
          <w:pPr>
            <w:rPr>
              <w:color w:val="002957"/>
              <w:sz w:val="17"/>
              <w:szCs w:val="17"/>
            </w:rPr>
          </w:pPr>
          <w:r w:rsidRPr="00585988">
            <w:rPr>
              <w:rFonts w:cs="Tahoma"/>
              <w:color w:val="002957"/>
              <w:sz w:val="17"/>
              <w:szCs w:val="17"/>
            </w:rPr>
            <w:t>33213703459-54</w:t>
          </w:r>
        </w:p>
      </w:tc>
    </w:tr>
  </w:tbl>
  <w:p w14:paraId="4585E199" w14:textId="77777777" w:rsidR="005A13D6" w:rsidRPr="000D41DA" w:rsidRDefault="005A13D6" w:rsidP="000C5B5F">
    <w:pPr>
      <w:rPr>
        <w:b/>
        <w:sz w:val="22"/>
        <w:szCs w:val="22"/>
      </w:rPr>
    </w:pPr>
  </w:p>
  <w:p w14:paraId="3C2C8206" w14:textId="77777777" w:rsidR="005A13D6" w:rsidRPr="000D41DA" w:rsidRDefault="005A13D6" w:rsidP="000C5B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5pt;height:11.5pt" o:bullet="t">
        <v:imagedata r:id="rId1" o:title="CEA - Bullets Rounded Squares_BulletLevel1_forMS"/>
      </v:shape>
    </w:pict>
  </w:numPicBullet>
  <w:numPicBullet w:numPicBulletId="1">
    <w:pict>
      <v:shape id="_x0000_i1055" type="#_x0000_t75" style="width:8pt;height:8pt" o:bullet="t">
        <v:imagedata r:id="rId2" o:title="CEA - Bullets Rounded Squares_BulletLevel2_forMS"/>
      </v:shape>
    </w:pict>
  </w:numPicBullet>
  <w:numPicBullet w:numPicBulletId="2">
    <w:pict>
      <v:shape id="_x0000_i1056" type="#_x0000_t75" style="width:9.5pt;height:8pt" o:bullet="t">
        <v:imagedata r:id="rId3" o:title="CEA - Bullets Rounded Squares_BulletLevel3_forMS"/>
      </v:shape>
    </w:pict>
  </w:numPicBullet>
  <w:abstractNum w:abstractNumId="0" w15:restartNumberingAfterBreak="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15:restartNumberingAfterBreak="0">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2" w15:restartNumberingAfterBreak="0">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37C2846"/>
    <w:multiLevelType w:val="hybridMultilevel"/>
    <w:tmpl w:val="F7288356"/>
    <w:lvl w:ilvl="0" w:tplc="AEFEB69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82"/>
    <w:rsid w:val="00017E2D"/>
    <w:rsid w:val="00020124"/>
    <w:rsid w:val="000543AB"/>
    <w:rsid w:val="00057820"/>
    <w:rsid w:val="0006699A"/>
    <w:rsid w:val="0008034A"/>
    <w:rsid w:val="000A4A21"/>
    <w:rsid w:val="000C5B5F"/>
    <w:rsid w:val="000D3A9E"/>
    <w:rsid w:val="000D58F0"/>
    <w:rsid w:val="000F0F95"/>
    <w:rsid w:val="00100CCD"/>
    <w:rsid w:val="00113700"/>
    <w:rsid w:val="00152882"/>
    <w:rsid w:val="0017261F"/>
    <w:rsid w:val="001827F5"/>
    <w:rsid w:val="001A6553"/>
    <w:rsid w:val="001D1037"/>
    <w:rsid w:val="00220FF8"/>
    <w:rsid w:val="00223580"/>
    <w:rsid w:val="00261545"/>
    <w:rsid w:val="00264DFD"/>
    <w:rsid w:val="00283D95"/>
    <w:rsid w:val="002A4D4F"/>
    <w:rsid w:val="00345C67"/>
    <w:rsid w:val="00346792"/>
    <w:rsid w:val="003E4574"/>
    <w:rsid w:val="003F3E9A"/>
    <w:rsid w:val="00407B3E"/>
    <w:rsid w:val="00440FEE"/>
    <w:rsid w:val="0048141F"/>
    <w:rsid w:val="00481C96"/>
    <w:rsid w:val="00487342"/>
    <w:rsid w:val="004D1B9F"/>
    <w:rsid w:val="004D6D42"/>
    <w:rsid w:val="004F4159"/>
    <w:rsid w:val="004F5149"/>
    <w:rsid w:val="00514916"/>
    <w:rsid w:val="00552FC4"/>
    <w:rsid w:val="0057672D"/>
    <w:rsid w:val="0059493D"/>
    <w:rsid w:val="00594BBB"/>
    <w:rsid w:val="005A13D6"/>
    <w:rsid w:val="005E7780"/>
    <w:rsid w:val="00606C7F"/>
    <w:rsid w:val="0068506F"/>
    <w:rsid w:val="00685AF1"/>
    <w:rsid w:val="006907D1"/>
    <w:rsid w:val="00691747"/>
    <w:rsid w:val="006B046C"/>
    <w:rsid w:val="006B3A6B"/>
    <w:rsid w:val="006B5E2F"/>
    <w:rsid w:val="006B697A"/>
    <w:rsid w:val="006C502E"/>
    <w:rsid w:val="006D2833"/>
    <w:rsid w:val="006D4415"/>
    <w:rsid w:val="006F3DD3"/>
    <w:rsid w:val="00725269"/>
    <w:rsid w:val="00732D7B"/>
    <w:rsid w:val="00752590"/>
    <w:rsid w:val="0077153C"/>
    <w:rsid w:val="00777B33"/>
    <w:rsid w:val="00780569"/>
    <w:rsid w:val="007B00C3"/>
    <w:rsid w:val="007B503F"/>
    <w:rsid w:val="007D15BF"/>
    <w:rsid w:val="00825DAE"/>
    <w:rsid w:val="00855CF7"/>
    <w:rsid w:val="00860ED7"/>
    <w:rsid w:val="008739DB"/>
    <w:rsid w:val="00885048"/>
    <w:rsid w:val="00891834"/>
    <w:rsid w:val="008A2E1B"/>
    <w:rsid w:val="008E2AE2"/>
    <w:rsid w:val="008E2DBC"/>
    <w:rsid w:val="00917435"/>
    <w:rsid w:val="00942224"/>
    <w:rsid w:val="00946A9C"/>
    <w:rsid w:val="009507D0"/>
    <w:rsid w:val="00962B87"/>
    <w:rsid w:val="0096677F"/>
    <w:rsid w:val="009728B6"/>
    <w:rsid w:val="00974483"/>
    <w:rsid w:val="009B7165"/>
    <w:rsid w:val="009C55FD"/>
    <w:rsid w:val="009F36CD"/>
    <w:rsid w:val="009F5D95"/>
    <w:rsid w:val="00A04962"/>
    <w:rsid w:val="00A218E1"/>
    <w:rsid w:val="00A4463C"/>
    <w:rsid w:val="00A44CF4"/>
    <w:rsid w:val="00A73C39"/>
    <w:rsid w:val="00AD483A"/>
    <w:rsid w:val="00AF6378"/>
    <w:rsid w:val="00B04FBB"/>
    <w:rsid w:val="00B07945"/>
    <w:rsid w:val="00B1048F"/>
    <w:rsid w:val="00B306F4"/>
    <w:rsid w:val="00B43F9A"/>
    <w:rsid w:val="00B5509D"/>
    <w:rsid w:val="00B62E5A"/>
    <w:rsid w:val="00B834B4"/>
    <w:rsid w:val="00B86F53"/>
    <w:rsid w:val="00B973A1"/>
    <w:rsid w:val="00BC0536"/>
    <w:rsid w:val="00BC4E09"/>
    <w:rsid w:val="00BD3110"/>
    <w:rsid w:val="00BF11D2"/>
    <w:rsid w:val="00C002D7"/>
    <w:rsid w:val="00C12815"/>
    <w:rsid w:val="00C3572E"/>
    <w:rsid w:val="00C45E84"/>
    <w:rsid w:val="00C55F3F"/>
    <w:rsid w:val="00C728C8"/>
    <w:rsid w:val="00CA3B7F"/>
    <w:rsid w:val="00CB488E"/>
    <w:rsid w:val="00CE5F33"/>
    <w:rsid w:val="00D10644"/>
    <w:rsid w:val="00D615BB"/>
    <w:rsid w:val="00D66033"/>
    <w:rsid w:val="00D70EC5"/>
    <w:rsid w:val="00DA76D2"/>
    <w:rsid w:val="00DE113D"/>
    <w:rsid w:val="00DF427D"/>
    <w:rsid w:val="00E15373"/>
    <w:rsid w:val="00E16429"/>
    <w:rsid w:val="00E43E44"/>
    <w:rsid w:val="00E67DCF"/>
    <w:rsid w:val="00E92A36"/>
    <w:rsid w:val="00EB21AB"/>
    <w:rsid w:val="00EB3C30"/>
    <w:rsid w:val="00ED5B62"/>
    <w:rsid w:val="00EE21EB"/>
    <w:rsid w:val="00F02CA8"/>
    <w:rsid w:val="00F26476"/>
    <w:rsid w:val="00F444FE"/>
    <w:rsid w:val="00F44D67"/>
    <w:rsid w:val="00F76C0D"/>
    <w:rsid w:val="00F778BB"/>
    <w:rsid w:val="00F8705B"/>
    <w:rsid w:val="00F96C48"/>
    <w:rsid w:val="00FD261C"/>
    <w:rsid w:val="00FF7E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D82D1"/>
  <w15:docId w15:val="{CB13D2F6-0065-41E3-9DED-A990241B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52882"/>
    <w:pPr>
      <w:spacing w:after="0" w:line="288" w:lineRule="auto"/>
      <w:jc w:val="both"/>
    </w:pPr>
    <w:rPr>
      <w:rFonts w:ascii="Verdana" w:eastAsia="Times New Roman" w:hAnsi="Verdana" w:cs="Times New Roman"/>
      <w:sz w:val="18"/>
      <w:szCs w:val="24"/>
      <w:lang w:val="en-GB"/>
    </w:rPr>
  </w:style>
  <w:style w:type="paragraph" w:styleId="Nadpis1">
    <w:name w:val="heading 1"/>
    <w:basedOn w:val="Normlny"/>
    <w:next w:val="Normlny"/>
    <w:link w:val="Nadpis1Char"/>
    <w:uiPriority w:val="9"/>
    <w:qFormat/>
    <w:rsid w:val="009F5D9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52882"/>
    <w:pPr>
      <w:tabs>
        <w:tab w:val="center" w:pos="4320"/>
        <w:tab w:val="right" w:pos="8640"/>
      </w:tabs>
    </w:pPr>
  </w:style>
  <w:style w:type="character" w:customStyle="1" w:styleId="HlavikaChar">
    <w:name w:val="Hlavička Char"/>
    <w:basedOn w:val="Predvolenpsmoodseku"/>
    <w:link w:val="Hlavika"/>
    <w:semiHidden/>
    <w:rsid w:val="00152882"/>
    <w:rPr>
      <w:rFonts w:ascii="Verdana" w:eastAsia="Times New Roman" w:hAnsi="Verdana" w:cs="Times New Roman"/>
      <w:sz w:val="18"/>
      <w:szCs w:val="24"/>
      <w:lang w:val="en-GB"/>
    </w:rPr>
  </w:style>
  <w:style w:type="paragraph" w:styleId="Pta">
    <w:name w:val="footer"/>
    <w:basedOn w:val="Normlny"/>
    <w:link w:val="PtaChar"/>
    <w:semiHidden/>
    <w:rsid w:val="00152882"/>
    <w:pPr>
      <w:tabs>
        <w:tab w:val="center" w:pos="4320"/>
        <w:tab w:val="right" w:pos="8640"/>
      </w:tabs>
    </w:pPr>
  </w:style>
  <w:style w:type="character" w:customStyle="1" w:styleId="PtaChar">
    <w:name w:val="Päta Char"/>
    <w:basedOn w:val="Predvolenpsmoodseku"/>
    <w:link w:val="Pta"/>
    <w:semiHidden/>
    <w:rsid w:val="00152882"/>
    <w:rPr>
      <w:rFonts w:ascii="Verdana" w:eastAsia="Times New Roman" w:hAnsi="Verdana" w:cs="Times New Roman"/>
      <w:sz w:val="18"/>
      <w:szCs w:val="24"/>
      <w:lang w:val="en-GB"/>
    </w:rPr>
  </w:style>
  <w:style w:type="paragraph" w:customStyle="1" w:styleId="Noparagraphstyle">
    <w:name w:val="[No paragraph style]"/>
    <w:semiHidden/>
    <w:rsid w:val="0015288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52882"/>
  </w:style>
  <w:style w:type="paragraph" w:customStyle="1" w:styleId="Heading1CEA">
    <w:name w:val="Heading 1 (CEA)"/>
    <w:basedOn w:val="Normlny"/>
    <w:link w:val="Heading1CEAChar"/>
    <w:semiHidden/>
    <w:rsid w:val="00152882"/>
    <w:pPr>
      <w:autoSpaceDE w:val="0"/>
      <w:autoSpaceDN w:val="0"/>
      <w:adjustRightInd w:val="0"/>
    </w:pPr>
    <w:rPr>
      <w:rFonts w:ascii="Arial" w:hAnsi="Arial"/>
      <w:b/>
      <w:color w:val="034EA2"/>
      <w:sz w:val="32"/>
      <w:szCs w:val="32"/>
    </w:rPr>
  </w:style>
  <w:style w:type="character" w:customStyle="1" w:styleId="Heading1CEAChar">
    <w:name w:val="Heading 1 (CEA) Char"/>
    <w:basedOn w:val="Predvolenpsmoodseku"/>
    <w:link w:val="Heading1CEA"/>
    <w:semiHidden/>
    <w:rsid w:val="00152882"/>
    <w:rPr>
      <w:rFonts w:ascii="Arial" w:eastAsia="Times New Roman" w:hAnsi="Arial" w:cs="Times New Roman"/>
      <w:b/>
      <w:color w:val="034EA2"/>
      <w:sz w:val="32"/>
      <w:szCs w:val="32"/>
      <w:lang w:val="en-GB"/>
    </w:rPr>
  </w:style>
  <w:style w:type="paragraph" w:customStyle="1" w:styleId="CEAPositionPaperTitle">
    <w:name w:val="CEA Position Paper Title"/>
    <w:basedOn w:val="Normlny"/>
    <w:semiHidden/>
    <w:qFormat/>
    <w:rsid w:val="00152882"/>
    <w:pPr>
      <w:ind w:left="-27"/>
    </w:pPr>
    <w:rPr>
      <w:b/>
      <w:color w:val="034EA2"/>
      <w:sz w:val="32"/>
      <w:szCs w:val="32"/>
    </w:rPr>
  </w:style>
  <w:style w:type="paragraph" w:customStyle="1" w:styleId="CEADraft">
    <w:name w:val="CEA Draft"/>
    <w:basedOn w:val="Normlny"/>
    <w:semiHidden/>
    <w:qFormat/>
    <w:rsid w:val="00152882"/>
    <w:pPr>
      <w:jc w:val="right"/>
    </w:pPr>
    <w:rPr>
      <w:rFonts w:cs="Arial"/>
      <w:b/>
      <w:i/>
      <w:color w:val="034EA2"/>
      <w:sz w:val="32"/>
      <w:szCs w:val="40"/>
    </w:rPr>
  </w:style>
  <w:style w:type="paragraph" w:customStyle="1" w:styleId="CEAFooterauthorinfo">
    <w:name w:val="CEA Footer (author info)"/>
    <w:basedOn w:val="Normlny"/>
    <w:semiHidden/>
    <w:qFormat/>
    <w:rsid w:val="00152882"/>
    <w:pPr>
      <w:autoSpaceDE w:val="0"/>
      <w:autoSpaceDN w:val="0"/>
      <w:adjustRightInd w:val="0"/>
      <w:textAlignment w:val="center"/>
    </w:pPr>
    <w:rPr>
      <w:rFonts w:cs="Arial"/>
      <w:b/>
      <w:color w:val="034EA2"/>
      <w:sz w:val="16"/>
      <w:szCs w:val="16"/>
    </w:rPr>
  </w:style>
  <w:style w:type="paragraph" w:customStyle="1" w:styleId="CEALabel">
    <w:name w:val="CEA Label"/>
    <w:basedOn w:val="Normlny"/>
    <w:semiHidden/>
    <w:qFormat/>
    <w:rsid w:val="00152882"/>
    <w:rPr>
      <w:rFonts w:cs="Arial"/>
      <w:b/>
      <w:color w:val="034EA2"/>
      <w:szCs w:val="18"/>
    </w:rPr>
  </w:style>
  <w:style w:type="character" w:styleId="Zstupntext">
    <w:name w:val="Placeholder Text"/>
    <w:basedOn w:val="Predvolenpsmoodseku"/>
    <w:uiPriority w:val="99"/>
    <w:semiHidden/>
    <w:rsid w:val="0008034A"/>
    <w:rPr>
      <w:color w:val="808080"/>
    </w:rPr>
  </w:style>
  <w:style w:type="paragraph" w:styleId="Textbubliny">
    <w:name w:val="Balloon Text"/>
    <w:basedOn w:val="Normlny"/>
    <w:link w:val="TextbublinyChar"/>
    <w:uiPriority w:val="99"/>
    <w:semiHidden/>
    <w:unhideWhenUsed/>
    <w:rsid w:val="0008034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8034A"/>
    <w:rPr>
      <w:rFonts w:ascii="Tahoma" w:eastAsia="Times New Roman" w:hAnsi="Tahoma" w:cs="Tahoma"/>
      <w:sz w:val="16"/>
      <w:szCs w:val="16"/>
      <w:lang w:val="en-GB"/>
    </w:rPr>
  </w:style>
  <w:style w:type="paragraph" w:customStyle="1" w:styleId="CEABullet-Level1">
    <w:name w:val="CEA Bullet - Level 1"/>
    <w:basedOn w:val="Normlny"/>
    <w:link w:val="CEABullet-Level1Char"/>
    <w:qFormat/>
    <w:rsid w:val="00825DAE"/>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825DAE"/>
    <w:pPr>
      <w:numPr>
        <w:numId w:val="2"/>
      </w:numPr>
    </w:pPr>
  </w:style>
  <w:style w:type="paragraph" w:customStyle="1" w:styleId="CEABullet-Level3">
    <w:name w:val="CEA Bullet - Level 3"/>
    <w:basedOn w:val="Normlny"/>
    <w:qFormat/>
    <w:rsid w:val="00825DAE"/>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825DAE"/>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825DAE"/>
    <w:pPr>
      <w:jc w:val="right"/>
    </w:pPr>
    <w:rPr>
      <w:rFonts w:cs="Frutiger LT Std 55 Roman"/>
      <w:b/>
      <w:color w:val="0032FF"/>
      <w:sz w:val="40"/>
      <w:szCs w:val="40"/>
    </w:rPr>
  </w:style>
  <w:style w:type="paragraph" w:customStyle="1" w:styleId="CEAFootnote">
    <w:name w:val="CEA Footnote"/>
    <w:basedOn w:val="Normlny"/>
    <w:semiHidden/>
    <w:qFormat/>
    <w:rsid w:val="00825DAE"/>
    <w:pPr>
      <w:spacing w:line="240" w:lineRule="auto"/>
    </w:pPr>
    <w:rPr>
      <w:sz w:val="16"/>
    </w:rPr>
  </w:style>
  <w:style w:type="character" w:customStyle="1" w:styleId="CEAGraphTitle">
    <w:name w:val="CEA Graph Title"/>
    <w:uiPriority w:val="1"/>
    <w:qFormat/>
    <w:rsid w:val="00825DAE"/>
    <w:rPr>
      <w:rFonts w:ascii="Verdana" w:hAnsi="Verdana"/>
      <w:smallCaps w:val="0"/>
      <w:sz w:val="19"/>
      <w:lang w:val="en-GB"/>
    </w:rPr>
  </w:style>
  <w:style w:type="character" w:customStyle="1" w:styleId="CEAGraphX">
    <w:name w:val="CEA Graph X"/>
    <w:uiPriority w:val="1"/>
    <w:qFormat/>
    <w:rsid w:val="00825DAE"/>
    <w:rPr>
      <w:rFonts w:ascii="Verdana" w:hAnsi="Verdana"/>
      <w:smallCaps/>
      <w:sz w:val="19"/>
      <w:lang w:val="en-GB"/>
    </w:rPr>
  </w:style>
  <w:style w:type="paragraph" w:customStyle="1" w:styleId="CEAPressReleaseSubtitle">
    <w:name w:val="CEA Press Release Subtitle"/>
    <w:basedOn w:val="Normlny"/>
    <w:semiHidden/>
    <w:qFormat/>
    <w:rsid w:val="00825DAE"/>
    <w:rPr>
      <w:sz w:val="22"/>
      <w:szCs w:val="22"/>
    </w:rPr>
  </w:style>
  <w:style w:type="paragraph" w:customStyle="1" w:styleId="CEAPressReleaseTitle">
    <w:name w:val="CEA Press Release Title"/>
    <w:basedOn w:val="Normlny"/>
    <w:semiHidden/>
    <w:qFormat/>
    <w:rsid w:val="00825DAE"/>
    <w:pPr>
      <w:autoSpaceDE w:val="0"/>
      <w:autoSpaceDN w:val="0"/>
      <w:adjustRightInd w:val="0"/>
      <w:spacing w:line="240" w:lineRule="auto"/>
    </w:pPr>
    <w:rPr>
      <w:rFonts w:ascii="Frutiger LT Com 45 Light" w:hAnsi="Frutiger LT Com 45 Light"/>
      <w:b/>
      <w:color w:val="034EA2"/>
      <w:sz w:val="36"/>
      <w:szCs w:val="36"/>
    </w:rPr>
  </w:style>
  <w:style w:type="paragraph" w:customStyle="1" w:styleId="CEASubjectLine">
    <w:name w:val="CEA Subject Line"/>
    <w:basedOn w:val="Normlny"/>
    <w:semiHidden/>
    <w:qFormat/>
    <w:rsid w:val="00825DAE"/>
    <w:rPr>
      <w:rFonts w:cs="Frutiger LT Std 55 Roman"/>
      <w:b/>
      <w:sz w:val="17"/>
      <w:szCs w:val="20"/>
    </w:rPr>
  </w:style>
  <w:style w:type="character" w:styleId="Hypertextovprepojenie">
    <w:name w:val="Hyperlink"/>
    <w:basedOn w:val="Predvolenpsmoodseku"/>
    <w:uiPriority w:val="99"/>
    <w:unhideWhenUsed/>
    <w:rsid w:val="00ED5B62"/>
    <w:rPr>
      <w:color w:val="0000FF" w:themeColor="hyperlink"/>
      <w:u w:val="single"/>
    </w:rPr>
  </w:style>
  <w:style w:type="character" w:styleId="Nevyrieenzmienka">
    <w:name w:val="Unresolved Mention"/>
    <w:basedOn w:val="Predvolenpsmoodseku"/>
    <w:uiPriority w:val="99"/>
    <w:semiHidden/>
    <w:unhideWhenUsed/>
    <w:rsid w:val="00ED5B62"/>
    <w:rPr>
      <w:color w:val="605E5C"/>
      <w:shd w:val="clear" w:color="auto" w:fill="E1DFDD"/>
    </w:rPr>
  </w:style>
  <w:style w:type="character" w:styleId="Odkaznakomentr">
    <w:name w:val="annotation reference"/>
    <w:basedOn w:val="Predvolenpsmoodseku"/>
    <w:uiPriority w:val="99"/>
    <w:semiHidden/>
    <w:unhideWhenUsed/>
    <w:rsid w:val="00220FF8"/>
    <w:rPr>
      <w:sz w:val="16"/>
      <w:szCs w:val="16"/>
    </w:rPr>
  </w:style>
  <w:style w:type="paragraph" w:styleId="Textkomentra">
    <w:name w:val="annotation text"/>
    <w:basedOn w:val="Normlny"/>
    <w:link w:val="TextkomentraChar"/>
    <w:uiPriority w:val="99"/>
    <w:semiHidden/>
    <w:unhideWhenUsed/>
    <w:rsid w:val="00220FF8"/>
    <w:pPr>
      <w:spacing w:line="240" w:lineRule="auto"/>
    </w:pPr>
    <w:rPr>
      <w:sz w:val="20"/>
      <w:szCs w:val="20"/>
    </w:rPr>
  </w:style>
  <w:style w:type="character" w:customStyle="1" w:styleId="TextkomentraChar">
    <w:name w:val="Text komentára Char"/>
    <w:basedOn w:val="Predvolenpsmoodseku"/>
    <w:link w:val="Textkomentra"/>
    <w:uiPriority w:val="99"/>
    <w:semiHidden/>
    <w:rsid w:val="00220FF8"/>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220FF8"/>
    <w:rPr>
      <w:b/>
      <w:bCs/>
    </w:rPr>
  </w:style>
  <w:style w:type="character" w:customStyle="1" w:styleId="PredmetkomentraChar">
    <w:name w:val="Predmet komentára Char"/>
    <w:basedOn w:val="TextkomentraChar"/>
    <w:link w:val="Predmetkomentra"/>
    <w:uiPriority w:val="99"/>
    <w:semiHidden/>
    <w:rsid w:val="00220FF8"/>
    <w:rPr>
      <w:rFonts w:ascii="Verdana" w:eastAsia="Times New Roman" w:hAnsi="Verdana" w:cs="Times New Roman"/>
      <w:b/>
      <w:bCs/>
      <w:sz w:val="20"/>
      <w:szCs w:val="20"/>
      <w:lang w:val="en-GB"/>
    </w:rPr>
  </w:style>
  <w:style w:type="character" w:customStyle="1" w:styleId="CEABullet-Level1Char">
    <w:name w:val="CEA Bullet - Level 1 Char"/>
    <w:link w:val="CEABullet-Level1"/>
    <w:locked/>
    <w:rsid w:val="00B306F4"/>
    <w:rPr>
      <w:rFonts w:ascii="Verdana" w:eastAsia="Times New Roman" w:hAnsi="Verdana" w:cs="Frutiger LT Std 45 Light"/>
      <w:color w:val="000000"/>
      <w:sz w:val="17"/>
      <w:szCs w:val="20"/>
      <w:lang w:val="en-GB"/>
    </w:rPr>
  </w:style>
  <w:style w:type="character" w:customStyle="1" w:styleId="Nadpis1Char">
    <w:name w:val="Nadpis 1 Char"/>
    <w:basedOn w:val="Predvolenpsmoodseku"/>
    <w:link w:val="Nadpis1"/>
    <w:uiPriority w:val="9"/>
    <w:rsid w:val="009F5D95"/>
    <w:rPr>
      <w:rFonts w:asciiTheme="majorHAnsi" w:eastAsiaTheme="majorEastAsia" w:hAnsiTheme="majorHAnsi" w:cstheme="majorBidi"/>
      <w:color w:val="365F91" w:themeColor="accent1" w:themeShade="BF"/>
      <w:sz w:val="32"/>
      <w:szCs w:val="32"/>
      <w:lang w:val="en-GB"/>
    </w:rPr>
  </w:style>
  <w:style w:type="character" w:styleId="PouitHypertextovPrepojenie">
    <w:name w:val="FollowedHyperlink"/>
    <w:basedOn w:val="Predvolenpsmoodseku"/>
    <w:uiPriority w:val="99"/>
    <w:semiHidden/>
    <w:unhideWhenUsed/>
    <w:rsid w:val="00B62E5A"/>
    <w:rPr>
      <w:color w:val="800080" w:themeColor="followedHyperlink"/>
      <w:u w:val="single"/>
    </w:rPr>
  </w:style>
  <w:style w:type="paragraph" w:styleId="Odsekzoznamu">
    <w:name w:val="List Paragraph"/>
    <w:basedOn w:val="Normlny"/>
    <w:uiPriority w:val="34"/>
    <w:qFormat/>
    <w:rsid w:val="00C12815"/>
    <w:pPr>
      <w:spacing w:line="240" w:lineRule="auto"/>
      <w:ind w:left="720"/>
      <w:jc w:val="left"/>
    </w:pPr>
    <w:rPr>
      <w:rFonts w:ascii="Calibri" w:eastAsiaTheme="minorHAnsi" w:hAnsi="Calibri" w:cs="Calibri"/>
      <w:sz w:val="22"/>
      <w:szCs w:val="22"/>
      <w:lang w:eastAsia="en-GB"/>
    </w:rPr>
  </w:style>
  <w:style w:type="paragraph" w:styleId="Revzia">
    <w:name w:val="Revision"/>
    <w:hidden/>
    <w:uiPriority w:val="99"/>
    <w:semiHidden/>
    <w:rsid w:val="006B3A6B"/>
    <w:pPr>
      <w:spacing w:after="0" w:line="240" w:lineRule="auto"/>
    </w:pPr>
    <w:rPr>
      <w:rFonts w:ascii="Verdana" w:eastAsia="Times New Roman" w:hAnsi="Verdana" w:cs="Times New Roman"/>
      <w:sz w:val="18"/>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433856">
      <w:bodyDiv w:val="1"/>
      <w:marLeft w:val="0"/>
      <w:marRight w:val="0"/>
      <w:marTop w:val="0"/>
      <w:marBottom w:val="0"/>
      <w:divBdr>
        <w:top w:val="none" w:sz="0" w:space="0" w:color="auto"/>
        <w:left w:val="none" w:sz="0" w:space="0" w:color="auto"/>
        <w:bottom w:val="none" w:sz="0" w:space="0" w:color="auto"/>
        <w:right w:val="none" w:sz="0" w:space="0" w:color="auto"/>
      </w:divBdr>
    </w:div>
    <w:div w:id="1037007452">
      <w:bodyDiv w:val="1"/>
      <w:marLeft w:val="0"/>
      <w:marRight w:val="0"/>
      <w:marTop w:val="0"/>
      <w:marBottom w:val="0"/>
      <w:divBdr>
        <w:top w:val="none" w:sz="0" w:space="0" w:color="auto"/>
        <w:left w:val="none" w:sz="0" w:space="0" w:color="auto"/>
        <w:bottom w:val="none" w:sz="0" w:space="0" w:color="auto"/>
        <w:right w:val="none" w:sz="0" w:space="0" w:color="auto"/>
      </w:divBdr>
    </w:div>
    <w:div w:id="158144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nsuranceeurope.eu/sites/default/files/attachments/Joint%20letter%20-%20Call%20for%20action%20a%20centralized%20register%20for%20environmental%2C%20social%20and%20governance%20data%20in%20the%20EU.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mailto:info@insuranceeurope.eu" TargetMode="External"/><Relationship Id="rId2" Type="http://schemas.openxmlformats.org/officeDocument/2006/relationships/hyperlink" Target="https://ec.europa.eu/info/law/better-regulation/have-your-say/initiatives/12776-EU-single-access-point-for-financial-and-non-financial-information-publicly-disclosed-by-companies-" TargetMode="External"/><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599D63AA9CF4AA08BF74B58D808EA35"/>
        <w:category>
          <w:name w:val="General"/>
          <w:gallery w:val="placeholder"/>
        </w:category>
        <w:types>
          <w:type w:val="bbPlcHdr"/>
        </w:types>
        <w:behaviors>
          <w:behavior w:val="content"/>
        </w:behaviors>
        <w:guid w:val="{DF5E50AD-395B-4B40-BEC3-294CECEE326E}"/>
      </w:docPartPr>
      <w:docPartBody>
        <w:p w:rsidR="00AF50EC" w:rsidRDefault="00F36970">
          <w:r w:rsidRPr="00AE0FFA">
            <w:rPr>
              <w:rStyle w:val="Zstupn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970"/>
    <w:rsid w:val="00067782"/>
    <w:rsid w:val="000F1CB6"/>
    <w:rsid w:val="0057158E"/>
    <w:rsid w:val="0063109C"/>
    <w:rsid w:val="00634188"/>
    <w:rsid w:val="006713C1"/>
    <w:rsid w:val="00A307CB"/>
    <w:rsid w:val="00AF50EC"/>
    <w:rsid w:val="00E401F3"/>
    <w:rsid w:val="00F36970"/>
    <w:rsid w:val="00F633AE"/>
    <w:rsid w:val="00F67907"/>
    <w:rsid w:val="00F9555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6970"/>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3697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FC8BBAAB92B9EC47B16926FBCF0C75F9" ma:contentTypeVersion="0" ma:contentTypeDescription="Published Documents Content types for Insurance Europe" ma:contentTypeScope="" ma:versionID="5acc1d111ef3c97ba4ca5f43f2df82a0">
  <xsd:schema xmlns:xsd="http://www.w3.org/2001/XMLSchema" xmlns:xs="http://www.w3.org/2001/XMLSchema" xmlns:p="http://schemas.microsoft.com/office/2006/metadata/properties" xmlns:ns2="e092deee-a6f6-4f89-8a6c-e2a43e9fb5cf" xmlns:ns3="$ListId:PublishedDocuments;" xmlns:ns4="34d7415f-f1a4-44df-8e35-2ceaafd480dc" xmlns:ns5="7008af22-2417-4c84-8cc9-7a7f7e77d398" xmlns:ns6="70f7eb82-310d-4963-bf1e-a4c2a37fd81c" targetNamespace="http://schemas.microsoft.com/office/2006/metadata/properties" ma:root="true" ma:fieldsID="fcb2740bb3a49769e13071f5c5bb0d4e" ns2:_="" ns3:_="" ns4:_="" ns5:_="" ns6:_="">
    <xsd:import namespace="e092deee-a6f6-4f89-8a6c-e2a43e9fb5cf"/>
    <xsd:import namespace="$ListId:PublishedDocuments;"/>
    <xsd:import namespace="34d7415f-f1a4-44df-8e35-2ceaafd480dc"/>
    <xsd:import namespace="7008af22-2417-4c84-8cc9-7a7f7e77d398"/>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7008af22-2417-4c84-8cc9-7a7f7e77d398"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ype_x0020_of_x0020_memo xmlns="70f7eb82-310d-4963-bf1e-a4c2a37fd81c" xsi:nil="true"/>
    <Type_x0020_of_x0020_document xmlns="34d7415f-f1a4-44df-8e35-2ceaafd480dc">Position Paper</Type_x0020_of_x0020_document>
    <Linked_x0020_files xmlns="$ListId:PublishedDocuments;" xsi:nil="true"/>
    <ValidationComment xmlns="e092deee-a6f6-4f89-8a6c-e2a43e9fb5cf" xsi:nil="true"/>
    <Uploads xmlns="7008af22-2417-4c84-8cc9-7a7f7e77d398">false</Uploads>
    <Can_x0020_be_x0020_edited xmlns="$ListId:PublishedDocuments;">false</Can_x0020_be_x0020_edited>
    <AllowComments xmlns="e092deee-a6f6-4f89-8a6c-e2a43e9fb5cf">false</AllowComments>
    <isAnnex xmlns="7008af22-2417-4c84-8cc9-7a7f7e77d398">False</isAnnex>
    <Validated xmlns="e092deee-a6f6-4f89-8a6c-e2a43e9fb5cf">false</Validated>
    <Deadline xmlns="7008af22-2417-4c84-8cc9-7a7f7e77d398">2021-01-14T22:55:00+00:00</Deadline>
    <Display_x0020_validated_x0020_documents_x0020_library_x0020_button xmlns="70f7eb82-310d-4963-bf1e-a4c2a37fd81c">true</Display_x0020_validated_x0020_documents_x0020_library_x0020_button>
  </documentManagement>
</p:properties>
</file>

<file path=customXml/itemProps1.xml><?xml version="1.0" encoding="utf-8"?>
<ds:datastoreItem xmlns:ds="http://schemas.openxmlformats.org/officeDocument/2006/customXml" ds:itemID="{63827B13-D241-4323-B7A9-75B7AD1AA6EE}">
  <ds:schemaRefs>
    <ds:schemaRef ds:uri="http://schemas.microsoft.com/sharepoint/v3/contenttype/forms"/>
  </ds:schemaRefs>
</ds:datastoreItem>
</file>

<file path=customXml/itemProps2.xml><?xml version="1.0" encoding="utf-8"?>
<ds:datastoreItem xmlns:ds="http://schemas.openxmlformats.org/officeDocument/2006/customXml" ds:itemID="{00C3224F-57EF-4945-8076-6ED3389FD9A3}">
  <ds:schemaRefs>
    <ds:schemaRef ds:uri="http://schemas.openxmlformats.org/officeDocument/2006/bibliography"/>
  </ds:schemaRefs>
</ds:datastoreItem>
</file>

<file path=customXml/itemProps3.xml><?xml version="1.0" encoding="utf-8"?>
<ds:datastoreItem xmlns:ds="http://schemas.openxmlformats.org/officeDocument/2006/customXml" ds:itemID="{0F1DDE29-840D-48BE-BCD0-56C44CAA1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7008af22-2417-4c84-8cc9-7a7f7e77d398"/>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5485A1-11AA-442D-8577-727460E39C5A}">
  <ds:schemaRefs>
    <ds:schemaRef ds:uri="http://schemas.microsoft.com/office/2006/metadata/properties"/>
    <ds:schemaRef ds:uri="http://schemas.microsoft.com/office/infopath/2007/PartnerControls"/>
    <ds:schemaRef ds:uri="70f7eb82-310d-4963-bf1e-a4c2a37fd81c"/>
    <ds:schemaRef ds:uri="34d7415f-f1a4-44df-8e35-2ceaafd480dc"/>
    <ds:schemaRef ds:uri="$ListId:PublishedDocuments;"/>
    <ds:schemaRef ds:uri="e092deee-a6f6-4f89-8a6c-e2a43e9fb5cf"/>
    <ds:schemaRef ds:uri="7008af22-2417-4c84-8cc9-7a7f7e77d39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1339</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Insurance Europe response to the EC inception impact assessment on single EU access point for company information</vt:lpstr>
    </vt:vector>
  </TitlesOfParts>
  <Company>Insurance Europe</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blocking concerns - Insurance Europe response to the EC inception impact assessment on single EU access point for company information</dc:title>
  <dc:creator>Insurance Europe</dc:creator>
  <cp:lastModifiedBy>Jurkovičová Monika</cp:lastModifiedBy>
  <cp:revision>2</cp:revision>
  <dcterms:created xsi:type="dcterms:W3CDTF">2021-01-29T13:36:00Z</dcterms:created>
  <dcterms:modified xsi:type="dcterms:W3CDTF">2021-01-29T13:36:00Z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0x010100FC8BBAAB92B9EC47B16926FBCF0C75F9</vt:lpwstr>
  </property>
</Properties>
</file>