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57" w:rsidRDefault="00816E57" w:rsidP="00816E57">
      <w:pPr>
        <w:autoSpaceDE w:val="0"/>
        <w:autoSpaceDN w:val="0"/>
        <w:adjustRightInd w:val="0"/>
        <w:spacing w:after="0" w:line="240" w:lineRule="auto"/>
        <w:jc w:val="both"/>
      </w:pPr>
      <w:r>
        <w:t xml:space="preserve">KID – PRIIPS </w:t>
      </w:r>
    </w:p>
    <w:p w:rsidR="00816E57" w:rsidRDefault="00816E57" w:rsidP="00816E57">
      <w:pPr>
        <w:pStyle w:val="Heading4"/>
        <w:spacing w:before="0" w:after="120"/>
        <w:rPr>
          <w:lang w:val="sk-SK"/>
        </w:rPr>
      </w:pPr>
    </w:p>
    <w:p w:rsidR="00816E57" w:rsidRDefault="00816E57" w:rsidP="00816E57">
      <w:pPr>
        <w:pStyle w:val="Heading4"/>
        <w:spacing w:before="0" w:after="120"/>
        <w:rPr>
          <w:lang w:val="sk-SK"/>
        </w:rPr>
      </w:pPr>
      <w:r>
        <w:rPr>
          <w:lang w:val="sk-SK"/>
        </w:rPr>
        <w:t>KID pre PRIIP – špeciálne produkty</w:t>
      </w: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V prípade špeciálnych produktov, kde nie je vhodné použiť dohodnuté parametre vzorového klienta  (t.j. 35 ročný, 30 rokov odporúčaná držba, 4.500 PS na úmrtie).</w:t>
      </w:r>
    </w:p>
    <w:p w:rsidR="00816E57" w:rsidRDefault="00816E57" w:rsidP="00816E57">
      <w:pPr>
        <w:pStyle w:val="ListParagraph"/>
        <w:spacing w:after="120"/>
        <w:ind w:left="360" w:firstLine="348"/>
      </w:pPr>
      <w:r>
        <w:t>Čo je pre tvorbu KID dôležitejšie?</w:t>
      </w:r>
    </w:p>
    <w:p w:rsidR="00816E57" w:rsidRDefault="00816E57" w:rsidP="00816E57">
      <w:pPr>
        <w:pStyle w:val="ListParagraph"/>
        <w:numPr>
          <w:ilvl w:val="0"/>
          <w:numId w:val="2"/>
        </w:numPr>
        <w:spacing w:after="120" w:line="240" w:lineRule="auto"/>
        <w:ind w:left="1434" w:hanging="357"/>
      </w:pPr>
      <w:proofErr w:type="spellStart"/>
      <w:r>
        <w:t>Dojednateľnosť</w:t>
      </w:r>
      <w:proofErr w:type="spellEnd"/>
      <w:r>
        <w:t xml:space="preserve"> takéhoto PRIIP, alebo </w:t>
      </w:r>
    </w:p>
    <w:p w:rsidR="00816E57" w:rsidRDefault="00816E57" w:rsidP="00816E57">
      <w:pPr>
        <w:pStyle w:val="ListParagraph"/>
        <w:numPr>
          <w:ilvl w:val="0"/>
          <w:numId w:val="2"/>
        </w:numPr>
        <w:spacing w:after="120" w:line="240" w:lineRule="auto"/>
        <w:ind w:left="1434" w:hanging="357"/>
      </w:pPr>
      <w:r>
        <w:t xml:space="preserve">Porovnateľnosť takéhoto PRIIP (t.j. napr. použitie PS na smrť 4.500 EUR, obdobie držby 30 rokov)? </w:t>
      </w:r>
    </w:p>
    <w:p w:rsidR="00816E57" w:rsidRDefault="00816E57" w:rsidP="00816E57">
      <w:pPr>
        <w:pStyle w:val="Heading4"/>
        <w:spacing w:before="0" w:after="120"/>
        <w:ind w:left="708"/>
        <w:rPr>
          <w:b w:val="0"/>
          <w:i w:val="0"/>
          <w:lang w:val="sk-SK"/>
        </w:rPr>
      </w:pPr>
      <w:r>
        <w:rPr>
          <w:b w:val="0"/>
          <w:i w:val="0"/>
          <w:lang w:val="sk-SK"/>
        </w:rPr>
        <w:t>Otázka smeruje k tomu, či predmetný KID má byť primárne porovnateľný s </w:t>
      </w:r>
      <w:proofErr w:type="spellStart"/>
      <w:r>
        <w:rPr>
          <w:b w:val="0"/>
          <w:i w:val="0"/>
          <w:lang w:val="sk-SK"/>
        </w:rPr>
        <w:t>inýmy</w:t>
      </w:r>
      <w:proofErr w:type="spellEnd"/>
      <w:r>
        <w:rPr>
          <w:b w:val="0"/>
          <w:i w:val="0"/>
          <w:lang w:val="sk-SK"/>
        </w:rPr>
        <w:t xml:space="preserve"> produktmi podobného zamerania na trhu aj za cenu, že vzorové poistenie v KID  nie je možné reálne dojednať alebo je prioritou </w:t>
      </w:r>
      <w:proofErr w:type="spellStart"/>
      <w:r>
        <w:rPr>
          <w:b w:val="0"/>
          <w:i w:val="0"/>
          <w:lang w:val="sk-SK"/>
        </w:rPr>
        <w:t>dojednateľnosť</w:t>
      </w:r>
      <w:proofErr w:type="spellEnd"/>
      <w:r>
        <w:rPr>
          <w:b w:val="0"/>
          <w:i w:val="0"/>
          <w:lang w:val="sk-SK"/>
        </w:rPr>
        <w:t xml:space="preserve"> vzorového poistenia na úkor porovnateľnosti s inými podobnými produktami na trhu. </w:t>
      </w:r>
    </w:p>
    <w:p w:rsidR="00816E57" w:rsidRDefault="00A76ACC" w:rsidP="0031535D">
      <w:pPr>
        <w:jc w:val="both"/>
      </w:pPr>
      <w:r w:rsidRPr="0031535D">
        <w:rPr>
          <w:b/>
        </w:rPr>
        <w:t>Odpoveď</w:t>
      </w:r>
      <w:r>
        <w:t xml:space="preserve">: </w:t>
      </w:r>
      <w:r w:rsidR="00A53B20">
        <w:t xml:space="preserve">Zrozumiteľnosť a porovnateľnosť investičných produktov sú základné charakteristiky </w:t>
      </w:r>
      <w:proofErr w:type="spellStart"/>
      <w:r w:rsidR="00A53B20">
        <w:t>regurácie</w:t>
      </w:r>
      <w:proofErr w:type="spellEnd"/>
      <w:r w:rsidR="00A53B20">
        <w:t xml:space="preserve"> týkajúcej sa dokumentov s kľúčovými informáciami. </w:t>
      </w:r>
    </w:p>
    <w:p w:rsidR="00A53B20" w:rsidRDefault="00A53B20" w:rsidP="0031535D">
      <w:pPr>
        <w:jc w:val="both"/>
      </w:pPr>
      <w:r>
        <w:t>Podľa článku 11 n</w:t>
      </w:r>
      <w:r w:rsidRPr="00A53B20">
        <w:t>ariadeni</w:t>
      </w:r>
      <w:r>
        <w:t>a</w:t>
      </w:r>
      <w:r w:rsidRPr="00A53B20">
        <w:t xml:space="preserve"> Európskeho parlamentu a Rady (EÚ) č. 1286/2014 </w:t>
      </w:r>
      <w:r>
        <w:t>je t</w:t>
      </w:r>
      <w:r>
        <w:t>vorc</w:t>
      </w:r>
      <w:r>
        <w:t>ovi</w:t>
      </w:r>
      <w:r>
        <w:t xml:space="preserve"> PRIIP </w:t>
      </w:r>
      <w:r>
        <w:t>vzniká</w:t>
      </w:r>
      <w:r>
        <w:t xml:space="preserve"> občianskoprávna zodpovednosť </w:t>
      </w:r>
      <w:r>
        <w:t xml:space="preserve">vyplývajúce z informácií v KID dokumente, ak je </w:t>
      </w:r>
      <w:r>
        <w:t>zavádzajúci, nepresný alebo v rozpore s príslušnými časťami právne</w:t>
      </w:r>
      <w:r>
        <w:t xml:space="preserve"> </w:t>
      </w:r>
      <w:r>
        <w:t xml:space="preserve">záväzných predzmluvných a zmluvných dokumentov alebo s požiadavkami </w:t>
      </w:r>
      <w:r w:rsidR="00592424">
        <w:t xml:space="preserve">nariadenia pre KID dokument. </w:t>
      </w:r>
    </w:p>
    <w:p w:rsidR="00592424" w:rsidRDefault="00592424" w:rsidP="0031535D">
      <w:pPr>
        <w:jc w:val="both"/>
      </w:pPr>
      <w:r>
        <w:t xml:space="preserve">Preto charakteristika KID dokumentu pomenovaná ako </w:t>
      </w:r>
      <w:proofErr w:type="spellStart"/>
      <w:r>
        <w:t>dojednateľnosť</w:t>
      </w:r>
      <w:proofErr w:type="spellEnd"/>
      <w:r>
        <w:t xml:space="preserve"> neexistuje. </w:t>
      </w:r>
    </w:p>
    <w:p w:rsidR="00A53B20" w:rsidRDefault="0031535D" w:rsidP="0031535D">
      <w:pPr>
        <w:jc w:val="both"/>
      </w:pPr>
      <w:r>
        <w:t>Len v</w:t>
      </w:r>
      <w:r>
        <w:t xml:space="preserve"> prípade ak vzorový klient určený </w:t>
      </w:r>
      <w:r>
        <w:t>v s</w:t>
      </w:r>
      <w:r>
        <w:t>tanovisk</w:t>
      </w:r>
      <w:r>
        <w:t>u NBS</w:t>
      </w:r>
      <w:r>
        <w:t xml:space="preserve"> k parametrom produktu pre vypracovanie dokumentu</w:t>
      </w:r>
      <w:r>
        <w:t xml:space="preserve"> </w:t>
      </w:r>
      <w:r>
        <w:t>s kľúčovými informáciami</w:t>
      </w:r>
      <w:r>
        <w:t xml:space="preserve"> </w:t>
      </w:r>
      <w:r>
        <w:t xml:space="preserve"> je mimo rámca cieľového trhu</w:t>
      </w:r>
      <w:r>
        <w:t xml:space="preserve"> </w:t>
      </w:r>
      <w:r>
        <w:t>príslušného investičného produktu založeného na poistení (v zmysle článku 25 smernice</w:t>
      </w:r>
      <w:r>
        <w:t xml:space="preserve"> </w:t>
      </w:r>
      <w:r>
        <w:t>Európskeho parlamentu a Rady (EÚ) 2016/97 o distribúcii poistenia), poisťovňa vypracuje</w:t>
      </w:r>
      <w:r>
        <w:t xml:space="preserve"> </w:t>
      </w:r>
      <w:r>
        <w:t>KID na základe vlastných parametrov tak, aby vzorový klient bol určený v rámci cieľového</w:t>
      </w:r>
      <w:r>
        <w:t xml:space="preserve"> </w:t>
      </w:r>
      <w:r>
        <w:t>trhu tohto produktu</w:t>
      </w:r>
      <w:r>
        <w:t>. V takomto prípade sa nedá docieliť porovnateľnosť vo všetkých parametroch produktu. Avšak ak produkt obsahuje riziko smrti a je možné dojednať ho na 30 rokov, je potrebné dodržať aspoň tieto parametre.</w:t>
      </w:r>
    </w:p>
    <w:p w:rsidR="00816E57" w:rsidRDefault="00816E57" w:rsidP="00816E57">
      <w:pPr>
        <w:pStyle w:val="Heading4"/>
        <w:spacing w:before="0" w:after="120"/>
        <w:rPr>
          <w:lang w:val="sk-SK"/>
        </w:rPr>
      </w:pPr>
      <w:r>
        <w:rPr>
          <w:lang w:val="sk-SK"/>
        </w:rPr>
        <w:t>KID pre PRIIP v dvoch variantoch</w:t>
      </w: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Je pre tieto 2 varianty PRIIP potrebné robiť 2 rôzne KID? </w:t>
      </w:r>
    </w:p>
    <w:p w:rsidR="00816E57" w:rsidRDefault="00816E57" w:rsidP="00816E57">
      <w:pPr>
        <w:pStyle w:val="ListParagraph"/>
        <w:numPr>
          <w:ilvl w:val="0"/>
          <w:numId w:val="3"/>
        </w:numPr>
        <w:spacing w:after="120" w:line="240" w:lineRule="auto"/>
        <w:ind w:left="1434" w:hanging="357"/>
      </w:pPr>
      <w:r>
        <w:t xml:space="preserve">Variant 1: kde </w:t>
      </w:r>
      <w:r>
        <w:rPr>
          <w:b/>
        </w:rPr>
        <w:t>poistník je poistený na dožitie a smrť</w:t>
      </w:r>
      <w:r>
        <w:t xml:space="preserve"> (poistná doba 30 rokov v zmysle porovnateľnosti s trhom je </w:t>
      </w:r>
      <w:proofErr w:type="spellStart"/>
      <w:r>
        <w:t>dojednateľná</w:t>
      </w:r>
      <w:proofErr w:type="spellEnd"/>
      <w:r>
        <w:t>),</w:t>
      </w:r>
    </w:p>
    <w:p w:rsidR="00816E57" w:rsidRDefault="00816E57" w:rsidP="00816E57">
      <w:pPr>
        <w:pStyle w:val="ListParagraph"/>
        <w:numPr>
          <w:ilvl w:val="0"/>
          <w:numId w:val="3"/>
        </w:numPr>
        <w:spacing w:after="120" w:line="240" w:lineRule="auto"/>
        <w:ind w:left="1434" w:hanging="357"/>
      </w:pPr>
      <w:r>
        <w:t>Variant 2: kde poistník je poistený na oslobodenie od platenia poistného a </w:t>
      </w:r>
      <w:r>
        <w:rPr>
          <w:b/>
        </w:rPr>
        <w:t xml:space="preserve">poistená osoba je poistená na dožitie a smrť </w:t>
      </w:r>
      <w:r>
        <w:t xml:space="preserve">(maximálna </w:t>
      </w:r>
      <w:proofErr w:type="spellStart"/>
      <w:r>
        <w:t>dojednateľná</w:t>
      </w:r>
      <w:proofErr w:type="spellEnd"/>
      <w:r>
        <w:t xml:space="preserve"> poistná doba je 25 rokov).</w:t>
      </w:r>
    </w:p>
    <w:p w:rsidR="0031535D" w:rsidRDefault="0031535D" w:rsidP="0031535D">
      <w:pPr>
        <w:jc w:val="both"/>
      </w:pPr>
      <w:r w:rsidRPr="0031535D">
        <w:rPr>
          <w:b/>
        </w:rPr>
        <w:t>Odpoveď:</w:t>
      </w:r>
      <w:r>
        <w:t xml:space="preserve"> </w:t>
      </w:r>
      <w:r>
        <w:t xml:space="preserve">Áno KID je potrebné pripraviť v 2 variantoch, </w:t>
      </w:r>
      <w:proofErr w:type="spellStart"/>
      <w:r>
        <w:t>kedže</w:t>
      </w:r>
      <w:proofErr w:type="spellEnd"/>
      <w:r>
        <w:t xml:space="preserve"> pripoistenie </w:t>
      </w:r>
      <w:proofErr w:type="spellStart"/>
      <w:r>
        <w:t>oslabodenie</w:t>
      </w:r>
      <w:proofErr w:type="spellEnd"/>
      <w:r>
        <w:t xml:space="preserve"> od platenia je vnorené</w:t>
      </w:r>
      <w:r>
        <w:t xml:space="preserve">. </w:t>
      </w:r>
    </w:p>
    <w:p w:rsidR="00816E57" w:rsidRDefault="00816E57" w:rsidP="00816E57">
      <w:pPr>
        <w:pStyle w:val="Heading4"/>
        <w:spacing w:before="0" w:after="120"/>
        <w:rPr>
          <w:lang w:val="sk-SK"/>
        </w:rPr>
      </w:pPr>
    </w:p>
    <w:p w:rsidR="00816E57" w:rsidRDefault="00816E57" w:rsidP="00816E57">
      <w:pPr>
        <w:pStyle w:val="Heading4"/>
        <w:spacing w:before="0" w:after="120"/>
        <w:rPr>
          <w:lang w:val="sk-SK"/>
        </w:rPr>
      </w:pPr>
      <w:r>
        <w:rPr>
          <w:lang w:val="sk-SK"/>
        </w:rPr>
        <w:t>Prezentácia scenárov výkonnosti (príloha V)</w:t>
      </w: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Tabuľka scenárov výkonnosti má prezentovať koľko klient získa po odpočítaní nákladov zo zaplatených 1.000 EUR ročne. Znamená to že pri prezentovanom období držby 30 rokov sa uvádza:</w:t>
      </w:r>
    </w:p>
    <w:p w:rsidR="00816E57" w:rsidRDefault="00816E57" w:rsidP="00816E57">
      <w:pPr>
        <w:pStyle w:val="ListParagraph"/>
        <w:numPr>
          <w:ilvl w:val="0"/>
          <w:numId w:val="4"/>
        </w:numPr>
        <w:spacing w:after="120" w:line="240" w:lineRule="auto"/>
        <w:ind w:left="1434" w:hanging="357"/>
      </w:pPr>
      <w:r>
        <w:t xml:space="preserve">priemerná ročná výnosnosť v EUR za 30 rokov, alebo </w:t>
      </w:r>
    </w:p>
    <w:p w:rsidR="00816E57" w:rsidRDefault="00816E57" w:rsidP="00816E57">
      <w:pPr>
        <w:pStyle w:val="ListParagraph"/>
        <w:numPr>
          <w:ilvl w:val="0"/>
          <w:numId w:val="4"/>
        </w:numPr>
        <w:spacing w:after="120" w:line="240" w:lineRule="auto"/>
        <w:ind w:left="1434" w:hanging="357"/>
      </w:pPr>
      <w:r>
        <w:t>výnosnosť v EUR sumárne za 30 rokov držby?</w:t>
      </w:r>
    </w:p>
    <w:p w:rsidR="00C82FA4" w:rsidRDefault="00C82FA4" w:rsidP="00C82FA4">
      <w:pPr>
        <w:jc w:val="both"/>
      </w:pPr>
    </w:p>
    <w:p w:rsidR="00C82FA4" w:rsidRDefault="00C82FA4" w:rsidP="00C82FA4">
      <w:pPr>
        <w:jc w:val="both"/>
      </w:pPr>
      <w:r w:rsidRPr="00C82FA4">
        <w:rPr>
          <w:b/>
        </w:rPr>
        <w:lastRenderedPageBreak/>
        <w:t>Odpoveď:</w:t>
      </w:r>
      <w:r w:rsidRPr="00C82FA4">
        <w:t xml:space="preserve"> </w:t>
      </w:r>
      <w:r>
        <w:t>Podľa bodu 33 prílohy IV delegovaného nariadenia Komisie (EÚ) 2017/653 sa výkonnosť prezentuje aj v percentuálnom vyjadrení ako priemerná ročná návratnosť investície</w:t>
      </w:r>
      <w:r w:rsidRPr="00C82FA4">
        <w:t xml:space="preserve">. </w:t>
      </w:r>
    </w:p>
    <w:p w:rsidR="00C82FA4" w:rsidRPr="00C82FA4" w:rsidRDefault="00C82FA4" w:rsidP="00C82FA4">
      <w:pPr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Ako prezentovať klientovi </w:t>
      </w:r>
      <w:r>
        <w:rPr>
          <w:b/>
        </w:rPr>
        <w:t>scenár s poistnou udalosťou</w:t>
      </w:r>
      <w:r>
        <w:t xml:space="preserve"> pri PRIIP, kde poistník je poistený na smrť a oslobodenie od platenia poistného (t.j. bez investičnej zložky) a súčasne poistená osoba je poistená na smrť a dožitie (len poistenej osoby sa týka investičná zložka PRIIP)?</w:t>
      </w:r>
    </w:p>
    <w:p w:rsidR="00816E57" w:rsidRDefault="00816E57" w:rsidP="00816E57">
      <w:pPr>
        <w:pStyle w:val="ListParagraph"/>
        <w:numPr>
          <w:ilvl w:val="0"/>
          <w:numId w:val="5"/>
        </w:numPr>
        <w:spacing w:after="120" w:line="240" w:lineRule="auto"/>
        <w:ind w:left="1434" w:hanging="357"/>
      </w:pPr>
      <w:r>
        <w:t>Má sa prezentovať smrť oboch (poistník a poistený) v tom istom okamihu, alebo</w:t>
      </w:r>
    </w:p>
    <w:p w:rsidR="00816E57" w:rsidRDefault="00816E57" w:rsidP="00816E57">
      <w:pPr>
        <w:pStyle w:val="ListParagraph"/>
        <w:numPr>
          <w:ilvl w:val="0"/>
          <w:numId w:val="5"/>
        </w:numPr>
        <w:spacing w:after="120" w:line="240" w:lineRule="auto"/>
        <w:ind w:left="1434" w:hanging="357"/>
      </w:pPr>
      <w:r>
        <w:t xml:space="preserve">Má sa zohľadniť len smrť poistníka, alebo </w:t>
      </w:r>
    </w:p>
    <w:p w:rsidR="00816E57" w:rsidRDefault="00816E57" w:rsidP="00816E57">
      <w:pPr>
        <w:pStyle w:val="ListParagraph"/>
        <w:numPr>
          <w:ilvl w:val="0"/>
          <w:numId w:val="5"/>
        </w:numPr>
        <w:spacing w:after="120" w:line="240" w:lineRule="auto"/>
        <w:ind w:left="1434" w:hanging="357"/>
      </w:pPr>
      <w:r>
        <w:t xml:space="preserve">Má sa zohľadniť len smrť poistníka + plnenie z oslobodenia od platenia poistného, alebo </w:t>
      </w:r>
    </w:p>
    <w:p w:rsidR="00816E57" w:rsidRDefault="00816E57" w:rsidP="00816E57">
      <w:pPr>
        <w:pStyle w:val="ListParagraph"/>
        <w:numPr>
          <w:ilvl w:val="0"/>
          <w:numId w:val="5"/>
        </w:numPr>
        <w:spacing w:after="120" w:line="240" w:lineRule="auto"/>
        <w:ind w:left="1434" w:hanging="357"/>
      </w:pPr>
      <w:r>
        <w:t xml:space="preserve">Má sa zohľadniť len smrť poistenej osoby? </w:t>
      </w:r>
    </w:p>
    <w:p w:rsidR="00816E57" w:rsidRDefault="00816E57" w:rsidP="00816E57">
      <w:pPr>
        <w:pStyle w:val="ListParagraph"/>
        <w:spacing w:after="120"/>
        <w:ind w:left="1434"/>
      </w:pPr>
    </w:p>
    <w:p w:rsidR="00C82FA4" w:rsidRDefault="00C82FA4" w:rsidP="00C82FA4">
      <w:pPr>
        <w:jc w:val="both"/>
      </w:pPr>
      <w:r w:rsidRPr="00C82FA4">
        <w:rPr>
          <w:b/>
        </w:rPr>
        <w:t>Odpoveď:</w:t>
      </w:r>
      <w:r w:rsidRPr="00C82FA4">
        <w:t xml:space="preserve"> </w:t>
      </w:r>
      <w:r w:rsidR="00BF79EC">
        <w:t xml:space="preserve">Pod scenárom úmrtia rozumieme scenár ak poistné krytie obsahuje riziko smrti. V tomto prípade sa </w:t>
      </w:r>
      <w:r w:rsidR="0017235B">
        <w:t xml:space="preserve">podľa nášho názoru </w:t>
      </w:r>
      <w:r w:rsidR="00BF79EC">
        <w:t>jedná o smrť poistenej osoby</w:t>
      </w:r>
      <w:r w:rsidRPr="00C82FA4">
        <w:t xml:space="preserve"> </w:t>
      </w:r>
    </w:p>
    <w:p w:rsidR="00C82FA4" w:rsidRDefault="00C82FA4" w:rsidP="00816E57">
      <w:pPr>
        <w:pStyle w:val="ListParagraph"/>
        <w:spacing w:after="120"/>
        <w:ind w:left="1434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Čo môže predstavovať rozdiel medzi kumulovanou investovanou sumou a kumulovaným poistným (napr. pri investičnom životnom poistení)?</w:t>
      </w:r>
    </w:p>
    <w:p w:rsidR="00816E57" w:rsidRDefault="00816E57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F03CA6" w:rsidRDefault="00F03CA6" w:rsidP="00F03CA6">
      <w:pPr>
        <w:jc w:val="both"/>
      </w:pPr>
      <w:r w:rsidRPr="00C82FA4">
        <w:rPr>
          <w:b/>
        </w:rPr>
        <w:t>Odpoveď:</w:t>
      </w:r>
      <w:r w:rsidRPr="00C82FA4">
        <w:t xml:space="preserve"> </w:t>
      </w:r>
      <w:r>
        <w:t xml:space="preserve">Podľa nášho chápania </w:t>
      </w:r>
      <w:r>
        <w:t xml:space="preserve">delegovaného nariadenia Komisie (EÚ) 2017/653 </w:t>
      </w:r>
      <w:r>
        <w:t>je rozdiel len to či produkt obsahuje riziko smrti. Ak neobsahuje prezentuje sa prvá tabuľka vzoru B a ak obsahuje prezentuje sa druhá tabuľka vzoru B. Keďže však poistenie bez rizika smrti by nemalo obsahovať, otázka je irelevantná.</w:t>
      </w:r>
      <w:r w:rsidRPr="00C82FA4">
        <w:t xml:space="preserve"> </w:t>
      </w:r>
    </w:p>
    <w:p w:rsidR="00F03CA6" w:rsidRDefault="00F03CA6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Má kumulovaná investovaná suma predstavovať „kumulované poistné – náklady“?</w:t>
      </w:r>
    </w:p>
    <w:p w:rsidR="00816E57" w:rsidRDefault="00816E57" w:rsidP="00816E57">
      <w:pPr>
        <w:pStyle w:val="ListParagraph"/>
      </w:pPr>
    </w:p>
    <w:p w:rsidR="008E6F9D" w:rsidRDefault="008E6F9D" w:rsidP="008E6F9D">
      <w:pPr>
        <w:jc w:val="both"/>
      </w:pPr>
      <w:r w:rsidRPr="00C82FA4">
        <w:rPr>
          <w:b/>
        </w:rPr>
        <w:t>Odpoveď:</w:t>
      </w:r>
      <w:r w:rsidRPr="00C82FA4">
        <w:t xml:space="preserve"> </w:t>
      </w:r>
      <w:r>
        <w:t>Nie</w:t>
      </w:r>
      <w:r w:rsidR="00F81E65">
        <w:t xml:space="preserve">, </w:t>
      </w:r>
      <w:r>
        <w:t>náklady sú zohľadnené až vo výsledku scenárov.</w:t>
      </w:r>
      <w:r w:rsidRPr="00C82FA4">
        <w:t xml:space="preserve"> </w:t>
      </w:r>
    </w:p>
    <w:p w:rsidR="00816E57" w:rsidRDefault="00816E57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Akým spôsobom má byť vyjadrená výkonnosť (AAR), ktorá je zadefinovaná v bode 33, príloha IV? Je potrebné vyjadriť IRR po jednotlivých rokov a následne stanoviť jej priemernú hodnotu ? (To by potom okrem iného znamenalo, že percento v tabuľke so scenármi nemá byť totožné s percentom vypočítaným v bode 72, prílohy VI)</w:t>
      </w:r>
    </w:p>
    <w:p w:rsidR="00816E57" w:rsidRDefault="00816E57" w:rsidP="00816E57">
      <w:pPr>
        <w:spacing w:after="120"/>
        <w:ind w:left="720"/>
      </w:pPr>
    </w:p>
    <w:p w:rsidR="00F81E65" w:rsidRDefault="00F81E65" w:rsidP="00F81E65">
      <w:pPr>
        <w:jc w:val="both"/>
      </w:pPr>
      <w:r w:rsidRPr="00C82FA4">
        <w:rPr>
          <w:b/>
        </w:rPr>
        <w:t>Odpoveď:</w:t>
      </w:r>
      <w:r w:rsidRPr="00C82FA4">
        <w:t xml:space="preserve"> </w:t>
      </w:r>
      <w:r>
        <w:t>D</w:t>
      </w:r>
      <w:r>
        <w:t>elegované nariadeni</w:t>
      </w:r>
      <w:r>
        <w:t>e</w:t>
      </w:r>
      <w:r>
        <w:t xml:space="preserve"> Komisie (EÚ) 2017/653</w:t>
      </w:r>
      <w:r>
        <w:t xml:space="preserve"> neposkytuje odpoveď na túto otázku</w:t>
      </w:r>
      <w:r>
        <w:t>.</w:t>
      </w:r>
      <w:r w:rsidRPr="00C82FA4">
        <w:t xml:space="preserve"> </w:t>
      </w:r>
      <w:r>
        <w:t xml:space="preserve">Predpokladáme však že záverom nebolo vyjadriť výnos po jednotlivých rokoch, a preto sa domnievame že vypočítané percento podľa bodu 33 za kalkulované obdobie držby je potrebné vyjadriť per </w:t>
      </w:r>
      <w:proofErr w:type="spellStart"/>
      <w:r>
        <w:t>annum</w:t>
      </w:r>
      <w:proofErr w:type="spellEnd"/>
      <w:r>
        <w:t>.</w:t>
      </w:r>
    </w:p>
    <w:p w:rsidR="00816E57" w:rsidRDefault="00816E57" w:rsidP="00816E57">
      <w:pPr>
        <w:pStyle w:val="Heading4"/>
        <w:spacing w:before="0" w:after="120"/>
        <w:rPr>
          <w:lang w:val="sk-SK"/>
        </w:rPr>
      </w:pPr>
    </w:p>
    <w:p w:rsidR="00816E57" w:rsidRDefault="00816E57" w:rsidP="00816E57">
      <w:pPr>
        <w:pStyle w:val="Heading4"/>
        <w:spacing w:before="0" w:after="120"/>
        <w:rPr>
          <w:lang w:val="sk-SK"/>
        </w:rPr>
      </w:pPr>
      <w:r>
        <w:rPr>
          <w:lang w:val="sk-SK"/>
        </w:rPr>
        <w:t>Prezentácia nákladov (príloha VII)</w:t>
      </w:r>
    </w:p>
    <w:p w:rsidR="00816E57" w:rsidRDefault="00816E57" w:rsidP="00816E57"/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Do akej miery má tabuľka 1 (náklady v priebehu času) a tabuľka 2 (zloženie nákladov) </w:t>
      </w:r>
      <w:r w:rsidR="00FF4E80">
        <w:t xml:space="preserve"> </w:t>
      </w:r>
      <w:r>
        <w:t>korešpondovať (v zmysle že súčet jednotlivých vplyvov v %  v tabuľke 2 by mal zodpovedať presne vplyvu v tabuľke 1) pri odporúčanej dobe držby?</w:t>
      </w:r>
    </w:p>
    <w:p w:rsidR="00FF4E80" w:rsidRDefault="00FF4E80" w:rsidP="00FF4E80">
      <w:pPr>
        <w:jc w:val="both"/>
      </w:pPr>
    </w:p>
    <w:p w:rsidR="00FF4E80" w:rsidRPr="00FF4E80" w:rsidRDefault="00FF4E80" w:rsidP="00FF4E80">
      <w:pPr>
        <w:jc w:val="both"/>
      </w:pPr>
      <w:r w:rsidRPr="00FF4E80">
        <w:rPr>
          <w:b/>
        </w:rPr>
        <w:lastRenderedPageBreak/>
        <w:t>Odpoveď:</w:t>
      </w:r>
      <w:r w:rsidRPr="00FF4E80">
        <w:t xml:space="preserve"> </w:t>
      </w:r>
      <w:r>
        <w:t>Nevidíme dôvod prečo by to nemalo korešpondovať ak sú všetky zohľadnené všetky náklady v tabuľke 1 aj tabuľke 2 a vo výpočte je rovnaký menovateľ.</w:t>
      </w:r>
    </w:p>
    <w:p w:rsidR="00816E57" w:rsidRDefault="00816E57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Čo v prípade, že IRR nie je možné </w:t>
      </w:r>
      <w:proofErr w:type="spellStart"/>
      <w:r>
        <w:t>výpočítať</w:t>
      </w:r>
      <w:proofErr w:type="spellEnd"/>
      <w:r>
        <w:t xml:space="preserve">? Uviesť 100% alebo </w:t>
      </w:r>
      <w:r>
        <w:rPr>
          <w:rFonts w:ascii="Arial" w:hAnsi="Arial" w:cs="Arial"/>
        </w:rPr>
        <w:t>"-" alebo niečo iné?</w:t>
      </w:r>
    </w:p>
    <w:p w:rsidR="00816E57" w:rsidRDefault="00816E57" w:rsidP="00816E57">
      <w:pPr>
        <w:pStyle w:val="ListParagraph"/>
      </w:pPr>
    </w:p>
    <w:p w:rsidR="00FF4E80" w:rsidRPr="00FF4E80" w:rsidRDefault="00FF4E80" w:rsidP="00FF4E80">
      <w:pPr>
        <w:jc w:val="both"/>
      </w:pPr>
      <w:r w:rsidRPr="00FF4E80">
        <w:rPr>
          <w:b/>
        </w:rPr>
        <w:t>Odpoveď:</w:t>
      </w:r>
      <w:r w:rsidRPr="00FF4E80">
        <w:t xml:space="preserve"> </w:t>
      </w:r>
      <w:r>
        <w:t xml:space="preserve"> IRR nie je možné vypočítať </w:t>
      </w:r>
      <w:r w:rsidRPr="00FF4E80">
        <w:t>ak dochádza k zmene zo záporného na kladný prúd viac ako raz</w:t>
      </w:r>
      <w:r>
        <w:t>, čo by bolo pre poistný produkt neštandardné</w:t>
      </w:r>
      <w:r>
        <w:t>.</w:t>
      </w:r>
      <w:r>
        <w:t xml:space="preserve"> Skúste uviesť príklad.</w:t>
      </w:r>
    </w:p>
    <w:p w:rsidR="00816E57" w:rsidRDefault="00816E57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 xml:space="preserve">Čo uvádzať, ak niektoré náklady nie sú </w:t>
      </w:r>
      <w:proofErr w:type="spellStart"/>
      <w:r>
        <w:t>sučasťou</w:t>
      </w:r>
      <w:proofErr w:type="spellEnd"/>
      <w:r>
        <w:t xml:space="preserve"> produktu, resp. ich výška je len zohľadnená v cene NAV? Uvádzať </w:t>
      </w:r>
      <w:r>
        <w:rPr>
          <w:rFonts w:ascii="Arial" w:hAnsi="Arial" w:cs="Arial"/>
        </w:rPr>
        <w:t xml:space="preserve">"-" </w:t>
      </w:r>
      <w:r>
        <w:t>alebo</w:t>
      </w:r>
      <w:r>
        <w:rPr>
          <w:rFonts w:ascii="Arial" w:hAnsi="Arial" w:cs="Arial"/>
        </w:rPr>
        <w:t xml:space="preserve"> 0% alebo „n/a“</w:t>
      </w:r>
    </w:p>
    <w:p w:rsidR="00816E57" w:rsidRDefault="00816E57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FF4E80" w:rsidRPr="00FF4E80" w:rsidRDefault="00FF4E80" w:rsidP="00FF4E80">
      <w:pPr>
        <w:jc w:val="both"/>
      </w:pPr>
      <w:r w:rsidRPr="00FF4E80">
        <w:rPr>
          <w:b/>
        </w:rPr>
        <w:t>Odpoveď:</w:t>
      </w:r>
      <w:r w:rsidRPr="00FF4E80">
        <w:t xml:space="preserve"> </w:t>
      </w:r>
      <w:r>
        <w:t xml:space="preserve"> </w:t>
      </w:r>
      <w:r>
        <w:t>Zrejme bude potrebné lepšie špecifikovať otázku</w:t>
      </w:r>
      <w:r>
        <w:t>.</w:t>
      </w:r>
      <w:r>
        <w:t xml:space="preserve"> Zohľadňujú sa náklady, ktoré ov</w:t>
      </w:r>
      <w:r w:rsidR="0017235B">
        <w:t xml:space="preserve">plyvňujú </w:t>
      </w:r>
      <w:proofErr w:type="spellStart"/>
      <w:r w:rsidR="0017235B">
        <w:t>cash-flow</w:t>
      </w:r>
      <w:proofErr w:type="spellEnd"/>
      <w:r w:rsidR="0017235B">
        <w:t xml:space="preserve"> produktu, to znamená že sú súčasťou produktu.</w:t>
      </w:r>
    </w:p>
    <w:p w:rsidR="00FF4E80" w:rsidRDefault="00FF4E80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Čo s vyjadrením biometrického rizika? Je nutné ho vyčísliť separátne od ostatných nákladov? Z preddefinovaných tabuliek sa zdá, že nie.</w:t>
      </w:r>
    </w:p>
    <w:p w:rsidR="00816E57" w:rsidRDefault="00816E57" w:rsidP="00816E57">
      <w:pPr>
        <w:pStyle w:val="ListParagraph"/>
      </w:pPr>
    </w:p>
    <w:p w:rsidR="0017235B" w:rsidRPr="00FF4E80" w:rsidRDefault="0017235B" w:rsidP="0017235B">
      <w:pPr>
        <w:jc w:val="both"/>
      </w:pPr>
      <w:r w:rsidRPr="00FF4E80">
        <w:rPr>
          <w:b/>
        </w:rPr>
        <w:t>Odpoveď:</w:t>
      </w:r>
      <w:r w:rsidRPr="00FF4E80">
        <w:t xml:space="preserve"> </w:t>
      </w:r>
      <w:r>
        <w:t xml:space="preserve"> </w:t>
      </w:r>
      <w:r>
        <w:t>V bode 60 prílohe VI d</w:t>
      </w:r>
      <w:r>
        <w:t>elegované</w:t>
      </w:r>
      <w:r>
        <w:t>ho</w:t>
      </w:r>
      <w:r>
        <w:t xml:space="preserve"> nariadeni</w:t>
      </w:r>
      <w:r>
        <w:t>a</w:t>
      </w:r>
      <w:r>
        <w:t xml:space="preserve"> Komisie (EÚ) 2017/653</w:t>
      </w:r>
      <w:r>
        <w:t xml:space="preserve"> sa uvádza, že poistné za biometrické riziko sa môže zahrnúť vo výpočte jednorazových nákladov alebo opakujúcich sa nákladov</w:t>
      </w:r>
      <w:r w:rsidR="00327554">
        <w:t xml:space="preserve"> namiesto nákladovej časti poistného. Podľa tohto textu predpokladáme, že je možné buď zmeniť preddefinovanú tabuľku a doplniť jeden riadok alebo doplniť náležite do jednorazových alebo opakovaných nákladov.</w:t>
      </w:r>
      <w:bookmarkStart w:id="0" w:name="_GoBack"/>
      <w:bookmarkEnd w:id="0"/>
    </w:p>
    <w:p w:rsidR="00816E57" w:rsidRDefault="00816E57" w:rsidP="00816E57">
      <w:pPr>
        <w:pStyle w:val="ListParagraph"/>
        <w:autoSpaceDE w:val="0"/>
        <w:autoSpaceDN w:val="0"/>
        <w:adjustRightInd w:val="0"/>
        <w:spacing w:after="0" w:line="240" w:lineRule="auto"/>
        <w:jc w:val="both"/>
      </w:pPr>
    </w:p>
    <w:p w:rsidR="00816E57" w:rsidRDefault="00816E57" w:rsidP="00816E5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>
        <w:t>Výpočet súhrnného ukazovateľa nákladov je zadefinovaný ako i – r, pričom i je IRR so zohľadnením nákladov (menšie percento) a r je IRR bez zohľadnenia nákladov (väčšie percento). Podľa takto zadefinovaného ukazovateľa je vplyv nákladov záporný. Je to OK? (Správne sa nám zdá, to vyjadriť ako r – i, resp. i – r  v absolútnej hodnote)</w:t>
      </w:r>
    </w:p>
    <w:p w:rsidR="00C9276C" w:rsidRDefault="00327554"/>
    <w:p w:rsidR="0017235B" w:rsidRPr="00FF4E80" w:rsidRDefault="0017235B" w:rsidP="0017235B">
      <w:pPr>
        <w:jc w:val="both"/>
      </w:pPr>
      <w:r w:rsidRPr="00FF4E80">
        <w:rPr>
          <w:b/>
        </w:rPr>
        <w:t>Odpoveď:</w:t>
      </w:r>
      <w:r w:rsidRPr="00FF4E80">
        <w:t xml:space="preserve"> </w:t>
      </w:r>
      <w:r>
        <w:t xml:space="preserve"> </w:t>
      </w:r>
      <w:r>
        <w:t>My tiež to chápeme tak, že vplyv nákladov na výnos ročne bude dosahovať záporné hodnoty</w:t>
      </w:r>
      <w:r>
        <w:t>.</w:t>
      </w:r>
    </w:p>
    <w:p w:rsidR="0017235B" w:rsidRDefault="0017235B"/>
    <w:sectPr w:rsidR="0017235B" w:rsidSect="00D2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44FF"/>
    <w:multiLevelType w:val="hybridMultilevel"/>
    <w:tmpl w:val="564E40EC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124505"/>
    <w:multiLevelType w:val="hybridMultilevel"/>
    <w:tmpl w:val="3DFA31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AAA6E70"/>
    <w:multiLevelType w:val="hybridMultilevel"/>
    <w:tmpl w:val="881C013A"/>
    <w:lvl w:ilvl="0" w:tplc="8B0E3C04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FE07D7"/>
    <w:multiLevelType w:val="hybridMultilevel"/>
    <w:tmpl w:val="C478DE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6017A"/>
    <w:multiLevelType w:val="hybridMultilevel"/>
    <w:tmpl w:val="30B868DE"/>
    <w:lvl w:ilvl="0" w:tplc="AC689E60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57"/>
    <w:rsid w:val="0017235B"/>
    <w:rsid w:val="00262E77"/>
    <w:rsid w:val="0031399F"/>
    <w:rsid w:val="0031535D"/>
    <w:rsid w:val="00327554"/>
    <w:rsid w:val="00592424"/>
    <w:rsid w:val="00816E57"/>
    <w:rsid w:val="008E6F9D"/>
    <w:rsid w:val="009173EA"/>
    <w:rsid w:val="00996B3B"/>
    <w:rsid w:val="00A53B20"/>
    <w:rsid w:val="00A76ACC"/>
    <w:rsid w:val="00AC6E9C"/>
    <w:rsid w:val="00BF79EC"/>
    <w:rsid w:val="00C82FA4"/>
    <w:rsid w:val="00D2470A"/>
    <w:rsid w:val="00E64E6C"/>
    <w:rsid w:val="00EF7A0F"/>
    <w:rsid w:val="00F03CA6"/>
    <w:rsid w:val="00F81E65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E57"/>
    <w:pPr>
      <w:spacing w:after="160"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E57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816E57"/>
    <w:rPr>
      <w:rFonts w:asciiTheme="majorHAnsi" w:eastAsiaTheme="majorEastAsia" w:hAnsiTheme="majorHAnsi" w:cstheme="majorBidi"/>
      <w:b/>
      <w:bCs/>
      <w:i/>
      <w:iCs/>
      <w:lang w:val="de-AT"/>
    </w:rPr>
  </w:style>
  <w:style w:type="paragraph" w:styleId="ListParagraph">
    <w:name w:val="List Paragraph"/>
    <w:basedOn w:val="Normal"/>
    <w:uiPriority w:val="34"/>
    <w:qFormat/>
    <w:rsid w:val="00816E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E57"/>
    <w:pPr>
      <w:spacing w:after="160"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6E57"/>
    <w:pPr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816E57"/>
    <w:rPr>
      <w:rFonts w:asciiTheme="majorHAnsi" w:eastAsiaTheme="majorEastAsia" w:hAnsiTheme="majorHAnsi" w:cstheme="majorBidi"/>
      <w:b/>
      <w:bCs/>
      <w:i/>
      <w:iCs/>
      <w:lang w:val="de-AT"/>
    </w:rPr>
  </w:style>
  <w:style w:type="paragraph" w:styleId="ListParagraph">
    <w:name w:val="List Paragraph"/>
    <w:basedOn w:val="Normal"/>
    <w:uiPriority w:val="34"/>
    <w:qFormat/>
    <w:rsid w:val="00816E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1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0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NARODNA BANKA SLOVENSKA</Company>
  <LinksUpToDate>false</LinksUpToDate>
  <CharactersWithSpaces>6719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Lehotská Mária</dc:creator>
  <cp:lastModifiedBy>Gondova</cp:lastModifiedBy>
  <cp:revision>2</cp:revision>
  <cp:lastPrinted>2017-11-03T13:37:00Z</cp:lastPrinted>
  <dcterms:created xsi:type="dcterms:W3CDTF">2017-11-03T14:24:00Z</dcterms:created>
  <dcterms:modified xsi:type="dcterms:W3CDTF">2017-11-03T14:24:00Z</dcterms:modified>
</cp:coreProperties>
</file>