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WithEffects.xml" ContentType="application/vnd.ms-word.stylesWithEffect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830" w:rsidRPr="0095798C" w:rsidRDefault="00001830" w:rsidP="005228DA">
      <w:pPr>
        <w:rPr>
          <w:rFonts w:ascii="Verdana" w:hAnsi="Verdana"/>
          <w:i/>
          <w:iCs/>
          <w:color w:val="000000" w:themeColor="text1"/>
        </w:rPr>
      </w:pPr>
      <w:r w:rsidRPr="0095798C">
        <w:rPr>
          <w:rFonts w:ascii="Verdana" w:hAnsi="Verdana"/>
          <w:i/>
          <w:iCs/>
          <w:color w:val="000000" w:themeColor="text1"/>
        </w:rPr>
        <w:t>Simplifying mass-accident risk</w:t>
      </w:r>
    </w:p>
    <w:p w:rsidR="00001830" w:rsidRDefault="00001830" w:rsidP="00001830">
      <w:pPr>
        <w:jc w:val="both"/>
        <w:rPr>
          <w:rFonts w:ascii="Verdana" w:hAnsi="Verdana"/>
          <w:lang w:val="pt-PT"/>
        </w:rPr>
      </w:pPr>
      <w:r w:rsidRPr="0095798C">
        <w:rPr>
          <w:rFonts w:ascii="Verdana" w:hAnsi="Verdana"/>
          <w:lang w:val="pt-PT"/>
        </w:rPr>
        <w:t xml:space="preserve">The main difficulty is linked to the estimation of benefits payable in all the scenarios and especially for the scenario “disability that lasts 10 years”. In some countries, disability is temporary for a certain period of time before being permanent. If this period is shorter than 10 years, should the application of this scenario leads to a permanent disability? </w:t>
      </w:r>
    </w:p>
    <w:p w:rsidR="00001830" w:rsidRPr="0095798C" w:rsidRDefault="00001830" w:rsidP="00001830">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b/>
        </w:rPr>
        <w:t>Mandate for the CAT WS:</w:t>
      </w:r>
    </w:p>
    <w:p w:rsidR="00001830" w:rsidRDefault="00001830" w:rsidP="00001830">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Pr>
          <w:rFonts w:ascii="Verdana" w:hAnsi="Verdana"/>
        </w:rPr>
        <w:t>The</w:t>
      </w:r>
      <w:r w:rsidRPr="00FD0C71">
        <w:rPr>
          <w:rFonts w:ascii="Verdana" w:hAnsi="Verdana"/>
        </w:rPr>
        <w:t xml:space="preserve"> CAT WS should </w:t>
      </w:r>
      <w:r>
        <w:rPr>
          <w:rFonts w:ascii="Verdana" w:hAnsi="Verdana"/>
        </w:rPr>
        <w:t xml:space="preserve">provide explanations on how to apply the different scenarios. In providing these explanations, the CAT WS may </w:t>
      </w:r>
      <w:r w:rsidRPr="00FD0C71">
        <w:rPr>
          <w:rFonts w:ascii="Verdana" w:hAnsi="Verdana"/>
        </w:rPr>
        <w:t>assess whether it is necessary to have a “permanent disability” scenario and a “disability that lasts 10 years</w:t>
      </w:r>
      <w:r>
        <w:rPr>
          <w:rFonts w:ascii="Verdana" w:hAnsi="Verdana"/>
        </w:rPr>
        <w:t>” scenario</w:t>
      </w:r>
      <w:r w:rsidRPr="00FD0C71">
        <w:rPr>
          <w:rFonts w:ascii="Verdana" w:hAnsi="Verdana"/>
        </w:rPr>
        <w:t>.</w:t>
      </w:r>
    </w:p>
    <w:p w:rsidR="00001830" w:rsidRDefault="00001830">
      <w:pPr>
        <w:rPr>
          <w:rFonts w:ascii="Times New Roman" w:hAnsi="Times New Roman" w:cs="Times New Roman"/>
        </w:rPr>
      </w:pPr>
    </w:p>
    <w:p w:rsidR="00001830" w:rsidRDefault="00001830" w:rsidP="006C15A7">
      <w:pPr>
        <w:jc w:val="both"/>
        <w:rPr>
          <w:rFonts w:ascii="Times New Roman" w:hAnsi="Times New Roman" w:cs="Times New Roman"/>
        </w:rPr>
      </w:pPr>
      <w:r w:rsidRPr="00001830">
        <w:rPr>
          <w:rFonts w:ascii="Times New Roman" w:hAnsi="Times New Roman" w:cs="Times New Roman"/>
        </w:rPr>
        <w:t xml:space="preserve">The CAT WS </w:t>
      </w:r>
      <w:r>
        <w:rPr>
          <w:rFonts w:ascii="Times New Roman" w:hAnsi="Times New Roman" w:cs="Times New Roman"/>
        </w:rPr>
        <w:t xml:space="preserve">has expressed concerns about the “disability that lasts 10 years” scenarios due to the fact it appears unrealistic since people who are disabled during 10 years would generally speaking never recover. As a simplification measure, it was proposed to delete this scenario. As a consequence, mass-accident risk and concentration risk would only rely on 4 scenarios: </w:t>
      </w:r>
      <w:r w:rsidR="006C15A7">
        <w:rPr>
          <w:rFonts w:ascii="Times New Roman" w:hAnsi="Times New Roman" w:cs="Times New Roman"/>
        </w:rPr>
        <w:t xml:space="preserve">accidental </w:t>
      </w:r>
      <w:r>
        <w:rPr>
          <w:rFonts w:ascii="Times New Roman" w:hAnsi="Times New Roman" w:cs="Times New Roman"/>
        </w:rPr>
        <w:t>death, permanent disability, 1 year disability and medical expenses.</w:t>
      </w:r>
    </w:p>
    <w:p w:rsidR="006C15A7" w:rsidRDefault="00001830" w:rsidP="006C15A7">
      <w:pPr>
        <w:jc w:val="both"/>
        <w:rPr>
          <w:rFonts w:ascii="Times New Roman" w:hAnsi="Times New Roman" w:cs="Times New Roman"/>
        </w:rPr>
      </w:pPr>
      <w:r>
        <w:rPr>
          <w:rFonts w:ascii="Times New Roman" w:hAnsi="Times New Roman" w:cs="Times New Roman"/>
        </w:rPr>
        <w:t>The CAT WS underlined that the CAT task force</w:t>
      </w:r>
      <w:r w:rsidR="006C15A7">
        <w:rPr>
          <w:rFonts w:ascii="Times New Roman" w:hAnsi="Times New Roman" w:cs="Times New Roman"/>
        </w:rPr>
        <w:t xml:space="preserve"> (hereunder CTF)</w:t>
      </w:r>
      <w:r>
        <w:rPr>
          <w:rFonts w:ascii="Times New Roman" w:hAnsi="Times New Roman" w:cs="Times New Roman"/>
        </w:rPr>
        <w:t xml:space="preserve"> had </w:t>
      </w:r>
      <w:r w:rsidR="006C15A7">
        <w:rPr>
          <w:rFonts w:ascii="Times New Roman" w:hAnsi="Times New Roman" w:cs="Times New Roman"/>
        </w:rPr>
        <w:t>consistently calibrated the 5 scenarios in its 2010 study (see for reference CEIOPS DOC 79/10 Catastrophe Task Force report on standardised scenarios for the catastrophe risk module in the standard formula). As a consequence, when deleting the 10 years scenario, a recalibration was deemed necessary in order to ensure permanent consistency.</w:t>
      </w:r>
    </w:p>
    <w:p w:rsidR="006C15A7" w:rsidRDefault="006C15A7" w:rsidP="006C15A7">
      <w:pPr>
        <w:jc w:val="both"/>
        <w:rPr>
          <w:rFonts w:ascii="Times New Roman" w:hAnsi="Times New Roman" w:cs="Times New Roman"/>
        </w:rPr>
      </w:pPr>
      <w:r>
        <w:rPr>
          <w:rFonts w:ascii="Times New Roman" w:hAnsi="Times New Roman" w:cs="Times New Roman"/>
        </w:rPr>
        <w:t xml:space="preserve">In its 2010 calibration, the CTF focused on data collected from the World Trade </w:t>
      </w:r>
      <w:proofErr w:type="spellStart"/>
      <w:r>
        <w:rPr>
          <w:rFonts w:ascii="Times New Roman" w:hAnsi="Times New Roman" w:cs="Times New Roman"/>
        </w:rPr>
        <w:t>Center</w:t>
      </w:r>
      <w:proofErr w:type="spellEnd"/>
      <w:r>
        <w:rPr>
          <w:rFonts w:ascii="Times New Roman" w:hAnsi="Times New Roman" w:cs="Times New Roman"/>
        </w:rPr>
        <w:t xml:space="preserve"> attack (</w:t>
      </w:r>
      <w:r w:rsidRPr="006C15A7">
        <w:rPr>
          <w:rFonts w:ascii="Times New Roman" w:hAnsi="Times New Roman" w:cs="Times New Roman"/>
        </w:rPr>
        <w:t>“World Trade</w:t>
      </w:r>
      <w:r w:rsidR="00A71F9C">
        <w:rPr>
          <w:rFonts w:ascii="Times New Roman" w:hAnsi="Times New Roman" w:cs="Times New Roman"/>
        </w:rPr>
        <w:t xml:space="preserve"> </w:t>
      </w:r>
      <w:proofErr w:type="spellStart"/>
      <w:r w:rsidRPr="006C15A7">
        <w:rPr>
          <w:rFonts w:ascii="Times New Roman" w:hAnsi="Times New Roman" w:cs="Times New Roman"/>
        </w:rPr>
        <w:t>Center</w:t>
      </w:r>
      <w:proofErr w:type="spellEnd"/>
      <w:r w:rsidRPr="006C15A7">
        <w:rPr>
          <w:rFonts w:ascii="Times New Roman" w:hAnsi="Times New Roman" w:cs="Times New Roman"/>
        </w:rPr>
        <w:t xml:space="preserve"> Cases in the New York Workers’ Compensation System”, New YorkState Workers’ Com</w:t>
      </w:r>
      <w:r>
        <w:rPr>
          <w:rFonts w:ascii="Times New Roman" w:hAnsi="Times New Roman" w:cs="Times New Roman"/>
        </w:rPr>
        <w:t>pensation Board, September 2009). The following table summarizes the outputs of the CTF work:</w:t>
      </w:r>
    </w:p>
    <w:p w:rsidR="006C15A7" w:rsidRDefault="006C15A7" w:rsidP="006C15A7">
      <w:pPr>
        <w:pStyle w:val="Paragraphedeliste"/>
        <w:numPr>
          <w:ilvl w:val="0"/>
          <w:numId w:val="2"/>
        </w:numPr>
        <w:jc w:val="both"/>
        <w:rPr>
          <w:rFonts w:ascii="Times New Roman" w:hAnsi="Times New Roman" w:cs="Times New Roman"/>
        </w:rPr>
      </w:pPr>
      <w:r>
        <w:rPr>
          <w:rFonts w:ascii="Times New Roman" w:hAnsi="Times New Roman" w:cs="Times New Roman"/>
        </w:rPr>
        <w:t xml:space="preserve">first column represents the World Trade </w:t>
      </w:r>
      <w:proofErr w:type="spellStart"/>
      <w:r>
        <w:rPr>
          <w:rFonts w:ascii="Times New Roman" w:hAnsi="Times New Roman" w:cs="Times New Roman"/>
        </w:rPr>
        <w:t>Center</w:t>
      </w:r>
      <w:proofErr w:type="spellEnd"/>
      <w:r>
        <w:rPr>
          <w:rFonts w:ascii="Times New Roman" w:hAnsi="Times New Roman" w:cs="Times New Roman"/>
        </w:rPr>
        <w:t xml:space="preserve"> figures as per the study mentioned;</w:t>
      </w:r>
    </w:p>
    <w:p w:rsidR="006C15A7" w:rsidRDefault="006C15A7" w:rsidP="006C15A7">
      <w:pPr>
        <w:pStyle w:val="Paragraphedeliste"/>
        <w:numPr>
          <w:ilvl w:val="0"/>
          <w:numId w:val="2"/>
        </w:numPr>
        <w:jc w:val="both"/>
        <w:rPr>
          <w:rFonts w:ascii="Times New Roman" w:hAnsi="Times New Roman" w:cs="Times New Roman"/>
        </w:rPr>
      </w:pPr>
      <w:r>
        <w:rPr>
          <w:rFonts w:ascii="Times New Roman" w:hAnsi="Times New Roman" w:cs="Times New Roman"/>
        </w:rPr>
        <w:t>second column represents the initial CTF calibration based on these</w:t>
      </w:r>
      <w:r w:rsidR="002D49AF">
        <w:rPr>
          <w:rFonts w:ascii="Times New Roman" w:hAnsi="Times New Roman" w:cs="Times New Roman"/>
        </w:rPr>
        <w:t xml:space="preserve"> figures; </w:t>
      </w:r>
    </w:p>
    <w:p w:rsidR="002D49AF" w:rsidRPr="006C15A7" w:rsidRDefault="002D49AF" w:rsidP="006C15A7">
      <w:pPr>
        <w:pStyle w:val="Paragraphedeliste"/>
        <w:numPr>
          <w:ilvl w:val="0"/>
          <w:numId w:val="2"/>
        </w:numPr>
        <w:jc w:val="both"/>
        <w:rPr>
          <w:rFonts w:ascii="Times New Roman" w:hAnsi="Times New Roman" w:cs="Times New Roman"/>
        </w:rPr>
      </w:pPr>
      <w:proofErr w:type="gramStart"/>
      <w:r>
        <w:rPr>
          <w:rFonts w:ascii="Times New Roman" w:hAnsi="Times New Roman" w:cs="Times New Roman"/>
        </w:rPr>
        <w:t>third</w:t>
      </w:r>
      <w:proofErr w:type="gramEnd"/>
      <w:r>
        <w:rPr>
          <w:rFonts w:ascii="Times New Roman" w:hAnsi="Times New Roman" w:cs="Times New Roman"/>
        </w:rPr>
        <w:t xml:space="preserve"> column represents final view of the CTF and is the actual standard formula calibration.</w:t>
      </w:r>
    </w:p>
    <w:tbl>
      <w:tblPr>
        <w:tblStyle w:val="Grilledutableau"/>
        <w:tblW w:w="0" w:type="auto"/>
        <w:tblLook w:val="04A0"/>
      </w:tblPr>
      <w:tblGrid>
        <w:gridCol w:w="2093"/>
        <w:gridCol w:w="1591"/>
        <w:gridCol w:w="921"/>
        <w:gridCol w:w="921"/>
        <w:gridCol w:w="922"/>
        <w:gridCol w:w="922"/>
        <w:gridCol w:w="921"/>
        <w:gridCol w:w="922"/>
      </w:tblGrid>
      <w:tr w:rsidR="006C15A7" w:rsidTr="00006FD2">
        <w:tc>
          <w:tcPr>
            <w:tcW w:w="2093" w:type="dxa"/>
          </w:tcPr>
          <w:p w:rsidR="006C15A7" w:rsidRDefault="006C15A7" w:rsidP="006C15A7">
            <w:pPr>
              <w:spacing w:before="60" w:after="60" w:line="240" w:lineRule="auto"/>
              <w:rPr>
                <w:lang w:val="en-US"/>
              </w:rPr>
            </w:pPr>
          </w:p>
        </w:tc>
        <w:tc>
          <w:tcPr>
            <w:tcW w:w="1591" w:type="dxa"/>
          </w:tcPr>
          <w:p w:rsidR="006C15A7" w:rsidRDefault="006C15A7" w:rsidP="006C15A7">
            <w:pPr>
              <w:spacing w:before="60" w:after="60" w:line="240" w:lineRule="auto"/>
              <w:rPr>
                <w:lang w:val="en-US"/>
              </w:rPr>
            </w:pPr>
          </w:p>
        </w:tc>
        <w:tc>
          <w:tcPr>
            <w:tcW w:w="1842" w:type="dxa"/>
            <w:gridSpan w:val="2"/>
          </w:tcPr>
          <w:p w:rsidR="006C15A7" w:rsidRPr="0097711E" w:rsidRDefault="006C15A7" w:rsidP="006C15A7">
            <w:pPr>
              <w:spacing w:before="60" w:after="60" w:line="240" w:lineRule="auto"/>
              <w:jc w:val="center"/>
              <w:rPr>
                <w:b/>
                <w:lang w:val="en-US"/>
              </w:rPr>
            </w:pPr>
            <w:r w:rsidRPr="0097711E">
              <w:rPr>
                <w:b/>
                <w:lang w:val="en-US"/>
              </w:rPr>
              <w:t>WTC figures</w:t>
            </w:r>
          </w:p>
        </w:tc>
        <w:tc>
          <w:tcPr>
            <w:tcW w:w="1844" w:type="dxa"/>
            <w:gridSpan w:val="2"/>
          </w:tcPr>
          <w:p w:rsidR="006C15A7" w:rsidRPr="0097711E" w:rsidRDefault="006C15A7" w:rsidP="006C15A7">
            <w:pPr>
              <w:spacing w:before="60" w:after="60" w:line="240" w:lineRule="auto"/>
              <w:jc w:val="center"/>
              <w:rPr>
                <w:b/>
                <w:lang w:val="en-US"/>
              </w:rPr>
            </w:pPr>
            <w:r w:rsidRPr="0097711E">
              <w:rPr>
                <w:b/>
                <w:lang w:val="en-US"/>
              </w:rPr>
              <w:t>Initial proposal</w:t>
            </w:r>
          </w:p>
        </w:tc>
        <w:tc>
          <w:tcPr>
            <w:tcW w:w="1843" w:type="dxa"/>
            <w:gridSpan w:val="2"/>
          </w:tcPr>
          <w:p w:rsidR="006C15A7" w:rsidRPr="0097711E" w:rsidRDefault="006C15A7" w:rsidP="006C15A7">
            <w:pPr>
              <w:spacing w:before="60" w:after="60" w:line="240" w:lineRule="auto"/>
              <w:jc w:val="center"/>
              <w:rPr>
                <w:b/>
                <w:lang w:val="en-US"/>
              </w:rPr>
            </w:pPr>
            <w:r w:rsidRPr="0097711E">
              <w:rPr>
                <w:b/>
                <w:lang w:val="en-US"/>
              </w:rPr>
              <w:t>Final proposal</w:t>
            </w:r>
          </w:p>
        </w:tc>
      </w:tr>
      <w:tr w:rsidR="006C15A7" w:rsidTr="006C15A7">
        <w:tc>
          <w:tcPr>
            <w:tcW w:w="2093" w:type="dxa"/>
            <w:vAlign w:val="center"/>
          </w:tcPr>
          <w:p w:rsidR="006C15A7" w:rsidRDefault="006C15A7" w:rsidP="006C15A7">
            <w:pPr>
              <w:spacing w:before="60" w:after="60" w:line="240" w:lineRule="auto"/>
              <w:rPr>
                <w:lang w:val="en-US"/>
              </w:rPr>
            </w:pPr>
            <w:r>
              <w:rPr>
                <w:lang w:val="en-US"/>
              </w:rPr>
              <w:t>Accidental death</w:t>
            </w:r>
          </w:p>
        </w:tc>
        <w:tc>
          <w:tcPr>
            <w:tcW w:w="1591" w:type="dxa"/>
          </w:tcPr>
          <w:p w:rsidR="006C15A7" w:rsidRDefault="006C15A7" w:rsidP="006C15A7">
            <w:pPr>
              <w:spacing w:before="60" w:after="60" w:line="240" w:lineRule="auto"/>
              <w:rPr>
                <w:lang w:val="en-US"/>
              </w:rPr>
            </w:pPr>
          </w:p>
        </w:tc>
        <w:tc>
          <w:tcPr>
            <w:tcW w:w="1842" w:type="dxa"/>
            <w:gridSpan w:val="2"/>
            <w:vAlign w:val="center"/>
          </w:tcPr>
          <w:p w:rsidR="006C15A7" w:rsidRDefault="006C15A7" w:rsidP="006C15A7">
            <w:pPr>
              <w:spacing w:before="60" w:after="60" w:line="240" w:lineRule="auto"/>
              <w:jc w:val="center"/>
              <w:rPr>
                <w:lang w:val="en-US"/>
              </w:rPr>
            </w:pPr>
            <w:r>
              <w:rPr>
                <w:lang w:val="en-US"/>
              </w:rPr>
              <w:t>12 %</w:t>
            </w:r>
          </w:p>
        </w:tc>
        <w:tc>
          <w:tcPr>
            <w:tcW w:w="1844" w:type="dxa"/>
            <w:gridSpan w:val="2"/>
            <w:vAlign w:val="center"/>
          </w:tcPr>
          <w:p w:rsidR="006C15A7" w:rsidRDefault="006C15A7" w:rsidP="006C15A7">
            <w:pPr>
              <w:spacing w:before="60" w:after="60" w:line="240" w:lineRule="auto"/>
              <w:jc w:val="center"/>
              <w:rPr>
                <w:lang w:val="en-US"/>
              </w:rPr>
            </w:pPr>
            <w:r>
              <w:rPr>
                <w:lang w:val="en-US"/>
              </w:rPr>
              <w:t>12 %</w:t>
            </w:r>
          </w:p>
        </w:tc>
        <w:tc>
          <w:tcPr>
            <w:tcW w:w="1843" w:type="dxa"/>
            <w:gridSpan w:val="2"/>
            <w:vAlign w:val="center"/>
          </w:tcPr>
          <w:p w:rsidR="006C15A7" w:rsidRDefault="006C15A7" w:rsidP="006C15A7">
            <w:pPr>
              <w:spacing w:before="60" w:after="60" w:line="240" w:lineRule="auto"/>
              <w:jc w:val="center"/>
              <w:rPr>
                <w:lang w:val="en-US"/>
              </w:rPr>
            </w:pPr>
            <w:r>
              <w:rPr>
                <w:lang w:val="en-US"/>
              </w:rPr>
              <w:t>10 %</w:t>
            </w:r>
          </w:p>
        </w:tc>
      </w:tr>
      <w:tr w:rsidR="006C15A7" w:rsidTr="006C15A7">
        <w:tc>
          <w:tcPr>
            <w:tcW w:w="2093" w:type="dxa"/>
            <w:vMerge w:val="restart"/>
            <w:vAlign w:val="center"/>
          </w:tcPr>
          <w:p w:rsidR="006C15A7" w:rsidRDefault="006C15A7" w:rsidP="006C15A7">
            <w:pPr>
              <w:spacing w:before="60" w:after="60" w:line="240" w:lineRule="auto"/>
              <w:rPr>
                <w:lang w:val="en-US"/>
              </w:rPr>
            </w:pPr>
            <w:r>
              <w:rPr>
                <w:lang w:val="en-US"/>
              </w:rPr>
              <w:t>Permanent disability</w:t>
            </w:r>
          </w:p>
        </w:tc>
        <w:tc>
          <w:tcPr>
            <w:tcW w:w="1591" w:type="dxa"/>
          </w:tcPr>
          <w:p w:rsidR="006C15A7" w:rsidRDefault="006C15A7" w:rsidP="006C15A7">
            <w:pPr>
              <w:spacing w:before="60" w:after="60" w:line="240" w:lineRule="auto"/>
              <w:rPr>
                <w:lang w:val="en-US"/>
              </w:rPr>
            </w:pPr>
            <w:r>
              <w:rPr>
                <w:lang w:val="en-US"/>
              </w:rPr>
              <w:t>Total</w:t>
            </w:r>
          </w:p>
        </w:tc>
        <w:tc>
          <w:tcPr>
            <w:tcW w:w="921" w:type="dxa"/>
            <w:vMerge w:val="restart"/>
            <w:vAlign w:val="center"/>
          </w:tcPr>
          <w:p w:rsidR="006C15A7" w:rsidRDefault="006C15A7" w:rsidP="006C15A7">
            <w:pPr>
              <w:spacing w:before="60" w:after="60" w:line="240" w:lineRule="auto"/>
              <w:jc w:val="center"/>
              <w:rPr>
                <w:lang w:val="en-US"/>
              </w:rPr>
            </w:pPr>
            <w:r>
              <w:rPr>
                <w:lang w:val="en-US"/>
              </w:rPr>
              <w:t>3.2 %</w:t>
            </w:r>
          </w:p>
        </w:tc>
        <w:tc>
          <w:tcPr>
            <w:tcW w:w="921" w:type="dxa"/>
            <w:vAlign w:val="center"/>
          </w:tcPr>
          <w:p w:rsidR="006C15A7" w:rsidRDefault="006C15A7" w:rsidP="006C15A7">
            <w:pPr>
              <w:spacing w:before="60" w:after="60" w:line="240" w:lineRule="auto"/>
              <w:jc w:val="center"/>
              <w:rPr>
                <w:lang w:val="en-US"/>
              </w:rPr>
            </w:pPr>
            <w:r>
              <w:rPr>
                <w:lang w:val="en-US"/>
              </w:rPr>
              <w:t>0.2 %</w:t>
            </w:r>
          </w:p>
        </w:tc>
        <w:tc>
          <w:tcPr>
            <w:tcW w:w="922" w:type="dxa"/>
            <w:vMerge w:val="restart"/>
            <w:vAlign w:val="center"/>
          </w:tcPr>
          <w:p w:rsidR="006C15A7" w:rsidRDefault="006C15A7" w:rsidP="006C15A7">
            <w:pPr>
              <w:spacing w:before="60" w:after="60" w:line="240" w:lineRule="auto"/>
              <w:jc w:val="center"/>
              <w:rPr>
                <w:lang w:val="en-US"/>
              </w:rPr>
            </w:pPr>
            <w:r>
              <w:rPr>
                <w:lang w:val="en-US"/>
              </w:rPr>
              <w:t>1 %</w:t>
            </w:r>
          </w:p>
        </w:tc>
        <w:tc>
          <w:tcPr>
            <w:tcW w:w="922" w:type="dxa"/>
            <w:vAlign w:val="center"/>
          </w:tcPr>
          <w:p w:rsidR="006C15A7" w:rsidRDefault="006C15A7" w:rsidP="006C15A7">
            <w:pPr>
              <w:spacing w:before="60" w:after="60" w:line="240" w:lineRule="auto"/>
              <w:jc w:val="center"/>
              <w:rPr>
                <w:lang w:val="en-US"/>
              </w:rPr>
            </w:pPr>
            <w:r>
              <w:rPr>
                <w:lang w:val="en-US"/>
              </w:rPr>
              <w:t>1 %</w:t>
            </w:r>
          </w:p>
        </w:tc>
        <w:tc>
          <w:tcPr>
            <w:tcW w:w="921" w:type="dxa"/>
            <w:vMerge w:val="restart"/>
            <w:vAlign w:val="center"/>
          </w:tcPr>
          <w:p w:rsidR="006C15A7" w:rsidRDefault="006C15A7" w:rsidP="006C15A7">
            <w:pPr>
              <w:spacing w:before="60" w:after="60" w:line="240" w:lineRule="auto"/>
              <w:jc w:val="center"/>
              <w:rPr>
                <w:lang w:val="en-US"/>
              </w:rPr>
            </w:pPr>
            <w:r>
              <w:rPr>
                <w:lang w:val="en-US"/>
              </w:rPr>
              <w:t>1.5 %</w:t>
            </w:r>
          </w:p>
        </w:tc>
        <w:tc>
          <w:tcPr>
            <w:tcW w:w="922" w:type="dxa"/>
            <w:vAlign w:val="center"/>
          </w:tcPr>
          <w:p w:rsidR="006C15A7" w:rsidRDefault="006C15A7" w:rsidP="006C15A7">
            <w:pPr>
              <w:spacing w:before="60" w:after="60" w:line="240" w:lineRule="auto"/>
              <w:jc w:val="center"/>
              <w:rPr>
                <w:lang w:val="en-US"/>
              </w:rPr>
            </w:pPr>
            <w:r>
              <w:rPr>
                <w:lang w:val="en-US"/>
              </w:rPr>
              <w:t>1.5 %</w:t>
            </w:r>
          </w:p>
        </w:tc>
      </w:tr>
      <w:tr w:rsidR="006C15A7" w:rsidTr="006C15A7">
        <w:tc>
          <w:tcPr>
            <w:tcW w:w="2093" w:type="dxa"/>
            <w:vMerge/>
            <w:vAlign w:val="center"/>
          </w:tcPr>
          <w:p w:rsidR="006C15A7" w:rsidRDefault="006C15A7" w:rsidP="006C15A7">
            <w:pPr>
              <w:spacing w:before="60" w:after="60" w:line="240" w:lineRule="auto"/>
              <w:rPr>
                <w:lang w:val="en-US"/>
              </w:rPr>
            </w:pPr>
          </w:p>
        </w:tc>
        <w:tc>
          <w:tcPr>
            <w:tcW w:w="1591" w:type="dxa"/>
          </w:tcPr>
          <w:p w:rsidR="006C15A7" w:rsidRDefault="006C15A7" w:rsidP="006C15A7">
            <w:pPr>
              <w:spacing w:before="60" w:after="60" w:line="240" w:lineRule="auto"/>
              <w:rPr>
                <w:lang w:val="en-US"/>
              </w:rPr>
            </w:pPr>
            <w:r>
              <w:rPr>
                <w:lang w:val="en-US"/>
              </w:rPr>
              <w:t>Partial</w:t>
            </w:r>
          </w:p>
        </w:tc>
        <w:tc>
          <w:tcPr>
            <w:tcW w:w="921" w:type="dxa"/>
            <w:vMerge/>
            <w:vAlign w:val="center"/>
          </w:tcPr>
          <w:p w:rsidR="006C15A7" w:rsidRDefault="006C15A7" w:rsidP="006C15A7">
            <w:pPr>
              <w:spacing w:before="60" w:after="60" w:line="240" w:lineRule="auto"/>
              <w:jc w:val="center"/>
              <w:rPr>
                <w:lang w:val="en-US"/>
              </w:rPr>
            </w:pPr>
          </w:p>
        </w:tc>
        <w:tc>
          <w:tcPr>
            <w:tcW w:w="921" w:type="dxa"/>
            <w:vAlign w:val="center"/>
          </w:tcPr>
          <w:p w:rsidR="006C15A7" w:rsidRDefault="006C15A7" w:rsidP="006C15A7">
            <w:pPr>
              <w:spacing w:before="60" w:after="60" w:line="240" w:lineRule="auto"/>
              <w:jc w:val="center"/>
              <w:rPr>
                <w:lang w:val="en-US"/>
              </w:rPr>
            </w:pPr>
            <w:r>
              <w:rPr>
                <w:lang w:val="en-US"/>
              </w:rPr>
              <w:t>3 %</w:t>
            </w:r>
          </w:p>
        </w:tc>
        <w:tc>
          <w:tcPr>
            <w:tcW w:w="922" w:type="dxa"/>
            <w:vMerge/>
            <w:vAlign w:val="center"/>
          </w:tcPr>
          <w:p w:rsidR="006C15A7" w:rsidRDefault="006C15A7" w:rsidP="006C15A7">
            <w:pPr>
              <w:spacing w:before="60" w:after="60" w:line="240" w:lineRule="auto"/>
              <w:jc w:val="center"/>
              <w:rPr>
                <w:lang w:val="en-US"/>
              </w:rPr>
            </w:pPr>
          </w:p>
        </w:tc>
        <w:tc>
          <w:tcPr>
            <w:tcW w:w="922" w:type="dxa"/>
            <w:vAlign w:val="center"/>
          </w:tcPr>
          <w:p w:rsidR="006C15A7" w:rsidRDefault="006C15A7" w:rsidP="006C15A7">
            <w:pPr>
              <w:spacing w:before="60" w:after="60" w:line="240" w:lineRule="auto"/>
              <w:jc w:val="center"/>
              <w:rPr>
                <w:lang w:val="en-US"/>
              </w:rPr>
            </w:pPr>
            <w:r>
              <w:rPr>
                <w:lang w:val="en-US"/>
              </w:rPr>
              <w:t>0 %</w:t>
            </w:r>
          </w:p>
        </w:tc>
        <w:tc>
          <w:tcPr>
            <w:tcW w:w="921" w:type="dxa"/>
            <w:vMerge/>
            <w:vAlign w:val="center"/>
          </w:tcPr>
          <w:p w:rsidR="006C15A7" w:rsidRDefault="006C15A7" w:rsidP="006C15A7">
            <w:pPr>
              <w:spacing w:before="60" w:after="60" w:line="240" w:lineRule="auto"/>
              <w:jc w:val="center"/>
              <w:rPr>
                <w:lang w:val="en-US"/>
              </w:rPr>
            </w:pPr>
          </w:p>
        </w:tc>
        <w:tc>
          <w:tcPr>
            <w:tcW w:w="922" w:type="dxa"/>
            <w:vAlign w:val="center"/>
          </w:tcPr>
          <w:p w:rsidR="006C15A7" w:rsidRDefault="006C15A7" w:rsidP="006C15A7">
            <w:pPr>
              <w:spacing w:before="60" w:after="60" w:line="240" w:lineRule="auto"/>
              <w:jc w:val="center"/>
              <w:rPr>
                <w:lang w:val="en-US"/>
              </w:rPr>
            </w:pPr>
            <w:r>
              <w:rPr>
                <w:lang w:val="en-US"/>
              </w:rPr>
              <w:t>0 %</w:t>
            </w:r>
          </w:p>
        </w:tc>
      </w:tr>
      <w:tr w:rsidR="006C15A7" w:rsidTr="006C15A7">
        <w:tc>
          <w:tcPr>
            <w:tcW w:w="2093" w:type="dxa"/>
            <w:vMerge w:val="restart"/>
            <w:vAlign w:val="center"/>
          </w:tcPr>
          <w:p w:rsidR="006C15A7" w:rsidRDefault="006C15A7" w:rsidP="006C15A7">
            <w:pPr>
              <w:spacing w:before="60" w:after="60" w:line="240" w:lineRule="auto"/>
              <w:rPr>
                <w:lang w:val="en-US"/>
              </w:rPr>
            </w:pPr>
            <w:r>
              <w:rPr>
                <w:lang w:val="en-US"/>
              </w:rPr>
              <w:t>Temporary disability</w:t>
            </w:r>
          </w:p>
        </w:tc>
        <w:tc>
          <w:tcPr>
            <w:tcW w:w="1591" w:type="dxa"/>
          </w:tcPr>
          <w:p w:rsidR="006C15A7" w:rsidRDefault="006C15A7" w:rsidP="006C15A7">
            <w:pPr>
              <w:spacing w:before="60" w:after="60" w:line="240" w:lineRule="auto"/>
              <w:rPr>
                <w:lang w:val="en-US"/>
              </w:rPr>
            </w:pPr>
            <w:r>
              <w:rPr>
                <w:lang w:val="en-US"/>
              </w:rPr>
              <w:t>1 year</w:t>
            </w:r>
          </w:p>
        </w:tc>
        <w:tc>
          <w:tcPr>
            <w:tcW w:w="921" w:type="dxa"/>
            <w:vMerge w:val="restart"/>
            <w:vAlign w:val="center"/>
          </w:tcPr>
          <w:p w:rsidR="006C15A7" w:rsidRDefault="006C15A7" w:rsidP="006C15A7">
            <w:pPr>
              <w:spacing w:before="60" w:after="60" w:line="240" w:lineRule="auto"/>
              <w:jc w:val="center"/>
              <w:rPr>
                <w:lang w:val="en-US"/>
              </w:rPr>
            </w:pPr>
            <w:r>
              <w:rPr>
                <w:lang w:val="en-US"/>
              </w:rPr>
              <w:t>6 %</w:t>
            </w:r>
          </w:p>
        </w:tc>
        <w:tc>
          <w:tcPr>
            <w:tcW w:w="921" w:type="dxa"/>
            <w:vAlign w:val="center"/>
          </w:tcPr>
          <w:p w:rsidR="006C15A7" w:rsidRDefault="006C15A7" w:rsidP="006C15A7">
            <w:pPr>
              <w:spacing w:before="60" w:after="60" w:line="240" w:lineRule="auto"/>
              <w:jc w:val="center"/>
              <w:rPr>
                <w:lang w:val="en-US"/>
              </w:rPr>
            </w:pPr>
            <w:r>
              <w:rPr>
                <w:lang w:val="en-US"/>
              </w:rPr>
              <w:t>NA</w:t>
            </w:r>
          </w:p>
        </w:tc>
        <w:tc>
          <w:tcPr>
            <w:tcW w:w="922" w:type="dxa"/>
            <w:vMerge w:val="restart"/>
            <w:vAlign w:val="center"/>
          </w:tcPr>
          <w:p w:rsidR="006C15A7" w:rsidRDefault="006C15A7" w:rsidP="006C15A7">
            <w:pPr>
              <w:spacing w:before="60" w:after="60" w:line="240" w:lineRule="auto"/>
              <w:jc w:val="center"/>
              <w:rPr>
                <w:lang w:val="en-US"/>
              </w:rPr>
            </w:pPr>
            <w:r>
              <w:rPr>
                <w:lang w:val="en-US"/>
              </w:rPr>
              <w:t>9 %</w:t>
            </w:r>
          </w:p>
        </w:tc>
        <w:tc>
          <w:tcPr>
            <w:tcW w:w="922" w:type="dxa"/>
            <w:vAlign w:val="center"/>
          </w:tcPr>
          <w:p w:rsidR="006C15A7" w:rsidRDefault="006C15A7" w:rsidP="006C15A7">
            <w:pPr>
              <w:spacing w:before="60" w:after="60" w:line="240" w:lineRule="auto"/>
              <w:jc w:val="center"/>
              <w:rPr>
                <w:lang w:val="en-US"/>
              </w:rPr>
            </w:pPr>
            <w:r>
              <w:rPr>
                <w:lang w:val="en-US"/>
              </w:rPr>
              <w:t>6 %</w:t>
            </w:r>
          </w:p>
        </w:tc>
        <w:tc>
          <w:tcPr>
            <w:tcW w:w="921" w:type="dxa"/>
            <w:vMerge w:val="restart"/>
            <w:vAlign w:val="center"/>
          </w:tcPr>
          <w:p w:rsidR="006C15A7" w:rsidRDefault="006C15A7" w:rsidP="006C15A7">
            <w:pPr>
              <w:spacing w:before="60" w:after="60" w:line="240" w:lineRule="auto"/>
              <w:jc w:val="center"/>
              <w:rPr>
                <w:lang w:val="en-US"/>
              </w:rPr>
            </w:pPr>
            <w:r>
              <w:rPr>
                <w:lang w:val="en-US"/>
              </w:rPr>
              <w:t>18.5 %</w:t>
            </w:r>
          </w:p>
        </w:tc>
        <w:tc>
          <w:tcPr>
            <w:tcW w:w="922" w:type="dxa"/>
            <w:vAlign w:val="center"/>
          </w:tcPr>
          <w:p w:rsidR="006C15A7" w:rsidRDefault="006C15A7" w:rsidP="006C15A7">
            <w:pPr>
              <w:spacing w:before="60" w:after="60" w:line="240" w:lineRule="auto"/>
              <w:jc w:val="center"/>
              <w:rPr>
                <w:lang w:val="en-US"/>
              </w:rPr>
            </w:pPr>
            <w:r>
              <w:rPr>
                <w:lang w:val="en-US"/>
              </w:rPr>
              <w:t>5 %</w:t>
            </w:r>
          </w:p>
        </w:tc>
      </w:tr>
      <w:tr w:rsidR="006C15A7" w:rsidTr="006C15A7">
        <w:tc>
          <w:tcPr>
            <w:tcW w:w="2093" w:type="dxa"/>
            <w:vMerge/>
            <w:vAlign w:val="center"/>
          </w:tcPr>
          <w:p w:rsidR="006C15A7" w:rsidRDefault="006C15A7" w:rsidP="006C15A7">
            <w:pPr>
              <w:spacing w:before="60" w:after="60" w:line="240" w:lineRule="auto"/>
              <w:rPr>
                <w:lang w:val="en-US"/>
              </w:rPr>
            </w:pPr>
          </w:p>
        </w:tc>
        <w:tc>
          <w:tcPr>
            <w:tcW w:w="1591" w:type="dxa"/>
          </w:tcPr>
          <w:p w:rsidR="006C15A7" w:rsidRDefault="006C15A7" w:rsidP="006C15A7">
            <w:pPr>
              <w:spacing w:before="60" w:after="60" w:line="240" w:lineRule="auto"/>
              <w:rPr>
                <w:lang w:val="en-US"/>
              </w:rPr>
            </w:pPr>
            <w:r>
              <w:rPr>
                <w:lang w:val="en-US"/>
              </w:rPr>
              <w:t>10 years</w:t>
            </w:r>
          </w:p>
        </w:tc>
        <w:tc>
          <w:tcPr>
            <w:tcW w:w="921" w:type="dxa"/>
            <w:vMerge/>
            <w:vAlign w:val="center"/>
          </w:tcPr>
          <w:p w:rsidR="006C15A7" w:rsidRDefault="006C15A7" w:rsidP="006C15A7">
            <w:pPr>
              <w:spacing w:before="60" w:after="60" w:line="240" w:lineRule="auto"/>
              <w:jc w:val="center"/>
              <w:rPr>
                <w:lang w:val="en-US"/>
              </w:rPr>
            </w:pPr>
          </w:p>
        </w:tc>
        <w:tc>
          <w:tcPr>
            <w:tcW w:w="921" w:type="dxa"/>
            <w:vAlign w:val="center"/>
          </w:tcPr>
          <w:p w:rsidR="006C15A7" w:rsidRDefault="006C15A7" w:rsidP="006C15A7">
            <w:pPr>
              <w:spacing w:before="60" w:after="60" w:line="240" w:lineRule="auto"/>
              <w:jc w:val="center"/>
              <w:rPr>
                <w:lang w:val="en-US"/>
              </w:rPr>
            </w:pPr>
            <w:r>
              <w:rPr>
                <w:lang w:val="en-US"/>
              </w:rPr>
              <w:t>NA</w:t>
            </w:r>
          </w:p>
        </w:tc>
        <w:tc>
          <w:tcPr>
            <w:tcW w:w="922" w:type="dxa"/>
            <w:vMerge/>
            <w:vAlign w:val="center"/>
          </w:tcPr>
          <w:p w:rsidR="006C15A7" w:rsidRDefault="006C15A7" w:rsidP="006C15A7">
            <w:pPr>
              <w:spacing w:before="60" w:after="60" w:line="240" w:lineRule="auto"/>
              <w:jc w:val="center"/>
              <w:rPr>
                <w:lang w:val="en-US"/>
              </w:rPr>
            </w:pPr>
          </w:p>
        </w:tc>
        <w:tc>
          <w:tcPr>
            <w:tcW w:w="922" w:type="dxa"/>
            <w:vAlign w:val="center"/>
          </w:tcPr>
          <w:p w:rsidR="006C15A7" w:rsidRDefault="006C15A7" w:rsidP="006C15A7">
            <w:pPr>
              <w:spacing w:before="60" w:after="60" w:line="240" w:lineRule="auto"/>
              <w:jc w:val="center"/>
              <w:rPr>
                <w:lang w:val="en-US"/>
              </w:rPr>
            </w:pPr>
            <w:r>
              <w:rPr>
                <w:lang w:val="en-US"/>
              </w:rPr>
              <w:t>3 %</w:t>
            </w:r>
          </w:p>
        </w:tc>
        <w:tc>
          <w:tcPr>
            <w:tcW w:w="921" w:type="dxa"/>
            <w:vMerge/>
            <w:vAlign w:val="center"/>
          </w:tcPr>
          <w:p w:rsidR="006C15A7" w:rsidRDefault="006C15A7" w:rsidP="006C15A7">
            <w:pPr>
              <w:spacing w:before="60" w:after="60" w:line="240" w:lineRule="auto"/>
              <w:jc w:val="center"/>
              <w:rPr>
                <w:lang w:val="en-US"/>
              </w:rPr>
            </w:pPr>
          </w:p>
        </w:tc>
        <w:tc>
          <w:tcPr>
            <w:tcW w:w="922" w:type="dxa"/>
            <w:vAlign w:val="center"/>
          </w:tcPr>
          <w:p w:rsidR="006C15A7" w:rsidRDefault="006C15A7" w:rsidP="006C15A7">
            <w:pPr>
              <w:spacing w:before="60" w:after="60" w:line="240" w:lineRule="auto"/>
              <w:jc w:val="center"/>
              <w:rPr>
                <w:lang w:val="en-US"/>
              </w:rPr>
            </w:pPr>
            <w:r>
              <w:rPr>
                <w:lang w:val="en-US"/>
              </w:rPr>
              <w:t>13.5 %</w:t>
            </w:r>
          </w:p>
        </w:tc>
      </w:tr>
      <w:tr w:rsidR="006C15A7" w:rsidTr="006C15A7">
        <w:tc>
          <w:tcPr>
            <w:tcW w:w="2093" w:type="dxa"/>
            <w:vAlign w:val="center"/>
          </w:tcPr>
          <w:p w:rsidR="006C15A7" w:rsidRDefault="006C15A7" w:rsidP="006C15A7">
            <w:pPr>
              <w:spacing w:before="60" w:after="60" w:line="240" w:lineRule="auto"/>
              <w:rPr>
                <w:lang w:val="en-US"/>
              </w:rPr>
            </w:pPr>
            <w:r>
              <w:rPr>
                <w:lang w:val="en-US"/>
              </w:rPr>
              <w:t>Medical/injuries</w:t>
            </w:r>
          </w:p>
        </w:tc>
        <w:tc>
          <w:tcPr>
            <w:tcW w:w="1591" w:type="dxa"/>
          </w:tcPr>
          <w:p w:rsidR="006C15A7" w:rsidRDefault="006C15A7" w:rsidP="006C15A7">
            <w:pPr>
              <w:spacing w:before="60" w:after="60" w:line="240" w:lineRule="auto"/>
              <w:rPr>
                <w:lang w:val="en-US"/>
              </w:rPr>
            </w:pPr>
          </w:p>
        </w:tc>
        <w:tc>
          <w:tcPr>
            <w:tcW w:w="1842" w:type="dxa"/>
            <w:gridSpan w:val="2"/>
            <w:vAlign w:val="center"/>
          </w:tcPr>
          <w:p w:rsidR="006C15A7" w:rsidRDefault="006C15A7" w:rsidP="006C15A7">
            <w:pPr>
              <w:spacing w:before="60" w:after="60" w:line="240" w:lineRule="auto"/>
              <w:jc w:val="center"/>
              <w:rPr>
                <w:lang w:val="en-US"/>
              </w:rPr>
            </w:pPr>
            <w:r>
              <w:rPr>
                <w:lang w:val="en-US"/>
              </w:rPr>
              <w:t>3.5 %</w:t>
            </w:r>
          </w:p>
        </w:tc>
        <w:tc>
          <w:tcPr>
            <w:tcW w:w="1844" w:type="dxa"/>
            <w:gridSpan w:val="2"/>
            <w:vAlign w:val="center"/>
          </w:tcPr>
          <w:p w:rsidR="006C15A7" w:rsidRDefault="006C15A7" w:rsidP="006C15A7">
            <w:pPr>
              <w:spacing w:before="60" w:after="60" w:line="240" w:lineRule="auto"/>
              <w:jc w:val="center"/>
              <w:rPr>
                <w:lang w:val="en-US"/>
              </w:rPr>
            </w:pPr>
            <w:r>
              <w:rPr>
                <w:lang w:val="en-US"/>
              </w:rPr>
              <w:t>25 %</w:t>
            </w:r>
          </w:p>
        </w:tc>
        <w:tc>
          <w:tcPr>
            <w:tcW w:w="1843" w:type="dxa"/>
            <w:gridSpan w:val="2"/>
            <w:vAlign w:val="center"/>
          </w:tcPr>
          <w:p w:rsidR="006C15A7" w:rsidRDefault="006C15A7" w:rsidP="005228DA">
            <w:pPr>
              <w:keepNext/>
              <w:spacing w:before="60" w:after="60" w:line="240" w:lineRule="auto"/>
              <w:jc w:val="center"/>
              <w:rPr>
                <w:lang w:val="en-US"/>
              </w:rPr>
            </w:pPr>
            <w:r>
              <w:rPr>
                <w:lang w:val="en-US"/>
              </w:rPr>
              <w:t>30 %</w:t>
            </w:r>
          </w:p>
        </w:tc>
      </w:tr>
    </w:tbl>
    <w:p w:rsidR="006C15A7" w:rsidRDefault="005228DA" w:rsidP="005228DA">
      <w:pPr>
        <w:pStyle w:val="Lgende"/>
        <w:jc w:val="center"/>
        <w:rPr>
          <w:rFonts w:ascii="Times New Roman" w:hAnsi="Times New Roman" w:cs="Times New Roman"/>
        </w:rPr>
      </w:pPr>
      <w:r>
        <w:t xml:space="preserve">Tableau </w:t>
      </w:r>
      <w:fldSimple w:instr=" SEQ Tableau \* ARABIC ">
        <w:r>
          <w:rPr>
            <w:noProof/>
          </w:rPr>
          <w:t>1</w:t>
        </w:r>
      </w:fldSimple>
      <w:r>
        <w:t>: CAT Task Force calibration</w:t>
      </w:r>
    </w:p>
    <w:p w:rsidR="006C15A7" w:rsidRDefault="002D49AF" w:rsidP="006C15A7">
      <w:pPr>
        <w:jc w:val="both"/>
        <w:rPr>
          <w:rFonts w:ascii="Times New Roman" w:hAnsi="Times New Roman" w:cs="Times New Roman"/>
        </w:rPr>
      </w:pPr>
      <w:r>
        <w:rPr>
          <w:rFonts w:ascii="Times New Roman" w:hAnsi="Times New Roman" w:cs="Times New Roman"/>
        </w:rPr>
        <w:lastRenderedPageBreak/>
        <w:t xml:space="preserve">The initial work performed by the CTF consisted first in splitting partial permanent disability into both total permanent disability and temporary disability, and then in splitting temporary disability between a 1 year scenario and a 10 years scenario. </w:t>
      </w:r>
    </w:p>
    <w:p w:rsidR="002D49AF" w:rsidRDefault="002D49AF" w:rsidP="006C15A7">
      <w:pPr>
        <w:jc w:val="both"/>
        <w:rPr>
          <w:rFonts w:ascii="Times New Roman" w:hAnsi="Times New Roman" w:cs="Times New Roman"/>
        </w:rPr>
      </w:pPr>
      <w:r>
        <w:rPr>
          <w:rFonts w:ascii="Times New Roman" w:hAnsi="Times New Roman" w:cs="Times New Roman"/>
        </w:rPr>
        <w:t xml:space="preserve">On a second step, some figures were stressed in order to take into account three main drawbacks of the World Trade </w:t>
      </w:r>
      <w:proofErr w:type="spellStart"/>
      <w:r>
        <w:rPr>
          <w:rFonts w:ascii="Times New Roman" w:hAnsi="Times New Roman" w:cs="Times New Roman"/>
        </w:rPr>
        <w:t>Center</w:t>
      </w:r>
      <w:proofErr w:type="spellEnd"/>
      <w:r>
        <w:rPr>
          <w:rFonts w:ascii="Times New Roman" w:hAnsi="Times New Roman" w:cs="Times New Roman"/>
        </w:rPr>
        <w:t xml:space="preserve"> data</w:t>
      </w:r>
      <w:r w:rsidR="00A71F9C">
        <w:rPr>
          <w:rFonts w:ascii="Times New Roman" w:hAnsi="Times New Roman" w:cs="Times New Roman"/>
        </w:rPr>
        <w:t xml:space="preserve"> highlighted by the CTF</w:t>
      </w:r>
      <w:r>
        <w:rPr>
          <w:rFonts w:ascii="Times New Roman" w:hAnsi="Times New Roman" w:cs="Times New Roman"/>
        </w:rPr>
        <w:t>:</w:t>
      </w:r>
    </w:p>
    <w:p w:rsidR="002D49AF" w:rsidRDefault="002D49AF" w:rsidP="002D49AF">
      <w:pPr>
        <w:pStyle w:val="Paragraphedeliste"/>
        <w:numPr>
          <w:ilvl w:val="0"/>
          <w:numId w:val="2"/>
        </w:numPr>
        <w:jc w:val="both"/>
        <w:rPr>
          <w:rFonts w:ascii="Times New Roman" w:hAnsi="Times New Roman" w:cs="Times New Roman"/>
        </w:rPr>
      </w:pPr>
      <w:r>
        <w:rPr>
          <w:rFonts w:ascii="Times New Roman" w:hAnsi="Times New Roman" w:cs="Times New Roman"/>
        </w:rPr>
        <w:t>there was a low occupancy of the buildings at the time of the attack, leading to an underestimation of temporary disability and injuries;</w:t>
      </w:r>
    </w:p>
    <w:p w:rsidR="002D49AF" w:rsidRDefault="002D49AF" w:rsidP="002D49AF">
      <w:pPr>
        <w:pStyle w:val="Paragraphedeliste"/>
        <w:numPr>
          <w:ilvl w:val="0"/>
          <w:numId w:val="2"/>
        </w:numPr>
        <w:jc w:val="both"/>
        <w:rPr>
          <w:rFonts w:ascii="Times New Roman" w:hAnsi="Times New Roman" w:cs="Times New Roman"/>
        </w:rPr>
      </w:pPr>
      <w:r>
        <w:rPr>
          <w:rFonts w:ascii="Times New Roman" w:hAnsi="Times New Roman" w:cs="Times New Roman"/>
        </w:rPr>
        <w:t>bombings generate more permanent injuries than building collapses, leading to an underestimation of permanent and temporary disabilities;</w:t>
      </w:r>
    </w:p>
    <w:p w:rsidR="002D49AF" w:rsidRDefault="002D49AF" w:rsidP="002D49AF">
      <w:pPr>
        <w:pStyle w:val="Paragraphedeliste"/>
        <w:numPr>
          <w:ilvl w:val="0"/>
          <w:numId w:val="2"/>
        </w:numPr>
        <w:jc w:val="both"/>
        <w:rPr>
          <w:rFonts w:ascii="Times New Roman" w:hAnsi="Times New Roman" w:cs="Times New Roman"/>
        </w:rPr>
      </w:pPr>
      <w:proofErr w:type="gramStart"/>
      <w:r>
        <w:rPr>
          <w:rFonts w:ascii="Times New Roman" w:hAnsi="Times New Roman" w:cs="Times New Roman"/>
        </w:rPr>
        <w:t>many</w:t>
      </w:r>
      <w:proofErr w:type="gramEnd"/>
      <w:r>
        <w:rPr>
          <w:rFonts w:ascii="Times New Roman" w:hAnsi="Times New Roman" w:cs="Times New Roman"/>
        </w:rPr>
        <w:t xml:space="preserve"> injured people are uninsured or did not claim, leading to an underestimation of injuries.</w:t>
      </w:r>
    </w:p>
    <w:p w:rsidR="002D49AF" w:rsidRDefault="00A71F9C" w:rsidP="002D49AF">
      <w:pPr>
        <w:jc w:val="both"/>
        <w:rPr>
          <w:rFonts w:ascii="Times New Roman" w:hAnsi="Times New Roman" w:cs="Times New Roman"/>
        </w:rPr>
      </w:pPr>
      <w:bookmarkStart w:id="0" w:name="_GoBack"/>
      <w:bookmarkEnd w:id="0"/>
      <w:r>
        <w:rPr>
          <w:rFonts w:ascii="Times New Roman" w:hAnsi="Times New Roman" w:cs="Times New Roman"/>
        </w:rPr>
        <w:t>In order to delete the 10 years disability scenario and to remain consistent with initial data and CTF calibration it was proposed to:</w:t>
      </w:r>
    </w:p>
    <w:p w:rsidR="00A71F9C" w:rsidRDefault="00A71F9C" w:rsidP="00A71F9C">
      <w:pPr>
        <w:pStyle w:val="Paragraphedeliste"/>
        <w:numPr>
          <w:ilvl w:val="0"/>
          <w:numId w:val="2"/>
        </w:numPr>
        <w:jc w:val="both"/>
        <w:rPr>
          <w:rFonts w:ascii="Times New Roman" w:hAnsi="Times New Roman" w:cs="Times New Roman"/>
        </w:rPr>
      </w:pPr>
      <w:r>
        <w:rPr>
          <w:rFonts w:ascii="Times New Roman" w:hAnsi="Times New Roman" w:cs="Times New Roman"/>
        </w:rPr>
        <w:t>do not modify the 10</w:t>
      </w:r>
      <w:r w:rsidR="0097711E">
        <w:rPr>
          <w:rFonts w:ascii="Times New Roman" w:hAnsi="Times New Roman" w:cs="Times New Roman"/>
        </w:rPr>
        <w:t> </w:t>
      </w:r>
      <w:r>
        <w:rPr>
          <w:rFonts w:ascii="Times New Roman" w:hAnsi="Times New Roman" w:cs="Times New Roman"/>
        </w:rPr>
        <w:t>% accidental death scenario and the 30% medical expenses scenario;</w:t>
      </w:r>
    </w:p>
    <w:p w:rsidR="00A71F9C" w:rsidRDefault="00A71F9C" w:rsidP="00A71F9C">
      <w:pPr>
        <w:pStyle w:val="Paragraphedeliste"/>
        <w:numPr>
          <w:ilvl w:val="0"/>
          <w:numId w:val="2"/>
        </w:numPr>
        <w:jc w:val="both"/>
        <w:rPr>
          <w:rFonts w:ascii="Times New Roman" w:hAnsi="Times New Roman" w:cs="Times New Roman"/>
        </w:rPr>
      </w:pPr>
      <w:r>
        <w:rPr>
          <w:rFonts w:ascii="Times New Roman" w:hAnsi="Times New Roman" w:cs="Times New Roman"/>
        </w:rPr>
        <w:t>retain 3.5</w:t>
      </w:r>
      <w:r w:rsidR="0097711E">
        <w:rPr>
          <w:rFonts w:ascii="Times New Roman" w:hAnsi="Times New Roman" w:cs="Times New Roman"/>
        </w:rPr>
        <w:t> </w:t>
      </w:r>
      <w:r>
        <w:rPr>
          <w:rFonts w:ascii="Times New Roman" w:hAnsi="Times New Roman" w:cs="Times New Roman"/>
        </w:rPr>
        <w:t xml:space="preserve">% for the permanent disability scenario, which appears consistent with World Trade </w:t>
      </w:r>
      <w:proofErr w:type="spellStart"/>
      <w:r>
        <w:rPr>
          <w:rFonts w:ascii="Times New Roman" w:hAnsi="Times New Roman" w:cs="Times New Roman"/>
        </w:rPr>
        <w:t>Center</w:t>
      </w:r>
      <w:proofErr w:type="spellEnd"/>
      <w:r>
        <w:rPr>
          <w:rFonts w:ascii="Times New Roman" w:hAnsi="Times New Roman" w:cs="Times New Roman"/>
        </w:rPr>
        <w:t xml:space="preserve"> data, even if for the sake of simplicity only total permanent disability is to be modelled;</w:t>
      </w:r>
    </w:p>
    <w:p w:rsidR="00A71F9C" w:rsidRDefault="00A71F9C" w:rsidP="00A71F9C">
      <w:pPr>
        <w:pStyle w:val="Paragraphedeliste"/>
        <w:numPr>
          <w:ilvl w:val="0"/>
          <w:numId w:val="2"/>
        </w:numPr>
        <w:jc w:val="both"/>
        <w:rPr>
          <w:rFonts w:ascii="Times New Roman" w:hAnsi="Times New Roman" w:cs="Times New Roman"/>
        </w:rPr>
      </w:pPr>
      <w:proofErr w:type="gramStart"/>
      <w:r>
        <w:rPr>
          <w:rFonts w:ascii="Times New Roman" w:hAnsi="Times New Roman" w:cs="Times New Roman"/>
        </w:rPr>
        <w:t>retain</w:t>
      </w:r>
      <w:proofErr w:type="gramEnd"/>
      <w:r>
        <w:rPr>
          <w:rFonts w:ascii="Times New Roman" w:hAnsi="Times New Roman" w:cs="Times New Roman"/>
        </w:rPr>
        <w:t xml:space="preserve"> 16.5</w:t>
      </w:r>
      <w:r w:rsidR="0097711E">
        <w:rPr>
          <w:rFonts w:ascii="Times New Roman" w:hAnsi="Times New Roman" w:cs="Times New Roman"/>
        </w:rPr>
        <w:t> </w:t>
      </w:r>
      <w:r>
        <w:rPr>
          <w:rFonts w:ascii="Times New Roman" w:hAnsi="Times New Roman" w:cs="Times New Roman"/>
        </w:rPr>
        <w:t>% for the temporary (1 year) disability scenario, in order to stick to the global 60</w:t>
      </w:r>
      <w:r w:rsidR="0097711E">
        <w:rPr>
          <w:rFonts w:ascii="Times New Roman" w:hAnsi="Times New Roman" w:cs="Times New Roman"/>
        </w:rPr>
        <w:t> </w:t>
      </w:r>
      <w:r>
        <w:rPr>
          <w:rFonts w:ascii="Times New Roman" w:hAnsi="Times New Roman" w:cs="Times New Roman"/>
        </w:rPr>
        <w:t>% injured people hypothesis.</w:t>
      </w:r>
    </w:p>
    <w:p w:rsidR="00A71F9C" w:rsidRDefault="00A71F9C" w:rsidP="00A71F9C">
      <w:pPr>
        <w:jc w:val="both"/>
        <w:rPr>
          <w:rFonts w:ascii="Times New Roman" w:hAnsi="Times New Roman" w:cs="Times New Roman"/>
        </w:rPr>
      </w:pPr>
      <w:r>
        <w:rPr>
          <w:rFonts w:ascii="Times New Roman" w:hAnsi="Times New Roman" w:cs="Times New Roman"/>
        </w:rPr>
        <w:t>The consequences is that people who were subjected to the 10 years disability scenario effect in the previous calibration, are now either subjected to the 1 year disability scenario (in majority) or subjected to permanent disability (in minority).</w:t>
      </w:r>
    </w:p>
    <w:p w:rsidR="00A71F9C" w:rsidRDefault="00A71F9C" w:rsidP="00A71F9C">
      <w:pPr>
        <w:jc w:val="both"/>
        <w:rPr>
          <w:rFonts w:ascii="Times New Roman" w:hAnsi="Times New Roman" w:cs="Times New Roman"/>
        </w:rPr>
      </w:pPr>
      <w:r>
        <w:rPr>
          <w:rFonts w:ascii="Times New Roman" w:hAnsi="Times New Roman" w:cs="Times New Roman"/>
        </w:rPr>
        <w:t>The following table recaps this new</w:t>
      </w:r>
      <w:r w:rsidR="001A6C98">
        <w:rPr>
          <w:rFonts w:ascii="Times New Roman" w:hAnsi="Times New Roman" w:cs="Times New Roman"/>
        </w:rPr>
        <w:t xml:space="preserve"> CAT WS</w:t>
      </w:r>
      <w:r>
        <w:rPr>
          <w:rFonts w:ascii="Times New Roman" w:hAnsi="Times New Roman" w:cs="Times New Roman"/>
        </w:rPr>
        <w:t xml:space="preserve"> calibration proposal.</w:t>
      </w:r>
    </w:p>
    <w:tbl>
      <w:tblPr>
        <w:tblStyle w:val="Grilledutableau"/>
        <w:tblW w:w="0" w:type="auto"/>
        <w:jc w:val="center"/>
        <w:tblLook w:val="04A0"/>
      </w:tblPr>
      <w:tblGrid>
        <w:gridCol w:w="2093"/>
        <w:gridCol w:w="2301"/>
        <w:gridCol w:w="2302"/>
        <w:gridCol w:w="2302"/>
      </w:tblGrid>
      <w:tr w:rsidR="00A71F9C" w:rsidTr="001A6C98">
        <w:trPr>
          <w:trHeight w:val="389"/>
          <w:jc w:val="center"/>
        </w:trPr>
        <w:tc>
          <w:tcPr>
            <w:tcW w:w="2093" w:type="dxa"/>
          </w:tcPr>
          <w:p w:rsidR="00A71F9C" w:rsidRDefault="00A71F9C" w:rsidP="00A71F9C">
            <w:pPr>
              <w:spacing w:before="60" w:after="60" w:line="240" w:lineRule="auto"/>
              <w:rPr>
                <w:lang w:val="en-US"/>
              </w:rPr>
            </w:pPr>
          </w:p>
        </w:tc>
        <w:tc>
          <w:tcPr>
            <w:tcW w:w="2301" w:type="dxa"/>
          </w:tcPr>
          <w:p w:rsidR="00A71F9C" w:rsidRPr="0097711E" w:rsidRDefault="00A71F9C" w:rsidP="00A71F9C">
            <w:pPr>
              <w:spacing w:before="60" w:after="60" w:line="240" w:lineRule="auto"/>
              <w:jc w:val="center"/>
              <w:rPr>
                <w:b/>
                <w:lang w:val="en-US"/>
              </w:rPr>
            </w:pPr>
            <w:r w:rsidRPr="0097711E">
              <w:rPr>
                <w:b/>
                <w:lang w:val="en-US"/>
              </w:rPr>
              <w:t>WTC figures</w:t>
            </w:r>
          </w:p>
        </w:tc>
        <w:tc>
          <w:tcPr>
            <w:tcW w:w="2302" w:type="dxa"/>
          </w:tcPr>
          <w:p w:rsidR="00A71F9C" w:rsidRPr="0097711E" w:rsidRDefault="00A71F9C" w:rsidP="00A71F9C">
            <w:pPr>
              <w:spacing w:before="60" w:after="60" w:line="240" w:lineRule="auto"/>
              <w:jc w:val="center"/>
              <w:rPr>
                <w:b/>
                <w:lang w:val="en-US"/>
              </w:rPr>
            </w:pPr>
            <w:r w:rsidRPr="0097711E">
              <w:rPr>
                <w:b/>
                <w:lang w:val="en-US"/>
              </w:rPr>
              <w:t>CTF</w:t>
            </w:r>
            <w:r w:rsidRPr="0097711E">
              <w:rPr>
                <w:b/>
                <w:lang w:val="en-US"/>
              </w:rPr>
              <w:t xml:space="preserve"> proposal</w:t>
            </w:r>
          </w:p>
        </w:tc>
        <w:tc>
          <w:tcPr>
            <w:tcW w:w="2302" w:type="dxa"/>
          </w:tcPr>
          <w:p w:rsidR="00A71F9C" w:rsidRPr="0097711E" w:rsidRDefault="00A71F9C" w:rsidP="00A71F9C">
            <w:pPr>
              <w:spacing w:before="60" w:after="60" w:line="240" w:lineRule="auto"/>
              <w:jc w:val="center"/>
              <w:rPr>
                <w:b/>
                <w:lang w:val="en-US"/>
              </w:rPr>
            </w:pPr>
            <w:r w:rsidRPr="0097711E">
              <w:rPr>
                <w:b/>
                <w:lang w:val="en-US"/>
              </w:rPr>
              <w:t>New</w:t>
            </w:r>
            <w:r w:rsidR="001A6C98" w:rsidRPr="0097711E">
              <w:rPr>
                <w:b/>
                <w:lang w:val="en-US"/>
              </w:rPr>
              <w:t xml:space="preserve"> CAT WS</w:t>
            </w:r>
            <w:r w:rsidRPr="0097711E">
              <w:rPr>
                <w:b/>
                <w:lang w:val="en-US"/>
              </w:rPr>
              <w:t xml:space="preserve"> proposal</w:t>
            </w:r>
          </w:p>
        </w:tc>
      </w:tr>
      <w:tr w:rsidR="00A71F9C" w:rsidTr="001A6C98">
        <w:trPr>
          <w:trHeight w:val="389"/>
          <w:jc w:val="center"/>
        </w:trPr>
        <w:tc>
          <w:tcPr>
            <w:tcW w:w="2093" w:type="dxa"/>
            <w:vAlign w:val="center"/>
          </w:tcPr>
          <w:p w:rsidR="00A71F9C" w:rsidRDefault="00A71F9C" w:rsidP="00A71F9C">
            <w:pPr>
              <w:spacing w:before="60" w:after="60" w:line="240" w:lineRule="auto"/>
              <w:rPr>
                <w:lang w:val="en-US"/>
              </w:rPr>
            </w:pPr>
            <w:r>
              <w:rPr>
                <w:lang w:val="en-US"/>
              </w:rPr>
              <w:t>Accidental death</w:t>
            </w:r>
          </w:p>
        </w:tc>
        <w:tc>
          <w:tcPr>
            <w:tcW w:w="2301" w:type="dxa"/>
            <w:vAlign w:val="center"/>
          </w:tcPr>
          <w:p w:rsidR="00A71F9C" w:rsidRDefault="00A71F9C" w:rsidP="00A71F9C">
            <w:pPr>
              <w:spacing w:before="60" w:after="60" w:line="240" w:lineRule="auto"/>
              <w:jc w:val="center"/>
              <w:rPr>
                <w:lang w:val="en-US"/>
              </w:rPr>
            </w:pPr>
            <w:r>
              <w:rPr>
                <w:lang w:val="en-US"/>
              </w:rPr>
              <w:t>12 %</w:t>
            </w:r>
          </w:p>
        </w:tc>
        <w:tc>
          <w:tcPr>
            <w:tcW w:w="2302" w:type="dxa"/>
            <w:vAlign w:val="center"/>
          </w:tcPr>
          <w:p w:rsidR="00A71F9C" w:rsidRDefault="00A71F9C" w:rsidP="00A71F9C">
            <w:pPr>
              <w:spacing w:before="60" w:after="60" w:line="240" w:lineRule="auto"/>
              <w:jc w:val="center"/>
              <w:rPr>
                <w:lang w:val="en-US"/>
              </w:rPr>
            </w:pPr>
            <w:r>
              <w:rPr>
                <w:lang w:val="en-US"/>
              </w:rPr>
              <w:t>12 %</w:t>
            </w:r>
          </w:p>
        </w:tc>
        <w:tc>
          <w:tcPr>
            <w:tcW w:w="2302" w:type="dxa"/>
            <w:vAlign w:val="center"/>
          </w:tcPr>
          <w:p w:rsidR="00A71F9C" w:rsidRDefault="00A71F9C" w:rsidP="00A71F9C">
            <w:pPr>
              <w:spacing w:before="60" w:after="60" w:line="240" w:lineRule="auto"/>
              <w:jc w:val="center"/>
              <w:rPr>
                <w:lang w:val="en-US"/>
              </w:rPr>
            </w:pPr>
            <w:r>
              <w:rPr>
                <w:lang w:val="en-US"/>
              </w:rPr>
              <w:t>10 %</w:t>
            </w:r>
          </w:p>
        </w:tc>
      </w:tr>
      <w:tr w:rsidR="00A71F9C" w:rsidTr="001A6C98">
        <w:trPr>
          <w:trHeight w:val="389"/>
          <w:jc w:val="center"/>
        </w:trPr>
        <w:tc>
          <w:tcPr>
            <w:tcW w:w="2093" w:type="dxa"/>
            <w:vMerge w:val="restart"/>
            <w:vAlign w:val="center"/>
          </w:tcPr>
          <w:p w:rsidR="00A71F9C" w:rsidRDefault="00A71F9C" w:rsidP="00A71F9C">
            <w:pPr>
              <w:spacing w:before="60" w:after="60" w:line="240" w:lineRule="auto"/>
              <w:rPr>
                <w:lang w:val="en-US"/>
              </w:rPr>
            </w:pPr>
            <w:r>
              <w:rPr>
                <w:lang w:val="en-US"/>
              </w:rPr>
              <w:t>Permanent disability</w:t>
            </w:r>
          </w:p>
        </w:tc>
        <w:tc>
          <w:tcPr>
            <w:tcW w:w="2301" w:type="dxa"/>
            <w:vMerge w:val="restart"/>
            <w:vAlign w:val="center"/>
          </w:tcPr>
          <w:p w:rsidR="00A71F9C" w:rsidRDefault="00A71F9C" w:rsidP="00A71F9C">
            <w:pPr>
              <w:spacing w:before="60" w:after="60" w:line="240" w:lineRule="auto"/>
              <w:jc w:val="center"/>
              <w:rPr>
                <w:lang w:val="en-US"/>
              </w:rPr>
            </w:pPr>
            <w:r>
              <w:rPr>
                <w:lang w:val="en-US"/>
              </w:rPr>
              <w:t>3.2 %</w:t>
            </w:r>
          </w:p>
        </w:tc>
        <w:tc>
          <w:tcPr>
            <w:tcW w:w="2302" w:type="dxa"/>
            <w:vMerge w:val="restart"/>
            <w:vAlign w:val="center"/>
          </w:tcPr>
          <w:p w:rsidR="00A71F9C" w:rsidRDefault="00A71F9C" w:rsidP="00A71F9C">
            <w:pPr>
              <w:spacing w:before="60" w:after="60"/>
              <w:jc w:val="center"/>
              <w:rPr>
                <w:lang w:val="en-US"/>
              </w:rPr>
            </w:pPr>
            <w:r>
              <w:rPr>
                <w:lang w:val="en-US"/>
              </w:rPr>
              <w:t>1.5</w:t>
            </w:r>
            <w:r w:rsidR="0097711E">
              <w:rPr>
                <w:lang w:val="en-US"/>
              </w:rPr>
              <w:t> </w:t>
            </w:r>
            <w:r>
              <w:rPr>
                <w:lang w:val="en-US"/>
              </w:rPr>
              <w:t>%</w:t>
            </w:r>
          </w:p>
        </w:tc>
        <w:tc>
          <w:tcPr>
            <w:tcW w:w="2302" w:type="dxa"/>
            <w:vMerge w:val="restart"/>
            <w:vAlign w:val="center"/>
          </w:tcPr>
          <w:p w:rsidR="00A71F9C" w:rsidRDefault="00A71F9C" w:rsidP="00A71F9C">
            <w:pPr>
              <w:spacing w:before="60" w:after="60"/>
              <w:jc w:val="center"/>
              <w:rPr>
                <w:lang w:val="en-US"/>
              </w:rPr>
            </w:pPr>
            <w:r>
              <w:rPr>
                <w:lang w:val="en-US"/>
              </w:rPr>
              <w:t>3.5</w:t>
            </w:r>
            <w:r w:rsidR="0097711E">
              <w:rPr>
                <w:lang w:val="en-US"/>
              </w:rPr>
              <w:t> </w:t>
            </w:r>
            <w:r>
              <w:rPr>
                <w:lang w:val="en-US"/>
              </w:rPr>
              <w:t>%</w:t>
            </w:r>
          </w:p>
        </w:tc>
      </w:tr>
      <w:tr w:rsidR="00A71F9C" w:rsidTr="001A6C98">
        <w:trPr>
          <w:trHeight w:val="389"/>
          <w:jc w:val="center"/>
        </w:trPr>
        <w:tc>
          <w:tcPr>
            <w:tcW w:w="2093" w:type="dxa"/>
            <w:vMerge/>
            <w:vAlign w:val="center"/>
          </w:tcPr>
          <w:p w:rsidR="00A71F9C" w:rsidRDefault="00A71F9C" w:rsidP="00A71F9C">
            <w:pPr>
              <w:spacing w:before="60" w:after="60" w:line="240" w:lineRule="auto"/>
              <w:rPr>
                <w:lang w:val="en-US"/>
              </w:rPr>
            </w:pPr>
          </w:p>
        </w:tc>
        <w:tc>
          <w:tcPr>
            <w:tcW w:w="2301" w:type="dxa"/>
            <w:vMerge/>
            <w:vAlign w:val="center"/>
          </w:tcPr>
          <w:p w:rsidR="00A71F9C" w:rsidRDefault="00A71F9C" w:rsidP="00A71F9C">
            <w:pPr>
              <w:spacing w:before="60" w:after="60" w:line="240" w:lineRule="auto"/>
              <w:jc w:val="center"/>
              <w:rPr>
                <w:lang w:val="en-US"/>
              </w:rPr>
            </w:pPr>
          </w:p>
        </w:tc>
        <w:tc>
          <w:tcPr>
            <w:tcW w:w="2302" w:type="dxa"/>
            <w:vMerge/>
            <w:vAlign w:val="center"/>
          </w:tcPr>
          <w:p w:rsidR="00A71F9C" w:rsidRDefault="00A71F9C" w:rsidP="00A71F9C">
            <w:pPr>
              <w:spacing w:before="60" w:after="60" w:line="240" w:lineRule="auto"/>
              <w:jc w:val="center"/>
              <w:rPr>
                <w:lang w:val="en-US"/>
              </w:rPr>
            </w:pPr>
          </w:p>
        </w:tc>
        <w:tc>
          <w:tcPr>
            <w:tcW w:w="2302" w:type="dxa"/>
            <w:vMerge/>
            <w:vAlign w:val="center"/>
          </w:tcPr>
          <w:p w:rsidR="00A71F9C" w:rsidRDefault="00A71F9C" w:rsidP="00A71F9C">
            <w:pPr>
              <w:spacing w:before="60" w:after="60" w:line="240" w:lineRule="auto"/>
              <w:jc w:val="center"/>
              <w:rPr>
                <w:lang w:val="en-US"/>
              </w:rPr>
            </w:pPr>
          </w:p>
        </w:tc>
      </w:tr>
      <w:tr w:rsidR="00A71F9C" w:rsidTr="001A6C98">
        <w:trPr>
          <w:trHeight w:val="389"/>
          <w:jc w:val="center"/>
        </w:trPr>
        <w:tc>
          <w:tcPr>
            <w:tcW w:w="2093" w:type="dxa"/>
            <w:vMerge w:val="restart"/>
            <w:vAlign w:val="center"/>
          </w:tcPr>
          <w:p w:rsidR="00A71F9C" w:rsidRDefault="00A71F9C" w:rsidP="00A71F9C">
            <w:pPr>
              <w:spacing w:before="60" w:after="60" w:line="240" w:lineRule="auto"/>
              <w:rPr>
                <w:lang w:val="en-US"/>
              </w:rPr>
            </w:pPr>
            <w:r>
              <w:rPr>
                <w:lang w:val="en-US"/>
              </w:rPr>
              <w:t>Temporary disability</w:t>
            </w:r>
          </w:p>
          <w:p w:rsidR="00A71F9C" w:rsidRDefault="00A71F9C" w:rsidP="00A71F9C">
            <w:pPr>
              <w:spacing w:before="60" w:after="60" w:line="240" w:lineRule="auto"/>
              <w:jc w:val="center"/>
              <w:rPr>
                <w:lang w:val="en-US"/>
              </w:rPr>
            </w:pPr>
            <w:r>
              <w:rPr>
                <w:lang w:val="en-US"/>
              </w:rPr>
              <w:t>(1 year)</w:t>
            </w:r>
          </w:p>
        </w:tc>
        <w:tc>
          <w:tcPr>
            <w:tcW w:w="2301" w:type="dxa"/>
            <w:vMerge w:val="restart"/>
            <w:vAlign w:val="center"/>
          </w:tcPr>
          <w:p w:rsidR="00A71F9C" w:rsidRDefault="00A71F9C" w:rsidP="00A71F9C">
            <w:pPr>
              <w:spacing w:before="60" w:after="60" w:line="240" w:lineRule="auto"/>
              <w:jc w:val="center"/>
              <w:rPr>
                <w:lang w:val="en-US"/>
              </w:rPr>
            </w:pPr>
            <w:r>
              <w:rPr>
                <w:lang w:val="en-US"/>
              </w:rPr>
              <w:t>6 %</w:t>
            </w:r>
          </w:p>
        </w:tc>
        <w:tc>
          <w:tcPr>
            <w:tcW w:w="2302" w:type="dxa"/>
            <w:vMerge w:val="restart"/>
            <w:vAlign w:val="center"/>
          </w:tcPr>
          <w:p w:rsidR="00A71F9C" w:rsidRDefault="00A71F9C" w:rsidP="00A71F9C">
            <w:pPr>
              <w:spacing w:before="60" w:after="60"/>
              <w:jc w:val="center"/>
              <w:rPr>
                <w:lang w:val="en-US"/>
              </w:rPr>
            </w:pPr>
            <w:r>
              <w:rPr>
                <w:lang w:val="en-US"/>
              </w:rPr>
              <w:t>18.5</w:t>
            </w:r>
            <w:r w:rsidR="0097711E">
              <w:rPr>
                <w:lang w:val="en-US"/>
              </w:rPr>
              <w:t> </w:t>
            </w:r>
            <w:r>
              <w:rPr>
                <w:lang w:val="en-US"/>
              </w:rPr>
              <w:t>%</w:t>
            </w:r>
          </w:p>
        </w:tc>
        <w:tc>
          <w:tcPr>
            <w:tcW w:w="2302" w:type="dxa"/>
            <w:vMerge w:val="restart"/>
            <w:vAlign w:val="center"/>
          </w:tcPr>
          <w:p w:rsidR="00A71F9C" w:rsidRDefault="00A71F9C" w:rsidP="00A71F9C">
            <w:pPr>
              <w:spacing w:before="60" w:after="60"/>
              <w:jc w:val="center"/>
              <w:rPr>
                <w:lang w:val="en-US"/>
              </w:rPr>
            </w:pPr>
            <w:r>
              <w:rPr>
                <w:lang w:val="en-US"/>
              </w:rPr>
              <w:t>16.5</w:t>
            </w:r>
            <w:r w:rsidR="0097711E">
              <w:rPr>
                <w:lang w:val="en-US"/>
              </w:rPr>
              <w:t> </w:t>
            </w:r>
            <w:r>
              <w:rPr>
                <w:lang w:val="en-US"/>
              </w:rPr>
              <w:t>%</w:t>
            </w:r>
          </w:p>
        </w:tc>
      </w:tr>
      <w:tr w:rsidR="00A71F9C" w:rsidTr="001A6C98">
        <w:trPr>
          <w:trHeight w:val="389"/>
          <w:jc w:val="center"/>
        </w:trPr>
        <w:tc>
          <w:tcPr>
            <w:tcW w:w="2093" w:type="dxa"/>
            <w:vMerge/>
            <w:vAlign w:val="center"/>
          </w:tcPr>
          <w:p w:rsidR="00A71F9C" w:rsidRDefault="00A71F9C" w:rsidP="00A71F9C">
            <w:pPr>
              <w:spacing w:before="60" w:after="60" w:line="240" w:lineRule="auto"/>
              <w:rPr>
                <w:lang w:val="en-US"/>
              </w:rPr>
            </w:pPr>
          </w:p>
        </w:tc>
        <w:tc>
          <w:tcPr>
            <w:tcW w:w="2301" w:type="dxa"/>
            <w:vMerge/>
            <w:vAlign w:val="center"/>
          </w:tcPr>
          <w:p w:rsidR="00A71F9C" w:rsidRDefault="00A71F9C" w:rsidP="00A71F9C">
            <w:pPr>
              <w:spacing w:before="60" w:after="60" w:line="240" w:lineRule="auto"/>
              <w:jc w:val="center"/>
              <w:rPr>
                <w:lang w:val="en-US"/>
              </w:rPr>
            </w:pPr>
          </w:p>
        </w:tc>
        <w:tc>
          <w:tcPr>
            <w:tcW w:w="2302" w:type="dxa"/>
            <w:vMerge/>
            <w:vAlign w:val="center"/>
          </w:tcPr>
          <w:p w:rsidR="00A71F9C" w:rsidRDefault="00A71F9C" w:rsidP="00A71F9C">
            <w:pPr>
              <w:spacing w:before="60" w:after="60" w:line="240" w:lineRule="auto"/>
              <w:jc w:val="center"/>
              <w:rPr>
                <w:lang w:val="en-US"/>
              </w:rPr>
            </w:pPr>
          </w:p>
        </w:tc>
        <w:tc>
          <w:tcPr>
            <w:tcW w:w="2302" w:type="dxa"/>
            <w:vMerge/>
            <w:vAlign w:val="center"/>
          </w:tcPr>
          <w:p w:rsidR="00A71F9C" w:rsidRDefault="00A71F9C" w:rsidP="00A71F9C">
            <w:pPr>
              <w:spacing w:before="60" w:after="60" w:line="240" w:lineRule="auto"/>
              <w:jc w:val="center"/>
              <w:rPr>
                <w:lang w:val="en-US"/>
              </w:rPr>
            </w:pPr>
          </w:p>
        </w:tc>
      </w:tr>
      <w:tr w:rsidR="00A71F9C" w:rsidTr="001A6C98">
        <w:trPr>
          <w:trHeight w:val="389"/>
          <w:jc w:val="center"/>
        </w:trPr>
        <w:tc>
          <w:tcPr>
            <w:tcW w:w="2093" w:type="dxa"/>
            <w:vAlign w:val="center"/>
          </w:tcPr>
          <w:p w:rsidR="00A71F9C" w:rsidRDefault="00A71F9C" w:rsidP="00A71F9C">
            <w:pPr>
              <w:spacing w:before="60" w:after="60" w:line="240" w:lineRule="auto"/>
              <w:rPr>
                <w:lang w:val="en-US"/>
              </w:rPr>
            </w:pPr>
            <w:r>
              <w:rPr>
                <w:lang w:val="en-US"/>
              </w:rPr>
              <w:t>Medical/injuries</w:t>
            </w:r>
          </w:p>
        </w:tc>
        <w:tc>
          <w:tcPr>
            <w:tcW w:w="2301" w:type="dxa"/>
            <w:vAlign w:val="center"/>
          </w:tcPr>
          <w:p w:rsidR="00A71F9C" w:rsidRDefault="00A71F9C" w:rsidP="00A71F9C">
            <w:pPr>
              <w:spacing w:before="60" w:after="60" w:line="240" w:lineRule="auto"/>
              <w:jc w:val="center"/>
              <w:rPr>
                <w:lang w:val="en-US"/>
              </w:rPr>
            </w:pPr>
            <w:r>
              <w:rPr>
                <w:lang w:val="en-US"/>
              </w:rPr>
              <w:t>3.5 %</w:t>
            </w:r>
          </w:p>
        </w:tc>
        <w:tc>
          <w:tcPr>
            <w:tcW w:w="2302" w:type="dxa"/>
            <w:vAlign w:val="center"/>
          </w:tcPr>
          <w:p w:rsidR="00A71F9C" w:rsidRDefault="00A71F9C" w:rsidP="00A71F9C">
            <w:pPr>
              <w:spacing w:before="60" w:after="60" w:line="240" w:lineRule="auto"/>
              <w:jc w:val="center"/>
              <w:rPr>
                <w:lang w:val="en-US"/>
              </w:rPr>
            </w:pPr>
            <w:r>
              <w:rPr>
                <w:lang w:val="en-US"/>
              </w:rPr>
              <w:t>25 %</w:t>
            </w:r>
          </w:p>
        </w:tc>
        <w:tc>
          <w:tcPr>
            <w:tcW w:w="2302" w:type="dxa"/>
            <w:vAlign w:val="center"/>
          </w:tcPr>
          <w:p w:rsidR="00A71F9C" w:rsidRDefault="00A71F9C" w:rsidP="00A71F9C">
            <w:pPr>
              <w:spacing w:before="60" w:after="60" w:line="240" w:lineRule="auto"/>
              <w:jc w:val="center"/>
              <w:rPr>
                <w:lang w:val="en-US"/>
              </w:rPr>
            </w:pPr>
            <w:r>
              <w:rPr>
                <w:lang w:val="en-US"/>
              </w:rPr>
              <w:t>30 %</w:t>
            </w:r>
          </w:p>
        </w:tc>
      </w:tr>
    </w:tbl>
    <w:p w:rsidR="005228DA" w:rsidRDefault="005228DA" w:rsidP="005228DA">
      <w:pPr>
        <w:pStyle w:val="Lgende"/>
        <w:jc w:val="center"/>
        <w:rPr>
          <w:rFonts w:ascii="Times New Roman" w:hAnsi="Times New Roman" w:cs="Times New Roman"/>
        </w:rPr>
      </w:pPr>
      <w:r>
        <w:t xml:space="preserve">Tableau </w:t>
      </w:r>
      <w:fldSimple w:instr=" SEQ Tableau \* ARABIC ">
        <w:r>
          <w:rPr>
            <w:noProof/>
          </w:rPr>
          <w:t>2</w:t>
        </w:r>
      </w:fldSimple>
      <w:r>
        <w:t>: CAT WS calibration</w:t>
      </w:r>
    </w:p>
    <w:p w:rsidR="001A6C98" w:rsidRDefault="00A71F9C" w:rsidP="006C15A7">
      <w:pPr>
        <w:jc w:val="both"/>
        <w:rPr>
          <w:rFonts w:ascii="Times New Roman" w:hAnsi="Times New Roman" w:cs="Times New Roman"/>
        </w:rPr>
      </w:pPr>
      <w:r>
        <w:rPr>
          <w:rFonts w:ascii="Times New Roman" w:hAnsi="Times New Roman" w:cs="Times New Roman"/>
        </w:rPr>
        <w:t xml:space="preserve">In a second step, the CAT WS has tested the impact of this new proposal. </w:t>
      </w:r>
    </w:p>
    <w:p w:rsidR="006C15A7" w:rsidRDefault="001A6C98" w:rsidP="006C15A7">
      <w:pPr>
        <w:jc w:val="both"/>
        <w:rPr>
          <w:rFonts w:ascii="Times New Roman" w:hAnsi="Times New Roman" w:cs="Times New Roman"/>
        </w:rPr>
      </w:pPr>
      <w:r>
        <w:rPr>
          <w:rFonts w:ascii="Times New Roman" w:hAnsi="Times New Roman" w:cs="Times New Roman"/>
        </w:rPr>
        <w:t>Only 2 hypotheses have an incidence on the cost of the disability scenarios:</w:t>
      </w:r>
    </w:p>
    <w:p w:rsidR="001A6C98" w:rsidRDefault="001A6C98" w:rsidP="001A6C98">
      <w:pPr>
        <w:pStyle w:val="Paragraphedeliste"/>
        <w:numPr>
          <w:ilvl w:val="0"/>
          <w:numId w:val="2"/>
        </w:numPr>
        <w:jc w:val="both"/>
        <w:rPr>
          <w:rFonts w:ascii="Times New Roman" w:hAnsi="Times New Roman" w:cs="Times New Roman"/>
        </w:rPr>
      </w:pPr>
      <w:r>
        <w:rPr>
          <w:rFonts w:ascii="Times New Roman" w:hAnsi="Times New Roman" w:cs="Times New Roman"/>
        </w:rPr>
        <w:t xml:space="preserve">the difference between retirement age and the mean age of </w:t>
      </w:r>
      <w:proofErr w:type="spellStart"/>
      <w:r>
        <w:rPr>
          <w:rFonts w:ascii="Times New Roman" w:hAnsi="Times New Roman" w:cs="Times New Roman"/>
        </w:rPr>
        <w:t>insurees</w:t>
      </w:r>
      <w:proofErr w:type="spellEnd"/>
      <w:r>
        <w:rPr>
          <w:rFonts w:ascii="Times New Roman" w:hAnsi="Times New Roman" w:cs="Times New Roman"/>
        </w:rPr>
        <w:t>;</w:t>
      </w:r>
    </w:p>
    <w:p w:rsidR="001A6C98" w:rsidRDefault="001A6C98" w:rsidP="001A6C98">
      <w:pPr>
        <w:pStyle w:val="Paragraphedeliste"/>
        <w:numPr>
          <w:ilvl w:val="0"/>
          <w:numId w:val="2"/>
        </w:numPr>
        <w:jc w:val="both"/>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mean annual cost of total disability.</w:t>
      </w:r>
    </w:p>
    <w:p w:rsidR="00EF605A" w:rsidRDefault="001A6C98" w:rsidP="001A6C98">
      <w:pPr>
        <w:jc w:val="both"/>
        <w:rPr>
          <w:rFonts w:ascii="Times New Roman" w:hAnsi="Times New Roman" w:cs="Times New Roman"/>
        </w:rPr>
      </w:pPr>
      <w:r>
        <w:rPr>
          <w:rFonts w:ascii="Times New Roman" w:hAnsi="Times New Roman" w:cs="Times New Roman"/>
        </w:rPr>
        <w:t>The following table summarize</w:t>
      </w:r>
      <w:r w:rsidR="00EF605A">
        <w:rPr>
          <w:rFonts w:ascii="Times New Roman" w:hAnsi="Times New Roman" w:cs="Times New Roman"/>
        </w:rPr>
        <w:t>s</w:t>
      </w:r>
      <w:r>
        <w:rPr>
          <w:rFonts w:ascii="Times New Roman" w:hAnsi="Times New Roman" w:cs="Times New Roman"/>
        </w:rPr>
        <w:t xml:space="preserve"> the impact of the new CAT WS proposal</w:t>
      </w:r>
      <w:r w:rsidR="005228DA">
        <w:rPr>
          <w:rFonts w:ascii="Times New Roman" w:hAnsi="Times New Roman" w:cs="Times New Roman"/>
        </w:rPr>
        <w:t xml:space="preserve"> on the mass-accident risk sub-module and on the concentration </w:t>
      </w:r>
      <w:proofErr w:type="gramStart"/>
      <w:r w:rsidR="005228DA">
        <w:rPr>
          <w:rFonts w:ascii="Times New Roman" w:hAnsi="Times New Roman" w:cs="Times New Roman"/>
        </w:rPr>
        <w:t xml:space="preserve">risk </w:t>
      </w:r>
      <w:r>
        <w:rPr>
          <w:rFonts w:ascii="Times New Roman" w:hAnsi="Times New Roman" w:cs="Times New Roman"/>
        </w:rPr>
        <w:t xml:space="preserve"> </w:t>
      </w:r>
      <w:r w:rsidR="005228DA">
        <w:rPr>
          <w:rFonts w:ascii="Times New Roman" w:hAnsi="Times New Roman" w:cs="Times New Roman"/>
        </w:rPr>
        <w:t>sub</w:t>
      </w:r>
      <w:proofErr w:type="gramEnd"/>
      <w:r w:rsidR="005228DA">
        <w:rPr>
          <w:rFonts w:ascii="Times New Roman" w:hAnsi="Times New Roman" w:cs="Times New Roman"/>
        </w:rPr>
        <w:t xml:space="preserve">-module, </w:t>
      </w:r>
      <w:r>
        <w:rPr>
          <w:rFonts w:ascii="Times New Roman" w:hAnsi="Times New Roman" w:cs="Times New Roman"/>
        </w:rPr>
        <w:t xml:space="preserve">in various configurations. </w:t>
      </w:r>
      <w:r w:rsidR="00EF605A">
        <w:rPr>
          <w:rFonts w:ascii="Times New Roman" w:hAnsi="Times New Roman" w:cs="Times New Roman"/>
        </w:rPr>
        <w:t>A positive impact means that the new CAT WS proposal is more conservative ([CAT</w:t>
      </w:r>
      <w:r w:rsidR="005228DA">
        <w:rPr>
          <w:rFonts w:ascii="Times New Roman" w:hAnsi="Times New Roman" w:cs="Times New Roman"/>
        </w:rPr>
        <w:t xml:space="preserve"> </w:t>
      </w:r>
      <w:r w:rsidR="00EF605A">
        <w:rPr>
          <w:rFonts w:ascii="Times New Roman" w:hAnsi="Times New Roman" w:cs="Times New Roman"/>
        </w:rPr>
        <w:t>WS – CTF] / CTF).</w:t>
      </w:r>
    </w:p>
    <w:p w:rsidR="001A6C98" w:rsidRDefault="001A6C98" w:rsidP="001A6C98">
      <w:pPr>
        <w:jc w:val="both"/>
        <w:rPr>
          <w:rFonts w:ascii="Times New Roman" w:hAnsi="Times New Roman" w:cs="Times New Roman"/>
        </w:rPr>
      </w:pPr>
      <w:r>
        <w:rPr>
          <w:rFonts w:ascii="Times New Roman" w:hAnsi="Times New Roman" w:cs="Times New Roman"/>
        </w:rPr>
        <w:lastRenderedPageBreak/>
        <w:t>It appears clearly that the new calibration in broadly in line with previous one, though more simple (4 scenarios instead of 5) and with no longer use of the unrealistic 10 year disability scenario.</w:t>
      </w:r>
    </w:p>
    <w:p w:rsidR="001A6C98" w:rsidRDefault="001A6C98" w:rsidP="001A6C98">
      <w:pPr>
        <w:jc w:val="both"/>
        <w:rPr>
          <w:rFonts w:ascii="Times New Roman" w:hAnsi="Times New Roman" w:cs="Times New Roman"/>
        </w:rPr>
      </w:pPr>
      <w:r>
        <w:rPr>
          <w:rFonts w:ascii="Times New Roman" w:hAnsi="Times New Roman" w:cs="Times New Roman"/>
        </w:rPr>
        <w:t>It also appears that generally speaking, the new CAT WS proposal is a bit more conservative than previous one</w:t>
      </w:r>
      <w:r w:rsidR="00EF605A">
        <w:rPr>
          <w:rFonts w:ascii="Times New Roman" w:hAnsi="Times New Roman" w:cs="Times New Roman"/>
        </w:rPr>
        <w:t xml:space="preserve"> only</w:t>
      </w:r>
      <w:r>
        <w:rPr>
          <w:rFonts w:ascii="Times New Roman" w:hAnsi="Times New Roman" w:cs="Times New Roman"/>
        </w:rPr>
        <w:t xml:space="preserve"> when permanent disability is expensive (young </w:t>
      </w:r>
      <w:proofErr w:type="spellStart"/>
      <w:r>
        <w:rPr>
          <w:rFonts w:ascii="Times New Roman" w:hAnsi="Times New Roman" w:cs="Times New Roman"/>
        </w:rPr>
        <w:t>insurees</w:t>
      </w:r>
      <w:proofErr w:type="spellEnd"/>
      <w:r>
        <w:rPr>
          <w:rFonts w:ascii="Times New Roman" w:hAnsi="Times New Roman" w:cs="Times New Roman"/>
        </w:rPr>
        <w:t>, high annual disability costs)</w:t>
      </w:r>
      <w:r w:rsidR="0097711E">
        <w:rPr>
          <w:rFonts w:ascii="Times New Roman" w:hAnsi="Times New Roman" w:cs="Times New Roman"/>
        </w:rPr>
        <w:t>.</w:t>
      </w:r>
    </w:p>
    <w:tbl>
      <w:tblPr>
        <w:tblStyle w:val="Grilledutableau"/>
        <w:tblW w:w="9464" w:type="dxa"/>
        <w:tblLook w:val="04A0"/>
      </w:tblPr>
      <w:tblGrid>
        <w:gridCol w:w="2467"/>
        <w:gridCol w:w="2372"/>
        <w:gridCol w:w="2312"/>
        <w:gridCol w:w="2313"/>
      </w:tblGrid>
      <w:tr w:rsidR="00EF605A" w:rsidTr="005228DA">
        <w:tc>
          <w:tcPr>
            <w:tcW w:w="2467" w:type="dxa"/>
            <w:vAlign w:val="center"/>
          </w:tcPr>
          <w:p w:rsidR="00EF605A" w:rsidRPr="0097711E" w:rsidRDefault="00EF605A" w:rsidP="0097711E">
            <w:pPr>
              <w:spacing w:before="60" w:after="60" w:line="240" w:lineRule="auto"/>
              <w:jc w:val="center"/>
              <w:rPr>
                <w:b/>
                <w:lang w:val="en-US"/>
              </w:rPr>
            </w:pPr>
            <w:r w:rsidRPr="0097711E">
              <w:rPr>
                <w:b/>
                <w:lang w:val="en-US"/>
              </w:rPr>
              <w:t>Mean age</w:t>
            </w:r>
          </w:p>
          <w:p w:rsidR="00EF605A" w:rsidRPr="0097711E" w:rsidRDefault="00EF605A" w:rsidP="0097711E">
            <w:pPr>
              <w:spacing w:before="60" w:after="60" w:line="240" w:lineRule="auto"/>
              <w:jc w:val="center"/>
              <w:rPr>
                <w:b/>
                <w:lang w:val="en-US"/>
              </w:rPr>
            </w:pPr>
            <w:r w:rsidRPr="0097711E">
              <w:rPr>
                <w:b/>
                <w:lang w:val="en-US"/>
              </w:rPr>
              <w:t>(Retirement = 62 years)</w:t>
            </w:r>
          </w:p>
        </w:tc>
        <w:tc>
          <w:tcPr>
            <w:tcW w:w="2372" w:type="dxa"/>
            <w:vAlign w:val="center"/>
          </w:tcPr>
          <w:p w:rsidR="00EF605A" w:rsidRPr="0097711E" w:rsidRDefault="00EF605A" w:rsidP="0097711E">
            <w:pPr>
              <w:spacing w:before="60" w:after="60" w:line="240" w:lineRule="auto"/>
              <w:jc w:val="center"/>
              <w:rPr>
                <w:b/>
                <w:lang w:val="en-US"/>
              </w:rPr>
            </w:pPr>
            <w:r w:rsidRPr="0097711E">
              <w:rPr>
                <w:b/>
                <w:lang w:val="en-US"/>
              </w:rPr>
              <w:t>Mean annual disability cost</w:t>
            </w:r>
          </w:p>
        </w:tc>
        <w:tc>
          <w:tcPr>
            <w:tcW w:w="2312" w:type="dxa"/>
            <w:vAlign w:val="center"/>
          </w:tcPr>
          <w:p w:rsidR="00EF605A" w:rsidRDefault="00EF605A" w:rsidP="00EF605A">
            <w:pPr>
              <w:spacing w:before="60" w:after="60" w:line="240" w:lineRule="auto"/>
              <w:jc w:val="center"/>
              <w:rPr>
                <w:b/>
                <w:lang w:val="en-US"/>
              </w:rPr>
            </w:pPr>
            <w:r>
              <w:rPr>
                <w:b/>
                <w:lang w:val="en-US"/>
              </w:rPr>
              <w:t>Impact</w:t>
            </w:r>
          </w:p>
          <w:p w:rsidR="005228DA" w:rsidRPr="0097711E" w:rsidRDefault="005228DA" w:rsidP="00EF605A">
            <w:pPr>
              <w:spacing w:before="60" w:after="60" w:line="240" w:lineRule="auto"/>
              <w:jc w:val="center"/>
              <w:rPr>
                <w:b/>
                <w:lang w:val="en-US"/>
              </w:rPr>
            </w:pPr>
            <w:r>
              <w:rPr>
                <w:b/>
                <w:lang w:val="en-US"/>
              </w:rPr>
              <w:t>(with death = 100k€)</w:t>
            </w:r>
          </w:p>
        </w:tc>
        <w:tc>
          <w:tcPr>
            <w:tcW w:w="2313" w:type="dxa"/>
          </w:tcPr>
          <w:p w:rsidR="00EF605A" w:rsidRDefault="005228DA" w:rsidP="0097711E">
            <w:pPr>
              <w:spacing w:before="60" w:after="60" w:line="240" w:lineRule="auto"/>
              <w:jc w:val="center"/>
              <w:rPr>
                <w:b/>
                <w:lang w:val="en-US"/>
              </w:rPr>
            </w:pPr>
            <w:r>
              <w:rPr>
                <w:b/>
                <w:lang w:val="en-US"/>
              </w:rPr>
              <w:t>Impact</w:t>
            </w:r>
          </w:p>
          <w:p w:rsidR="005228DA" w:rsidRPr="0097711E" w:rsidRDefault="005228DA" w:rsidP="0097711E">
            <w:pPr>
              <w:spacing w:before="60" w:after="60" w:line="240" w:lineRule="auto"/>
              <w:jc w:val="center"/>
              <w:rPr>
                <w:b/>
                <w:lang w:val="en-US"/>
              </w:rPr>
            </w:pPr>
            <w:r>
              <w:rPr>
                <w:b/>
                <w:lang w:val="en-US"/>
              </w:rPr>
              <w:t>(with death = 150 k€)</w:t>
            </w:r>
          </w:p>
        </w:tc>
      </w:tr>
      <w:tr w:rsidR="00EF605A" w:rsidTr="005228DA">
        <w:tc>
          <w:tcPr>
            <w:tcW w:w="2467" w:type="dxa"/>
            <w:vAlign w:val="center"/>
          </w:tcPr>
          <w:p w:rsidR="00EF605A" w:rsidRPr="0097711E" w:rsidRDefault="00EF605A" w:rsidP="0097711E">
            <w:pPr>
              <w:spacing w:before="60" w:after="60" w:line="240" w:lineRule="auto"/>
              <w:jc w:val="center"/>
              <w:rPr>
                <w:lang w:val="en-US"/>
              </w:rPr>
            </w:pPr>
            <w:r>
              <w:rPr>
                <w:lang w:val="en-US"/>
              </w:rPr>
              <w:t>35</w:t>
            </w:r>
          </w:p>
        </w:tc>
        <w:tc>
          <w:tcPr>
            <w:tcW w:w="2372" w:type="dxa"/>
            <w:vAlign w:val="center"/>
          </w:tcPr>
          <w:p w:rsidR="00EF605A" w:rsidRPr="0097711E" w:rsidRDefault="00EF605A" w:rsidP="0097711E">
            <w:pPr>
              <w:spacing w:before="60" w:after="60" w:line="240" w:lineRule="auto"/>
              <w:jc w:val="center"/>
              <w:rPr>
                <w:lang w:val="en-US"/>
              </w:rPr>
            </w:pPr>
            <w:r>
              <w:rPr>
                <w:lang w:val="en-US"/>
              </w:rPr>
              <w:t>7 000</w:t>
            </w:r>
          </w:p>
        </w:tc>
        <w:tc>
          <w:tcPr>
            <w:tcW w:w="2312" w:type="dxa"/>
            <w:vAlign w:val="center"/>
          </w:tcPr>
          <w:p w:rsidR="00EF605A" w:rsidRPr="0097711E" w:rsidRDefault="00EF605A" w:rsidP="0097711E">
            <w:pPr>
              <w:spacing w:before="60" w:after="60" w:line="240" w:lineRule="auto"/>
              <w:jc w:val="center"/>
              <w:rPr>
                <w:lang w:val="en-US"/>
              </w:rPr>
            </w:pPr>
            <w:r>
              <w:rPr>
                <w:lang w:val="en-US"/>
              </w:rPr>
              <w:t>2.8 %</w:t>
            </w:r>
          </w:p>
        </w:tc>
        <w:tc>
          <w:tcPr>
            <w:tcW w:w="2313" w:type="dxa"/>
          </w:tcPr>
          <w:p w:rsidR="00EF605A" w:rsidRDefault="005228DA" w:rsidP="0097711E">
            <w:pPr>
              <w:spacing w:before="60" w:after="60" w:line="240" w:lineRule="auto"/>
              <w:jc w:val="center"/>
              <w:rPr>
                <w:lang w:val="en-US"/>
              </w:rPr>
            </w:pPr>
            <w:r>
              <w:rPr>
                <w:lang w:val="en-US"/>
              </w:rPr>
              <w:t>2.2 %</w:t>
            </w:r>
          </w:p>
        </w:tc>
      </w:tr>
      <w:tr w:rsidR="00EF605A" w:rsidTr="005228DA">
        <w:tc>
          <w:tcPr>
            <w:tcW w:w="2467" w:type="dxa"/>
            <w:vAlign w:val="center"/>
          </w:tcPr>
          <w:p w:rsidR="00EF605A" w:rsidRPr="0097711E" w:rsidRDefault="00EF605A" w:rsidP="0097711E">
            <w:pPr>
              <w:spacing w:before="60" w:after="60" w:line="240" w:lineRule="auto"/>
              <w:jc w:val="center"/>
              <w:rPr>
                <w:lang w:val="en-US"/>
              </w:rPr>
            </w:pPr>
            <w:r>
              <w:rPr>
                <w:lang w:val="en-US"/>
              </w:rPr>
              <w:t>35</w:t>
            </w:r>
          </w:p>
        </w:tc>
        <w:tc>
          <w:tcPr>
            <w:tcW w:w="2372" w:type="dxa"/>
            <w:vAlign w:val="center"/>
          </w:tcPr>
          <w:p w:rsidR="00EF605A" w:rsidRPr="0097711E" w:rsidRDefault="00EF605A" w:rsidP="0097711E">
            <w:pPr>
              <w:spacing w:before="60" w:after="60" w:line="240" w:lineRule="auto"/>
              <w:jc w:val="center"/>
              <w:rPr>
                <w:lang w:val="en-US"/>
              </w:rPr>
            </w:pPr>
            <w:r>
              <w:rPr>
                <w:lang w:val="en-US"/>
              </w:rPr>
              <w:t>10 000</w:t>
            </w:r>
          </w:p>
        </w:tc>
        <w:tc>
          <w:tcPr>
            <w:tcW w:w="2312" w:type="dxa"/>
            <w:vAlign w:val="center"/>
          </w:tcPr>
          <w:p w:rsidR="00EF605A" w:rsidRPr="0097711E" w:rsidRDefault="00EF605A" w:rsidP="0097711E">
            <w:pPr>
              <w:spacing w:before="60" w:after="60" w:line="240" w:lineRule="auto"/>
              <w:jc w:val="center"/>
              <w:rPr>
                <w:lang w:val="en-US"/>
              </w:rPr>
            </w:pPr>
            <w:r>
              <w:rPr>
                <w:lang w:val="en-US"/>
              </w:rPr>
              <w:t>3.4 %</w:t>
            </w:r>
          </w:p>
        </w:tc>
        <w:tc>
          <w:tcPr>
            <w:tcW w:w="2313" w:type="dxa"/>
          </w:tcPr>
          <w:p w:rsidR="00EF605A" w:rsidRDefault="005228DA" w:rsidP="0097711E">
            <w:pPr>
              <w:spacing w:before="60" w:after="60" w:line="240" w:lineRule="auto"/>
              <w:jc w:val="center"/>
              <w:rPr>
                <w:lang w:val="en-US"/>
              </w:rPr>
            </w:pPr>
            <w:r>
              <w:rPr>
                <w:lang w:val="en-US"/>
              </w:rPr>
              <w:t>2.7 %</w:t>
            </w:r>
          </w:p>
        </w:tc>
      </w:tr>
      <w:tr w:rsidR="00EF605A" w:rsidTr="005228DA">
        <w:tc>
          <w:tcPr>
            <w:tcW w:w="2467" w:type="dxa"/>
            <w:vAlign w:val="center"/>
          </w:tcPr>
          <w:p w:rsidR="00EF605A" w:rsidRPr="0097711E" w:rsidRDefault="00EF605A" w:rsidP="0097711E">
            <w:pPr>
              <w:spacing w:before="60" w:after="60" w:line="240" w:lineRule="auto"/>
              <w:jc w:val="center"/>
              <w:rPr>
                <w:lang w:val="en-US"/>
              </w:rPr>
            </w:pPr>
            <w:r>
              <w:rPr>
                <w:lang w:val="en-US"/>
              </w:rPr>
              <w:t>35</w:t>
            </w:r>
          </w:p>
        </w:tc>
        <w:tc>
          <w:tcPr>
            <w:tcW w:w="2372" w:type="dxa"/>
            <w:vAlign w:val="center"/>
          </w:tcPr>
          <w:p w:rsidR="00EF605A" w:rsidRPr="0097711E" w:rsidRDefault="00EF605A" w:rsidP="0097711E">
            <w:pPr>
              <w:spacing w:before="60" w:after="60" w:line="240" w:lineRule="auto"/>
              <w:jc w:val="center"/>
              <w:rPr>
                <w:lang w:val="en-US"/>
              </w:rPr>
            </w:pPr>
            <w:r>
              <w:rPr>
                <w:lang w:val="en-US"/>
              </w:rPr>
              <w:t>12 000</w:t>
            </w:r>
          </w:p>
        </w:tc>
        <w:tc>
          <w:tcPr>
            <w:tcW w:w="2312" w:type="dxa"/>
            <w:vAlign w:val="center"/>
          </w:tcPr>
          <w:p w:rsidR="00EF605A" w:rsidRPr="0097711E" w:rsidRDefault="00EF605A" w:rsidP="0097711E">
            <w:pPr>
              <w:spacing w:before="60" w:after="60" w:line="240" w:lineRule="auto"/>
              <w:jc w:val="center"/>
              <w:rPr>
                <w:lang w:val="en-US"/>
              </w:rPr>
            </w:pPr>
            <w:r>
              <w:rPr>
                <w:lang w:val="en-US"/>
              </w:rPr>
              <w:t>3.7 %</w:t>
            </w:r>
          </w:p>
        </w:tc>
        <w:tc>
          <w:tcPr>
            <w:tcW w:w="2313" w:type="dxa"/>
          </w:tcPr>
          <w:p w:rsidR="00EF605A" w:rsidRDefault="005228DA" w:rsidP="0097711E">
            <w:pPr>
              <w:spacing w:before="60" w:after="60" w:line="240" w:lineRule="auto"/>
              <w:jc w:val="center"/>
              <w:rPr>
                <w:lang w:val="en-US"/>
              </w:rPr>
            </w:pPr>
            <w:r>
              <w:rPr>
                <w:lang w:val="en-US"/>
              </w:rPr>
              <w:t>3.0 %</w:t>
            </w:r>
          </w:p>
        </w:tc>
      </w:tr>
      <w:tr w:rsidR="00EF605A" w:rsidTr="005228DA">
        <w:tc>
          <w:tcPr>
            <w:tcW w:w="2467" w:type="dxa"/>
            <w:vAlign w:val="center"/>
          </w:tcPr>
          <w:p w:rsidR="00EF605A" w:rsidRPr="0097711E" w:rsidRDefault="00EF605A" w:rsidP="0097711E">
            <w:pPr>
              <w:spacing w:before="60" w:after="60" w:line="240" w:lineRule="auto"/>
              <w:jc w:val="center"/>
              <w:rPr>
                <w:lang w:val="en-US"/>
              </w:rPr>
            </w:pPr>
            <w:r>
              <w:rPr>
                <w:lang w:val="en-US"/>
              </w:rPr>
              <w:t>40</w:t>
            </w:r>
          </w:p>
        </w:tc>
        <w:tc>
          <w:tcPr>
            <w:tcW w:w="2372" w:type="dxa"/>
            <w:vAlign w:val="center"/>
          </w:tcPr>
          <w:p w:rsidR="00EF605A" w:rsidRPr="0097711E" w:rsidRDefault="00EF605A" w:rsidP="000A57CE">
            <w:pPr>
              <w:spacing w:before="60" w:after="60" w:line="240" w:lineRule="auto"/>
              <w:jc w:val="center"/>
              <w:rPr>
                <w:lang w:val="en-US"/>
              </w:rPr>
            </w:pPr>
            <w:r>
              <w:rPr>
                <w:lang w:val="en-US"/>
              </w:rPr>
              <w:t>7 000</w:t>
            </w:r>
          </w:p>
        </w:tc>
        <w:tc>
          <w:tcPr>
            <w:tcW w:w="2312" w:type="dxa"/>
            <w:vAlign w:val="center"/>
          </w:tcPr>
          <w:p w:rsidR="00EF605A" w:rsidRPr="0097711E" w:rsidRDefault="00EF605A" w:rsidP="0097711E">
            <w:pPr>
              <w:spacing w:before="60" w:after="60" w:line="240" w:lineRule="auto"/>
              <w:jc w:val="center"/>
              <w:rPr>
                <w:lang w:val="en-US"/>
              </w:rPr>
            </w:pPr>
            <w:r>
              <w:rPr>
                <w:lang w:val="en-US"/>
              </w:rPr>
              <w:t>-1.2 %</w:t>
            </w:r>
          </w:p>
        </w:tc>
        <w:tc>
          <w:tcPr>
            <w:tcW w:w="2313" w:type="dxa"/>
          </w:tcPr>
          <w:p w:rsidR="00EF605A" w:rsidRDefault="005228DA" w:rsidP="0097711E">
            <w:pPr>
              <w:spacing w:before="60" w:after="60" w:line="240" w:lineRule="auto"/>
              <w:jc w:val="center"/>
              <w:rPr>
                <w:lang w:val="en-US"/>
              </w:rPr>
            </w:pPr>
            <w:r>
              <w:rPr>
                <w:lang w:val="en-US"/>
              </w:rPr>
              <w:t>-1.0 %</w:t>
            </w:r>
          </w:p>
        </w:tc>
      </w:tr>
      <w:tr w:rsidR="00EF605A" w:rsidTr="005228DA">
        <w:tc>
          <w:tcPr>
            <w:tcW w:w="2467" w:type="dxa"/>
            <w:vAlign w:val="center"/>
          </w:tcPr>
          <w:p w:rsidR="00EF605A" w:rsidRPr="0097711E" w:rsidRDefault="00EF605A" w:rsidP="0097711E">
            <w:pPr>
              <w:spacing w:before="60" w:after="60" w:line="240" w:lineRule="auto"/>
              <w:jc w:val="center"/>
              <w:rPr>
                <w:lang w:val="en-US"/>
              </w:rPr>
            </w:pPr>
            <w:r>
              <w:rPr>
                <w:lang w:val="en-US"/>
              </w:rPr>
              <w:t>40</w:t>
            </w:r>
          </w:p>
        </w:tc>
        <w:tc>
          <w:tcPr>
            <w:tcW w:w="2372" w:type="dxa"/>
            <w:vAlign w:val="center"/>
          </w:tcPr>
          <w:p w:rsidR="00EF605A" w:rsidRPr="0097711E" w:rsidRDefault="00EF605A" w:rsidP="000A57CE">
            <w:pPr>
              <w:spacing w:before="60" w:after="60" w:line="240" w:lineRule="auto"/>
              <w:jc w:val="center"/>
              <w:rPr>
                <w:lang w:val="en-US"/>
              </w:rPr>
            </w:pPr>
            <w:r>
              <w:rPr>
                <w:lang w:val="en-US"/>
              </w:rPr>
              <w:t>10 000</w:t>
            </w:r>
          </w:p>
        </w:tc>
        <w:tc>
          <w:tcPr>
            <w:tcW w:w="2312" w:type="dxa"/>
            <w:vAlign w:val="center"/>
          </w:tcPr>
          <w:p w:rsidR="00EF605A" w:rsidRPr="0097711E" w:rsidRDefault="00EF605A" w:rsidP="0097711E">
            <w:pPr>
              <w:spacing w:before="60" w:after="60" w:line="240" w:lineRule="auto"/>
              <w:jc w:val="center"/>
              <w:rPr>
                <w:lang w:val="en-US"/>
              </w:rPr>
            </w:pPr>
            <w:r>
              <w:rPr>
                <w:lang w:val="en-US"/>
              </w:rPr>
              <w:t>-1.5 %</w:t>
            </w:r>
          </w:p>
        </w:tc>
        <w:tc>
          <w:tcPr>
            <w:tcW w:w="2313" w:type="dxa"/>
          </w:tcPr>
          <w:p w:rsidR="00EF605A" w:rsidRDefault="005228DA" w:rsidP="0097711E">
            <w:pPr>
              <w:spacing w:before="60" w:after="60" w:line="240" w:lineRule="auto"/>
              <w:jc w:val="center"/>
              <w:rPr>
                <w:lang w:val="en-US"/>
              </w:rPr>
            </w:pPr>
            <w:r>
              <w:rPr>
                <w:lang w:val="en-US"/>
              </w:rPr>
              <w:t>-1.2 %</w:t>
            </w:r>
          </w:p>
        </w:tc>
      </w:tr>
      <w:tr w:rsidR="00EF605A" w:rsidTr="005228DA">
        <w:tc>
          <w:tcPr>
            <w:tcW w:w="2467" w:type="dxa"/>
            <w:vAlign w:val="center"/>
          </w:tcPr>
          <w:p w:rsidR="00EF605A" w:rsidRPr="0097711E" w:rsidRDefault="00EF605A" w:rsidP="0097711E">
            <w:pPr>
              <w:spacing w:before="60" w:after="60" w:line="240" w:lineRule="auto"/>
              <w:jc w:val="center"/>
              <w:rPr>
                <w:lang w:val="en-US"/>
              </w:rPr>
            </w:pPr>
            <w:r>
              <w:rPr>
                <w:lang w:val="en-US"/>
              </w:rPr>
              <w:t>40</w:t>
            </w:r>
          </w:p>
        </w:tc>
        <w:tc>
          <w:tcPr>
            <w:tcW w:w="2372" w:type="dxa"/>
            <w:vAlign w:val="center"/>
          </w:tcPr>
          <w:p w:rsidR="00EF605A" w:rsidRPr="0097711E" w:rsidRDefault="00EF605A" w:rsidP="000A57CE">
            <w:pPr>
              <w:spacing w:before="60" w:after="60" w:line="240" w:lineRule="auto"/>
              <w:jc w:val="center"/>
              <w:rPr>
                <w:lang w:val="en-US"/>
              </w:rPr>
            </w:pPr>
            <w:r>
              <w:rPr>
                <w:lang w:val="en-US"/>
              </w:rPr>
              <w:t>12 000</w:t>
            </w:r>
          </w:p>
        </w:tc>
        <w:tc>
          <w:tcPr>
            <w:tcW w:w="2312" w:type="dxa"/>
            <w:vAlign w:val="center"/>
          </w:tcPr>
          <w:p w:rsidR="00EF605A" w:rsidRPr="0097711E" w:rsidRDefault="00EF605A" w:rsidP="0097711E">
            <w:pPr>
              <w:spacing w:before="60" w:after="60" w:line="240" w:lineRule="auto"/>
              <w:jc w:val="center"/>
              <w:rPr>
                <w:lang w:val="en-US"/>
              </w:rPr>
            </w:pPr>
            <w:r>
              <w:rPr>
                <w:lang w:val="en-US"/>
              </w:rPr>
              <w:t>-1.6 %</w:t>
            </w:r>
          </w:p>
        </w:tc>
        <w:tc>
          <w:tcPr>
            <w:tcW w:w="2313" w:type="dxa"/>
          </w:tcPr>
          <w:p w:rsidR="00EF605A" w:rsidRDefault="005228DA" w:rsidP="0097711E">
            <w:pPr>
              <w:spacing w:before="60" w:after="60" w:line="240" w:lineRule="auto"/>
              <w:jc w:val="center"/>
              <w:rPr>
                <w:lang w:val="en-US"/>
              </w:rPr>
            </w:pPr>
            <w:r>
              <w:rPr>
                <w:lang w:val="en-US"/>
              </w:rPr>
              <w:t>-1.3 %</w:t>
            </w:r>
          </w:p>
        </w:tc>
      </w:tr>
      <w:tr w:rsidR="00EF605A" w:rsidTr="005228DA">
        <w:tc>
          <w:tcPr>
            <w:tcW w:w="2467" w:type="dxa"/>
            <w:vAlign w:val="center"/>
          </w:tcPr>
          <w:p w:rsidR="00EF605A" w:rsidRPr="0097711E" w:rsidRDefault="00EF605A" w:rsidP="0097711E">
            <w:pPr>
              <w:spacing w:before="60" w:after="60" w:line="240" w:lineRule="auto"/>
              <w:jc w:val="center"/>
              <w:rPr>
                <w:lang w:val="en-US"/>
              </w:rPr>
            </w:pPr>
            <w:r>
              <w:rPr>
                <w:lang w:val="en-US"/>
              </w:rPr>
              <w:t>45</w:t>
            </w:r>
          </w:p>
        </w:tc>
        <w:tc>
          <w:tcPr>
            <w:tcW w:w="2372" w:type="dxa"/>
            <w:vAlign w:val="center"/>
          </w:tcPr>
          <w:p w:rsidR="00EF605A" w:rsidRPr="0097711E" w:rsidRDefault="00EF605A" w:rsidP="000A57CE">
            <w:pPr>
              <w:spacing w:before="60" w:after="60" w:line="240" w:lineRule="auto"/>
              <w:jc w:val="center"/>
              <w:rPr>
                <w:lang w:val="en-US"/>
              </w:rPr>
            </w:pPr>
            <w:r>
              <w:rPr>
                <w:lang w:val="en-US"/>
              </w:rPr>
              <w:t>7 000</w:t>
            </w:r>
          </w:p>
        </w:tc>
        <w:tc>
          <w:tcPr>
            <w:tcW w:w="2312" w:type="dxa"/>
            <w:vAlign w:val="center"/>
          </w:tcPr>
          <w:p w:rsidR="00EF605A" w:rsidRPr="0097711E" w:rsidRDefault="00EF605A" w:rsidP="0097711E">
            <w:pPr>
              <w:spacing w:before="60" w:after="60" w:line="240" w:lineRule="auto"/>
              <w:jc w:val="center"/>
              <w:rPr>
                <w:lang w:val="en-US"/>
              </w:rPr>
            </w:pPr>
            <w:r>
              <w:rPr>
                <w:lang w:val="en-US"/>
              </w:rPr>
              <w:t>-5.5 %</w:t>
            </w:r>
          </w:p>
        </w:tc>
        <w:tc>
          <w:tcPr>
            <w:tcW w:w="2313" w:type="dxa"/>
          </w:tcPr>
          <w:p w:rsidR="00EF605A" w:rsidRDefault="005228DA" w:rsidP="0097711E">
            <w:pPr>
              <w:spacing w:before="60" w:after="60" w:line="240" w:lineRule="auto"/>
              <w:jc w:val="center"/>
              <w:rPr>
                <w:lang w:val="en-US"/>
              </w:rPr>
            </w:pPr>
            <w:r>
              <w:rPr>
                <w:lang w:val="en-US"/>
              </w:rPr>
              <w:t>-4.2 %</w:t>
            </w:r>
          </w:p>
        </w:tc>
      </w:tr>
      <w:tr w:rsidR="00EF605A" w:rsidTr="005228DA">
        <w:tc>
          <w:tcPr>
            <w:tcW w:w="2467" w:type="dxa"/>
            <w:vAlign w:val="center"/>
          </w:tcPr>
          <w:p w:rsidR="00EF605A" w:rsidRPr="0097711E" w:rsidRDefault="00EF605A" w:rsidP="0097711E">
            <w:pPr>
              <w:spacing w:before="60" w:after="60" w:line="240" w:lineRule="auto"/>
              <w:jc w:val="center"/>
              <w:rPr>
                <w:lang w:val="en-US"/>
              </w:rPr>
            </w:pPr>
            <w:r>
              <w:rPr>
                <w:lang w:val="en-US"/>
              </w:rPr>
              <w:t>45</w:t>
            </w:r>
          </w:p>
        </w:tc>
        <w:tc>
          <w:tcPr>
            <w:tcW w:w="2372" w:type="dxa"/>
            <w:vAlign w:val="center"/>
          </w:tcPr>
          <w:p w:rsidR="00EF605A" w:rsidRPr="0097711E" w:rsidRDefault="00EF605A" w:rsidP="000A57CE">
            <w:pPr>
              <w:spacing w:before="60" w:after="60" w:line="240" w:lineRule="auto"/>
              <w:jc w:val="center"/>
              <w:rPr>
                <w:lang w:val="en-US"/>
              </w:rPr>
            </w:pPr>
            <w:r>
              <w:rPr>
                <w:lang w:val="en-US"/>
              </w:rPr>
              <w:t>10 000</w:t>
            </w:r>
          </w:p>
        </w:tc>
        <w:tc>
          <w:tcPr>
            <w:tcW w:w="2312" w:type="dxa"/>
            <w:vAlign w:val="center"/>
          </w:tcPr>
          <w:p w:rsidR="00EF605A" w:rsidRPr="0097711E" w:rsidRDefault="00EF605A" w:rsidP="0097711E">
            <w:pPr>
              <w:spacing w:before="60" w:after="60" w:line="240" w:lineRule="auto"/>
              <w:jc w:val="center"/>
              <w:rPr>
                <w:lang w:val="en-US"/>
              </w:rPr>
            </w:pPr>
            <w:r>
              <w:rPr>
                <w:lang w:val="en-US"/>
              </w:rPr>
              <w:t>-6.8 %</w:t>
            </w:r>
          </w:p>
        </w:tc>
        <w:tc>
          <w:tcPr>
            <w:tcW w:w="2313" w:type="dxa"/>
          </w:tcPr>
          <w:p w:rsidR="00EF605A" w:rsidRDefault="005228DA" w:rsidP="0097711E">
            <w:pPr>
              <w:spacing w:before="60" w:after="60" w:line="240" w:lineRule="auto"/>
              <w:jc w:val="center"/>
              <w:rPr>
                <w:lang w:val="en-US"/>
              </w:rPr>
            </w:pPr>
            <w:r>
              <w:rPr>
                <w:lang w:val="en-US"/>
              </w:rPr>
              <w:t>-5.4 %</w:t>
            </w:r>
          </w:p>
        </w:tc>
      </w:tr>
      <w:tr w:rsidR="00EF605A" w:rsidTr="005228DA">
        <w:tc>
          <w:tcPr>
            <w:tcW w:w="2467" w:type="dxa"/>
            <w:vAlign w:val="center"/>
          </w:tcPr>
          <w:p w:rsidR="00EF605A" w:rsidRPr="0097711E" w:rsidRDefault="00EF605A" w:rsidP="0097711E">
            <w:pPr>
              <w:spacing w:before="60" w:after="60" w:line="240" w:lineRule="auto"/>
              <w:jc w:val="center"/>
              <w:rPr>
                <w:lang w:val="en-US"/>
              </w:rPr>
            </w:pPr>
            <w:r>
              <w:rPr>
                <w:lang w:val="en-US"/>
              </w:rPr>
              <w:t>45</w:t>
            </w:r>
          </w:p>
        </w:tc>
        <w:tc>
          <w:tcPr>
            <w:tcW w:w="2372" w:type="dxa"/>
            <w:vAlign w:val="center"/>
          </w:tcPr>
          <w:p w:rsidR="00EF605A" w:rsidRPr="0097711E" w:rsidRDefault="00EF605A" w:rsidP="000A57CE">
            <w:pPr>
              <w:spacing w:before="60" w:after="60" w:line="240" w:lineRule="auto"/>
              <w:jc w:val="center"/>
              <w:rPr>
                <w:lang w:val="en-US"/>
              </w:rPr>
            </w:pPr>
            <w:r>
              <w:rPr>
                <w:lang w:val="en-US"/>
              </w:rPr>
              <w:t>12 000</w:t>
            </w:r>
          </w:p>
        </w:tc>
        <w:tc>
          <w:tcPr>
            <w:tcW w:w="2312" w:type="dxa"/>
            <w:vAlign w:val="center"/>
          </w:tcPr>
          <w:p w:rsidR="00EF605A" w:rsidRPr="0097711E" w:rsidRDefault="00EF605A" w:rsidP="0097711E">
            <w:pPr>
              <w:spacing w:before="60" w:after="60" w:line="240" w:lineRule="auto"/>
              <w:jc w:val="center"/>
              <w:rPr>
                <w:lang w:val="en-US"/>
              </w:rPr>
            </w:pPr>
            <w:r>
              <w:rPr>
                <w:lang w:val="en-US"/>
              </w:rPr>
              <w:t>-7.4 %</w:t>
            </w:r>
          </w:p>
        </w:tc>
        <w:tc>
          <w:tcPr>
            <w:tcW w:w="2313" w:type="dxa"/>
          </w:tcPr>
          <w:p w:rsidR="00EF605A" w:rsidRDefault="005228DA" w:rsidP="0097711E">
            <w:pPr>
              <w:spacing w:before="60" w:after="60" w:line="240" w:lineRule="auto"/>
              <w:jc w:val="center"/>
              <w:rPr>
                <w:lang w:val="en-US"/>
              </w:rPr>
            </w:pPr>
            <w:r>
              <w:rPr>
                <w:lang w:val="en-US"/>
              </w:rPr>
              <w:t>-6.0 %</w:t>
            </w:r>
          </w:p>
        </w:tc>
      </w:tr>
    </w:tbl>
    <w:p w:rsidR="005228DA" w:rsidRDefault="005228DA" w:rsidP="005228DA">
      <w:pPr>
        <w:pStyle w:val="Lgende"/>
        <w:jc w:val="center"/>
        <w:rPr>
          <w:rFonts w:ascii="Times New Roman" w:hAnsi="Times New Roman" w:cs="Times New Roman"/>
        </w:rPr>
      </w:pPr>
      <w:r>
        <w:t xml:space="preserve">Tableau </w:t>
      </w:r>
      <w:fldSimple w:instr=" SEQ Tableau \* ARABIC ">
        <w:r>
          <w:rPr>
            <w:noProof/>
          </w:rPr>
          <w:t>3</w:t>
        </w:r>
      </w:fldSimple>
      <w:r>
        <w:t>: Impact of CAT WS calibration compared to CTF calibration</w:t>
      </w:r>
    </w:p>
    <w:p w:rsidR="005228DA" w:rsidRPr="001A6C98" w:rsidRDefault="005228DA" w:rsidP="001A6C98">
      <w:pPr>
        <w:jc w:val="both"/>
        <w:rPr>
          <w:rFonts w:ascii="Times New Roman" w:hAnsi="Times New Roman" w:cs="Times New Roman"/>
        </w:rPr>
      </w:pPr>
      <w:r>
        <w:rPr>
          <w:rFonts w:ascii="Times New Roman" w:hAnsi="Times New Roman" w:cs="Times New Roman"/>
        </w:rPr>
        <w:t>The differences are less important when payments in case of accidental death are bigger, because the weight of disability in the Health CAT is lower. Medical expenses are generally not material and thus do not materially change the impacts.</w:t>
      </w:r>
    </w:p>
    <w:sectPr w:rsidR="005228DA" w:rsidRPr="001A6C98" w:rsidSect="004A40DB">
      <w:pgSz w:w="11906" w:h="16838"/>
      <w:pgMar w:top="1417" w:right="1417" w:bottom="1417" w:left="1417"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511A62"/>
    <w:multiLevelType w:val="hybridMultilevel"/>
    <w:tmpl w:val="4E86C5EC"/>
    <w:lvl w:ilvl="0" w:tplc="5E3ED8AE">
      <w:start w:val="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4574C0C"/>
    <w:multiLevelType w:val="hybridMultilevel"/>
    <w:tmpl w:val="65086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rawingGridVerticalSpacing w:val="299"/>
  <w:displayHorizontalDrawingGridEvery w:val="0"/>
  <w:characterSpacingControl w:val="doNotCompress"/>
  <w:compat/>
  <w:rsids>
    <w:rsidRoot w:val="00001830"/>
    <w:rsid w:val="00001830"/>
    <w:rsid w:val="000805D2"/>
    <w:rsid w:val="001A6C98"/>
    <w:rsid w:val="002D49AF"/>
    <w:rsid w:val="004A40DB"/>
    <w:rsid w:val="005228DA"/>
    <w:rsid w:val="006C15A7"/>
    <w:rsid w:val="008D34A0"/>
    <w:rsid w:val="009649A2"/>
    <w:rsid w:val="0097711E"/>
    <w:rsid w:val="00A71F9C"/>
    <w:rsid w:val="00AE357D"/>
    <w:rsid w:val="00EC1A28"/>
    <w:rsid w:val="00EF605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830"/>
    <w:pPr>
      <w:spacing w:after="200" w:line="276" w:lineRule="auto"/>
      <w:jc w:val="left"/>
    </w:pPr>
    <w:rPr>
      <w:rFonts w:asciiTheme="minorHAnsi" w:hAnsiTheme="minorHAnsi"/>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C15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6C15A7"/>
    <w:pPr>
      <w:ind w:left="720"/>
      <w:contextualSpacing/>
    </w:pPr>
  </w:style>
  <w:style w:type="paragraph" w:styleId="Lgende">
    <w:name w:val="caption"/>
    <w:basedOn w:val="Normal"/>
    <w:next w:val="Normal"/>
    <w:uiPriority w:val="35"/>
    <w:unhideWhenUsed/>
    <w:qFormat/>
    <w:rsid w:val="005228DA"/>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830"/>
    <w:pPr>
      <w:spacing w:after="200" w:line="276" w:lineRule="auto"/>
      <w:jc w:val="left"/>
    </w:pPr>
    <w:rPr>
      <w:rFonts w:asciiTheme="minorHAnsi" w:hAnsiTheme="minorHAnsi"/>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C1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C15A7"/>
    <w:pPr>
      <w:ind w:left="720"/>
      <w:contextualSpacing/>
    </w:pPr>
  </w:style>
</w:styles>
</file>

<file path=word/webSettings.xml><?xml version="1.0" encoding="utf-8"?>
<w:webSettings xmlns:r="http://schemas.openxmlformats.org/officeDocument/2006/relationships" xmlns:w="http://schemas.openxmlformats.org/wordprocessingml/2006/main">
  <w:divs>
    <w:div w:id="315574322">
      <w:bodyDiv w:val="1"/>
      <w:marLeft w:val="0"/>
      <w:marRight w:val="0"/>
      <w:marTop w:val="0"/>
      <w:marBottom w:val="0"/>
      <w:divBdr>
        <w:top w:val="none" w:sz="0" w:space="0" w:color="auto"/>
        <w:left w:val="none" w:sz="0" w:space="0" w:color="auto"/>
        <w:bottom w:val="none" w:sz="0" w:space="0" w:color="auto"/>
        <w:right w:val="none" w:sz="0" w:space="0" w:color="auto"/>
      </w:divBdr>
    </w:div>
    <w:div w:id="1190794931">
      <w:bodyDiv w:val="1"/>
      <w:marLeft w:val="0"/>
      <w:marRight w:val="0"/>
      <w:marTop w:val="0"/>
      <w:marBottom w:val="0"/>
      <w:divBdr>
        <w:top w:val="none" w:sz="0" w:space="0" w:color="auto"/>
        <w:left w:val="none" w:sz="0" w:space="0" w:color="auto"/>
        <w:bottom w:val="none" w:sz="0" w:space="0" w:color="auto"/>
        <w:right w:val="none" w:sz="0" w:space="0" w:color="auto"/>
      </w:divBdr>
    </w:div>
    <w:div w:id="120077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2017-08-23T22:00:00+00:00</Meeting_x0020_Date>
    <Starttime xmlns="d113e6c9-68c2-4198-bb3a-f8ecf571e120" xsi:nil="true"/>
    <MigrationSourceURL xmlns="31b12445-84a1-4e51-bd89-9e4b058729bc" xsi:nil="true"/>
    <Endtime xmlns="d113e6c9-68c2-4198-bb3a-f8ecf571e120" xsi:nil="true"/>
    <Document_x0020_Date xmlns="d113e6c9-68c2-4198-bb3a-f8ecf571e120" xsi:nil="true"/>
    <Type_x0020_of_x0020_document xmlns="d113e6c9-68c2-4198-bb3a-f8ecf571e120">Background note</Type_x0020_of_x0020_document>
    <Type_x0020_of_x0020_memo xmlns="d113e6c9-68c2-4198-bb3a-f8ecf571e120" xsi:nil="true"/>
    <Linked_x0020_files xmlns="7adb48b6-3973-4eaa-90bf-52485ba4b57c" xsi:nil="true"/>
    <Reference xmlns="d113e6c9-68c2-4198-bb3a-f8ecf571e120" xsi:nil="true"/>
  </documentManagement>
</p:properties>
</file>

<file path=customXml/itemProps1.xml><?xml version="1.0" encoding="utf-8"?>
<ds:datastoreItem xmlns:ds="http://schemas.openxmlformats.org/officeDocument/2006/customXml" ds:itemID="{5BCC9B7B-F527-4320-A009-DCF12446244E}"/>
</file>

<file path=customXml/itemProps2.xml><?xml version="1.0" encoding="utf-8"?>
<ds:datastoreItem xmlns:ds="http://schemas.openxmlformats.org/officeDocument/2006/customXml" ds:itemID="{DDFAFC42-7C98-475F-8D82-53DEA43D2407}"/>
</file>

<file path=customXml/itemProps3.xml><?xml version="1.0" encoding="utf-8"?>
<ds:datastoreItem xmlns:ds="http://schemas.openxmlformats.org/officeDocument/2006/customXml" ds:itemID="{262B93CD-C361-4B0F-BF1E-19854CA289D4}"/>
</file>

<file path=docProps/app.xml><?xml version="1.0" encoding="utf-8"?>
<Properties xmlns="http://schemas.openxmlformats.org/officeDocument/2006/extended-properties" xmlns:vt="http://schemas.openxmlformats.org/officeDocument/2006/docPropsVTypes">
  <Template>Normal.dotm</Template>
  <TotalTime>0</TotalTime>
  <Pages>3</Pages>
  <Words>912</Words>
  <Characters>5019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Banque de France</Company>
  <LinksUpToDate>false</LinksUpToDate>
  <CharactersWithSpaces>5920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Item_7_Health CAT 10 yr scenario</dc:title>
  <dc:creator>Victorien PONCELET</dc:creator>
  <cp:lastModifiedBy>Cnide</cp:lastModifiedBy>
  <cp:revision>2</cp:revision>
  <dcterms:created xsi:type="dcterms:W3CDTF">2017-07-11T12:56:00Z</dcterms:created>
  <dcterms:modified xsi:type="dcterms:W3CDTF">2017-07-11T12:56:00Z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1922449706</vt:i4>
  </property>
  <property fmtid="{D5CDD505-2E9C-101B-9397-08002B2CF9AE}" pid="3" name="_NewReviewCycle">
    <vt:lpwstr/>
  </property>
  <property fmtid="{D5CDD505-2E9C-101B-9397-08002B2CF9AE}" pid="4" name="_EmailSubject">
    <vt:lpwstr>To CAT WS: Draft agenda + 1st set of documents for 24-25 Aug 2017 4th physical meeting</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7" name="ContentTypeId">
    <vt:lpwstr>0x01010036D0EB97D5A8D14ABF6FE39E404530FC</vt:lpwstr>
  </property>
</Properties>
</file>