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noProof/>
          <w:lang w:eastAsia="en-GB"/>
        </w:rPr>
        <w:id w:val="2000993162"/>
        <w:lock w:val="contentLocked"/>
        <w:picture/>
      </w:sdtPr>
      <w:sdtEndPr/>
      <w:sdtContent>
        <w:p w:rsidR="00CA6C16" w:rsidRDefault="00CA6C16" w:rsidP="002D3A3F">
          <w:pPr>
            <w:jc w:val="center"/>
          </w:pPr>
          <w:r w:rsidRPr="009B01A3">
            <w:rPr>
              <w:noProof/>
              <w:lang w:eastAsia="en-GB"/>
            </w:rPr>
            <w:drawing>
              <wp:inline distT="0" distB="0" distL="0" distR="0" wp14:anchorId="5CD5AE53" wp14:editId="0C8D81CB">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rsidR="00CA6C16" w:rsidRPr="009B01A3" w:rsidRDefault="00CA6C16" w:rsidP="002D3A3F">
      <w:pPr>
        <w:jc w:val="center"/>
      </w:pPr>
    </w:p>
    <w:p w:rsidR="00CA6C16" w:rsidRPr="0010199E" w:rsidRDefault="0059440F" w:rsidP="002D3A3F">
      <w:pPr>
        <w:pStyle w:val="ReferenceNumber"/>
        <w:rPr>
          <w:rStyle w:val="Regular"/>
        </w:rPr>
      </w:pPr>
      <w:sdt>
        <w:sdtPr>
          <w:rPr>
            <w:rStyle w:val="Style5"/>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color w:val="auto"/>
          </w:rPr>
        </w:sdtEndPr>
        <w:sdtContent>
          <w:r w:rsidR="00CA6C16">
            <w:rPr>
              <w:rStyle w:val="Style5"/>
            </w:rPr>
            <w:t xml:space="preserve"> </w:t>
          </w:r>
        </w:sdtContent>
      </w:sdt>
      <w:r w:rsidR="00CA6C16" w:rsidRPr="0010199E">
        <w:rPr>
          <w:rStyle w:val="Regular"/>
        </w:rPr>
        <w:t xml:space="preserve"> </w:t>
      </w:r>
    </w:p>
    <w:p w:rsidR="00CA6C16" w:rsidRPr="0010199E" w:rsidRDefault="0059440F" w:rsidP="002D3A3F">
      <w:pPr>
        <w:pStyle w:val="ReferenceNumber"/>
      </w:pPr>
      <w:sdt>
        <w:sdtPr>
          <w:id w:val="2079789613"/>
          <w:showingPlcHdr/>
        </w:sdtPr>
        <w:sdtEndPr/>
        <w:sdtContent>
          <w:r w:rsidR="00CA6C16">
            <w:t xml:space="preserve">     </w:t>
          </w:r>
        </w:sdtContent>
      </w:sdt>
    </w:p>
    <w:p w:rsidR="00CA6C16" w:rsidRPr="0010199E" w:rsidRDefault="0059440F" w:rsidP="002D3A3F">
      <w:pPr>
        <w:pStyle w:val="ReferenceNumber"/>
        <w:rPr>
          <w:rStyle w:val="Regular"/>
        </w:rPr>
      </w:pPr>
      <w:sdt>
        <w:sdtPr>
          <w:id w:val="-113525082"/>
        </w:sdtPr>
        <w:sdtEndPr/>
        <w:sdtContent>
          <w:r>
            <w:t>18</w:t>
          </w:r>
          <w:bookmarkStart w:id="0" w:name="_GoBack"/>
          <w:bookmarkEnd w:id="0"/>
          <w:r w:rsidR="00CA6C16" w:rsidRPr="0010199E">
            <w:t xml:space="preserve"> </w:t>
          </w:r>
          <w:r w:rsidR="00CA6C16">
            <w:t>0</w:t>
          </w:r>
          <w:r w:rsidR="00080F3E">
            <w:t>8</w:t>
          </w:r>
          <w:r w:rsidR="00CA6C16" w:rsidRPr="0010199E">
            <w:t xml:space="preserve"> </w:t>
          </w:r>
          <w:r w:rsidR="00CA6C16">
            <w:t>2017</w:t>
          </w:r>
        </w:sdtContent>
      </w:sdt>
    </w:p>
    <w:p w:rsidR="00CA6C16" w:rsidRPr="009B01A3" w:rsidRDefault="00CA6C16" w:rsidP="002D3A3F">
      <w:pPr>
        <w:jc w:val="center"/>
        <w:rPr>
          <w:sz w:val="24"/>
          <w:szCs w:val="24"/>
        </w:rPr>
      </w:pPr>
    </w:p>
    <w:p w:rsidR="00CA6C16" w:rsidRDefault="00CA6C16" w:rsidP="002D3A3F">
      <w:pPr>
        <w:pStyle w:val="Title"/>
      </w:pPr>
      <w:r w:rsidRPr="00E97A4A">
        <w:tab/>
      </w:r>
    </w:p>
    <w:p w:rsidR="00CA6C16" w:rsidRDefault="00CA6C16" w:rsidP="002D3A3F">
      <w:pPr>
        <w:pStyle w:val="Title"/>
      </w:pPr>
      <w:r>
        <w:t>O</w:t>
      </w:r>
      <w:r w:rsidRPr="00BA4296">
        <w:t xml:space="preserve">n </w:t>
      </w:r>
      <w:sdt>
        <w:sdtPr>
          <w:id w:val="-1053920528"/>
        </w:sdtPr>
        <w:sdtEndPr/>
        <w:sdtContent>
          <w:r w:rsidR="00435AF5">
            <w:t xml:space="preserve">man-made </w:t>
          </w:r>
          <w:r>
            <w:t>catastrophe risk</w:t>
          </w:r>
          <w:r w:rsidR="00435AF5">
            <w:t>s and reinsurance</w:t>
          </w:r>
        </w:sdtContent>
      </w:sdt>
    </w:p>
    <w:p w:rsidR="00153D18" w:rsidRPr="00F9001E" w:rsidRDefault="00153D18" w:rsidP="00153D18">
      <w:p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t xml:space="preserve">According to recital 49 of </w:t>
      </w:r>
      <w:r>
        <w:rPr>
          <w:rFonts w:ascii="Verdana" w:eastAsia="Calibri" w:hAnsi="Verdana" w:cs="Times New Roman"/>
          <w:lang w:val="en-US"/>
        </w:rPr>
        <w:t xml:space="preserve">the </w:t>
      </w:r>
      <w:r w:rsidRPr="00F9001E">
        <w:rPr>
          <w:rFonts w:ascii="Verdana" w:eastAsia="Calibri" w:hAnsi="Verdana" w:cs="Times New Roman"/>
          <w:lang w:val="en-US"/>
        </w:rPr>
        <w:t xml:space="preserve">Delegated Regulation the scenario-based calculations of the non-life catastrophe risk sub-modules should be based on the specification of catastrophe losses that are gross, without deduction of the amounts recoverable from reinsurance contracts and special purpose vehicles. </w:t>
      </w:r>
      <w:r>
        <w:rPr>
          <w:rFonts w:ascii="Verdana" w:eastAsia="Calibri" w:hAnsi="Verdana" w:cs="Times New Roman"/>
          <w:lang w:val="en-US"/>
        </w:rPr>
        <w:t>(Re</w:t>
      </w:r>
      <w:proofErr w:type="gramStart"/>
      <w:r>
        <w:rPr>
          <w:rFonts w:ascii="Verdana" w:eastAsia="Calibri" w:hAnsi="Verdana" w:cs="Times New Roman"/>
          <w:lang w:val="en-US"/>
        </w:rPr>
        <w:t>)i</w:t>
      </w:r>
      <w:r w:rsidRPr="00F9001E">
        <w:rPr>
          <w:rFonts w:ascii="Verdana" w:eastAsia="Calibri" w:hAnsi="Verdana" w:cs="Times New Roman"/>
          <w:lang w:val="en-US"/>
        </w:rPr>
        <w:t>nsurance</w:t>
      </w:r>
      <w:proofErr w:type="gramEnd"/>
      <w:r w:rsidRPr="00F9001E">
        <w:rPr>
          <w:rFonts w:ascii="Verdana" w:eastAsia="Calibri" w:hAnsi="Verdana" w:cs="Times New Roman"/>
          <w:lang w:val="en-US"/>
        </w:rPr>
        <w:t xml:space="preserve"> undertakings should allow for the risk-mitigating effect of their specific reinsurance contracts and special purpose vehicles when they determine the change in basic own funds resulting from the scenario. </w:t>
      </w:r>
    </w:p>
    <w:p w:rsidR="00153D18" w:rsidRPr="00667CDE" w:rsidRDefault="00153D18" w:rsidP="00153D18">
      <w:pPr>
        <w:spacing w:before="120" w:after="0" w:line="240" w:lineRule="auto"/>
        <w:jc w:val="both"/>
        <w:rPr>
          <w:rFonts w:ascii="Verdana" w:eastAsia="Calibri" w:hAnsi="Verdana" w:cs="Times New Roman"/>
          <w:lang w:val="en-US"/>
        </w:rPr>
      </w:pPr>
      <w:r w:rsidRPr="00667CDE">
        <w:rPr>
          <w:rFonts w:ascii="Verdana" w:eastAsia="Calibri" w:hAnsi="Verdana" w:cs="Times New Roman"/>
          <w:lang w:val="en-US"/>
        </w:rPr>
        <w:t>In the man-made catastrophe risk sub-module, the capital requirements for marine risk, aviation risk and fire risk are based on the impact of a scenario that affects the maximum exposure in relation to a specific risk:</w:t>
      </w:r>
    </w:p>
    <w:p w:rsidR="00153D18" w:rsidRPr="00667CDE" w:rsidRDefault="00153D18" w:rsidP="00153D18">
      <w:pPr>
        <w:pStyle w:val="ListParagraph"/>
        <w:numPr>
          <w:ilvl w:val="0"/>
          <w:numId w:val="6"/>
        </w:numPr>
        <w:tabs>
          <w:tab w:val="num" w:pos="360"/>
        </w:tabs>
        <w:spacing w:before="60"/>
        <w:ind w:left="714" w:hanging="357"/>
        <w:contextualSpacing/>
        <w:rPr>
          <w:rFonts w:eastAsia="Calibri"/>
          <w:lang w:val="en-US"/>
        </w:rPr>
      </w:pPr>
      <w:r w:rsidRPr="00667CDE">
        <w:rPr>
          <w:rFonts w:eastAsia="Calibri"/>
          <w:lang w:val="en-US"/>
        </w:rPr>
        <w:t>marine risk: tanker with maximum sum insured and offshore platform with maximum sum insured;</w:t>
      </w:r>
    </w:p>
    <w:p w:rsidR="00153D18" w:rsidRPr="00667CDE" w:rsidRDefault="00153D18" w:rsidP="00153D18">
      <w:pPr>
        <w:pStyle w:val="ListParagraph"/>
        <w:numPr>
          <w:ilvl w:val="0"/>
          <w:numId w:val="6"/>
        </w:numPr>
        <w:tabs>
          <w:tab w:val="num" w:pos="360"/>
        </w:tabs>
        <w:contextualSpacing/>
        <w:rPr>
          <w:rFonts w:eastAsia="Calibri"/>
          <w:lang w:val="en-US"/>
        </w:rPr>
      </w:pPr>
      <w:r w:rsidRPr="00667CDE">
        <w:rPr>
          <w:rFonts w:eastAsia="Calibri"/>
          <w:lang w:val="en-US"/>
        </w:rPr>
        <w:t>aviation risk: aircraft with maximum sum insured;</w:t>
      </w:r>
    </w:p>
    <w:p w:rsidR="00153D18" w:rsidRPr="00667CDE" w:rsidRDefault="00153D18" w:rsidP="00153D18">
      <w:pPr>
        <w:pStyle w:val="ListParagraph"/>
        <w:numPr>
          <w:ilvl w:val="0"/>
          <w:numId w:val="6"/>
        </w:numPr>
        <w:tabs>
          <w:tab w:val="num" w:pos="360"/>
        </w:tabs>
        <w:contextualSpacing/>
        <w:rPr>
          <w:rFonts w:eastAsia="Calibri"/>
          <w:lang w:val="en-US"/>
        </w:rPr>
      </w:pPr>
      <w:proofErr w:type="gramStart"/>
      <w:r w:rsidRPr="00667CDE">
        <w:rPr>
          <w:rFonts w:eastAsia="Calibri"/>
          <w:lang w:val="en-US"/>
        </w:rPr>
        <w:t>fire</w:t>
      </w:r>
      <w:proofErr w:type="gramEnd"/>
      <w:r w:rsidRPr="00667CDE">
        <w:rPr>
          <w:rFonts w:eastAsia="Calibri"/>
          <w:lang w:val="en-US"/>
        </w:rPr>
        <w:t xml:space="preserve"> risk: buildings within a radius of 200 meters with maximum sum insured.</w:t>
      </w:r>
    </w:p>
    <w:p w:rsidR="00153D18" w:rsidRDefault="00153D18" w:rsidP="00EA4C7B">
      <w:pPr>
        <w:pStyle w:val="ListParagraph"/>
        <w:ind w:left="0"/>
        <w:rPr>
          <w:rFonts w:eastAsia="Calibri"/>
          <w:lang w:val="en-US"/>
        </w:rPr>
      </w:pPr>
      <w:r w:rsidRPr="00667CDE">
        <w:rPr>
          <w:rFonts w:eastAsia="Calibri"/>
          <w:lang w:val="en-US"/>
        </w:rPr>
        <w:t>In all three cases the maximum exposure is determined with regard to the sum insured gross of reinsurance.</w:t>
      </w:r>
      <w:r>
        <w:rPr>
          <w:rFonts w:eastAsia="Calibri"/>
          <w:lang w:val="en-US"/>
        </w:rPr>
        <w:t xml:space="preserve"> This could underestimate the real risk in the case where the maximum gross exposure </w:t>
      </w:r>
      <w:r w:rsidRPr="00667CDE">
        <w:rPr>
          <w:rFonts w:eastAsia="Calibri"/>
          <w:lang w:val="en-US"/>
        </w:rPr>
        <w:t>is better covered by reinsurance than other exposures.</w:t>
      </w:r>
    </w:p>
    <w:p w:rsidR="00153D18" w:rsidRPr="00F9001E" w:rsidRDefault="00153D18" w:rsidP="00153D18">
      <w:pPr>
        <w:spacing w:before="120" w:after="0" w:line="240" w:lineRule="auto"/>
        <w:jc w:val="both"/>
        <w:rPr>
          <w:rFonts w:ascii="Verdana" w:eastAsia="Calibri" w:hAnsi="Verdana" w:cs="Times New Roman"/>
          <w:b/>
          <w:lang w:val="en-US"/>
        </w:rPr>
      </w:pPr>
      <w:r w:rsidRPr="00F9001E">
        <w:rPr>
          <w:rFonts w:ascii="Verdana" w:eastAsia="Calibri" w:hAnsi="Verdana" w:cs="Times New Roman"/>
          <w:b/>
          <w:lang w:val="en-US"/>
        </w:rPr>
        <w:t>EXAMPLE: Fire risk</w:t>
      </w:r>
    </w:p>
    <w:p w:rsidR="00153D18" w:rsidRPr="00F9001E" w:rsidRDefault="00153D18" w:rsidP="00153D18">
      <w:p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t xml:space="preserve">Let’s assume that </w:t>
      </w:r>
      <w:r>
        <w:rPr>
          <w:rFonts w:ascii="Verdana" w:eastAsia="Calibri" w:hAnsi="Verdana" w:cs="Times New Roman"/>
          <w:lang w:val="en-US"/>
        </w:rPr>
        <w:t>a</w:t>
      </w:r>
      <w:r w:rsidRPr="00F9001E">
        <w:rPr>
          <w:rFonts w:ascii="Verdana" w:eastAsia="Calibri" w:hAnsi="Verdana" w:cs="Times New Roman"/>
          <w:lang w:val="en-US"/>
        </w:rPr>
        <w:t xml:space="preserve"> </w:t>
      </w:r>
      <w:r>
        <w:rPr>
          <w:rFonts w:ascii="Verdana" w:eastAsia="Calibri" w:hAnsi="Verdana" w:cs="Times New Roman"/>
          <w:lang w:val="en-US"/>
        </w:rPr>
        <w:t>(re)</w:t>
      </w:r>
      <w:r w:rsidRPr="00F9001E">
        <w:rPr>
          <w:rFonts w:ascii="Verdana" w:eastAsia="Calibri" w:hAnsi="Verdana" w:cs="Times New Roman"/>
          <w:lang w:val="en-US"/>
        </w:rPr>
        <w:t>insurance undertaking has</w:t>
      </w:r>
      <w:r>
        <w:rPr>
          <w:rFonts w:ascii="Verdana" w:eastAsia="Calibri" w:hAnsi="Verdana" w:cs="Times New Roman"/>
          <w:lang w:val="en-US"/>
        </w:rPr>
        <w:t xml:space="preserve"> the</w:t>
      </w:r>
      <w:r w:rsidRPr="00F9001E">
        <w:rPr>
          <w:rFonts w:ascii="Verdana" w:eastAsia="Calibri" w:hAnsi="Verdana" w:cs="Times New Roman"/>
          <w:lang w:val="en-US"/>
        </w:rPr>
        <w:t xml:space="preserve"> following risk exposure</w:t>
      </w:r>
      <w:r>
        <w:rPr>
          <w:rFonts w:ascii="Verdana" w:eastAsia="Calibri" w:hAnsi="Verdana" w:cs="Times New Roman"/>
          <w:lang w:val="en-US"/>
        </w:rPr>
        <w:t>s</w:t>
      </w:r>
      <w:r w:rsidRPr="00F9001E">
        <w:rPr>
          <w:rFonts w:ascii="Verdana" w:eastAsia="Calibri" w:hAnsi="Verdana" w:cs="Times New Roman"/>
          <w:lang w:val="en-US"/>
        </w:rPr>
        <w:t>:</w:t>
      </w:r>
    </w:p>
    <w:p w:rsidR="00153D18" w:rsidRPr="00F9001E" w:rsidRDefault="00153D18" w:rsidP="00153D18">
      <w:pPr>
        <w:numPr>
          <w:ilvl w:val="0"/>
          <w:numId w:val="7"/>
        </w:numPr>
        <w:spacing w:before="60" w:after="0" w:line="240" w:lineRule="auto"/>
        <w:ind w:left="714" w:hanging="357"/>
        <w:jc w:val="both"/>
        <w:rPr>
          <w:rFonts w:ascii="Verdana" w:eastAsia="Calibri" w:hAnsi="Verdana" w:cs="Times New Roman"/>
          <w:lang w:val="en-US"/>
        </w:rPr>
      </w:pPr>
      <w:r w:rsidRPr="00F9001E">
        <w:rPr>
          <w:rFonts w:ascii="Verdana" w:eastAsia="Calibri" w:hAnsi="Verdana" w:cs="Times New Roman"/>
          <w:lang w:val="en-US"/>
        </w:rPr>
        <w:t>Exposure 1: set of buildings with the sum insured equal to 10m EUR, no reinstatement premium, reinsurance arrangement covers 9.5m XL 0.5m EUR</w:t>
      </w:r>
      <w:r>
        <w:rPr>
          <w:rFonts w:ascii="Verdana" w:eastAsia="Calibri" w:hAnsi="Verdana" w:cs="Times New Roman"/>
          <w:lang w:val="en-US"/>
        </w:rPr>
        <w:t>;</w:t>
      </w:r>
    </w:p>
    <w:p w:rsidR="00153D18" w:rsidRPr="00F9001E" w:rsidRDefault="00153D18" w:rsidP="00153D18">
      <w:pPr>
        <w:numPr>
          <w:ilvl w:val="0"/>
          <w:numId w:val="7"/>
        </w:num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t>Exposure 2: set of buildings with the sum insured equal to 5m EUR, no reinstatement premium, proportional reinsurance arrangement covers 70% of the exposure.</w:t>
      </w:r>
    </w:p>
    <w:p w:rsidR="00153D18" w:rsidRPr="00F9001E" w:rsidRDefault="00153D18" w:rsidP="00153D18">
      <w:pPr>
        <w:spacing w:before="120" w:after="0" w:line="240" w:lineRule="auto"/>
        <w:jc w:val="both"/>
        <w:rPr>
          <w:rFonts w:ascii="Verdana" w:eastAsia="Calibri" w:hAnsi="Verdana" w:cs="Times New Roman"/>
          <w:lang w:val="en-US"/>
        </w:rPr>
      </w:pPr>
      <w:proofErr w:type="gramStart"/>
      <w:r w:rsidRPr="00F9001E">
        <w:rPr>
          <w:rFonts w:ascii="Verdana" w:eastAsia="Calibri" w:hAnsi="Verdana" w:cs="Times New Roman"/>
          <w:lang w:val="en-US"/>
        </w:rPr>
        <w:lastRenderedPageBreak/>
        <w:t>Which means that:</w:t>
      </w:r>
      <w:proofErr w:type="gramEnd"/>
    </w:p>
    <w:p w:rsidR="00153D18" w:rsidRPr="00A02569" w:rsidRDefault="00153D18" w:rsidP="00153D18">
      <w:pPr>
        <w:pStyle w:val="ListParagraph"/>
        <w:numPr>
          <w:ilvl w:val="0"/>
          <w:numId w:val="6"/>
        </w:numPr>
        <w:tabs>
          <w:tab w:val="num" w:pos="360"/>
        </w:tabs>
        <w:spacing w:before="60"/>
        <w:ind w:left="714" w:hanging="357"/>
        <w:contextualSpacing/>
        <w:rPr>
          <w:rFonts w:eastAsia="Calibri"/>
          <w:lang w:val="en-US"/>
        </w:rPr>
      </w:pPr>
      <w:r>
        <w:rPr>
          <w:rFonts w:eastAsia="Calibri"/>
          <w:lang w:val="en-US"/>
        </w:rPr>
        <w:t>1</w:t>
      </w:r>
      <w:r w:rsidRPr="00153D18">
        <w:rPr>
          <w:rFonts w:eastAsia="Calibri"/>
          <w:vertAlign w:val="superscript"/>
          <w:lang w:val="en-US"/>
        </w:rPr>
        <w:t>st</w:t>
      </w:r>
      <w:r>
        <w:rPr>
          <w:rFonts w:eastAsia="Calibri"/>
          <w:lang w:val="en-US"/>
        </w:rPr>
        <w:t xml:space="preserve"> step (selection of the maximum exposure): </w:t>
      </w:r>
      <w:r w:rsidRPr="00A02569">
        <w:rPr>
          <w:rFonts w:eastAsia="Calibri"/>
          <w:lang w:val="en-US"/>
        </w:rPr>
        <w:t>the maximum of gross sum insured of the risk Exposure 1 and Exposure 2 is equal 10m EUR</w:t>
      </w:r>
      <w:r>
        <w:rPr>
          <w:rFonts w:eastAsia="Calibri"/>
          <w:lang w:val="en-US"/>
        </w:rPr>
        <w:t xml:space="preserve"> and;</w:t>
      </w:r>
    </w:p>
    <w:p w:rsidR="00153D18" w:rsidRPr="00A02569" w:rsidRDefault="00153D18" w:rsidP="00153D18">
      <w:pPr>
        <w:pStyle w:val="ListParagraph"/>
        <w:numPr>
          <w:ilvl w:val="0"/>
          <w:numId w:val="6"/>
        </w:numPr>
        <w:tabs>
          <w:tab w:val="num" w:pos="360"/>
        </w:tabs>
        <w:contextualSpacing/>
        <w:rPr>
          <w:rFonts w:eastAsia="Calibri"/>
          <w:lang w:val="en-US"/>
        </w:rPr>
      </w:pPr>
      <w:r>
        <w:rPr>
          <w:rFonts w:eastAsia="Calibri"/>
          <w:lang w:val="en-US"/>
        </w:rPr>
        <w:t>2</w:t>
      </w:r>
      <w:r w:rsidRPr="00153D18">
        <w:rPr>
          <w:rFonts w:eastAsia="Calibri"/>
          <w:vertAlign w:val="superscript"/>
          <w:lang w:val="en-US"/>
        </w:rPr>
        <w:t>nd</w:t>
      </w:r>
      <w:r>
        <w:rPr>
          <w:rFonts w:eastAsia="Calibri"/>
          <w:lang w:val="en-US"/>
        </w:rPr>
        <w:t xml:space="preserve"> step (applying risk mitigation): </w:t>
      </w:r>
      <w:r w:rsidRPr="00A02569">
        <w:rPr>
          <w:rFonts w:eastAsia="Calibri"/>
          <w:lang w:val="en-US"/>
        </w:rPr>
        <w:t xml:space="preserve">reinsurance cover </w:t>
      </w:r>
      <w:r>
        <w:rPr>
          <w:rFonts w:eastAsia="Calibri"/>
          <w:lang w:val="en-US"/>
        </w:rPr>
        <w:t xml:space="preserve">of Exposure 1 </w:t>
      </w:r>
      <w:r w:rsidRPr="00A02569">
        <w:rPr>
          <w:rFonts w:eastAsia="Calibri"/>
          <w:lang w:val="en-US"/>
        </w:rPr>
        <w:t>is equal 9.5m EUR.</w:t>
      </w:r>
    </w:p>
    <w:p w:rsidR="00153D18" w:rsidRDefault="00153D18" w:rsidP="00153D18">
      <w:pPr>
        <w:spacing w:before="120" w:after="0" w:line="240" w:lineRule="auto"/>
        <w:jc w:val="both"/>
        <w:rPr>
          <w:rFonts w:ascii="Verdana" w:eastAsia="Calibri" w:hAnsi="Verdana" w:cs="Times New Roman"/>
          <w:lang w:val="en-US"/>
        </w:rPr>
      </w:pPr>
      <w:r w:rsidRPr="00F9001E">
        <w:rPr>
          <w:rFonts w:ascii="Verdana" w:eastAsia="Calibri" w:hAnsi="Verdana" w:cs="Times New Roman"/>
          <w:lang w:val="en-US"/>
        </w:rPr>
        <w:t xml:space="preserve">Using the current formula for the SCR fire risk (article 132 of </w:t>
      </w:r>
      <w:r>
        <w:rPr>
          <w:rFonts w:ascii="Verdana" w:eastAsia="Calibri" w:hAnsi="Verdana" w:cs="Times New Roman"/>
          <w:lang w:val="en-US"/>
        </w:rPr>
        <w:t xml:space="preserve">the </w:t>
      </w:r>
      <w:r w:rsidRPr="00F9001E">
        <w:rPr>
          <w:rFonts w:ascii="Verdana" w:eastAsia="Calibri" w:hAnsi="Verdana" w:cs="Times New Roman"/>
          <w:lang w:val="en-US"/>
        </w:rPr>
        <w:t xml:space="preserve">Delegated Regulation) a </w:t>
      </w:r>
      <w:r>
        <w:rPr>
          <w:rFonts w:ascii="Verdana" w:eastAsia="Calibri" w:hAnsi="Verdana" w:cs="Times New Roman"/>
          <w:lang w:val="en-US"/>
        </w:rPr>
        <w:t>(re)</w:t>
      </w:r>
      <w:r w:rsidRPr="00F9001E">
        <w:rPr>
          <w:rFonts w:ascii="Verdana" w:eastAsia="Calibri" w:hAnsi="Verdana" w:cs="Times New Roman"/>
          <w:lang w:val="en-US"/>
        </w:rPr>
        <w:t>insurance undertaking should calculate the fire risk by choosing the largest sum insured (10m EUR) and deducting from this the</w:t>
      </w:r>
      <w:r>
        <w:rPr>
          <w:rFonts w:ascii="Verdana" w:eastAsia="Calibri" w:hAnsi="Verdana" w:cs="Times New Roman"/>
          <w:lang w:val="en-US"/>
        </w:rPr>
        <w:t xml:space="preserve"> </w:t>
      </w:r>
      <w:r w:rsidRPr="00925D81">
        <w:rPr>
          <w:rFonts w:ascii="Verdana" w:eastAsia="Calibri" w:hAnsi="Verdana" w:cs="Times New Roman"/>
          <w:lang w:val="en-US"/>
        </w:rPr>
        <w:t xml:space="preserve">reinsurance </w:t>
      </w:r>
      <w:r w:rsidRPr="00F9001E">
        <w:rPr>
          <w:rFonts w:ascii="Verdana" w:eastAsia="Calibri" w:hAnsi="Verdana" w:cs="Times New Roman"/>
          <w:lang w:val="en-US"/>
        </w:rPr>
        <w:t xml:space="preserve">covered amount (9.5m EUR). The result of the calculation </w:t>
      </w:r>
      <w:r>
        <w:rPr>
          <w:rFonts w:ascii="Verdana" w:eastAsia="Calibri" w:hAnsi="Verdana" w:cs="Times New Roman"/>
          <w:lang w:val="en-US"/>
        </w:rPr>
        <w:t xml:space="preserve">leads to the SCR for fire risk equals </w:t>
      </w:r>
      <w:r w:rsidRPr="00F9001E">
        <w:rPr>
          <w:rFonts w:ascii="Verdana" w:eastAsia="Calibri" w:hAnsi="Verdana" w:cs="Times New Roman"/>
          <w:lang w:val="en-US"/>
        </w:rPr>
        <w:t>0.5m EUR</w:t>
      </w:r>
      <w:r>
        <w:rPr>
          <w:rFonts w:ascii="Verdana" w:eastAsia="Calibri" w:hAnsi="Verdana" w:cs="Times New Roman"/>
          <w:lang w:val="en-US"/>
        </w:rPr>
        <w:t>.</w:t>
      </w:r>
    </w:p>
    <w:p w:rsidR="00153D18" w:rsidRPr="00F9001E" w:rsidRDefault="00153D18" w:rsidP="00153D18">
      <w:pPr>
        <w:spacing w:before="120" w:after="0" w:line="240" w:lineRule="auto"/>
        <w:jc w:val="both"/>
        <w:rPr>
          <w:rFonts w:ascii="Verdana" w:eastAsia="Calibri" w:hAnsi="Verdana" w:cs="Times New Roman"/>
          <w:lang w:val="en-US"/>
        </w:rPr>
      </w:pPr>
      <w:r>
        <w:rPr>
          <w:rFonts w:ascii="Verdana" w:eastAsia="Calibri" w:hAnsi="Verdana" w:cs="Times New Roman"/>
          <w:lang w:val="en-US"/>
        </w:rPr>
        <w:t>This</w:t>
      </w:r>
      <w:r w:rsidRPr="00F9001E">
        <w:rPr>
          <w:rFonts w:ascii="Verdana" w:eastAsia="Calibri" w:hAnsi="Verdana" w:cs="Times New Roman"/>
          <w:lang w:val="en-US"/>
        </w:rPr>
        <w:t xml:space="preserve"> might be insufficient, because that </w:t>
      </w:r>
      <w:r>
        <w:rPr>
          <w:rFonts w:ascii="Verdana" w:eastAsia="Calibri" w:hAnsi="Verdana" w:cs="Times New Roman"/>
          <w:lang w:val="en-US"/>
        </w:rPr>
        <w:t>(re)</w:t>
      </w:r>
      <w:r w:rsidRPr="00F9001E">
        <w:rPr>
          <w:rFonts w:ascii="Verdana" w:eastAsia="Calibri" w:hAnsi="Verdana" w:cs="Times New Roman"/>
          <w:lang w:val="en-US"/>
        </w:rPr>
        <w:t>insurance undertaking bears the risk of uncovered part of Exposure 2 which amount</w:t>
      </w:r>
      <w:r>
        <w:rPr>
          <w:rFonts w:ascii="Verdana" w:eastAsia="Calibri" w:hAnsi="Verdana" w:cs="Times New Roman"/>
          <w:lang w:val="en-US"/>
        </w:rPr>
        <w:t>s</w:t>
      </w:r>
      <w:r w:rsidRPr="00F9001E">
        <w:rPr>
          <w:rFonts w:ascii="Verdana" w:eastAsia="Calibri" w:hAnsi="Verdana" w:cs="Times New Roman"/>
          <w:lang w:val="en-US"/>
        </w:rPr>
        <w:t xml:space="preserve"> to 1.5m EUR (5m EUR – 70%x5m EUR). This means that SCR for fire risk (0.5m EUR) is smaller than a real (re)insurance undertaking’s exposure to fire risk (1.5m EUR).</w:t>
      </w:r>
    </w:p>
    <w:p w:rsidR="00153D18" w:rsidRDefault="00153D18" w:rsidP="00153D18">
      <w:pPr>
        <w:spacing w:before="120" w:after="120" w:line="240" w:lineRule="auto"/>
        <w:jc w:val="both"/>
        <w:rPr>
          <w:rFonts w:ascii="Verdana" w:eastAsia="Calibri" w:hAnsi="Verdana" w:cs="Times New Roman"/>
          <w:lang w:val="en-US"/>
        </w:rPr>
      </w:pPr>
      <w:r w:rsidRPr="00667CDE">
        <w:rPr>
          <w:rFonts w:ascii="Verdana" w:eastAsia="Calibri" w:hAnsi="Verdana" w:cs="Times New Roman"/>
          <w:lang w:val="en-US"/>
        </w:rPr>
        <w:t xml:space="preserve">In order to avoid this, the </w:t>
      </w:r>
      <w:r>
        <w:rPr>
          <w:rFonts w:ascii="Verdana" w:eastAsia="Calibri" w:hAnsi="Verdana" w:cs="Times New Roman"/>
          <w:lang w:val="en-US"/>
        </w:rPr>
        <w:t>SCR</w:t>
      </w:r>
      <w:r w:rsidRPr="00667CDE">
        <w:rPr>
          <w:rFonts w:ascii="Verdana" w:eastAsia="Calibri" w:hAnsi="Verdana" w:cs="Times New Roman"/>
          <w:lang w:val="en-US"/>
        </w:rPr>
        <w:t xml:space="preserve"> for </w:t>
      </w:r>
      <w:r>
        <w:rPr>
          <w:rFonts w:ascii="Verdana" w:eastAsia="Calibri" w:hAnsi="Verdana" w:cs="Times New Roman"/>
          <w:lang w:val="en-US"/>
        </w:rPr>
        <w:t>the fire risk (consequently m</w:t>
      </w:r>
      <w:r w:rsidRPr="00667CDE">
        <w:rPr>
          <w:rFonts w:ascii="Verdana" w:eastAsia="Calibri" w:hAnsi="Verdana" w:cs="Times New Roman"/>
          <w:lang w:val="en-US"/>
        </w:rPr>
        <w:t>arine risk</w:t>
      </w:r>
      <w:r>
        <w:rPr>
          <w:rFonts w:ascii="Verdana" w:eastAsia="Calibri" w:hAnsi="Verdana" w:cs="Times New Roman"/>
          <w:lang w:val="en-US"/>
        </w:rPr>
        <w:t xml:space="preserve"> and</w:t>
      </w:r>
      <w:r w:rsidRPr="00667CDE">
        <w:rPr>
          <w:rFonts w:ascii="Verdana" w:eastAsia="Calibri" w:hAnsi="Verdana" w:cs="Times New Roman"/>
          <w:lang w:val="en-US"/>
        </w:rPr>
        <w:t xml:space="preserve"> aviation risk</w:t>
      </w:r>
      <w:r>
        <w:rPr>
          <w:rFonts w:ascii="Verdana" w:eastAsia="Calibri" w:hAnsi="Verdana" w:cs="Times New Roman"/>
          <w:lang w:val="en-US"/>
        </w:rPr>
        <w:t xml:space="preserve">) could be based on the largest net </w:t>
      </w:r>
      <w:r w:rsidRPr="00667CDE">
        <w:rPr>
          <w:rFonts w:ascii="Verdana" w:eastAsia="Calibri" w:hAnsi="Verdana" w:cs="Times New Roman"/>
          <w:lang w:val="en-US"/>
        </w:rPr>
        <w:t xml:space="preserve">exposure. In the example, </w:t>
      </w:r>
      <w:r>
        <w:rPr>
          <w:rFonts w:ascii="Verdana" w:eastAsia="Calibri" w:hAnsi="Verdana" w:cs="Times New Roman"/>
          <w:lang w:val="en-US"/>
        </w:rPr>
        <w:t>E</w:t>
      </w:r>
      <w:r w:rsidRPr="00667CDE">
        <w:rPr>
          <w:rFonts w:ascii="Verdana" w:eastAsia="Calibri" w:hAnsi="Verdana" w:cs="Times New Roman"/>
          <w:lang w:val="en-US"/>
        </w:rPr>
        <w:t xml:space="preserve">xposure 2 would then be the </w:t>
      </w:r>
      <w:r>
        <w:rPr>
          <w:rFonts w:ascii="Verdana" w:eastAsia="Calibri" w:hAnsi="Verdana" w:cs="Times New Roman"/>
          <w:lang w:val="en-US"/>
        </w:rPr>
        <w:t xml:space="preserve">largest </w:t>
      </w:r>
      <w:r w:rsidRPr="00667CDE">
        <w:rPr>
          <w:rFonts w:ascii="Verdana" w:eastAsia="Calibri" w:hAnsi="Verdana" w:cs="Times New Roman"/>
          <w:lang w:val="en-US"/>
        </w:rPr>
        <w:t xml:space="preserve">exposure and the </w:t>
      </w:r>
      <w:r>
        <w:rPr>
          <w:rFonts w:ascii="Verdana" w:eastAsia="Calibri" w:hAnsi="Verdana" w:cs="Times New Roman"/>
          <w:lang w:val="en-US"/>
        </w:rPr>
        <w:t>SCR</w:t>
      </w:r>
      <w:r w:rsidRPr="00667CDE">
        <w:rPr>
          <w:rFonts w:ascii="Verdana" w:eastAsia="Calibri" w:hAnsi="Verdana" w:cs="Times New Roman"/>
          <w:lang w:val="en-US"/>
        </w:rPr>
        <w:t xml:space="preserve"> would be 1.5 million </w:t>
      </w:r>
      <w:r>
        <w:rPr>
          <w:rFonts w:ascii="Verdana" w:eastAsia="Calibri" w:hAnsi="Verdana" w:cs="Times New Roman"/>
          <w:lang w:val="en-US"/>
        </w:rPr>
        <w:t>EUR instead of 0.5m EUR</w:t>
      </w:r>
      <w:r w:rsidRPr="00667CDE">
        <w:rPr>
          <w:rFonts w:ascii="Verdana" w:eastAsia="Calibri" w:hAnsi="Verdana" w:cs="Times New Roman"/>
          <w:lang w:val="en-US"/>
        </w:rPr>
        <w:t>.</w:t>
      </w:r>
    </w:p>
    <w:p w:rsidR="00153D18" w:rsidRDefault="00153D18" w:rsidP="00EA4C7B">
      <w:pPr>
        <w:pStyle w:val="ListParagraph"/>
        <w:ind w:left="0"/>
        <w:rPr>
          <w:b/>
          <w:szCs w:val="22"/>
          <w:lang w:val="en-US"/>
        </w:rPr>
      </w:pPr>
      <w:r>
        <w:rPr>
          <w:b/>
          <w:szCs w:val="22"/>
          <w:lang w:val="en-US"/>
        </w:rPr>
        <w:t xml:space="preserve">Information request </w:t>
      </w:r>
    </w:p>
    <w:p w:rsidR="00153D18" w:rsidRPr="00153D18" w:rsidRDefault="00153D18" w:rsidP="00EA4C7B">
      <w:pPr>
        <w:pStyle w:val="ListParagraph"/>
        <w:ind w:left="0"/>
        <w:rPr>
          <w:szCs w:val="22"/>
          <w:lang w:val="en-US"/>
        </w:rPr>
      </w:pPr>
      <w:r>
        <w:rPr>
          <w:szCs w:val="22"/>
          <w:lang w:val="en-US"/>
        </w:rPr>
        <w:t>In order to assess the extent of this issue, EIOPA requested information to (re)insurance undertakings on a limited sample.</w:t>
      </w:r>
    </w:p>
    <w:p w:rsidR="00AF60B9" w:rsidRDefault="00AF60B9" w:rsidP="00EA4C7B">
      <w:pPr>
        <w:pStyle w:val="ListParagraph"/>
        <w:ind w:left="0"/>
        <w:rPr>
          <w:szCs w:val="22"/>
          <w:lang w:val="en-US"/>
        </w:rPr>
      </w:pPr>
      <w:r>
        <w:rPr>
          <w:szCs w:val="22"/>
          <w:lang w:val="en-US"/>
        </w:rPr>
        <w:t>In several cases, the highest net exposure is bigger than the SCR after risk mitigation technique:</w:t>
      </w:r>
    </w:p>
    <w:p w:rsidR="00AF60B9" w:rsidRDefault="00AF60B9">
      <w:pPr>
        <w:rPr>
          <w:rFonts w:ascii="Verdana" w:eastAsia="Times New Roman" w:hAnsi="Verdana" w:cs="Times New Roman"/>
          <w:lang w:val="en-US" w:eastAsia="en-GB"/>
        </w:rPr>
      </w:pPr>
      <w:r>
        <w:rPr>
          <w:lang w:val="en-US"/>
        </w:rPr>
        <w:br w:type="page"/>
      </w:r>
    </w:p>
    <w:p w:rsidR="00153D18" w:rsidRDefault="00153D18" w:rsidP="00EA4C7B">
      <w:pPr>
        <w:pStyle w:val="ListParagraph"/>
        <w:ind w:left="0"/>
        <w:rPr>
          <w:szCs w:val="22"/>
          <w:lang w:val="en-US"/>
        </w:rPr>
      </w:pPr>
    </w:p>
    <w:tbl>
      <w:tblPr>
        <w:tblStyle w:val="EIOPATable"/>
        <w:tblW w:w="0" w:type="auto"/>
        <w:tblLayout w:type="fixed"/>
        <w:tblLook w:val="04A0" w:firstRow="1" w:lastRow="0" w:firstColumn="1" w:lastColumn="0" w:noHBand="0" w:noVBand="1"/>
      </w:tblPr>
      <w:tblGrid>
        <w:gridCol w:w="948"/>
        <w:gridCol w:w="989"/>
        <w:gridCol w:w="1006"/>
        <w:gridCol w:w="973"/>
        <w:gridCol w:w="990"/>
        <w:gridCol w:w="1156"/>
        <w:gridCol w:w="823"/>
        <w:gridCol w:w="989"/>
        <w:gridCol w:w="1165"/>
        <w:gridCol w:w="815"/>
      </w:tblGrid>
      <w:tr w:rsidR="00AF60B9" w:rsidTr="002A5AD5">
        <w:trPr>
          <w:cnfStyle w:val="000000100000" w:firstRow="0" w:lastRow="0" w:firstColumn="0" w:lastColumn="0" w:oddVBand="0" w:evenVBand="0" w:oddHBand="1" w:evenHBand="0" w:firstRowFirstColumn="0" w:firstRowLastColumn="0" w:lastRowFirstColumn="0" w:lastRowLastColumn="0"/>
          <w:trHeight w:val="527"/>
          <w:tblHeader/>
        </w:trPr>
        <w:tc>
          <w:tcPr>
            <w:tcW w:w="948" w:type="dxa"/>
            <w:vMerge w:val="restart"/>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Country</w:t>
            </w:r>
          </w:p>
        </w:tc>
        <w:tc>
          <w:tcPr>
            <w:tcW w:w="2968" w:type="dxa"/>
            <w:gridSpan w:val="3"/>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Marine risk</w:t>
            </w:r>
          </w:p>
        </w:tc>
        <w:tc>
          <w:tcPr>
            <w:tcW w:w="2969" w:type="dxa"/>
            <w:gridSpan w:val="3"/>
            <w:shd w:val="clear" w:color="auto" w:fill="DAEEF3" w:themeFill="accent5" w:themeFillTint="33"/>
            <w:vAlign w:val="center"/>
          </w:tcPr>
          <w:p w:rsidR="00AF60B9" w:rsidRPr="00153D6D" w:rsidRDefault="00AF60B9" w:rsidP="002A5AD5">
            <w:pPr>
              <w:jc w:val="center"/>
              <w:rPr>
                <w:b/>
                <w:sz w:val="16"/>
                <w:szCs w:val="20"/>
                <w:lang w:val="en-US" w:eastAsia="de-DE"/>
              </w:rPr>
            </w:pPr>
            <w:r>
              <w:rPr>
                <w:b/>
                <w:sz w:val="16"/>
                <w:szCs w:val="20"/>
                <w:lang w:val="en-US" w:eastAsia="de-DE"/>
              </w:rPr>
              <w:t>Aviation risk</w:t>
            </w:r>
          </w:p>
        </w:tc>
        <w:tc>
          <w:tcPr>
            <w:tcW w:w="2969" w:type="dxa"/>
            <w:gridSpan w:val="3"/>
            <w:shd w:val="clear" w:color="auto" w:fill="DAEEF3" w:themeFill="accent5" w:themeFillTint="33"/>
            <w:vAlign w:val="center"/>
          </w:tcPr>
          <w:p w:rsidR="00AF60B9" w:rsidRPr="00153D6D" w:rsidRDefault="00AF60B9" w:rsidP="002A5AD5">
            <w:pPr>
              <w:jc w:val="center"/>
              <w:rPr>
                <w:b/>
                <w:sz w:val="16"/>
                <w:szCs w:val="20"/>
                <w:lang w:val="en-US" w:eastAsia="de-DE"/>
              </w:rPr>
            </w:pPr>
            <w:r>
              <w:rPr>
                <w:b/>
                <w:sz w:val="16"/>
                <w:szCs w:val="20"/>
                <w:lang w:val="en-US" w:eastAsia="de-DE"/>
              </w:rPr>
              <w:t>Fire risk</w:t>
            </w:r>
          </w:p>
        </w:tc>
      </w:tr>
      <w:tr w:rsidR="00AF60B9" w:rsidRPr="00153D6D" w:rsidTr="002A5AD5">
        <w:trPr>
          <w:trHeight w:val="531"/>
          <w:tblHeader/>
        </w:trPr>
        <w:tc>
          <w:tcPr>
            <w:tcW w:w="948" w:type="dxa"/>
            <w:vMerge/>
            <w:shd w:val="clear" w:color="auto" w:fill="DAEEF3" w:themeFill="accent5" w:themeFillTint="33"/>
            <w:vAlign w:val="center"/>
          </w:tcPr>
          <w:p w:rsidR="00AF60B9" w:rsidRPr="00153D6D" w:rsidRDefault="00AF60B9" w:rsidP="002A5AD5">
            <w:pPr>
              <w:jc w:val="center"/>
              <w:rPr>
                <w:b/>
                <w:sz w:val="16"/>
                <w:szCs w:val="20"/>
                <w:lang w:val="en-US" w:eastAsia="de-DE"/>
              </w:rPr>
            </w:pPr>
          </w:p>
        </w:tc>
        <w:tc>
          <w:tcPr>
            <w:tcW w:w="989"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Number of cases</w:t>
            </w:r>
          </w:p>
        </w:tc>
        <w:tc>
          <w:tcPr>
            <w:tcW w:w="1006"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No of IU provided data</w:t>
            </w:r>
          </w:p>
        </w:tc>
        <w:tc>
          <w:tcPr>
            <w:tcW w:w="973"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Share</w:t>
            </w:r>
            <w:r>
              <w:rPr>
                <w:b/>
                <w:sz w:val="16"/>
                <w:szCs w:val="20"/>
                <w:lang w:val="en-US" w:eastAsia="de-DE"/>
              </w:rPr>
              <w:t>*</w:t>
            </w:r>
          </w:p>
        </w:tc>
        <w:tc>
          <w:tcPr>
            <w:tcW w:w="990"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Number of cases</w:t>
            </w:r>
          </w:p>
        </w:tc>
        <w:tc>
          <w:tcPr>
            <w:tcW w:w="1156"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No of IU provided data</w:t>
            </w:r>
          </w:p>
        </w:tc>
        <w:tc>
          <w:tcPr>
            <w:tcW w:w="823"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Share</w:t>
            </w:r>
          </w:p>
        </w:tc>
        <w:tc>
          <w:tcPr>
            <w:tcW w:w="989"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Number of cases</w:t>
            </w:r>
          </w:p>
        </w:tc>
        <w:tc>
          <w:tcPr>
            <w:tcW w:w="1165"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No of IU provided data</w:t>
            </w:r>
          </w:p>
        </w:tc>
        <w:tc>
          <w:tcPr>
            <w:tcW w:w="815" w:type="dxa"/>
            <w:shd w:val="clear" w:color="auto" w:fill="DAEEF3" w:themeFill="accent5" w:themeFillTint="33"/>
            <w:vAlign w:val="center"/>
          </w:tcPr>
          <w:p w:rsidR="00AF60B9" w:rsidRPr="00153D6D" w:rsidRDefault="00AF60B9" w:rsidP="002A5AD5">
            <w:pPr>
              <w:jc w:val="center"/>
              <w:rPr>
                <w:b/>
                <w:sz w:val="16"/>
                <w:szCs w:val="20"/>
                <w:lang w:val="en-US" w:eastAsia="de-DE"/>
              </w:rPr>
            </w:pPr>
            <w:r w:rsidRPr="00153D6D">
              <w:rPr>
                <w:b/>
                <w:sz w:val="16"/>
                <w:szCs w:val="20"/>
                <w:lang w:val="en-US" w:eastAsia="de-DE"/>
              </w:rPr>
              <w:t>Share</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AT</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4</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16</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BE</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4</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CZ</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19</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DE</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7</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12</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17%</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6</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41</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15%</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DK</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8</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13%</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EE</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6</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EL</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6</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37</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16%</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ES</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2</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7</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29%</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4</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16</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32</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50%</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FI</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rsidR="00AF60B9" w:rsidRDefault="00AF60B9" w:rsidP="002A5AD5">
            <w:pPr>
              <w:jc w:val="right"/>
              <w:rPr>
                <w:sz w:val="16"/>
                <w:szCs w:val="16"/>
                <w:lang w:val="en-US" w:eastAsia="de-DE"/>
              </w:rPr>
            </w:pPr>
          </w:p>
        </w:tc>
        <w:tc>
          <w:tcPr>
            <w:tcW w:w="1156" w:type="dxa"/>
            <w:shd w:val="clear" w:color="auto" w:fill="FFFFFF" w:themeFill="background1"/>
            <w:vAlign w:val="center"/>
          </w:tcPr>
          <w:p w:rsidR="00AF60B9"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29</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FR</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20</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20</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8%</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HR</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7</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29%</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11</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9%</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HU</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2</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No data</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No data</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13</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sz w:val="16"/>
                <w:szCs w:val="16"/>
                <w:lang w:val="en-US" w:eastAsia="de-DE"/>
              </w:rPr>
              <w:t>No data</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IE</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2</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10</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20%</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9</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11%</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32</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6%</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IT</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1</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4</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4</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10</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44</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23%</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LI</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2</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6</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33%</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4</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13</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31%</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LT</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33%</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LU</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8</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8</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165"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8</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LV</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1</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4</w:t>
            </w:r>
            <w:r>
              <w:rPr>
                <w:sz w:val="16"/>
                <w:szCs w:val="16"/>
                <w:lang w:val="en-US" w:eastAsia="de-DE"/>
              </w:rPr>
              <w:t>**</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4</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4</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MT</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50%</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15</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33%</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NL</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3</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6</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50%</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8</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39</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21%</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NO</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50%</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PL</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0%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0% </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6</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33%</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PT</w:t>
            </w:r>
          </w:p>
        </w:tc>
        <w:tc>
          <w:tcPr>
            <w:tcW w:w="989" w:type="dxa"/>
            <w:shd w:val="clear" w:color="auto" w:fill="FFFFFF" w:themeFill="background1"/>
            <w:vAlign w:val="center"/>
          </w:tcPr>
          <w:p w:rsidR="00AF60B9"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Default="00AF60B9" w:rsidP="002A5AD5">
            <w:pPr>
              <w:jc w:val="right"/>
              <w:rPr>
                <w:sz w:val="16"/>
                <w:szCs w:val="16"/>
                <w:lang w:val="en-US" w:eastAsia="de-DE"/>
              </w:rPr>
            </w:pPr>
            <w:r>
              <w:rPr>
                <w:sz w:val="16"/>
                <w:szCs w:val="16"/>
                <w:lang w:val="en-US" w:eastAsia="de-DE"/>
              </w:rPr>
              <w:t>Whole market</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rsidR="00AF60B9"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Default="00AF60B9" w:rsidP="002A5AD5">
            <w:pPr>
              <w:jc w:val="right"/>
              <w:rPr>
                <w:sz w:val="16"/>
                <w:szCs w:val="16"/>
                <w:lang w:val="en-US" w:eastAsia="de-DE"/>
              </w:rPr>
            </w:pPr>
            <w:r>
              <w:rPr>
                <w:sz w:val="16"/>
                <w:szCs w:val="16"/>
                <w:lang w:val="en-US" w:eastAsia="de-DE"/>
              </w:rPr>
              <w:t>Whole market</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sz w:val="16"/>
                <w:szCs w:val="16"/>
                <w:lang w:val="en-US" w:eastAsia="de-DE"/>
              </w:rPr>
              <w:t>Whole market</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RO</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1</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9</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11%</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3</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12</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25%</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7</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15</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47%</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SE</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 xml:space="preserve"> </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3</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100%</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SI</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5</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8</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13%</w:t>
            </w:r>
          </w:p>
        </w:tc>
      </w:tr>
      <w:tr w:rsidR="00AF60B9" w:rsidRPr="000E728E" w:rsidTr="002A5AD5">
        <w:trPr>
          <w:cnfStyle w:val="000000100000" w:firstRow="0" w:lastRow="0" w:firstColumn="0" w:lastColumn="0" w:oddVBand="0" w:evenVBand="0" w:oddHBand="1" w:evenHBand="0" w:firstRowFirstColumn="0" w:firstRowLastColumn="0" w:lastRowFirstColumn="0" w:lastRowLastColumn="0"/>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SK</w:t>
            </w:r>
          </w:p>
        </w:tc>
        <w:tc>
          <w:tcPr>
            <w:tcW w:w="989" w:type="dxa"/>
            <w:shd w:val="clear" w:color="auto" w:fill="FFFFFF" w:themeFill="background1"/>
            <w:vAlign w:val="center"/>
          </w:tcPr>
          <w:p w:rsidR="00AF60B9" w:rsidRDefault="00AF60B9" w:rsidP="002A5AD5">
            <w:pPr>
              <w:jc w:val="right"/>
              <w:rPr>
                <w:sz w:val="16"/>
                <w:szCs w:val="16"/>
                <w:lang w:val="en-US" w:eastAsia="de-DE"/>
              </w:rPr>
            </w:pPr>
            <w:r>
              <w:rPr>
                <w:sz w:val="16"/>
                <w:szCs w:val="16"/>
                <w:lang w:val="en-US" w:eastAsia="de-DE"/>
              </w:rPr>
              <w:t>0</w:t>
            </w:r>
          </w:p>
        </w:tc>
        <w:tc>
          <w:tcPr>
            <w:tcW w:w="1006" w:type="dxa"/>
            <w:shd w:val="clear" w:color="auto" w:fill="FFFFFF" w:themeFill="background1"/>
            <w:vAlign w:val="center"/>
          </w:tcPr>
          <w:p w:rsidR="00AF60B9" w:rsidRDefault="00AF60B9" w:rsidP="002A5AD5">
            <w:pPr>
              <w:jc w:val="right"/>
              <w:rPr>
                <w:sz w:val="16"/>
                <w:szCs w:val="16"/>
                <w:lang w:val="en-US" w:eastAsia="de-DE"/>
              </w:rPr>
            </w:pPr>
            <w:r>
              <w:rPr>
                <w:sz w:val="16"/>
                <w:szCs w:val="16"/>
                <w:lang w:val="en-US" w:eastAsia="de-DE"/>
              </w:rPr>
              <w:t>1</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90" w:type="dxa"/>
            <w:shd w:val="clear" w:color="auto" w:fill="FFFFFF" w:themeFill="background1"/>
            <w:vAlign w:val="center"/>
          </w:tcPr>
          <w:p w:rsidR="00AF60B9" w:rsidRDefault="00AF60B9" w:rsidP="002A5AD5">
            <w:pPr>
              <w:jc w:val="right"/>
              <w:rPr>
                <w:sz w:val="16"/>
                <w:szCs w:val="16"/>
                <w:lang w:val="en-US" w:eastAsia="de-DE"/>
              </w:rPr>
            </w:pPr>
            <w:r>
              <w:rPr>
                <w:sz w:val="16"/>
                <w:szCs w:val="16"/>
                <w:lang w:val="en-US" w:eastAsia="de-DE"/>
              </w:rPr>
              <w:t>0</w:t>
            </w:r>
          </w:p>
        </w:tc>
        <w:tc>
          <w:tcPr>
            <w:tcW w:w="1156" w:type="dxa"/>
            <w:shd w:val="clear" w:color="auto" w:fill="FFFFFF" w:themeFill="background1"/>
            <w:vAlign w:val="center"/>
          </w:tcPr>
          <w:p w:rsidR="00AF60B9" w:rsidRDefault="00AF60B9" w:rsidP="002A5AD5">
            <w:pPr>
              <w:jc w:val="right"/>
              <w:rPr>
                <w:sz w:val="16"/>
                <w:szCs w:val="16"/>
                <w:lang w:val="en-US" w:eastAsia="de-DE"/>
              </w:rPr>
            </w:pPr>
            <w:r>
              <w:rPr>
                <w:sz w:val="16"/>
                <w:szCs w:val="16"/>
                <w:lang w:val="en-US" w:eastAsia="de-DE"/>
              </w:rPr>
              <w:t>1</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0%</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20%</w:t>
            </w:r>
          </w:p>
        </w:tc>
      </w:tr>
      <w:tr w:rsidR="00AF60B9" w:rsidRPr="000E728E" w:rsidTr="002A5AD5">
        <w:trPr>
          <w:trHeight w:val="283"/>
        </w:trPr>
        <w:tc>
          <w:tcPr>
            <w:tcW w:w="948" w:type="dxa"/>
            <w:shd w:val="clear" w:color="auto" w:fill="FFFFFF" w:themeFill="background1"/>
            <w:vAlign w:val="center"/>
          </w:tcPr>
          <w:p w:rsidR="00AF60B9" w:rsidRDefault="00AF60B9" w:rsidP="002A5AD5">
            <w:pPr>
              <w:jc w:val="center"/>
              <w:rPr>
                <w:rFonts w:ascii="Calibri" w:hAnsi="Calibri"/>
                <w:b/>
                <w:bCs/>
                <w:color w:val="000000"/>
                <w:sz w:val="20"/>
                <w:szCs w:val="20"/>
              </w:rPr>
            </w:pPr>
            <w:r>
              <w:rPr>
                <w:rFonts w:ascii="Calibri" w:hAnsi="Calibri"/>
                <w:b/>
                <w:bCs/>
                <w:color w:val="000000"/>
                <w:sz w:val="20"/>
                <w:szCs w:val="20"/>
              </w:rPr>
              <w:t>UK</w:t>
            </w:r>
          </w:p>
        </w:tc>
        <w:tc>
          <w:tcPr>
            <w:tcW w:w="989"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3</w:t>
            </w:r>
          </w:p>
        </w:tc>
        <w:tc>
          <w:tcPr>
            <w:tcW w:w="1006" w:type="dxa"/>
            <w:shd w:val="clear" w:color="auto" w:fill="FFFFFF" w:themeFill="background1"/>
            <w:vAlign w:val="center"/>
          </w:tcPr>
          <w:p w:rsidR="00AF60B9" w:rsidRPr="00572CE3" w:rsidRDefault="00AF60B9" w:rsidP="002A5AD5">
            <w:pPr>
              <w:jc w:val="right"/>
              <w:rPr>
                <w:sz w:val="16"/>
                <w:szCs w:val="16"/>
                <w:lang w:val="en-US" w:eastAsia="de-DE"/>
              </w:rPr>
            </w:pPr>
            <w:r w:rsidRPr="00572CE3">
              <w:rPr>
                <w:sz w:val="16"/>
                <w:szCs w:val="16"/>
                <w:lang w:val="en-US" w:eastAsia="de-DE"/>
              </w:rPr>
              <w:t>19</w:t>
            </w:r>
          </w:p>
        </w:tc>
        <w:tc>
          <w:tcPr>
            <w:tcW w:w="97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16%</w:t>
            </w:r>
          </w:p>
        </w:tc>
        <w:tc>
          <w:tcPr>
            <w:tcW w:w="990"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2</w:t>
            </w:r>
          </w:p>
        </w:tc>
        <w:tc>
          <w:tcPr>
            <w:tcW w:w="1156" w:type="dxa"/>
            <w:shd w:val="clear" w:color="auto" w:fill="FFFFFF" w:themeFill="background1"/>
            <w:vAlign w:val="center"/>
          </w:tcPr>
          <w:p w:rsidR="00AF60B9" w:rsidRPr="00572CE3" w:rsidRDefault="00AF60B9" w:rsidP="002A5AD5">
            <w:pPr>
              <w:jc w:val="right"/>
              <w:rPr>
                <w:sz w:val="16"/>
                <w:szCs w:val="16"/>
                <w:lang w:val="en-US" w:eastAsia="de-DE"/>
              </w:rPr>
            </w:pPr>
            <w:r>
              <w:rPr>
                <w:sz w:val="16"/>
                <w:szCs w:val="16"/>
                <w:lang w:val="en-US" w:eastAsia="de-DE"/>
              </w:rPr>
              <w:t>19</w:t>
            </w:r>
          </w:p>
        </w:tc>
        <w:tc>
          <w:tcPr>
            <w:tcW w:w="823"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11%</w:t>
            </w:r>
          </w:p>
        </w:tc>
        <w:tc>
          <w:tcPr>
            <w:tcW w:w="989"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w:t>
            </w:r>
          </w:p>
        </w:tc>
        <w:tc>
          <w:tcPr>
            <w:tcW w:w="116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19</w:t>
            </w:r>
          </w:p>
        </w:tc>
        <w:tc>
          <w:tcPr>
            <w:tcW w:w="815" w:type="dxa"/>
            <w:shd w:val="clear" w:color="auto" w:fill="FFFFFF" w:themeFill="background1"/>
            <w:vAlign w:val="center"/>
          </w:tcPr>
          <w:p w:rsidR="00AF60B9" w:rsidRDefault="00AF60B9" w:rsidP="002A5AD5">
            <w:pPr>
              <w:jc w:val="right"/>
              <w:rPr>
                <w:rFonts w:ascii="Calibri" w:hAnsi="Calibri"/>
                <w:color w:val="000000"/>
                <w:sz w:val="20"/>
                <w:szCs w:val="20"/>
              </w:rPr>
            </w:pPr>
            <w:r>
              <w:rPr>
                <w:rFonts w:ascii="Calibri" w:hAnsi="Calibri"/>
                <w:color w:val="000000"/>
                <w:sz w:val="20"/>
                <w:szCs w:val="20"/>
              </w:rPr>
              <w:t>5%</w:t>
            </w:r>
          </w:p>
        </w:tc>
      </w:tr>
    </w:tbl>
    <w:p w:rsidR="00AF60B9" w:rsidRDefault="00AF60B9" w:rsidP="00EA4C7B">
      <w:pPr>
        <w:pStyle w:val="ListParagraph"/>
        <w:ind w:left="0"/>
        <w:rPr>
          <w:b/>
          <w:szCs w:val="22"/>
          <w:lang w:val="en-US"/>
        </w:rPr>
      </w:pPr>
      <w:r>
        <w:rPr>
          <w:b/>
          <w:szCs w:val="22"/>
          <w:lang w:val="en-US"/>
        </w:rPr>
        <w:t>Policy proposal</w:t>
      </w:r>
    </w:p>
    <w:p w:rsidR="00AF60B9" w:rsidRDefault="00AF60B9" w:rsidP="00EA4C7B">
      <w:pPr>
        <w:pStyle w:val="ListParagraph"/>
        <w:ind w:left="0"/>
        <w:rPr>
          <w:szCs w:val="22"/>
          <w:lang w:val="en-US"/>
        </w:rPr>
      </w:pPr>
      <w:r>
        <w:rPr>
          <w:szCs w:val="22"/>
          <w:lang w:val="en-US"/>
        </w:rPr>
        <w:t xml:space="preserve">The SCR review PG intends to propose to EIOPA </w:t>
      </w:r>
      <w:proofErr w:type="spellStart"/>
      <w:r>
        <w:rPr>
          <w:szCs w:val="22"/>
          <w:lang w:val="en-US"/>
        </w:rPr>
        <w:t>BoS</w:t>
      </w:r>
      <w:proofErr w:type="spellEnd"/>
      <w:r>
        <w:rPr>
          <w:szCs w:val="22"/>
          <w:lang w:val="en-US"/>
        </w:rPr>
        <w:t xml:space="preserve"> and the European Commission to base the calculations of the fire, aviation and marine risks on the maximum net exposure.</w:t>
      </w:r>
    </w:p>
    <w:p w:rsidR="00AF60B9" w:rsidRDefault="00AF60B9" w:rsidP="00EA4C7B">
      <w:pPr>
        <w:pStyle w:val="ListParagraph"/>
        <w:ind w:left="0"/>
        <w:rPr>
          <w:szCs w:val="22"/>
          <w:lang w:val="en-US"/>
        </w:rPr>
      </w:pPr>
      <w:r>
        <w:rPr>
          <w:szCs w:val="22"/>
          <w:lang w:val="en-US"/>
        </w:rPr>
        <w:t xml:space="preserve">This will provide more appropriate risk-sensitivity and avoid underestimating the risks. </w:t>
      </w:r>
    </w:p>
    <w:p w:rsidR="00AF60B9" w:rsidRDefault="00AF60B9" w:rsidP="00EA4C7B">
      <w:pPr>
        <w:pStyle w:val="ListParagraph"/>
        <w:ind w:left="0"/>
        <w:rPr>
          <w:szCs w:val="22"/>
          <w:lang w:val="en-US"/>
        </w:rPr>
      </w:pPr>
      <w:r>
        <w:rPr>
          <w:szCs w:val="22"/>
          <w:lang w:val="en-US"/>
        </w:rPr>
        <w:t xml:space="preserve">The SCR review PG believes that it will not increase significantly the complexity of the calculations. Indeed, for marine and aviation risks, few undertakings are provided such covers and the undertakings are often specialised in proposing such insurance contracts. </w:t>
      </w:r>
    </w:p>
    <w:p w:rsidR="00AF60B9" w:rsidRDefault="00AF60B9" w:rsidP="00EA4C7B">
      <w:pPr>
        <w:pStyle w:val="ListParagraph"/>
        <w:ind w:left="0"/>
        <w:rPr>
          <w:szCs w:val="22"/>
          <w:lang w:val="en-US"/>
        </w:rPr>
      </w:pPr>
      <w:r>
        <w:rPr>
          <w:szCs w:val="22"/>
          <w:lang w:val="en-US"/>
        </w:rPr>
        <w:t xml:space="preserve">In the case of fire risk, the SCR review PG acknowledges that it could increase complexity, should the calculation be performed in the same manner as it is </w:t>
      </w:r>
      <w:r>
        <w:rPr>
          <w:szCs w:val="22"/>
          <w:lang w:val="en-US"/>
        </w:rPr>
        <w:lastRenderedPageBreak/>
        <w:t>today. However, the simplifications envisaged by the CAT WS for this risk module mitigates this added complexity.</w:t>
      </w:r>
    </w:p>
    <w:p w:rsidR="00AF60B9" w:rsidRDefault="00AF60B9" w:rsidP="00AF60B9">
      <w:pPr>
        <w:pStyle w:val="ListParagraph"/>
        <w:ind w:left="0"/>
        <w:rPr>
          <w:b/>
          <w:szCs w:val="22"/>
          <w:lang w:val="en-GB"/>
        </w:rPr>
      </w:pPr>
      <w:r>
        <w:rPr>
          <w:b/>
          <w:szCs w:val="22"/>
          <w:lang w:val="en-GB"/>
        </w:rPr>
        <w:t>Does the CAT WS have any comment on this approach?</w:t>
      </w:r>
    </w:p>
    <w:p w:rsidR="00AF60B9" w:rsidRPr="00B4505E" w:rsidRDefault="00AF60B9" w:rsidP="00AF60B9">
      <w:pPr>
        <w:pStyle w:val="ListParagraph"/>
        <w:ind w:left="0"/>
        <w:rPr>
          <w:b/>
          <w:szCs w:val="22"/>
          <w:lang w:val="en-GB"/>
        </w:rPr>
      </w:pPr>
      <w:r>
        <w:rPr>
          <w:b/>
          <w:szCs w:val="22"/>
          <w:lang w:val="en-GB"/>
        </w:rPr>
        <w:t>For fire risk, how could the simplification envisaged incorporate this policy change?</w:t>
      </w:r>
    </w:p>
    <w:p w:rsidR="00AF60B9" w:rsidRPr="00AF60B9" w:rsidRDefault="00AF60B9" w:rsidP="00EA4C7B">
      <w:pPr>
        <w:pStyle w:val="ListParagraph"/>
        <w:ind w:left="0"/>
        <w:rPr>
          <w:szCs w:val="22"/>
          <w:lang w:val="en-GB"/>
        </w:rPr>
      </w:pPr>
    </w:p>
    <w:sectPr w:rsidR="00AF60B9" w:rsidRPr="00AF60B9" w:rsidSect="00B450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709C"/>
    <w:multiLevelType w:val="hybridMultilevel"/>
    <w:tmpl w:val="E5D0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623334"/>
    <w:multiLevelType w:val="hybridMultilevel"/>
    <w:tmpl w:val="2124E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C102260"/>
    <w:multiLevelType w:val="hybridMultilevel"/>
    <w:tmpl w:val="E70A0924"/>
    <w:lvl w:ilvl="0" w:tplc="A4A61460">
      <w:start w:val="1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76D5621"/>
    <w:multiLevelType w:val="hybridMultilevel"/>
    <w:tmpl w:val="15C81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F8E2FD7"/>
    <w:multiLevelType w:val="hybridMultilevel"/>
    <w:tmpl w:val="01E85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734241"/>
    <w:multiLevelType w:val="hybridMultilevel"/>
    <w:tmpl w:val="CC64CF24"/>
    <w:lvl w:ilvl="0" w:tplc="ED3E22AE">
      <w:start w:val="4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48C7248"/>
    <w:multiLevelType w:val="hybridMultilevel"/>
    <w:tmpl w:val="7A34B892"/>
    <w:lvl w:ilvl="0" w:tplc="80F00420">
      <w:start w:val="4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6DB"/>
    <w:rsid w:val="000476FF"/>
    <w:rsid w:val="00080F3E"/>
    <w:rsid w:val="000A5614"/>
    <w:rsid w:val="000B3974"/>
    <w:rsid w:val="00153D18"/>
    <w:rsid w:val="00197F64"/>
    <w:rsid w:val="001B0C9A"/>
    <w:rsid w:val="002416DB"/>
    <w:rsid w:val="002576DF"/>
    <w:rsid w:val="002D5ECA"/>
    <w:rsid w:val="003910CB"/>
    <w:rsid w:val="00435AF5"/>
    <w:rsid w:val="0044477B"/>
    <w:rsid w:val="0046161E"/>
    <w:rsid w:val="00472402"/>
    <w:rsid w:val="004E32C5"/>
    <w:rsid w:val="0059440F"/>
    <w:rsid w:val="005C3F91"/>
    <w:rsid w:val="00661418"/>
    <w:rsid w:val="00680184"/>
    <w:rsid w:val="006B21B7"/>
    <w:rsid w:val="00714044"/>
    <w:rsid w:val="00723723"/>
    <w:rsid w:val="007458B2"/>
    <w:rsid w:val="008E0A82"/>
    <w:rsid w:val="008E3BD7"/>
    <w:rsid w:val="00A12F9D"/>
    <w:rsid w:val="00A46055"/>
    <w:rsid w:val="00AC6C10"/>
    <w:rsid w:val="00AF60B9"/>
    <w:rsid w:val="00B4505E"/>
    <w:rsid w:val="00C52C84"/>
    <w:rsid w:val="00CA6C16"/>
    <w:rsid w:val="00D25B87"/>
    <w:rsid w:val="00DA5BDC"/>
    <w:rsid w:val="00E306F3"/>
    <w:rsid w:val="00EA4C7B"/>
    <w:rsid w:val="00F358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6DB"/>
    <w:pPr>
      <w:spacing w:before="120" w:after="0" w:line="240" w:lineRule="auto"/>
      <w:ind w:left="708"/>
      <w:jc w:val="both"/>
    </w:pPr>
    <w:rPr>
      <w:rFonts w:ascii="Verdana" w:eastAsia="Times New Roman" w:hAnsi="Verdana" w:cs="Times New Roman"/>
      <w:szCs w:val="24"/>
      <w:lang w:val="fr-FR" w:eastAsia="en-GB"/>
    </w:rPr>
  </w:style>
  <w:style w:type="table" w:styleId="TableGrid">
    <w:name w:val="Table Grid"/>
    <w:basedOn w:val="TableNormal"/>
    <w:uiPriority w:val="59"/>
    <w:rsid w:val="0024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044"/>
    <w:rPr>
      <w:rFonts w:ascii="Tahoma" w:hAnsi="Tahoma" w:cs="Tahoma"/>
      <w:sz w:val="16"/>
      <w:szCs w:val="16"/>
    </w:rPr>
  </w:style>
  <w:style w:type="character" w:styleId="Hyperlink">
    <w:name w:val="Hyperlink"/>
    <w:basedOn w:val="DefaultParagraphFont"/>
    <w:uiPriority w:val="99"/>
    <w:unhideWhenUsed/>
    <w:rsid w:val="00CA6C16"/>
    <w:rPr>
      <w:color w:val="0000FF" w:themeColor="hyperlink"/>
      <w:u w:val="none"/>
    </w:rPr>
  </w:style>
  <w:style w:type="paragraph" w:styleId="Title">
    <w:name w:val="Title"/>
    <w:aliases w:val="Document Title"/>
    <w:basedOn w:val="Normal"/>
    <w:next w:val="Normal"/>
    <w:link w:val="TitleChar"/>
    <w:uiPriority w:val="10"/>
    <w:qFormat/>
    <w:rsid w:val="00CA6C16"/>
    <w:pPr>
      <w:shd w:val="clear" w:color="auto" w:fill="D0E7F6"/>
      <w:spacing w:before="240" w:after="240" w:line="240" w:lineRule="auto"/>
      <w:jc w:val="center"/>
    </w:pPr>
    <w:rPr>
      <w:rFonts w:ascii="Verdana" w:eastAsiaTheme="majorEastAsia" w:hAnsi="Verdana" w:cstheme="majorBidi"/>
      <w:b/>
      <w:spacing w:val="5"/>
      <w:kern w:val="28"/>
      <w:sz w:val="40"/>
      <w:szCs w:val="52"/>
    </w:rPr>
  </w:style>
  <w:style w:type="character" w:customStyle="1" w:styleId="TitleChar">
    <w:name w:val="Title Char"/>
    <w:aliases w:val="Document Title Char"/>
    <w:basedOn w:val="DefaultParagraphFont"/>
    <w:link w:val="Title"/>
    <w:uiPriority w:val="10"/>
    <w:rsid w:val="00CA6C16"/>
    <w:rPr>
      <w:rFonts w:ascii="Verdana" w:eastAsiaTheme="majorEastAsia" w:hAnsi="Verdana" w:cstheme="majorBidi"/>
      <w:b/>
      <w:spacing w:val="5"/>
      <w:kern w:val="28"/>
      <w:sz w:val="40"/>
      <w:szCs w:val="52"/>
      <w:shd w:val="clear" w:color="auto" w:fill="D0E7F6"/>
    </w:rPr>
  </w:style>
  <w:style w:type="paragraph" w:customStyle="1" w:styleId="ReferenceNumber">
    <w:name w:val="Reference Number"/>
    <w:basedOn w:val="Normal"/>
    <w:qFormat/>
    <w:rsid w:val="00CA6C16"/>
    <w:pPr>
      <w:tabs>
        <w:tab w:val="left" w:pos="1480"/>
      </w:tabs>
      <w:spacing w:after="0" w:line="240" w:lineRule="auto"/>
      <w:jc w:val="right"/>
    </w:pPr>
    <w:rPr>
      <w:rFonts w:ascii="Verdana" w:hAnsi="Verdana"/>
      <w:sz w:val="20"/>
      <w:szCs w:val="20"/>
    </w:rPr>
  </w:style>
  <w:style w:type="character" w:customStyle="1" w:styleId="Regular">
    <w:name w:val="Regular"/>
    <w:basedOn w:val="DefaultParagraphFont"/>
    <w:uiPriority w:val="1"/>
    <w:qFormat/>
    <w:rsid w:val="00CA6C16"/>
  </w:style>
  <w:style w:type="character" w:customStyle="1" w:styleId="Style5">
    <w:name w:val="Style5"/>
    <w:basedOn w:val="DefaultParagraphFont"/>
    <w:uiPriority w:val="1"/>
    <w:rsid w:val="00CA6C16"/>
    <w:rPr>
      <w:color w:val="FF0000"/>
    </w:rPr>
  </w:style>
  <w:style w:type="table" w:customStyle="1" w:styleId="EIOPATable">
    <w:name w:val="EIOPA Table"/>
    <w:basedOn w:val="TableNormal"/>
    <w:uiPriority w:val="99"/>
    <w:rsid w:val="00AF60B9"/>
    <w:pPr>
      <w:spacing w:after="0" w:line="240" w:lineRule="auto"/>
    </w:pPr>
    <w:rPr>
      <w:rFonts w:ascii="Verdana" w:hAnsi="Verdana"/>
    </w:rPr>
    <w:tblPr>
      <w:tblStyleRow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
    <w:tcPr>
      <w:shd w:val="clear" w:color="auto" w:fill="auto"/>
    </w:tcPr>
    <w:tblStylePr w:type="band1Horz">
      <w:rPr>
        <w:rFonts w:ascii="Verdana" w:hAnsi="Verdana"/>
        <w:sz w:val="22"/>
      </w:rPr>
      <w:tblPr/>
      <w:tcPr>
        <w:shd w:val="clear" w:color="auto" w:fill="D0E7F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6DB"/>
    <w:pPr>
      <w:spacing w:before="120" w:after="0" w:line="240" w:lineRule="auto"/>
      <w:ind w:left="708"/>
      <w:jc w:val="both"/>
    </w:pPr>
    <w:rPr>
      <w:rFonts w:ascii="Verdana" w:eastAsia="Times New Roman" w:hAnsi="Verdana" w:cs="Times New Roman"/>
      <w:szCs w:val="24"/>
      <w:lang w:val="fr-FR" w:eastAsia="en-GB"/>
    </w:rPr>
  </w:style>
  <w:style w:type="table" w:styleId="TableGrid">
    <w:name w:val="Table Grid"/>
    <w:basedOn w:val="TableNormal"/>
    <w:uiPriority w:val="59"/>
    <w:rsid w:val="0024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044"/>
    <w:rPr>
      <w:rFonts w:ascii="Tahoma" w:hAnsi="Tahoma" w:cs="Tahoma"/>
      <w:sz w:val="16"/>
      <w:szCs w:val="16"/>
    </w:rPr>
  </w:style>
  <w:style w:type="character" w:styleId="Hyperlink">
    <w:name w:val="Hyperlink"/>
    <w:basedOn w:val="DefaultParagraphFont"/>
    <w:uiPriority w:val="99"/>
    <w:unhideWhenUsed/>
    <w:rsid w:val="00CA6C16"/>
    <w:rPr>
      <w:color w:val="0000FF" w:themeColor="hyperlink"/>
      <w:u w:val="none"/>
    </w:rPr>
  </w:style>
  <w:style w:type="paragraph" w:styleId="Title">
    <w:name w:val="Title"/>
    <w:aliases w:val="Document Title"/>
    <w:basedOn w:val="Normal"/>
    <w:next w:val="Normal"/>
    <w:link w:val="TitleChar"/>
    <w:uiPriority w:val="10"/>
    <w:qFormat/>
    <w:rsid w:val="00CA6C16"/>
    <w:pPr>
      <w:shd w:val="clear" w:color="auto" w:fill="D0E7F6"/>
      <w:spacing w:before="240" w:after="240" w:line="240" w:lineRule="auto"/>
      <w:jc w:val="center"/>
    </w:pPr>
    <w:rPr>
      <w:rFonts w:ascii="Verdana" w:eastAsiaTheme="majorEastAsia" w:hAnsi="Verdana" w:cstheme="majorBidi"/>
      <w:b/>
      <w:spacing w:val="5"/>
      <w:kern w:val="28"/>
      <w:sz w:val="40"/>
      <w:szCs w:val="52"/>
    </w:rPr>
  </w:style>
  <w:style w:type="character" w:customStyle="1" w:styleId="TitleChar">
    <w:name w:val="Title Char"/>
    <w:aliases w:val="Document Title Char"/>
    <w:basedOn w:val="DefaultParagraphFont"/>
    <w:link w:val="Title"/>
    <w:uiPriority w:val="10"/>
    <w:rsid w:val="00CA6C16"/>
    <w:rPr>
      <w:rFonts w:ascii="Verdana" w:eastAsiaTheme="majorEastAsia" w:hAnsi="Verdana" w:cstheme="majorBidi"/>
      <w:b/>
      <w:spacing w:val="5"/>
      <w:kern w:val="28"/>
      <w:sz w:val="40"/>
      <w:szCs w:val="52"/>
      <w:shd w:val="clear" w:color="auto" w:fill="D0E7F6"/>
    </w:rPr>
  </w:style>
  <w:style w:type="paragraph" w:customStyle="1" w:styleId="ReferenceNumber">
    <w:name w:val="Reference Number"/>
    <w:basedOn w:val="Normal"/>
    <w:qFormat/>
    <w:rsid w:val="00CA6C16"/>
    <w:pPr>
      <w:tabs>
        <w:tab w:val="left" w:pos="1480"/>
      </w:tabs>
      <w:spacing w:after="0" w:line="240" w:lineRule="auto"/>
      <w:jc w:val="right"/>
    </w:pPr>
    <w:rPr>
      <w:rFonts w:ascii="Verdana" w:hAnsi="Verdana"/>
      <w:sz w:val="20"/>
      <w:szCs w:val="20"/>
    </w:rPr>
  </w:style>
  <w:style w:type="character" w:customStyle="1" w:styleId="Regular">
    <w:name w:val="Regular"/>
    <w:basedOn w:val="DefaultParagraphFont"/>
    <w:uiPriority w:val="1"/>
    <w:qFormat/>
    <w:rsid w:val="00CA6C16"/>
  </w:style>
  <w:style w:type="character" w:customStyle="1" w:styleId="Style5">
    <w:name w:val="Style5"/>
    <w:basedOn w:val="DefaultParagraphFont"/>
    <w:uiPriority w:val="1"/>
    <w:rsid w:val="00CA6C16"/>
    <w:rPr>
      <w:color w:val="FF0000"/>
    </w:rPr>
  </w:style>
  <w:style w:type="table" w:customStyle="1" w:styleId="EIOPATable">
    <w:name w:val="EIOPA Table"/>
    <w:basedOn w:val="TableNormal"/>
    <w:uiPriority w:val="99"/>
    <w:rsid w:val="00AF60B9"/>
    <w:pPr>
      <w:spacing w:after="0" w:line="240" w:lineRule="auto"/>
    </w:pPr>
    <w:rPr>
      <w:rFonts w:ascii="Verdana" w:hAnsi="Verdana"/>
    </w:rPr>
    <w:tblPr>
      <w:tblStyleRow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
    <w:tcPr>
      <w:shd w:val="clear" w:color="auto" w:fill="auto"/>
    </w:tcPr>
    <w:tblStylePr w:type="band1Horz">
      <w:rPr>
        <w:rFonts w:ascii="Verdana" w:hAnsi="Verdana"/>
        <w:sz w:val="22"/>
      </w:rPr>
      <w:tblPr/>
      <w:tcPr>
        <w:shd w:val="clear" w:color="auto" w:fill="D0E7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2017-08-23T22:00:00+00:00</Meeting_x0020_Dat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 xsi:nil="true"/>
    <Type_x0020_of_x0020_memo xmlns="d113e6c9-68c2-4198-bb3a-f8ecf571e120" xsi:nil="true"/>
    <Linked_x0020_files xmlns="7adb48b6-3973-4eaa-90bf-52485ba4b57c" xsi:nil="true"/>
    <Reference xmlns="d113e6c9-68c2-4198-bb3a-f8ecf571e120" xsi:nil="true"/>
  </documentManagement>
</p:properties>
</file>

<file path=customXml/itemProps1.xml><?xml version="1.0" encoding="utf-8"?>
<ds:datastoreItem xmlns:ds="http://schemas.openxmlformats.org/officeDocument/2006/customXml" ds:itemID="{CF27960C-2BC0-4FA3-9951-9A6F931E467E}"/>
</file>

<file path=customXml/itemProps2.xml><?xml version="1.0" encoding="utf-8"?>
<ds:datastoreItem xmlns:ds="http://schemas.openxmlformats.org/officeDocument/2006/customXml" ds:itemID="{DA2EE6BB-384D-4C32-B657-7B353DFB2C03}"/>
</file>

<file path=customXml/itemProps3.xml><?xml version="1.0" encoding="utf-8"?>
<ds:datastoreItem xmlns:ds="http://schemas.openxmlformats.org/officeDocument/2006/customXml" ds:itemID="{401E5E9A-64BB-4C5F-B508-2449B100EAE8}"/>
</file>

<file path=docProps/app.xml><?xml version="1.0" encoding="utf-8"?>
<Properties xmlns="http://schemas.openxmlformats.org/officeDocument/2006/extended-properties" xmlns:vt="http://schemas.openxmlformats.org/officeDocument/2006/docPropsVTypes">
  <Template>Normal.dotm</Template>
  <TotalTime>171</TotalTime>
  <Pages>4</Pages>
  <Words>739</Words>
  <Characters>4216</Characters>
  <Application>Microsoft Office Word</Application>
  <DocSecurity>0</DocSecurity>
  <Lines>35</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EIOPA</Company>
  <LinksUpToDate>false</LinksUpToDate>
  <CharactersWithSpaces>4946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Item_5_-_Man-Made CAT net of reinsurance for CAT WS</dc:title>
  <dc:creator>Camille Graciani</dc:creator>
  <cp:lastModifiedBy>Camille Graciani</cp:lastModifiedBy>
  <cp:revision>9</cp:revision>
  <dcterms:created xsi:type="dcterms:W3CDTF">2017-08-14T10:11:00Z</dcterms:created>
  <dcterms:modified xsi:type="dcterms:W3CDTF">2017-08-18T15:19:00Z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-2053911113</vt:i4>
  </property>
  <property fmtid="{D5CDD505-2E9C-101B-9397-08002B2CF9AE}" pid="3" name="_NewReviewCycle">
    <vt:lpwstr/>
  </property>
  <property fmtid="{D5CDD505-2E9C-101B-9397-08002B2CF9AE}" pid="4" name="_EmailSubject">
    <vt:lpwstr>To CAT WS: Draft agenda + 1st set of documents for 24-25 Aug 2017 4th physical meeting</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ies>
</file>