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noProof/>
          <w:lang w:eastAsia="en-GB"/>
        </w:rPr>
        <w:id w:val="2000993162"/>
        <w:lock w:val="contentLocked"/>
        <w:picture/>
      </w:sdtPr>
      <w:sdtEndPr/>
      <w:sdtContent>
        <w:p w:rsidR="00CA6C16" w:rsidRDefault="00CA6C16" w:rsidP="002D3A3F">
          <w:pPr>
            <w:jc w:val="center"/>
          </w:pPr>
          <w:r w:rsidRPr="009B01A3">
            <w:rPr>
              <w:noProof/>
              <w:lang w:eastAsia="en-GB"/>
            </w:rPr>
            <w:drawing>
              <wp:inline distT="0" distB="0" distL="0" distR="0" wp14:anchorId="256E6884" wp14:editId="17AC6081">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rsidR="00CA6C16" w:rsidRPr="009B01A3" w:rsidRDefault="00CA6C16" w:rsidP="002D3A3F">
      <w:pPr>
        <w:jc w:val="center"/>
      </w:pPr>
    </w:p>
    <w:p w:rsidR="00CA6C16" w:rsidRPr="0010199E" w:rsidRDefault="00736BA4" w:rsidP="002D3A3F">
      <w:pPr>
        <w:pStyle w:val="ReferenceNumber"/>
        <w:rPr>
          <w:rStyle w:val="Regular"/>
        </w:rPr>
      </w:pPr>
      <w:sdt>
        <w:sdtPr>
          <w:rPr>
            <w:rStyle w:val="Style5"/>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color w:val="auto"/>
          </w:rPr>
        </w:sdtEndPr>
        <w:sdtContent>
          <w:r w:rsidR="00CA6C16">
            <w:rPr>
              <w:rStyle w:val="Style5"/>
            </w:rPr>
            <w:t xml:space="preserve"> </w:t>
          </w:r>
        </w:sdtContent>
      </w:sdt>
      <w:r w:rsidR="00CA6C16" w:rsidRPr="0010199E">
        <w:rPr>
          <w:rStyle w:val="Regular"/>
        </w:rPr>
        <w:t xml:space="preserve"> </w:t>
      </w:r>
    </w:p>
    <w:p w:rsidR="00CA6C16" w:rsidRPr="0010199E" w:rsidRDefault="00736BA4" w:rsidP="002D3A3F">
      <w:pPr>
        <w:pStyle w:val="ReferenceNumber"/>
      </w:pPr>
      <w:sdt>
        <w:sdtPr>
          <w:id w:val="2079789613"/>
          <w:showingPlcHdr/>
        </w:sdtPr>
        <w:sdtEndPr/>
        <w:sdtContent>
          <w:r w:rsidR="00CA6C16">
            <w:t xml:space="preserve">     </w:t>
          </w:r>
        </w:sdtContent>
      </w:sdt>
    </w:p>
    <w:p w:rsidR="00CA6C16" w:rsidRPr="0010199E" w:rsidRDefault="00736BA4" w:rsidP="002D3A3F">
      <w:pPr>
        <w:pStyle w:val="ReferenceNumber"/>
        <w:rPr>
          <w:rStyle w:val="Regular"/>
        </w:rPr>
      </w:pPr>
      <w:sdt>
        <w:sdtPr>
          <w:id w:val="-113525082"/>
        </w:sdtPr>
        <w:sdtEndPr/>
        <w:sdtContent>
          <w:r w:rsidR="00B003F2">
            <w:t>21</w:t>
          </w:r>
          <w:r w:rsidR="00CA6C16" w:rsidRPr="0010199E">
            <w:t xml:space="preserve"> </w:t>
          </w:r>
          <w:r w:rsidR="00CA6C16">
            <w:t>0</w:t>
          </w:r>
          <w:r w:rsidR="00080F3E">
            <w:t>8</w:t>
          </w:r>
          <w:r w:rsidR="00CA6C16" w:rsidRPr="0010199E">
            <w:t xml:space="preserve"> </w:t>
          </w:r>
          <w:r w:rsidR="00CA6C16">
            <w:t>2017</w:t>
          </w:r>
        </w:sdtContent>
      </w:sdt>
    </w:p>
    <w:p w:rsidR="00CA6C16" w:rsidRPr="009B01A3" w:rsidRDefault="00CA6C16" w:rsidP="002D3A3F">
      <w:pPr>
        <w:jc w:val="center"/>
        <w:rPr>
          <w:sz w:val="24"/>
          <w:szCs w:val="24"/>
        </w:rPr>
      </w:pPr>
    </w:p>
    <w:p w:rsidR="00CA6C16" w:rsidRDefault="00CA6C16" w:rsidP="002D3A3F">
      <w:pPr>
        <w:pStyle w:val="Title"/>
      </w:pPr>
      <w:r w:rsidRPr="00E97A4A">
        <w:tab/>
      </w:r>
    </w:p>
    <w:p w:rsidR="00B003F2" w:rsidRPr="00B003F2" w:rsidRDefault="00B003F2" w:rsidP="00B003F2">
      <w:pPr>
        <w:pStyle w:val="Title"/>
      </w:pPr>
      <w:r>
        <w:t>Motor vehicle liability risk</w:t>
      </w:r>
      <w:r>
        <w:br/>
      </w:r>
    </w:p>
    <w:p w:rsidR="00B003F2" w:rsidRDefault="00FB5484" w:rsidP="00EA4C7B">
      <w:pPr>
        <w:pStyle w:val="ListParagraph"/>
        <w:ind w:left="0"/>
        <w:rPr>
          <w:b/>
          <w:szCs w:val="22"/>
          <w:lang w:val="en-US"/>
        </w:rPr>
      </w:pPr>
      <w:r>
        <w:rPr>
          <w:b/>
          <w:szCs w:val="22"/>
          <w:lang w:val="en-US"/>
        </w:rPr>
        <w:t xml:space="preserve">IPC </w:t>
      </w:r>
      <w:r w:rsidR="00B003F2" w:rsidRPr="00B003F2">
        <w:rPr>
          <w:b/>
          <w:szCs w:val="22"/>
          <w:lang w:val="en-US"/>
        </w:rPr>
        <w:t>Mandate</w:t>
      </w:r>
      <w:r>
        <w:rPr>
          <w:b/>
          <w:szCs w:val="22"/>
          <w:lang w:val="en-US"/>
        </w:rPr>
        <w:t xml:space="preserve"> to CAT WS</w:t>
      </w:r>
    </w:p>
    <w:p w:rsidR="00B003F2" w:rsidRPr="00B003F2" w:rsidRDefault="00B003F2" w:rsidP="00EA4C7B">
      <w:pPr>
        <w:pStyle w:val="ListParagraph"/>
        <w:ind w:left="0"/>
        <w:rPr>
          <w:b/>
          <w:szCs w:val="22"/>
          <w:lang w:val="en-US"/>
        </w:rPr>
      </w:pPr>
    </w:p>
    <w:p w:rsidR="00B003F2" w:rsidRDefault="00B003F2" w:rsidP="00B003F2">
      <w:pPr>
        <w:ind w:left="360"/>
        <w:rPr>
          <w:rFonts w:ascii="Verdana" w:eastAsia="Times New Roman" w:hAnsi="Verdana"/>
          <w:i/>
          <w:iCs/>
          <w:color w:val="000000"/>
        </w:rPr>
      </w:pPr>
      <w:r>
        <w:rPr>
          <w:rFonts w:ascii="Verdana" w:eastAsia="Times New Roman" w:hAnsi="Verdana"/>
          <w:i/>
          <w:iCs/>
          <w:color w:val="000000"/>
        </w:rPr>
        <w:t>“2. Motor vehicle liability risk sub-module</w:t>
      </w:r>
    </w:p>
    <w:p w:rsidR="00B003F2" w:rsidRDefault="00B003F2" w:rsidP="00B003F2">
      <w:pPr>
        <w:jc w:val="both"/>
        <w:rPr>
          <w:rFonts w:ascii="Verdana" w:hAnsi="Verdana"/>
        </w:rPr>
      </w:pPr>
      <w:r>
        <w:rPr>
          <w:rFonts w:ascii="Verdana" w:hAnsi="Verdana"/>
        </w:rPr>
        <w:t>Several stakeholders expressed some doubts as regards the specifications of this sub-module on limited and unlimited liability. It seems apparently difficult to apply in practice this distinction in some cases.</w:t>
      </w:r>
    </w:p>
    <w:p w:rsidR="00B003F2" w:rsidRDefault="00B003F2" w:rsidP="00B003F2">
      <w:pPr>
        <w:jc w:val="both"/>
        <w:rPr>
          <w:rFonts w:ascii="Verdana" w:hAnsi="Verdana"/>
        </w:rPr>
      </w:pPr>
      <w:r>
        <w:rPr>
          <w:rFonts w:ascii="Verdana" w:hAnsi="Verdana"/>
        </w:rPr>
        <w:t>According to the Motor Insurance Directive (2009/103/EC) the claim amount depends on the statutory limits in the country where an accident occurred. It is not sufficiently clear how the number of vehicles insured by the undertaking should be allocated to those with policy limit “above EUR 24 Million” and those with policy limit “below or equal to EUR 24 Million”, as required by Article 129 (1) (a) and (b) of EC Delegated Regulation (EU) 2015/35, if the statutory policy limit is below EUR 24 Million (“limited”) in the home country of the undertaking but greater than EUR 24 million (“unlimited”) in the neighbouring countries.</w:t>
      </w:r>
    </w:p>
    <w:p w:rsidR="00B003F2" w:rsidRDefault="00B003F2" w:rsidP="00B003F2">
      <w:pPr>
        <w:shd w:val="clear" w:color="auto" w:fill="D9D9D9"/>
        <w:jc w:val="both"/>
        <w:rPr>
          <w:rFonts w:ascii="Verdana" w:hAnsi="Verdana"/>
        </w:rPr>
      </w:pPr>
      <w:r>
        <w:rPr>
          <w:rFonts w:ascii="Verdana" w:hAnsi="Verdana"/>
          <w:b/>
          <w:bCs/>
        </w:rPr>
        <w:t>Mandate for the CAT WS:</w:t>
      </w:r>
    </w:p>
    <w:p w:rsidR="00B003F2" w:rsidRDefault="00B003F2" w:rsidP="00B003F2">
      <w:pPr>
        <w:shd w:val="clear" w:color="auto" w:fill="D9D9D9"/>
        <w:jc w:val="both"/>
        <w:rPr>
          <w:rFonts w:ascii="Verdana" w:hAnsi="Verdana"/>
        </w:rPr>
      </w:pPr>
      <w:r>
        <w:rPr>
          <w:rFonts w:ascii="Verdana" w:hAnsi="Verdana"/>
        </w:rPr>
        <w:t>The CAT WS is asked to specify the scenarios and which input parameters are required.”</w:t>
      </w:r>
    </w:p>
    <w:p w:rsidR="00FB5484" w:rsidRPr="00FB5484" w:rsidRDefault="00FB5484" w:rsidP="00FB5484">
      <w:pPr>
        <w:pStyle w:val="ListParagraph"/>
        <w:ind w:left="0"/>
        <w:rPr>
          <w:rFonts w:eastAsia="Calibri"/>
          <w:b/>
          <w:szCs w:val="22"/>
          <w:lang w:val="en-GB" w:eastAsia="en-US"/>
        </w:rPr>
      </w:pPr>
      <w:r>
        <w:rPr>
          <w:rFonts w:eastAsia="Calibri"/>
          <w:b/>
          <w:szCs w:val="22"/>
          <w:lang w:val="en-GB" w:eastAsia="en-US"/>
        </w:rPr>
        <w:br w:type="page"/>
      </w:r>
    </w:p>
    <w:p w:rsidR="0058137D" w:rsidRDefault="00607005" w:rsidP="00736BA4">
      <w:pPr>
        <w:pStyle w:val="ListParagraph"/>
        <w:ind w:left="0"/>
        <w:rPr>
          <w:rFonts w:eastAsia="Calibri"/>
          <w:b/>
          <w:szCs w:val="22"/>
          <w:lang w:val="en-GB" w:eastAsia="en-US"/>
        </w:rPr>
      </w:pPr>
      <w:r w:rsidRPr="00607005">
        <w:rPr>
          <w:rFonts w:eastAsia="Calibri"/>
          <w:b/>
          <w:szCs w:val="22"/>
          <w:lang w:val="en-GB" w:eastAsia="en-US"/>
        </w:rPr>
        <w:t>Standard formula: Art. 129 of the Delegated Regulation</w:t>
      </w:r>
    </w:p>
    <w:p w:rsidR="00736BA4" w:rsidRPr="0058137D" w:rsidRDefault="00736BA4" w:rsidP="00736BA4">
      <w:pPr>
        <w:pStyle w:val="ListParagraph"/>
        <w:ind w:left="0"/>
        <w:rPr>
          <w:rFonts w:eastAsia="Calibri"/>
          <w:szCs w:val="22"/>
          <w:lang w:val="en-GB" w:eastAsia="en-US"/>
        </w:rPr>
      </w:pPr>
    </w:p>
    <w:p w:rsidR="0058137D" w:rsidRPr="0058137D" w:rsidRDefault="0058137D" w:rsidP="0058137D">
      <w:pPr>
        <w:pStyle w:val="ListParagraph"/>
        <w:jc w:val="center"/>
        <w:rPr>
          <w:rFonts w:eastAsia="Calibri"/>
          <w:i/>
          <w:szCs w:val="22"/>
          <w:lang w:val="en-GB" w:eastAsia="en-US"/>
        </w:rPr>
      </w:pPr>
      <w:r>
        <w:rPr>
          <w:rFonts w:eastAsia="Calibri"/>
          <w:i/>
          <w:szCs w:val="22"/>
          <w:lang w:val="en-GB" w:eastAsia="en-US"/>
        </w:rPr>
        <w:t>“</w:t>
      </w:r>
      <w:r w:rsidRPr="0058137D">
        <w:rPr>
          <w:rFonts w:eastAsia="Calibri"/>
          <w:i/>
          <w:szCs w:val="22"/>
          <w:lang w:val="en-GB" w:eastAsia="en-US"/>
        </w:rPr>
        <w:t>Article 129</w:t>
      </w:r>
    </w:p>
    <w:p w:rsidR="0058137D" w:rsidRPr="0058137D" w:rsidRDefault="0058137D" w:rsidP="0058137D">
      <w:pPr>
        <w:pStyle w:val="ListParagraph"/>
        <w:jc w:val="center"/>
        <w:rPr>
          <w:rFonts w:eastAsia="Calibri"/>
          <w:b/>
          <w:szCs w:val="22"/>
          <w:lang w:val="en-GB" w:eastAsia="en-US"/>
        </w:rPr>
      </w:pPr>
      <w:r w:rsidRPr="0058137D">
        <w:rPr>
          <w:rFonts w:eastAsia="Calibri"/>
          <w:b/>
          <w:szCs w:val="22"/>
          <w:lang w:val="en-GB" w:eastAsia="en-US"/>
        </w:rPr>
        <w:t>Motor vehicle liability risk sub-module</w:t>
      </w:r>
    </w:p>
    <w:p w:rsidR="0058137D" w:rsidRPr="0058137D" w:rsidRDefault="0058137D" w:rsidP="0058137D">
      <w:pPr>
        <w:pStyle w:val="ListParagraph"/>
        <w:rPr>
          <w:rFonts w:eastAsia="Calibri"/>
          <w:szCs w:val="22"/>
          <w:lang w:val="en-GB" w:eastAsia="en-US"/>
        </w:rPr>
      </w:pPr>
    </w:p>
    <w:p w:rsidR="0058137D" w:rsidRDefault="0058137D" w:rsidP="0058137D">
      <w:pPr>
        <w:pStyle w:val="ListParagraph"/>
        <w:ind w:left="0"/>
        <w:rPr>
          <w:rFonts w:eastAsia="Calibri"/>
          <w:szCs w:val="22"/>
          <w:lang w:val="en-GB" w:eastAsia="en-US"/>
        </w:rPr>
      </w:pPr>
      <w:r w:rsidRPr="0058137D">
        <w:rPr>
          <w:rFonts w:eastAsia="Calibri"/>
          <w:szCs w:val="22"/>
          <w:lang w:val="en-GB" w:eastAsia="en-US"/>
        </w:rPr>
        <w:t>1. The capital requirement for motor vehicle liability risk shall be equal to the loss in basic own funds of insurance and reinsurance undertakings that would result from an ins</w:t>
      </w:r>
      <w:r>
        <w:rPr>
          <w:rFonts w:eastAsia="Calibri"/>
          <w:szCs w:val="22"/>
          <w:lang w:val="en-GB" w:eastAsia="en-US"/>
        </w:rPr>
        <w:t xml:space="preserve">tantaneous loss that, </w:t>
      </w:r>
      <w:r w:rsidRPr="0058137D">
        <w:rPr>
          <w:rFonts w:eastAsia="Calibri"/>
          <w:szCs w:val="22"/>
          <w:lang w:val="en-GB" w:eastAsia="en-US"/>
        </w:rPr>
        <w:t>without deduction of the amounts recoverable from reinsurance</w:t>
      </w:r>
      <w:r>
        <w:rPr>
          <w:rFonts w:eastAsia="Calibri"/>
          <w:szCs w:val="22"/>
          <w:lang w:val="en-GB" w:eastAsia="en-US"/>
        </w:rPr>
        <w:t xml:space="preserve"> contracts and special purpose </w:t>
      </w:r>
      <w:r w:rsidRPr="0058137D">
        <w:rPr>
          <w:rFonts w:eastAsia="Calibri"/>
          <w:szCs w:val="22"/>
          <w:lang w:val="en-GB" w:eastAsia="en-US"/>
        </w:rPr>
        <w:t>vehicles, is equal to the following amount in euro:</w:t>
      </w:r>
    </w:p>
    <w:p w:rsidR="0058137D" w:rsidRPr="0058137D" w:rsidRDefault="0058137D" w:rsidP="0058137D">
      <w:pPr>
        <w:pStyle w:val="ListParagraph"/>
        <w:ind w:left="0"/>
        <w:rPr>
          <w:rFonts w:eastAsia="Calibri"/>
          <w:szCs w:val="22"/>
          <w:lang w:val="en-GB" w:eastAsia="en-US"/>
        </w:rPr>
      </w:pPr>
      <w:r>
        <w:rPr>
          <w:rFonts w:eastAsia="Calibri"/>
          <w:szCs w:val="22"/>
          <w:lang w:val="en-GB" w:eastAsia="en-US"/>
        </w:rPr>
        <w:tab/>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L</m:t>
            </m:r>
          </m:e>
          <m:sub>
            <m:r>
              <w:rPr>
                <w:rFonts w:ascii="Cambria Math" w:eastAsia="Calibri" w:hAnsi="Cambria Math"/>
                <w:szCs w:val="22"/>
                <w:lang w:val="en-GB" w:eastAsia="en-US"/>
              </w:rPr>
              <m:t>motor</m:t>
            </m:r>
          </m:sub>
        </m:sSub>
        <m:r>
          <w:rPr>
            <w:rFonts w:ascii="Cambria Math" w:eastAsia="Calibri" w:hAnsi="Cambria Math"/>
            <w:szCs w:val="22"/>
            <w:lang w:val="en-GB" w:eastAsia="en-US"/>
          </w:rPr>
          <m:t>=</m:t>
        </m:r>
        <m:func>
          <m:funcPr>
            <m:ctrlPr>
              <w:rPr>
                <w:rFonts w:ascii="Cambria Math" w:eastAsia="Calibri" w:hAnsi="Cambria Math"/>
                <w:i/>
                <w:szCs w:val="22"/>
                <w:lang w:val="en-GB" w:eastAsia="en-US"/>
              </w:rPr>
            </m:ctrlPr>
          </m:funcPr>
          <m:fName>
            <m:limLow>
              <m:limLowPr>
                <m:ctrlPr>
                  <w:rPr>
                    <w:rFonts w:ascii="Cambria Math" w:eastAsia="Calibri" w:hAnsi="Cambria Math"/>
                    <w:i/>
                    <w:szCs w:val="22"/>
                    <w:lang w:val="en-GB" w:eastAsia="en-US"/>
                  </w:rPr>
                </m:ctrlPr>
              </m:limLowPr>
              <m:e>
                <m:r>
                  <m:rPr>
                    <m:sty m:val="p"/>
                  </m:rPr>
                  <w:rPr>
                    <w:rFonts w:ascii="Cambria Math" w:eastAsia="Calibri" w:hAnsi="Cambria Math"/>
                    <w:lang w:eastAsia="en-US"/>
                  </w:rPr>
                  <m:t>max</m:t>
                </m:r>
              </m:e>
              <m:lim/>
            </m:limLow>
          </m:fName>
          <m:e>
            <m:d>
              <m:dPr>
                <m:ctrlPr>
                  <w:rPr>
                    <w:rFonts w:ascii="Cambria Math" w:eastAsia="Calibri" w:hAnsi="Cambria Math"/>
                    <w:i/>
                    <w:szCs w:val="22"/>
                    <w:lang w:val="en-GB" w:eastAsia="en-US"/>
                  </w:rPr>
                </m:ctrlPr>
              </m:dPr>
              <m:e>
                <m:r>
                  <w:rPr>
                    <w:rFonts w:ascii="Cambria Math" w:eastAsia="Calibri" w:hAnsi="Cambria Math"/>
                    <w:szCs w:val="22"/>
                    <w:lang w:val="en-GB" w:eastAsia="en-US"/>
                  </w:rPr>
                  <m:t xml:space="preserve">6 000 000;50 000∙ </m:t>
                </m:r>
                <m:rad>
                  <m:radPr>
                    <m:degHide m:val="1"/>
                    <m:ctrlPr>
                      <w:rPr>
                        <w:rFonts w:ascii="Cambria Math" w:eastAsia="Calibri" w:hAnsi="Cambria Math"/>
                        <w:i/>
                        <w:szCs w:val="22"/>
                        <w:lang w:val="en-GB" w:eastAsia="en-US"/>
                      </w:rPr>
                    </m:ctrlPr>
                  </m:radPr>
                  <m:deg/>
                  <m:e>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a</m:t>
                        </m:r>
                      </m:sub>
                    </m:sSub>
                    <m:r>
                      <w:rPr>
                        <w:rFonts w:ascii="Cambria Math" w:eastAsia="Calibri" w:hAnsi="Cambria Math"/>
                        <w:szCs w:val="22"/>
                        <w:lang w:val="en-GB" w:eastAsia="en-US"/>
                      </w:rPr>
                      <m:t>+0,05∙</m:t>
                    </m:r>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b</m:t>
                        </m:r>
                      </m:sub>
                    </m:sSub>
                    <m:r>
                      <w:rPr>
                        <w:rFonts w:ascii="Cambria Math" w:eastAsia="Calibri" w:hAnsi="Cambria Math"/>
                        <w:szCs w:val="22"/>
                        <w:lang w:val="en-GB" w:eastAsia="en-US"/>
                      </w:rPr>
                      <m:t>+0,95∙</m:t>
                    </m:r>
                    <m:func>
                      <m:funcPr>
                        <m:ctrlPr>
                          <w:rPr>
                            <w:rFonts w:ascii="Cambria Math" w:eastAsia="Calibri" w:hAnsi="Cambria Math"/>
                            <w:i/>
                            <w:szCs w:val="22"/>
                            <w:lang w:val="en-GB" w:eastAsia="en-US"/>
                          </w:rPr>
                        </m:ctrlPr>
                      </m:funcPr>
                      <m:fName>
                        <m:limLow>
                          <m:limLowPr>
                            <m:ctrlPr>
                              <w:rPr>
                                <w:rFonts w:ascii="Cambria Math" w:eastAsia="Calibri" w:hAnsi="Cambria Math"/>
                                <w:i/>
                                <w:szCs w:val="22"/>
                                <w:lang w:val="en-GB" w:eastAsia="en-US"/>
                              </w:rPr>
                            </m:ctrlPr>
                          </m:limLowPr>
                          <m:e>
                            <m:r>
                              <m:rPr>
                                <m:sty m:val="p"/>
                              </m:rPr>
                              <w:rPr>
                                <w:rFonts w:ascii="Cambria Math" w:eastAsia="Calibri" w:hAnsi="Cambria Math"/>
                                <w:lang w:eastAsia="en-US"/>
                              </w:rPr>
                              <m:t>min</m:t>
                            </m:r>
                          </m:e>
                          <m:lim/>
                        </m:limLow>
                      </m:fName>
                      <m:e>
                        <m:d>
                          <m:dPr>
                            <m:ctrlPr>
                              <w:rPr>
                                <w:rFonts w:ascii="Cambria Math" w:eastAsia="Calibri" w:hAnsi="Cambria Math"/>
                                <w:i/>
                                <w:szCs w:val="22"/>
                                <w:lang w:val="en-GB" w:eastAsia="en-US"/>
                              </w:rPr>
                            </m:ctrlPr>
                          </m:dPr>
                          <m:e>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b</m:t>
                                </m:r>
                              </m:sub>
                            </m:sSub>
                            <m:r>
                              <w:rPr>
                                <w:rFonts w:ascii="Cambria Math" w:eastAsia="Calibri" w:hAnsi="Cambria Math"/>
                                <w:szCs w:val="22"/>
                                <w:lang w:val="en-GB" w:eastAsia="en-US"/>
                              </w:rPr>
                              <m:t>;20 000</m:t>
                            </m:r>
                          </m:e>
                        </m:d>
                      </m:e>
                    </m:func>
                  </m:e>
                </m:rad>
              </m:e>
            </m:d>
          </m:e>
        </m:func>
      </m:oMath>
    </w:p>
    <w:p w:rsidR="0058137D" w:rsidRPr="0058137D" w:rsidRDefault="0058137D" w:rsidP="0058137D">
      <w:pPr>
        <w:pStyle w:val="ListParagraph"/>
        <w:ind w:left="0"/>
        <w:rPr>
          <w:rFonts w:eastAsia="Calibri"/>
          <w:szCs w:val="22"/>
          <w:lang w:val="en-GB" w:eastAsia="en-US"/>
        </w:rPr>
      </w:pPr>
      <w:proofErr w:type="gramStart"/>
      <w:r>
        <w:rPr>
          <w:rFonts w:eastAsia="Calibri"/>
          <w:szCs w:val="22"/>
          <w:lang w:val="en-GB" w:eastAsia="en-US"/>
        </w:rPr>
        <w:t>where</w:t>
      </w:r>
      <w:proofErr w:type="gramEnd"/>
      <w:r>
        <w:rPr>
          <w:rFonts w:eastAsia="Calibri"/>
          <w:szCs w:val="22"/>
          <w:lang w:val="en-GB" w:eastAsia="en-US"/>
        </w:rPr>
        <w:t>:</w:t>
      </w:r>
    </w:p>
    <w:p w:rsidR="0058137D" w:rsidRPr="0058137D" w:rsidRDefault="0058137D" w:rsidP="0058137D">
      <w:pPr>
        <w:pStyle w:val="ListParagraph"/>
        <w:ind w:hanging="708"/>
        <w:rPr>
          <w:rFonts w:eastAsia="Calibri"/>
          <w:szCs w:val="22"/>
          <w:lang w:val="en-GB" w:eastAsia="en-US"/>
        </w:rPr>
      </w:pPr>
      <w:r w:rsidRPr="0058137D">
        <w:rPr>
          <w:rFonts w:eastAsia="Calibri"/>
          <w:szCs w:val="22"/>
          <w:lang w:val="en-GB" w:eastAsia="en-US"/>
        </w:rPr>
        <w:t>(a)</w:t>
      </w:r>
      <w:r>
        <w:rPr>
          <w:rFonts w:eastAsia="Calibri"/>
          <w:szCs w:val="22"/>
          <w:lang w:val="en-GB" w:eastAsia="en-US"/>
        </w:rPr>
        <w:tab/>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a</m:t>
            </m:r>
          </m:sub>
        </m:sSub>
      </m:oMath>
      <w:r>
        <w:rPr>
          <w:rFonts w:eastAsia="Calibri"/>
          <w:szCs w:val="22"/>
          <w:lang w:val="en-GB" w:eastAsia="en-US"/>
        </w:rPr>
        <w:t xml:space="preserve"> </w:t>
      </w:r>
      <w:r w:rsidRPr="0058137D">
        <w:rPr>
          <w:rFonts w:eastAsia="Calibri"/>
          <w:szCs w:val="22"/>
          <w:lang w:val="en-GB" w:eastAsia="en-US"/>
        </w:rPr>
        <w:t xml:space="preserve">is the number of vehicles insured </w:t>
      </w:r>
      <w:r>
        <w:rPr>
          <w:rFonts w:eastAsia="Calibri"/>
          <w:szCs w:val="22"/>
          <w:lang w:val="en-GB" w:eastAsia="en-US"/>
        </w:rPr>
        <w:t xml:space="preserve">by the insurance or reinsurance </w:t>
      </w:r>
      <w:r w:rsidRPr="0058137D">
        <w:rPr>
          <w:rFonts w:eastAsia="Calibri"/>
          <w:szCs w:val="22"/>
          <w:lang w:val="en-GB" w:eastAsia="en-US"/>
        </w:rPr>
        <w:t>undertaking in lines of business 4 and 16 as set out in Annex I with a deemed policy limit above EUR 24 000 000;</w:t>
      </w:r>
    </w:p>
    <w:p w:rsidR="0058137D" w:rsidRPr="0058137D" w:rsidRDefault="0058137D" w:rsidP="0058137D">
      <w:pPr>
        <w:pStyle w:val="ListParagraph"/>
        <w:ind w:hanging="708"/>
        <w:rPr>
          <w:rFonts w:eastAsia="Calibri"/>
          <w:szCs w:val="22"/>
          <w:lang w:val="en-GB" w:eastAsia="en-US"/>
        </w:rPr>
      </w:pPr>
      <w:r w:rsidRPr="0058137D">
        <w:rPr>
          <w:rFonts w:eastAsia="Calibri"/>
          <w:szCs w:val="22"/>
          <w:lang w:val="en-GB" w:eastAsia="en-US"/>
        </w:rPr>
        <w:t>(b)</w:t>
      </w:r>
      <w:r>
        <w:rPr>
          <w:rFonts w:eastAsia="Calibri"/>
          <w:szCs w:val="22"/>
          <w:lang w:val="en-GB" w:eastAsia="en-US"/>
        </w:rPr>
        <w:tab/>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b</m:t>
            </m:r>
          </m:sub>
        </m:sSub>
      </m:oMath>
      <w:r>
        <w:rPr>
          <w:rFonts w:eastAsia="Calibri"/>
          <w:szCs w:val="22"/>
          <w:lang w:val="en-GB" w:eastAsia="en-US"/>
        </w:rPr>
        <w:t xml:space="preserve"> </w:t>
      </w:r>
      <w:r w:rsidRPr="0058137D">
        <w:rPr>
          <w:rFonts w:eastAsia="Calibri"/>
          <w:szCs w:val="22"/>
          <w:lang w:val="en-GB" w:eastAsia="en-US"/>
        </w:rPr>
        <w:t>is the number of vehicles insured by the insurance or reinsurance undertaking in lines of business 4 and 16 as set out in Annex I with a deemed policy limit below or equal to EUR 24 000 000.</w:t>
      </w:r>
    </w:p>
    <w:p w:rsidR="0058137D" w:rsidRPr="0058137D" w:rsidRDefault="0058137D" w:rsidP="0058137D">
      <w:pPr>
        <w:pStyle w:val="ListParagraph"/>
        <w:ind w:left="0"/>
        <w:rPr>
          <w:rFonts w:eastAsia="Calibri"/>
          <w:szCs w:val="22"/>
          <w:lang w:val="en-GB" w:eastAsia="en-US"/>
        </w:rPr>
      </w:pPr>
      <w:r w:rsidRPr="0058137D">
        <w:rPr>
          <w:rFonts w:eastAsia="Calibri"/>
          <w:szCs w:val="22"/>
          <w:lang w:val="en-GB" w:eastAsia="en-US"/>
        </w:rPr>
        <w:t>The number of motor vehicles covered by the proportional reinsuranc</w:t>
      </w:r>
      <w:r>
        <w:rPr>
          <w:rFonts w:eastAsia="Calibri"/>
          <w:szCs w:val="22"/>
          <w:lang w:val="en-GB" w:eastAsia="en-US"/>
        </w:rPr>
        <w:t xml:space="preserve">e obligations of the insurance </w:t>
      </w:r>
      <w:r w:rsidRPr="0058137D">
        <w:rPr>
          <w:rFonts w:eastAsia="Calibri"/>
          <w:szCs w:val="22"/>
          <w:lang w:val="en-GB" w:eastAsia="en-US"/>
        </w:rPr>
        <w:t>or reinsurance undertaking shall be weighted by the relative share of the undertaking's obligations in respect of the sum insured of the motor vehicles.</w:t>
      </w:r>
    </w:p>
    <w:p w:rsidR="00607005" w:rsidRDefault="0058137D" w:rsidP="0058137D">
      <w:pPr>
        <w:pStyle w:val="ListParagraph"/>
        <w:ind w:left="0"/>
        <w:rPr>
          <w:rFonts w:eastAsia="Calibri"/>
          <w:szCs w:val="22"/>
          <w:lang w:val="en-GB" w:eastAsia="en-US"/>
        </w:rPr>
      </w:pPr>
      <w:r w:rsidRPr="0058137D">
        <w:rPr>
          <w:rFonts w:eastAsia="Calibri"/>
          <w:szCs w:val="22"/>
          <w:lang w:val="en-GB" w:eastAsia="en-US"/>
        </w:rPr>
        <w:t xml:space="preserve">2. The deemed policy limit referred to in paragraph 1 shall  be </w:t>
      </w:r>
      <w:r>
        <w:rPr>
          <w:rFonts w:eastAsia="Calibri"/>
          <w:szCs w:val="22"/>
          <w:lang w:val="en-GB" w:eastAsia="en-US"/>
        </w:rPr>
        <w:t xml:space="preserve"> the  overall  limit  of  the  </w:t>
      </w:r>
      <w:r w:rsidRPr="0058137D">
        <w:rPr>
          <w:rFonts w:eastAsia="Calibri"/>
          <w:szCs w:val="22"/>
          <w:lang w:val="en-GB" w:eastAsia="en-US"/>
        </w:rPr>
        <w:t>motor  vehicle  liability insurance policy or, where no such overall limit is specified in the terms and conditions of the policy, the sum of the limits for damage to property and for personal injury. Where the policy limit is specified as a maximum per victim, the deemed policy limit shall be based on the assumption of ten victims.</w:t>
      </w:r>
      <w:r>
        <w:rPr>
          <w:rFonts w:eastAsia="Calibri"/>
          <w:szCs w:val="22"/>
          <w:lang w:val="en-GB" w:eastAsia="en-US"/>
        </w:rPr>
        <w:t>”</w:t>
      </w:r>
    </w:p>
    <w:p w:rsidR="0058137D" w:rsidRPr="00B003F2" w:rsidRDefault="0058137D" w:rsidP="0058137D">
      <w:pPr>
        <w:pStyle w:val="ListParagraph"/>
        <w:ind w:left="0"/>
        <w:rPr>
          <w:rFonts w:eastAsia="Calibri"/>
          <w:szCs w:val="22"/>
          <w:lang w:val="en-GB" w:eastAsia="en-US"/>
        </w:rPr>
      </w:pPr>
    </w:p>
    <w:p w:rsidR="00153D18" w:rsidRDefault="00153D18" w:rsidP="00EA4C7B">
      <w:pPr>
        <w:pStyle w:val="ListParagraph"/>
        <w:ind w:left="0"/>
        <w:rPr>
          <w:b/>
          <w:szCs w:val="22"/>
          <w:lang w:val="en-US"/>
        </w:rPr>
      </w:pPr>
      <w:r>
        <w:rPr>
          <w:b/>
          <w:szCs w:val="22"/>
          <w:lang w:val="en-US"/>
        </w:rPr>
        <w:t xml:space="preserve">Information request </w:t>
      </w:r>
    </w:p>
    <w:p w:rsidR="00AF60B9" w:rsidRDefault="00B003F2" w:rsidP="00EA4C7B">
      <w:pPr>
        <w:pStyle w:val="ListParagraph"/>
        <w:ind w:left="0"/>
        <w:rPr>
          <w:szCs w:val="22"/>
          <w:lang w:val="en-US"/>
        </w:rPr>
      </w:pPr>
      <w:r>
        <w:rPr>
          <w:szCs w:val="22"/>
          <w:lang w:val="en-US"/>
        </w:rPr>
        <w:t>During the public hearing on the Discussion Paper on the SCR review, EIOPA received feedback from a number of stakeholders on the issue</w:t>
      </w:r>
      <w:r w:rsidR="00607005">
        <w:rPr>
          <w:szCs w:val="22"/>
          <w:lang w:val="en-US"/>
        </w:rPr>
        <w:t xml:space="preserve"> of Motor Third Party Liability (MTPL)</w:t>
      </w:r>
      <w:r>
        <w:rPr>
          <w:szCs w:val="22"/>
          <w:lang w:val="en-US"/>
        </w:rPr>
        <w:t xml:space="preserve">. Two examples </w:t>
      </w:r>
      <w:r w:rsidR="00607005">
        <w:rPr>
          <w:szCs w:val="22"/>
          <w:lang w:val="en-US"/>
        </w:rPr>
        <w:t>are</w:t>
      </w:r>
      <w:r>
        <w:rPr>
          <w:szCs w:val="22"/>
          <w:lang w:val="en-US"/>
        </w:rPr>
        <w:t xml:space="preserve"> provided:</w:t>
      </w:r>
    </w:p>
    <w:p w:rsidR="0058137D" w:rsidRDefault="0058137D" w:rsidP="00EA4C7B">
      <w:pPr>
        <w:pStyle w:val="ListParagraph"/>
        <w:ind w:left="0"/>
        <w:rPr>
          <w:szCs w:val="22"/>
          <w:lang w:val="en-US"/>
        </w:rPr>
      </w:pPr>
    </w:p>
    <w:tbl>
      <w:tblPr>
        <w:tblW w:w="4966" w:type="pct"/>
        <w:tblCellMar>
          <w:left w:w="0" w:type="dxa"/>
          <w:right w:w="0" w:type="dxa"/>
        </w:tblCellMar>
        <w:tblLook w:val="04A0" w:firstRow="1" w:lastRow="0" w:firstColumn="1" w:lastColumn="0" w:noHBand="0" w:noVBand="1"/>
      </w:tblPr>
      <w:tblGrid>
        <w:gridCol w:w="817"/>
        <w:gridCol w:w="8362"/>
      </w:tblGrid>
      <w:tr w:rsidR="00FB5484" w:rsidRPr="000B1D02" w:rsidTr="00736BA4">
        <w:tc>
          <w:tcPr>
            <w:tcW w:w="44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B5484" w:rsidRPr="00FB5484" w:rsidRDefault="00FB5484">
            <w:pPr>
              <w:spacing w:before="120"/>
              <w:rPr>
                <w:rFonts w:ascii="Verdana" w:hAnsi="Verdana"/>
                <w:sz w:val="20"/>
                <w:szCs w:val="20"/>
              </w:rPr>
            </w:pPr>
            <w:r w:rsidRPr="00FB5484">
              <w:rPr>
                <w:rFonts w:ascii="Verdana" w:hAnsi="Verdana"/>
                <w:sz w:val="20"/>
                <w:szCs w:val="20"/>
              </w:rPr>
              <w:t>Q8.1</w:t>
            </w:r>
          </w:p>
        </w:tc>
        <w:tc>
          <w:tcPr>
            <w:tcW w:w="4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5484" w:rsidRPr="00FB5484" w:rsidRDefault="00FB5484" w:rsidP="000B1D02">
            <w:pPr>
              <w:spacing w:before="120"/>
              <w:rPr>
                <w:rFonts w:ascii="Verdana" w:hAnsi="Verdana"/>
                <w:sz w:val="20"/>
                <w:szCs w:val="20"/>
              </w:rPr>
            </w:pPr>
            <w:r w:rsidRPr="00FB5484">
              <w:rPr>
                <w:rFonts w:ascii="Verdana" w:hAnsi="Verdana"/>
                <w:sz w:val="20"/>
                <w:szCs w:val="20"/>
                <w:lang w:val="en-US"/>
              </w:rPr>
              <w:t xml:space="preserve">It is unclear how to calculate the number of vehicles insured with a deemed policy limit above/below 24 </w:t>
            </w:r>
            <w:proofErr w:type="spellStart"/>
            <w:r w:rsidRPr="00FB5484">
              <w:rPr>
                <w:rFonts w:ascii="Verdana" w:hAnsi="Verdana"/>
                <w:sz w:val="20"/>
                <w:szCs w:val="20"/>
                <w:lang w:val="en-US"/>
              </w:rPr>
              <w:t>mEUR</w:t>
            </w:r>
            <w:proofErr w:type="spellEnd"/>
            <w:r w:rsidRPr="00FB5484">
              <w:rPr>
                <w:rFonts w:ascii="Verdana" w:hAnsi="Verdana"/>
                <w:sz w:val="20"/>
                <w:szCs w:val="20"/>
                <w:lang w:val="en-US"/>
              </w:rPr>
              <w:t xml:space="preserve">.  Statutory MTPL limits in Poland are far below 24 </w:t>
            </w:r>
            <w:proofErr w:type="spellStart"/>
            <w:r w:rsidRPr="00FB5484">
              <w:rPr>
                <w:rFonts w:ascii="Verdana" w:hAnsi="Verdana"/>
                <w:sz w:val="20"/>
                <w:szCs w:val="20"/>
                <w:lang w:val="en-US"/>
              </w:rPr>
              <w:t>mEUR</w:t>
            </w:r>
            <w:proofErr w:type="spellEnd"/>
            <w:r w:rsidRPr="00FB5484">
              <w:rPr>
                <w:rFonts w:ascii="Verdana" w:hAnsi="Verdana"/>
                <w:sz w:val="20"/>
                <w:szCs w:val="20"/>
                <w:lang w:val="en-US"/>
              </w:rPr>
              <w:t xml:space="preserve">. However, under MTPL EU Insurance Directive the claim amount depends on the statutory limits in the country where accident </w:t>
            </w:r>
            <w:proofErr w:type="spellStart"/>
            <w:r w:rsidRPr="00FB5484">
              <w:rPr>
                <w:rFonts w:ascii="Verdana" w:hAnsi="Verdana"/>
                <w:sz w:val="20"/>
                <w:szCs w:val="20"/>
                <w:lang w:val="en-US"/>
              </w:rPr>
              <w:t>occured</w:t>
            </w:r>
            <w:proofErr w:type="spellEnd"/>
            <w:r w:rsidRPr="00FB5484">
              <w:rPr>
                <w:rFonts w:ascii="Verdana" w:hAnsi="Verdana"/>
                <w:sz w:val="20"/>
                <w:szCs w:val="20"/>
                <w:lang w:val="en-US"/>
              </w:rPr>
              <w:t xml:space="preserve">. </w:t>
            </w:r>
            <w:r w:rsidRPr="00FB5484">
              <w:rPr>
                <w:rFonts w:ascii="Verdana" w:hAnsi="Verdana"/>
                <w:sz w:val="20"/>
                <w:szCs w:val="20"/>
              </w:rPr>
              <w:t>Calculation algorithm should be clarified.</w:t>
            </w:r>
          </w:p>
        </w:tc>
      </w:tr>
      <w:tr w:rsidR="00FB5484" w:rsidRPr="000B1D02" w:rsidTr="00736BA4">
        <w:tc>
          <w:tcPr>
            <w:tcW w:w="44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B5484" w:rsidRPr="00FB5484" w:rsidRDefault="00FB5484">
            <w:pPr>
              <w:spacing w:before="120"/>
              <w:rPr>
                <w:rFonts w:ascii="Verdana" w:hAnsi="Verdana"/>
                <w:sz w:val="20"/>
                <w:szCs w:val="20"/>
              </w:rPr>
            </w:pPr>
            <w:r w:rsidRPr="00FB5484">
              <w:rPr>
                <w:rFonts w:ascii="Verdana" w:hAnsi="Verdana"/>
                <w:sz w:val="20"/>
                <w:szCs w:val="20"/>
              </w:rPr>
              <w:t>Q8.7</w:t>
            </w:r>
          </w:p>
        </w:tc>
        <w:tc>
          <w:tcPr>
            <w:tcW w:w="4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5484" w:rsidRPr="00FB5484" w:rsidRDefault="00FB5484">
            <w:pPr>
              <w:spacing w:before="120"/>
              <w:rPr>
                <w:rFonts w:ascii="Verdana" w:hAnsi="Verdana"/>
                <w:sz w:val="20"/>
                <w:szCs w:val="20"/>
                <w:lang w:val="en-US"/>
              </w:rPr>
            </w:pPr>
            <w:r w:rsidRPr="00FB5484">
              <w:rPr>
                <w:rFonts w:ascii="Verdana" w:hAnsi="Verdana"/>
                <w:sz w:val="20"/>
                <w:szCs w:val="20"/>
                <w:lang w:val="en-US"/>
              </w:rPr>
              <w:t xml:space="preserve">We would like to highlight the specific situation of Hungary in case of the MTPL scenario. By that scenario the MTPL policies have to be separated on the basis of policy indemnity limits along a fixed threshold (on the basis of paragraph (1) of Article 129 of the Solvency II Delegated Regulation). In Hungary there is an indemnity limit for domestic claims and that falls under the threshold of 24 000 000 EUR, but the insurers liability is limitless in case </w:t>
            </w:r>
            <w:r w:rsidRPr="00FB5484">
              <w:rPr>
                <w:rFonts w:ascii="Verdana" w:hAnsi="Verdana"/>
                <w:sz w:val="20"/>
                <w:szCs w:val="20"/>
                <w:lang w:val="en-US"/>
              </w:rPr>
              <w:lastRenderedPageBreak/>
              <w:t>of foreign claims (in practice it means that the indemnity limit for claims happened abroad can be no less than the indemnity limit applicable for the MTPL policies of that country). As a result, currently all policies are considered as limitless in the SCR calculations although the limit applies to all domestic claims (to the vast majority of MTPL claims). We would like to suggest to revise the standard formula to better account for similar situations, to allow to split the domestic MTPL portfolio between the two groups (policies below threshold and above threshold) proportionally, on the basis of the share of domestic and foreign claims from the total claims (it needs to be decided whether this split shall be based on claim values or on number of claims).</w:t>
            </w:r>
          </w:p>
        </w:tc>
      </w:tr>
    </w:tbl>
    <w:p w:rsidR="00B003F2" w:rsidRPr="00B003F2" w:rsidRDefault="00B003F2" w:rsidP="00EA4C7B">
      <w:pPr>
        <w:pStyle w:val="ListParagraph"/>
        <w:ind w:left="0"/>
        <w:rPr>
          <w:szCs w:val="22"/>
          <w:lang w:val="en-GB"/>
        </w:rPr>
      </w:pPr>
    </w:p>
    <w:p w:rsidR="00B003F2" w:rsidRDefault="00B003F2" w:rsidP="00EA4C7B">
      <w:pPr>
        <w:pStyle w:val="ListParagraph"/>
        <w:ind w:left="0"/>
        <w:rPr>
          <w:b/>
          <w:szCs w:val="22"/>
          <w:lang w:val="en-US"/>
        </w:rPr>
      </w:pPr>
      <w:r>
        <w:rPr>
          <w:b/>
          <w:szCs w:val="22"/>
          <w:lang w:val="en-US"/>
        </w:rPr>
        <w:t>Analysis of the issue</w:t>
      </w:r>
    </w:p>
    <w:p w:rsidR="00B003F2" w:rsidRPr="00736BA4" w:rsidRDefault="00B003F2" w:rsidP="00736BA4">
      <w:pPr>
        <w:pStyle w:val="ListParagraph"/>
        <w:ind w:left="0"/>
        <w:rPr>
          <w:szCs w:val="22"/>
          <w:lang w:val="en-US"/>
        </w:rPr>
      </w:pPr>
      <w:r w:rsidRPr="00B003F2">
        <w:rPr>
          <w:szCs w:val="22"/>
          <w:lang w:val="en-US"/>
        </w:rPr>
        <w:t>Directive (103/2009)</w:t>
      </w:r>
      <w:r>
        <w:rPr>
          <w:szCs w:val="22"/>
          <w:lang w:val="en-US"/>
        </w:rPr>
        <w:t>,</w:t>
      </w:r>
      <w:r w:rsidRPr="00B003F2">
        <w:rPr>
          <w:szCs w:val="22"/>
          <w:lang w:val="en-US"/>
        </w:rPr>
        <w:t xml:space="preserve"> Article 14</w:t>
      </w:r>
      <w:r>
        <w:rPr>
          <w:szCs w:val="22"/>
          <w:lang w:val="en-US"/>
        </w:rPr>
        <w:t xml:space="preserve"> states</w:t>
      </w:r>
      <w:r w:rsidRPr="00B003F2">
        <w:rPr>
          <w:szCs w:val="22"/>
          <w:lang w:val="en-US"/>
        </w:rPr>
        <w:t>:</w:t>
      </w:r>
    </w:p>
    <w:p w:rsidR="00B003F2" w:rsidRPr="00B003F2" w:rsidRDefault="00B003F2" w:rsidP="00B003F2">
      <w:pPr>
        <w:pStyle w:val="ListParagraph"/>
        <w:rPr>
          <w:szCs w:val="22"/>
          <w:lang w:val="en-US"/>
        </w:rPr>
      </w:pPr>
      <w:r>
        <w:rPr>
          <w:szCs w:val="22"/>
          <w:lang w:val="en-US"/>
        </w:rPr>
        <w:t>“</w:t>
      </w:r>
      <w:r w:rsidRPr="00736BA4">
        <w:rPr>
          <w:i/>
          <w:szCs w:val="22"/>
          <w:lang w:val="en-US"/>
        </w:rPr>
        <w:t>Single premium</w:t>
      </w:r>
    </w:p>
    <w:p w:rsidR="00B003F2" w:rsidRPr="00B003F2" w:rsidRDefault="00B003F2" w:rsidP="00B003F2">
      <w:pPr>
        <w:pStyle w:val="ListParagraph"/>
        <w:rPr>
          <w:szCs w:val="22"/>
          <w:lang w:val="en-US"/>
        </w:rPr>
      </w:pPr>
      <w:r w:rsidRPr="00B003F2">
        <w:rPr>
          <w:szCs w:val="22"/>
          <w:lang w:val="en-US"/>
        </w:rPr>
        <w:t>Member States shall take the necessary steps to ensure that all compulsory policies of insurance against civil liability arising out of the use of vehicles:</w:t>
      </w:r>
    </w:p>
    <w:p w:rsidR="00B003F2" w:rsidRPr="00B003F2" w:rsidRDefault="00B003F2" w:rsidP="00B003F2">
      <w:pPr>
        <w:pStyle w:val="ListParagraph"/>
        <w:rPr>
          <w:szCs w:val="22"/>
          <w:lang w:val="en-US"/>
        </w:rPr>
      </w:pPr>
      <w:r w:rsidRPr="00B003F2">
        <w:rPr>
          <w:szCs w:val="22"/>
          <w:lang w:val="en-US"/>
        </w:rPr>
        <w:t>(a) cover, on the basis of a single premium and during the whole term of the contract, the entire territory of the Community, including for any period in which the vehicle remains in other Member States during the term of the contract; and</w:t>
      </w:r>
    </w:p>
    <w:p w:rsidR="00B003F2" w:rsidRPr="00B003F2" w:rsidRDefault="00B003F2" w:rsidP="00B003F2">
      <w:pPr>
        <w:pStyle w:val="ListParagraph"/>
        <w:rPr>
          <w:szCs w:val="22"/>
          <w:lang w:val="en-US"/>
        </w:rPr>
      </w:pPr>
      <w:r w:rsidRPr="00B003F2">
        <w:rPr>
          <w:szCs w:val="22"/>
          <w:lang w:val="en-US"/>
        </w:rPr>
        <w:t xml:space="preserve">(b) </w:t>
      </w:r>
      <w:proofErr w:type="gramStart"/>
      <w:r w:rsidRPr="00B003F2">
        <w:rPr>
          <w:szCs w:val="22"/>
          <w:highlight w:val="yellow"/>
          <w:lang w:val="en-US"/>
        </w:rPr>
        <w:t>guarantee</w:t>
      </w:r>
      <w:proofErr w:type="gramEnd"/>
      <w:r w:rsidRPr="00B003F2">
        <w:rPr>
          <w:szCs w:val="22"/>
          <w:lang w:val="en-US"/>
        </w:rPr>
        <w:t xml:space="preserve">, on the basis of that single premium, </w:t>
      </w:r>
      <w:r w:rsidRPr="00B003F2">
        <w:rPr>
          <w:szCs w:val="22"/>
          <w:highlight w:val="yellow"/>
          <w:lang w:val="en-US"/>
        </w:rPr>
        <w:t>in each Member State, the cover required by its law or the cover required by the law of the Member State where the vehicle is normally based when that cover is higher</w:t>
      </w:r>
      <w:r w:rsidRPr="00B003F2">
        <w:rPr>
          <w:szCs w:val="22"/>
          <w:lang w:val="en-US"/>
        </w:rPr>
        <w:t>.</w:t>
      </w:r>
      <w:r>
        <w:rPr>
          <w:szCs w:val="22"/>
          <w:lang w:val="en-US"/>
        </w:rPr>
        <w:t>”</w:t>
      </w:r>
      <w:r>
        <w:rPr>
          <w:rStyle w:val="FootnoteReference"/>
          <w:szCs w:val="22"/>
          <w:lang w:val="en-US"/>
        </w:rPr>
        <w:footnoteReference w:id="1"/>
      </w:r>
    </w:p>
    <w:p w:rsidR="00B003F2" w:rsidRPr="00B003F2" w:rsidRDefault="00B003F2" w:rsidP="00736BA4">
      <w:pPr>
        <w:pStyle w:val="ListParagraph"/>
        <w:ind w:left="0"/>
        <w:rPr>
          <w:szCs w:val="22"/>
          <w:lang w:val="en-US"/>
        </w:rPr>
      </w:pPr>
      <w:bookmarkStart w:id="0" w:name="_GoBack"/>
      <w:bookmarkEnd w:id="0"/>
      <w:r>
        <w:rPr>
          <w:szCs w:val="22"/>
          <w:lang w:val="en-US"/>
        </w:rPr>
        <w:t>One</w:t>
      </w:r>
      <w:r w:rsidRPr="00B003F2">
        <w:rPr>
          <w:szCs w:val="22"/>
          <w:lang w:val="en-US"/>
        </w:rPr>
        <w:t xml:space="preserve"> interpretation</w:t>
      </w:r>
      <w:r>
        <w:rPr>
          <w:szCs w:val="22"/>
          <w:lang w:val="en-US"/>
        </w:rPr>
        <w:t xml:space="preserve"> proposed</w:t>
      </w:r>
      <w:r w:rsidRPr="00B003F2">
        <w:rPr>
          <w:szCs w:val="22"/>
          <w:lang w:val="en-US"/>
        </w:rPr>
        <w:t xml:space="preserve"> is that when an accident takes place in some other Member State than that </w:t>
      </w:r>
      <w:r w:rsidR="00607005">
        <w:rPr>
          <w:szCs w:val="22"/>
          <w:lang w:val="en-US"/>
        </w:rPr>
        <w:t>under which’s jurisdiction</w:t>
      </w:r>
      <w:r w:rsidRPr="00B003F2">
        <w:rPr>
          <w:szCs w:val="22"/>
          <w:lang w:val="en-US"/>
        </w:rPr>
        <w:t xml:space="preserve"> the </w:t>
      </w:r>
      <w:r w:rsidR="00607005">
        <w:rPr>
          <w:szCs w:val="22"/>
          <w:lang w:val="en-US"/>
        </w:rPr>
        <w:t>MTPL contract was signed (the “vehicle MS”)</w:t>
      </w:r>
      <w:r w:rsidRPr="00B003F2">
        <w:rPr>
          <w:szCs w:val="22"/>
          <w:lang w:val="en-US"/>
        </w:rPr>
        <w:t xml:space="preserve">, indemnification is based on the legislation of </w:t>
      </w:r>
      <w:r w:rsidR="00607005">
        <w:rPr>
          <w:szCs w:val="22"/>
          <w:lang w:val="en-US"/>
        </w:rPr>
        <w:t>the</w:t>
      </w:r>
      <w:r w:rsidRPr="00B003F2">
        <w:rPr>
          <w:szCs w:val="22"/>
          <w:lang w:val="en-US"/>
        </w:rPr>
        <w:t xml:space="preserve"> Member State</w:t>
      </w:r>
      <w:r w:rsidR="00607005">
        <w:rPr>
          <w:szCs w:val="22"/>
          <w:lang w:val="en-US"/>
        </w:rPr>
        <w:t xml:space="preserve"> from where the claim has been raised</w:t>
      </w:r>
      <w:r w:rsidR="0058137D">
        <w:rPr>
          <w:szCs w:val="22"/>
          <w:lang w:val="en-US"/>
        </w:rPr>
        <w:t xml:space="preserve"> (“other MS”)</w:t>
      </w:r>
      <w:r w:rsidRPr="00B003F2">
        <w:rPr>
          <w:szCs w:val="22"/>
          <w:lang w:val="en-US"/>
        </w:rPr>
        <w:t>, unless the cover is higher in the Member State of the vehicle. This would mean that the limit would be based on</w:t>
      </w:r>
    </w:p>
    <w:p w:rsidR="00B003F2" w:rsidRPr="00B003F2" w:rsidRDefault="00B003F2" w:rsidP="00B003F2">
      <w:pPr>
        <w:pStyle w:val="ListParagraph"/>
        <w:rPr>
          <w:szCs w:val="22"/>
          <w:lang w:val="en-US"/>
        </w:rPr>
      </w:pPr>
      <w:r w:rsidRPr="00B003F2">
        <w:rPr>
          <w:szCs w:val="22"/>
          <w:lang w:val="en-US"/>
        </w:rPr>
        <w:t xml:space="preserve">1. </w:t>
      </w:r>
      <w:proofErr w:type="gramStart"/>
      <w:r w:rsidRPr="00B003F2">
        <w:rPr>
          <w:szCs w:val="22"/>
          <w:lang w:val="en-US"/>
        </w:rPr>
        <w:t>contract</w:t>
      </w:r>
      <w:proofErr w:type="gramEnd"/>
      <w:r w:rsidRPr="00B003F2">
        <w:rPr>
          <w:szCs w:val="22"/>
          <w:lang w:val="en-US"/>
        </w:rPr>
        <w:t xml:space="preserve"> &gt;24</w:t>
      </w:r>
    </w:p>
    <w:p w:rsidR="00B003F2" w:rsidRPr="00B003F2" w:rsidRDefault="00B003F2" w:rsidP="006C2556">
      <w:pPr>
        <w:pStyle w:val="ListParagraph"/>
        <w:ind w:left="1416" w:firstLine="12"/>
        <w:rPr>
          <w:szCs w:val="22"/>
          <w:lang w:val="en-US"/>
        </w:rPr>
      </w:pPr>
      <w:proofErr w:type="gramStart"/>
      <w:r w:rsidRPr="00B003F2">
        <w:rPr>
          <w:szCs w:val="22"/>
          <w:lang w:val="en-US"/>
        </w:rPr>
        <w:t>a</w:t>
      </w:r>
      <w:proofErr w:type="gramEnd"/>
      <w:r w:rsidRPr="00B003F2">
        <w:rPr>
          <w:szCs w:val="22"/>
          <w:lang w:val="en-US"/>
        </w:rPr>
        <w:t xml:space="preserve">. </w:t>
      </w:r>
      <w:r w:rsidR="006C2556">
        <w:rPr>
          <w:szCs w:val="22"/>
          <w:lang w:val="en-US"/>
        </w:rPr>
        <w:t xml:space="preserve">law of </w:t>
      </w:r>
      <w:r w:rsidRPr="00B003F2">
        <w:rPr>
          <w:szCs w:val="22"/>
          <w:lang w:val="en-US"/>
        </w:rPr>
        <w:t>other MS (“country”)</w:t>
      </w:r>
      <w:r w:rsidR="006C2556">
        <w:rPr>
          <w:szCs w:val="22"/>
          <w:lang w:val="en-US"/>
        </w:rPr>
        <w:tab/>
      </w:r>
      <w:r w:rsidR="006C2556">
        <w:rPr>
          <w:szCs w:val="22"/>
          <w:lang w:val="en-US"/>
        </w:rPr>
        <w:tab/>
      </w:r>
      <w:r w:rsidRPr="00B003F2">
        <w:rPr>
          <w:szCs w:val="22"/>
          <w:lang w:val="en-US"/>
        </w:rPr>
        <w:t>=&gt; 129(1)(a)</w:t>
      </w:r>
    </w:p>
    <w:p w:rsidR="00B003F2" w:rsidRPr="00B003F2" w:rsidRDefault="00B003F2" w:rsidP="006C2556">
      <w:pPr>
        <w:pStyle w:val="ListParagraph"/>
        <w:ind w:left="1428" w:firstLine="12"/>
        <w:rPr>
          <w:szCs w:val="22"/>
          <w:lang w:val="en-US"/>
        </w:rPr>
      </w:pPr>
      <w:proofErr w:type="gramStart"/>
      <w:r w:rsidRPr="00B003F2">
        <w:rPr>
          <w:szCs w:val="22"/>
          <w:lang w:val="en-US"/>
        </w:rPr>
        <w:t>b</w:t>
      </w:r>
      <w:proofErr w:type="gramEnd"/>
      <w:r w:rsidRPr="00B003F2">
        <w:rPr>
          <w:szCs w:val="22"/>
          <w:lang w:val="en-US"/>
        </w:rPr>
        <w:t xml:space="preserve">. </w:t>
      </w:r>
      <w:r w:rsidR="006C2556">
        <w:rPr>
          <w:szCs w:val="22"/>
          <w:lang w:val="en-US"/>
        </w:rPr>
        <w:t xml:space="preserve">law of </w:t>
      </w:r>
      <w:r w:rsidRPr="00B003F2">
        <w:rPr>
          <w:szCs w:val="22"/>
          <w:lang w:val="en-US"/>
        </w:rPr>
        <w:t>vehicle MS (“contract”)</w:t>
      </w:r>
      <w:r w:rsidR="006C2556">
        <w:rPr>
          <w:szCs w:val="22"/>
          <w:lang w:val="en-US"/>
        </w:rPr>
        <w:tab/>
      </w:r>
      <w:r w:rsidR="006C2556">
        <w:rPr>
          <w:szCs w:val="22"/>
          <w:lang w:val="en-US"/>
        </w:rPr>
        <w:tab/>
      </w:r>
      <w:r w:rsidRPr="00B003F2">
        <w:rPr>
          <w:szCs w:val="22"/>
          <w:lang w:val="en-US"/>
        </w:rPr>
        <w:t>=&gt; 129(1)(a)</w:t>
      </w:r>
    </w:p>
    <w:p w:rsidR="00B003F2" w:rsidRPr="00B003F2" w:rsidRDefault="00B003F2" w:rsidP="006C2556">
      <w:pPr>
        <w:pStyle w:val="ListParagraph"/>
        <w:ind w:left="1416" w:firstLine="24"/>
        <w:rPr>
          <w:szCs w:val="22"/>
          <w:lang w:val="en-US"/>
        </w:rPr>
      </w:pPr>
      <w:proofErr w:type="gramStart"/>
      <w:r w:rsidRPr="00B003F2">
        <w:rPr>
          <w:szCs w:val="22"/>
          <w:lang w:val="en-US"/>
        </w:rPr>
        <w:t>c</w:t>
      </w:r>
      <w:proofErr w:type="gramEnd"/>
      <w:r w:rsidRPr="00B003F2">
        <w:rPr>
          <w:szCs w:val="22"/>
          <w:lang w:val="en-US"/>
        </w:rPr>
        <w:t xml:space="preserve">. </w:t>
      </w:r>
      <w:r w:rsidR="006C2556">
        <w:rPr>
          <w:szCs w:val="22"/>
          <w:lang w:val="en-US"/>
        </w:rPr>
        <w:t xml:space="preserve">law of </w:t>
      </w:r>
      <w:r w:rsidRPr="00B003F2">
        <w:rPr>
          <w:szCs w:val="22"/>
          <w:lang w:val="en-US"/>
        </w:rPr>
        <w:t>vehicle MS</w:t>
      </w:r>
      <w:r w:rsidR="006C2556">
        <w:rPr>
          <w:szCs w:val="22"/>
          <w:lang w:val="en-US"/>
        </w:rPr>
        <w:t xml:space="preserve"> </w:t>
      </w:r>
      <w:r w:rsidR="006C2556">
        <w:rPr>
          <w:szCs w:val="22"/>
          <w:lang w:val="en-US"/>
        </w:rPr>
        <w:tab/>
      </w:r>
      <w:r w:rsidR="006C2556">
        <w:rPr>
          <w:szCs w:val="22"/>
          <w:lang w:val="en-US"/>
        </w:rPr>
        <w:tab/>
      </w:r>
      <w:r w:rsidR="006C2556">
        <w:rPr>
          <w:szCs w:val="22"/>
          <w:lang w:val="en-US"/>
        </w:rPr>
        <w:tab/>
      </w:r>
      <w:r w:rsidRPr="00B003F2">
        <w:rPr>
          <w:szCs w:val="22"/>
          <w:lang w:val="en-US"/>
        </w:rPr>
        <w:t>=&gt; 129(1)(a)</w:t>
      </w:r>
    </w:p>
    <w:p w:rsidR="00B003F2" w:rsidRPr="00B003F2" w:rsidRDefault="00B003F2" w:rsidP="00B003F2">
      <w:pPr>
        <w:pStyle w:val="ListParagraph"/>
        <w:rPr>
          <w:szCs w:val="22"/>
          <w:lang w:val="en-US"/>
        </w:rPr>
      </w:pPr>
    </w:p>
    <w:p w:rsidR="00B003F2" w:rsidRPr="00B003F2" w:rsidRDefault="00B003F2" w:rsidP="00B003F2">
      <w:pPr>
        <w:pStyle w:val="ListParagraph"/>
        <w:rPr>
          <w:szCs w:val="22"/>
          <w:lang w:val="en-US"/>
        </w:rPr>
      </w:pPr>
      <w:r w:rsidRPr="00B003F2">
        <w:rPr>
          <w:szCs w:val="22"/>
          <w:lang w:val="en-US"/>
        </w:rPr>
        <w:t xml:space="preserve">2. </w:t>
      </w:r>
      <w:proofErr w:type="gramStart"/>
      <w:r w:rsidRPr="00B003F2">
        <w:rPr>
          <w:szCs w:val="22"/>
          <w:lang w:val="en-US"/>
        </w:rPr>
        <w:t>contract</w:t>
      </w:r>
      <w:proofErr w:type="gramEnd"/>
      <w:r w:rsidRPr="00B003F2">
        <w:rPr>
          <w:szCs w:val="22"/>
          <w:lang w:val="en-US"/>
        </w:rPr>
        <w:t xml:space="preserve"> </w:t>
      </w:r>
      <w:r w:rsidR="006C2556">
        <w:rPr>
          <w:szCs w:val="22"/>
          <w:lang w:val="en-US"/>
        </w:rPr>
        <w:t>≤</w:t>
      </w:r>
      <w:r w:rsidRPr="00B003F2">
        <w:rPr>
          <w:szCs w:val="22"/>
          <w:lang w:val="en-US"/>
        </w:rPr>
        <w:t xml:space="preserve"> 24</w:t>
      </w:r>
    </w:p>
    <w:p w:rsidR="00B003F2" w:rsidRPr="00B003F2" w:rsidRDefault="00B003F2" w:rsidP="006C2556">
      <w:pPr>
        <w:pStyle w:val="ListParagraph"/>
        <w:ind w:left="1440"/>
        <w:rPr>
          <w:szCs w:val="22"/>
          <w:lang w:val="en-US"/>
        </w:rPr>
      </w:pPr>
      <w:proofErr w:type="gramStart"/>
      <w:r w:rsidRPr="00B003F2">
        <w:rPr>
          <w:szCs w:val="22"/>
          <w:lang w:val="en-US"/>
        </w:rPr>
        <w:lastRenderedPageBreak/>
        <w:t>a</w:t>
      </w:r>
      <w:proofErr w:type="gramEnd"/>
      <w:r w:rsidRPr="00B003F2">
        <w:rPr>
          <w:szCs w:val="22"/>
          <w:lang w:val="en-US"/>
        </w:rPr>
        <w:t xml:space="preserve">. </w:t>
      </w:r>
      <w:r w:rsidR="006C2556">
        <w:rPr>
          <w:szCs w:val="22"/>
          <w:lang w:val="en-US"/>
        </w:rPr>
        <w:t xml:space="preserve">law of </w:t>
      </w:r>
      <w:r w:rsidRPr="00B003F2">
        <w:rPr>
          <w:szCs w:val="22"/>
          <w:lang w:val="en-US"/>
        </w:rPr>
        <w:t>other MS</w:t>
      </w:r>
      <w:r w:rsidR="006C2556">
        <w:rPr>
          <w:szCs w:val="22"/>
          <w:lang w:val="en-US"/>
        </w:rPr>
        <w:tab/>
      </w:r>
      <w:r w:rsidR="006C2556">
        <w:rPr>
          <w:szCs w:val="22"/>
          <w:lang w:val="en-US"/>
        </w:rPr>
        <w:tab/>
      </w:r>
      <w:r w:rsidR="006C2556">
        <w:rPr>
          <w:szCs w:val="22"/>
          <w:lang w:val="en-US"/>
        </w:rPr>
        <w:tab/>
      </w:r>
      <w:r w:rsidR="006C2556">
        <w:rPr>
          <w:szCs w:val="22"/>
          <w:lang w:val="en-US"/>
        </w:rPr>
        <w:tab/>
      </w:r>
      <w:r w:rsidRPr="00B003F2">
        <w:rPr>
          <w:szCs w:val="22"/>
          <w:lang w:val="en-US"/>
        </w:rPr>
        <w:t xml:space="preserve">=&gt; </w:t>
      </w:r>
      <w:r w:rsidR="006C2556">
        <w:rPr>
          <w:szCs w:val="22"/>
          <w:lang w:val="en-US"/>
        </w:rPr>
        <w:t>unclear</w:t>
      </w:r>
    </w:p>
    <w:p w:rsidR="00B003F2" w:rsidRPr="00B003F2" w:rsidRDefault="00B003F2" w:rsidP="006C2556">
      <w:pPr>
        <w:pStyle w:val="ListParagraph"/>
        <w:ind w:left="1416" w:firstLine="12"/>
        <w:rPr>
          <w:szCs w:val="22"/>
          <w:lang w:val="en-US"/>
        </w:rPr>
      </w:pPr>
      <w:proofErr w:type="gramStart"/>
      <w:r w:rsidRPr="00B003F2">
        <w:rPr>
          <w:szCs w:val="22"/>
          <w:lang w:val="en-US"/>
        </w:rPr>
        <w:t>b</w:t>
      </w:r>
      <w:proofErr w:type="gramEnd"/>
      <w:r w:rsidRPr="00B003F2">
        <w:rPr>
          <w:szCs w:val="22"/>
          <w:lang w:val="en-US"/>
        </w:rPr>
        <w:t xml:space="preserve">. </w:t>
      </w:r>
      <w:r w:rsidR="006C2556">
        <w:rPr>
          <w:szCs w:val="22"/>
          <w:lang w:val="en-US"/>
        </w:rPr>
        <w:t xml:space="preserve">law of </w:t>
      </w:r>
      <w:r w:rsidRPr="00B003F2">
        <w:rPr>
          <w:szCs w:val="22"/>
          <w:lang w:val="en-US"/>
        </w:rPr>
        <w:t>vehicle MS</w:t>
      </w:r>
      <w:r w:rsidR="006C2556">
        <w:rPr>
          <w:szCs w:val="22"/>
          <w:lang w:val="en-US"/>
        </w:rPr>
        <w:tab/>
      </w:r>
      <w:r w:rsidR="006C2556">
        <w:rPr>
          <w:szCs w:val="22"/>
          <w:lang w:val="en-US"/>
        </w:rPr>
        <w:tab/>
      </w:r>
      <w:r w:rsidR="006C2556">
        <w:rPr>
          <w:szCs w:val="22"/>
          <w:lang w:val="en-US"/>
        </w:rPr>
        <w:tab/>
      </w:r>
      <w:r w:rsidRPr="00B003F2">
        <w:rPr>
          <w:szCs w:val="22"/>
          <w:lang w:val="en-US"/>
        </w:rPr>
        <w:t>=&gt; 129(1)(b)</w:t>
      </w:r>
    </w:p>
    <w:p w:rsidR="00B003F2" w:rsidRPr="00B003F2" w:rsidRDefault="00B003F2" w:rsidP="00B003F2">
      <w:pPr>
        <w:pStyle w:val="ListParagraph"/>
        <w:rPr>
          <w:szCs w:val="22"/>
          <w:lang w:val="en-US"/>
        </w:rPr>
      </w:pPr>
    </w:p>
    <w:p w:rsidR="00B003F2" w:rsidRDefault="006C2556" w:rsidP="00B003F2">
      <w:pPr>
        <w:pStyle w:val="ListParagraph"/>
        <w:ind w:left="0"/>
        <w:rPr>
          <w:szCs w:val="22"/>
          <w:lang w:val="en-US"/>
        </w:rPr>
      </w:pPr>
      <w:r>
        <w:rPr>
          <w:szCs w:val="22"/>
          <w:lang w:val="en-US"/>
        </w:rPr>
        <w:t>Apparently, the question arises:</w:t>
      </w:r>
      <w:r w:rsidR="00B003F2" w:rsidRPr="00B003F2">
        <w:rPr>
          <w:szCs w:val="22"/>
          <w:lang w:val="en-US"/>
        </w:rPr>
        <w:t xml:space="preserve"> </w:t>
      </w:r>
      <w:r>
        <w:rPr>
          <w:szCs w:val="22"/>
          <w:lang w:val="en-US"/>
        </w:rPr>
        <w:t>w</w:t>
      </w:r>
      <w:r w:rsidR="00B003F2" w:rsidRPr="00B003F2">
        <w:rPr>
          <w:szCs w:val="22"/>
          <w:lang w:val="en-US"/>
        </w:rPr>
        <w:t>hat to do</w:t>
      </w:r>
      <w:r>
        <w:rPr>
          <w:szCs w:val="22"/>
          <w:lang w:val="en-US"/>
        </w:rPr>
        <w:t xml:space="preserve"> if the liability is limited in the “vehicle MS” jurisdiction,</w:t>
      </w:r>
      <w:r w:rsidR="00B003F2" w:rsidRPr="00B003F2">
        <w:rPr>
          <w:szCs w:val="22"/>
          <w:lang w:val="en-US"/>
        </w:rPr>
        <w:t xml:space="preserve"> but</w:t>
      </w:r>
      <w:r>
        <w:rPr>
          <w:szCs w:val="22"/>
          <w:lang w:val="en-US"/>
        </w:rPr>
        <w:t xml:space="preserve"> is</w:t>
      </w:r>
      <w:r w:rsidR="00B003F2" w:rsidRPr="00B003F2">
        <w:rPr>
          <w:szCs w:val="22"/>
          <w:lang w:val="en-US"/>
        </w:rPr>
        <w:t xml:space="preserve"> unlimited in e.g. </w:t>
      </w:r>
      <w:r>
        <w:rPr>
          <w:szCs w:val="22"/>
          <w:lang w:val="en-US"/>
        </w:rPr>
        <w:t>a</w:t>
      </w:r>
      <w:r w:rsidR="00B003F2" w:rsidRPr="00B003F2">
        <w:rPr>
          <w:szCs w:val="22"/>
          <w:lang w:val="en-US"/>
        </w:rPr>
        <w:t xml:space="preserve"> </w:t>
      </w:r>
      <w:proofErr w:type="spellStart"/>
      <w:r w:rsidR="00B003F2" w:rsidRPr="000B1D02">
        <w:rPr>
          <w:szCs w:val="22"/>
          <w:lang w:val="en-US"/>
        </w:rPr>
        <w:t>neighbouring</w:t>
      </w:r>
      <w:proofErr w:type="spellEnd"/>
      <w:r w:rsidR="00B003F2" w:rsidRPr="00B003F2">
        <w:rPr>
          <w:szCs w:val="22"/>
          <w:lang w:val="en-US"/>
        </w:rPr>
        <w:t xml:space="preserve"> country</w:t>
      </w:r>
      <w:r>
        <w:rPr>
          <w:szCs w:val="22"/>
          <w:lang w:val="en-US"/>
        </w:rPr>
        <w:t xml:space="preserve"> (“other MS”)</w:t>
      </w:r>
      <w:r w:rsidR="00B003F2" w:rsidRPr="00B003F2">
        <w:rPr>
          <w:szCs w:val="22"/>
          <w:lang w:val="en-US"/>
        </w:rPr>
        <w:t>?</w:t>
      </w:r>
    </w:p>
    <w:p w:rsidR="006C2556" w:rsidRPr="00B003F2" w:rsidRDefault="006C2556" w:rsidP="00B003F2">
      <w:pPr>
        <w:pStyle w:val="ListParagraph"/>
        <w:ind w:left="0"/>
        <w:rPr>
          <w:szCs w:val="22"/>
          <w:lang w:val="en-US"/>
        </w:rPr>
      </w:pPr>
    </w:p>
    <w:p w:rsidR="00AF60B9" w:rsidRDefault="00AF60B9" w:rsidP="00EA4C7B">
      <w:pPr>
        <w:pStyle w:val="ListParagraph"/>
        <w:ind w:left="0"/>
        <w:rPr>
          <w:b/>
          <w:szCs w:val="22"/>
          <w:lang w:val="en-US"/>
        </w:rPr>
      </w:pPr>
      <w:r>
        <w:rPr>
          <w:b/>
          <w:szCs w:val="22"/>
          <w:lang w:val="en-US"/>
        </w:rPr>
        <w:t>Policy proposal</w:t>
      </w:r>
    </w:p>
    <w:p w:rsidR="006C2556" w:rsidRDefault="006C2556" w:rsidP="006C2556">
      <w:pPr>
        <w:pStyle w:val="ListParagraph"/>
        <w:ind w:left="0"/>
        <w:rPr>
          <w:lang w:val="en-GB"/>
        </w:rPr>
      </w:pPr>
      <w:r w:rsidRPr="006C2556">
        <w:rPr>
          <w:lang w:val="en-GB"/>
        </w:rPr>
        <w:t>Against this background, would it be an op</w:t>
      </w:r>
      <w:r>
        <w:rPr>
          <w:lang w:val="en-GB"/>
        </w:rPr>
        <w:t>tion to assign contracts under 2.a</w:t>
      </w:r>
      <w:r w:rsidRPr="006C2556">
        <w:rPr>
          <w:lang w:val="en-GB"/>
        </w:rPr>
        <w:t xml:space="preserve"> (of </w:t>
      </w:r>
      <w:r>
        <w:rPr>
          <w:lang w:val="en-GB"/>
        </w:rPr>
        <w:t>the</w:t>
      </w:r>
      <w:r w:rsidRPr="006C2556">
        <w:rPr>
          <w:lang w:val="en-GB"/>
        </w:rPr>
        <w:t xml:space="preserve"> classification </w:t>
      </w:r>
      <w:r>
        <w:rPr>
          <w:lang w:val="en-GB"/>
        </w:rPr>
        <w:t>above</w:t>
      </w:r>
      <w:r w:rsidRPr="006C2556">
        <w:rPr>
          <w:lang w:val="en-GB"/>
        </w:rPr>
        <w:t xml:space="preserve">) to </w:t>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a</m:t>
            </m:r>
          </m:sub>
        </m:sSub>
      </m:oMath>
      <w:r w:rsidRPr="006C2556">
        <w:rPr>
          <w:lang w:val="en-GB"/>
        </w:rPr>
        <w:t xml:space="preserve"> and those under 2.b to </w:t>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b</m:t>
            </m:r>
          </m:sub>
        </m:sSub>
      </m:oMath>
      <w:r w:rsidRPr="006C2556">
        <w:rPr>
          <w:lang w:val="en-GB"/>
        </w:rPr>
        <w:t xml:space="preserve"> (i.e. art 129 (1) (a) and (b), respectively) according to the share of foreign (and domestic, respectively) MTPL claims among the total number of MTPL claims, as suggested by the HU comment?</w:t>
      </w:r>
    </w:p>
    <w:p w:rsidR="006C2556" w:rsidRPr="006C2556" w:rsidRDefault="006C2556" w:rsidP="006C2556">
      <w:pPr>
        <w:pStyle w:val="ListParagraph"/>
        <w:ind w:left="0"/>
        <w:rPr>
          <w:lang w:val="en-GB"/>
        </w:rPr>
      </w:pPr>
      <w:r>
        <w:rPr>
          <w:lang w:val="en-GB"/>
        </w:rPr>
        <w:t>S</w:t>
      </w:r>
      <w:r w:rsidRPr="006C2556">
        <w:rPr>
          <w:lang w:val="en-GB"/>
        </w:rPr>
        <w:t>ome arguments in favour of this solution</w:t>
      </w:r>
      <w:r>
        <w:rPr>
          <w:lang w:val="en-GB"/>
        </w:rPr>
        <w:t xml:space="preserve"> can be provided</w:t>
      </w:r>
      <w:r w:rsidRPr="006C2556">
        <w:rPr>
          <w:lang w:val="en-GB"/>
        </w:rPr>
        <w:t>:</w:t>
      </w:r>
    </w:p>
    <w:p w:rsidR="006C2556" w:rsidRPr="006C2556" w:rsidRDefault="006C2556" w:rsidP="006C2556">
      <w:pPr>
        <w:pStyle w:val="ListParagraph"/>
        <w:numPr>
          <w:ilvl w:val="0"/>
          <w:numId w:val="9"/>
        </w:numPr>
        <w:rPr>
          <w:lang w:val="en-GB"/>
        </w:rPr>
      </w:pPr>
      <w:r w:rsidRPr="006C2556">
        <w:rPr>
          <w:lang w:val="en-GB"/>
        </w:rPr>
        <w:t xml:space="preserve">According to some sensitivity analysis </w:t>
      </w:r>
      <w:r>
        <w:rPr>
          <w:lang w:val="en-GB"/>
        </w:rPr>
        <w:t>provided by</w:t>
      </w:r>
      <w:r w:rsidRPr="006C2556">
        <w:rPr>
          <w:lang w:val="en-GB"/>
        </w:rPr>
        <w:t xml:space="preserve"> CAT WS </w:t>
      </w:r>
      <w:r>
        <w:rPr>
          <w:lang w:val="en-GB"/>
        </w:rPr>
        <w:t>members</w:t>
      </w:r>
      <w:r w:rsidRPr="006C2556">
        <w:rPr>
          <w:lang w:val="en-GB"/>
        </w:rPr>
        <w:t xml:space="preserve">, dropping the 24 </w:t>
      </w:r>
      <w:proofErr w:type="spellStart"/>
      <w:r w:rsidRPr="006C2556">
        <w:rPr>
          <w:lang w:val="en-GB"/>
        </w:rPr>
        <w:t>mn</w:t>
      </w:r>
      <w:proofErr w:type="spellEnd"/>
      <w:r w:rsidRPr="006C2556">
        <w:rPr>
          <w:lang w:val="en-GB"/>
        </w:rPr>
        <w:t xml:space="preserve"> EUR threshold could have a strong effect on the SCR. Thus, using undertaking</w:t>
      </w:r>
      <w:r>
        <w:rPr>
          <w:lang w:val="en-GB"/>
        </w:rPr>
        <w:t>-</w:t>
      </w:r>
      <w:r w:rsidRPr="006C2556">
        <w:rPr>
          <w:lang w:val="en-GB"/>
        </w:rPr>
        <w:t xml:space="preserve">specific historic data on the </w:t>
      </w:r>
      <w:r>
        <w:rPr>
          <w:lang w:val="en-GB"/>
        </w:rPr>
        <w:t>split</w:t>
      </w:r>
      <w:r w:rsidRPr="006C2556">
        <w:rPr>
          <w:lang w:val="en-GB"/>
        </w:rPr>
        <w:t xml:space="preserve"> of foreign/domestic claims among all claims on MTPL (e.g. with more weight put on more recent data) could be an alternative to just assigning all contracts to the more risky class. </w:t>
      </w:r>
    </w:p>
    <w:p w:rsidR="006C2556" w:rsidRPr="006C2556" w:rsidRDefault="006C2556" w:rsidP="006C2556">
      <w:pPr>
        <w:pStyle w:val="ListParagraph"/>
        <w:numPr>
          <w:ilvl w:val="0"/>
          <w:numId w:val="9"/>
        </w:numPr>
        <w:rPr>
          <w:lang w:val="en-GB"/>
        </w:rPr>
      </w:pPr>
      <w:r w:rsidRPr="006C2556">
        <w:rPr>
          <w:lang w:val="en-GB"/>
        </w:rPr>
        <w:t>Choosing the number</w:t>
      </w:r>
      <w:r>
        <w:rPr>
          <w:lang w:val="en-GB"/>
        </w:rPr>
        <w:t xml:space="preserve"> (as opposed to e.g. the nominal </w:t>
      </w:r>
      <w:r w:rsidR="00843CE0">
        <w:rPr>
          <w:lang w:val="en-GB"/>
        </w:rPr>
        <w:t xml:space="preserve">amount, </w:t>
      </w:r>
      <w:r>
        <w:rPr>
          <w:lang w:val="en-GB"/>
        </w:rPr>
        <w:t xml:space="preserve">or </w:t>
      </w:r>
      <w:r w:rsidR="00843CE0">
        <w:rPr>
          <w:lang w:val="en-GB"/>
        </w:rPr>
        <w:t xml:space="preserve">the final </w:t>
      </w:r>
      <w:proofErr w:type="spellStart"/>
      <w:r w:rsidR="00843CE0">
        <w:rPr>
          <w:lang w:val="en-GB"/>
        </w:rPr>
        <w:t>payout</w:t>
      </w:r>
      <w:proofErr w:type="spellEnd"/>
      <w:r>
        <w:rPr>
          <w:lang w:val="en-GB"/>
        </w:rPr>
        <w:t>)</w:t>
      </w:r>
      <w:r w:rsidRPr="006C2556">
        <w:rPr>
          <w:lang w:val="en-GB"/>
        </w:rPr>
        <w:t xml:space="preserve"> of foreign/domestic claims would follow the classical frequency/severity method for non-life loss modelling, where in our view the “severity part” to it might already be captured in art 129 (1)’s </w:t>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L</m:t>
            </m:r>
          </m:e>
          <m:sub>
            <m:r>
              <w:rPr>
                <w:rFonts w:ascii="Cambria Math" w:eastAsia="Calibri" w:hAnsi="Cambria Math"/>
                <w:szCs w:val="22"/>
                <w:lang w:val="en-GB" w:eastAsia="en-US"/>
              </w:rPr>
              <m:t>motor</m:t>
            </m:r>
          </m:sub>
        </m:sSub>
      </m:oMath>
      <w:r w:rsidR="00843CE0">
        <w:rPr>
          <w:lang w:val="en-GB"/>
        </w:rPr>
        <w:t xml:space="preserve"> formula.</w:t>
      </w:r>
    </w:p>
    <w:p w:rsidR="006C2556" w:rsidRPr="006C2556" w:rsidRDefault="00843CE0" w:rsidP="006C2556">
      <w:pPr>
        <w:pStyle w:val="ListParagraph"/>
        <w:numPr>
          <w:ilvl w:val="0"/>
          <w:numId w:val="9"/>
        </w:numPr>
        <w:rPr>
          <w:lang w:val="en-GB"/>
        </w:rPr>
      </w:pPr>
      <w:r>
        <w:rPr>
          <w:lang w:val="en-GB"/>
        </w:rPr>
        <w:t>I</w:t>
      </w:r>
      <w:r w:rsidR="006C2556" w:rsidRPr="006C2556">
        <w:rPr>
          <w:lang w:val="en-GB"/>
        </w:rPr>
        <w:t>t might not be necessary to change the DR for the outlined approach to use historic foreign/domestic split data, as the wording of art 129 would allow for it. Rather, this could be</w:t>
      </w:r>
      <w:r>
        <w:rPr>
          <w:lang w:val="en-GB"/>
        </w:rPr>
        <w:t xml:space="preserve"> clarified in a Q&amp;A, especially</w:t>
      </w:r>
      <w:r w:rsidR="006C2556" w:rsidRPr="006C2556">
        <w:rPr>
          <w:lang w:val="en-GB"/>
        </w:rPr>
        <w:t xml:space="preserve"> as it seems to be an issue only for certain markets.</w:t>
      </w:r>
    </w:p>
    <w:p w:rsidR="00AF60B9" w:rsidRPr="00843CE0" w:rsidRDefault="00AF60B9" w:rsidP="00AF60B9">
      <w:pPr>
        <w:pStyle w:val="ListParagraph"/>
        <w:ind w:left="0"/>
        <w:rPr>
          <w:i/>
          <w:szCs w:val="22"/>
          <w:lang w:val="en-GB"/>
        </w:rPr>
      </w:pPr>
      <w:r w:rsidRPr="00843CE0">
        <w:rPr>
          <w:i/>
          <w:szCs w:val="22"/>
          <w:lang w:val="en-GB"/>
        </w:rPr>
        <w:t>Does the CAT WS have any comment on this approach?</w:t>
      </w:r>
    </w:p>
    <w:p w:rsidR="00843CE0" w:rsidRDefault="00843CE0" w:rsidP="00AF60B9">
      <w:pPr>
        <w:pStyle w:val="ListParagraph"/>
        <w:ind w:left="0"/>
        <w:rPr>
          <w:b/>
          <w:szCs w:val="22"/>
          <w:lang w:val="en-GB"/>
        </w:rPr>
      </w:pPr>
    </w:p>
    <w:p w:rsidR="00843CE0" w:rsidRDefault="00843CE0" w:rsidP="00AF60B9">
      <w:pPr>
        <w:pStyle w:val="ListParagraph"/>
        <w:ind w:left="0"/>
        <w:rPr>
          <w:b/>
          <w:szCs w:val="22"/>
          <w:lang w:val="en-GB"/>
        </w:rPr>
      </w:pPr>
      <w:r>
        <w:rPr>
          <w:b/>
          <w:szCs w:val="22"/>
          <w:lang w:val="en-GB"/>
        </w:rPr>
        <w:t>Open issues:</w:t>
      </w:r>
    </w:p>
    <w:p w:rsidR="00AF60B9" w:rsidRDefault="00843CE0" w:rsidP="00843CE0">
      <w:pPr>
        <w:pStyle w:val="ListParagraph"/>
        <w:numPr>
          <w:ilvl w:val="0"/>
          <w:numId w:val="10"/>
        </w:numPr>
        <w:rPr>
          <w:szCs w:val="22"/>
          <w:lang w:val="en-GB"/>
        </w:rPr>
      </w:pPr>
      <w:r w:rsidRPr="00843CE0">
        <w:rPr>
          <w:szCs w:val="22"/>
          <w:lang w:val="en-GB"/>
        </w:rPr>
        <w:t>An overview of the different liability regimes in EU MS in terms of (non-) limitations would be helpful</w:t>
      </w:r>
      <w:r>
        <w:rPr>
          <w:szCs w:val="22"/>
          <w:lang w:val="en-GB"/>
        </w:rPr>
        <w:t>.</w:t>
      </w:r>
    </w:p>
    <w:p w:rsidR="00843CE0" w:rsidRDefault="00843CE0" w:rsidP="00843CE0">
      <w:pPr>
        <w:pStyle w:val="ListParagraph"/>
        <w:numPr>
          <w:ilvl w:val="0"/>
          <w:numId w:val="10"/>
        </w:numPr>
        <w:rPr>
          <w:szCs w:val="22"/>
          <w:lang w:val="en-GB"/>
        </w:rPr>
      </w:pPr>
      <w:r>
        <w:rPr>
          <w:szCs w:val="22"/>
          <w:lang w:val="en-GB"/>
        </w:rPr>
        <w:t>What existing reporting figures could be used to provide information to supervisors on the foreign/domestic split of incurred claims in MTPL?</w:t>
      </w:r>
    </w:p>
    <w:p w:rsidR="00843CE0" w:rsidRPr="00843CE0" w:rsidRDefault="00843CE0" w:rsidP="00843CE0">
      <w:pPr>
        <w:pStyle w:val="ListParagraph"/>
        <w:numPr>
          <w:ilvl w:val="0"/>
          <w:numId w:val="10"/>
        </w:numPr>
        <w:rPr>
          <w:szCs w:val="22"/>
          <w:lang w:val="en-GB"/>
        </w:rPr>
      </w:pPr>
      <w:r>
        <w:rPr>
          <w:szCs w:val="22"/>
          <w:lang w:val="en-GB"/>
        </w:rPr>
        <w:t xml:space="preserve">Alternatively to the above, would it be sufficient for supervisors, if the undertaking demonstrates the appropriateness of the assignment to </w:t>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a</m:t>
            </m:r>
          </m:sub>
        </m:sSub>
      </m:oMath>
      <w:r>
        <w:rPr>
          <w:szCs w:val="22"/>
          <w:lang w:val="en-GB" w:eastAsia="en-US"/>
        </w:rPr>
        <w:t xml:space="preserve"> and </w:t>
      </w:r>
      <m:oMath>
        <m:sSub>
          <m:sSubPr>
            <m:ctrlPr>
              <w:rPr>
                <w:rFonts w:ascii="Cambria Math" w:eastAsia="Calibri" w:hAnsi="Cambria Math"/>
                <w:i/>
                <w:szCs w:val="22"/>
                <w:lang w:val="en-GB" w:eastAsia="en-US"/>
              </w:rPr>
            </m:ctrlPr>
          </m:sSubPr>
          <m:e>
            <m:r>
              <w:rPr>
                <w:rFonts w:ascii="Cambria Math" w:eastAsia="Calibri" w:hAnsi="Cambria Math"/>
                <w:szCs w:val="22"/>
                <w:lang w:val="en-GB" w:eastAsia="en-US"/>
              </w:rPr>
              <m:t>N</m:t>
            </m:r>
          </m:e>
          <m:sub>
            <m:r>
              <w:rPr>
                <w:rFonts w:ascii="Cambria Math" w:eastAsia="Calibri" w:hAnsi="Cambria Math"/>
                <w:szCs w:val="22"/>
                <w:lang w:val="en-GB" w:eastAsia="en-US"/>
              </w:rPr>
              <m:t>b</m:t>
            </m:r>
          </m:sub>
        </m:sSub>
      </m:oMath>
      <w:r>
        <w:rPr>
          <w:szCs w:val="22"/>
          <w:lang w:val="en-GB" w:eastAsia="en-US"/>
        </w:rPr>
        <w:t xml:space="preserve"> in the ORSA? Please provide reasoning!</w:t>
      </w:r>
    </w:p>
    <w:p w:rsidR="00AF60B9" w:rsidRPr="00AF60B9" w:rsidRDefault="00AF60B9" w:rsidP="00EA4C7B">
      <w:pPr>
        <w:pStyle w:val="ListParagraph"/>
        <w:ind w:left="0"/>
        <w:rPr>
          <w:szCs w:val="22"/>
          <w:lang w:val="en-GB"/>
        </w:rPr>
      </w:pPr>
    </w:p>
    <w:sectPr w:rsidR="00AF60B9" w:rsidRPr="00AF60B9" w:rsidSect="00B4505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3F2" w:rsidRDefault="00B003F2" w:rsidP="00B003F2">
      <w:pPr>
        <w:spacing w:after="0" w:line="240" w:lineRule="auto"/>
      </w:pPr>
      <w:r>
        <w:separator/>
      </w:r>
    </w:p>
  </w:endnote>
  <w:endnote w:type="continuationSeparator" w:id="0">
    <w:p w:rsidR="00B003F2" w:rsidRDefault="00B003F2" w:rsidP="00B0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361905"/>
      <w:docPartObj>
        <w:docPartGallery w:val="Page Numbers (Bottom of Page)"/>
        <w:docPartUnique/>
      </w:docPartObj>
    </w:sdtPr>
    <w:sdtEndPr>
      <w:rPr>
        <w:noProof/>
      </w:rPr>
    </w:sdtEndPr>
    <w:sdtContent>
      <w:p w:rsidR="00FB5484" w:rsidRDefault="00FB5484">
        <w:pPr>
          <w:pStyle w:val="Footer"/>
          <w:jc w:val="center"/>
        </w:pPr>
        <w:r>
          <w:fldChar w:fldCharType="begin"/>
        </w:r>
        <w:r>
          <w:instrText xml:space="preserve"> PAGE   \* MERGEFORMAT </w:instrText>
        </w:r>
        <w:r>
          <w:fldChar w:fldCharType="separate"/>
        </w:r>
        <w:r w:rsidR="00736BA4">
          <w:rPr>
            <w:noProof/>
          </w:rPr>
          <w:t>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736BA4">
          <w:rPr>
            <w:noProof/>
          </w:rPr>
          <w:t>4</w:t>
        </w:r>
        <w:r>
          <w:rPr>
            <w:noProof/>
          </w:rPr>
          <w:fldChar w:fldCharType="end"/>
        </w:r>
      </w:p>
    </w:sdtContent>
  </w:sdt>
  <w:p w:rsidR="00FB5484" w:rsidRDefault="00FB54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3F2" w:rsidRDefault="00B003F2" w:rsidP="00B003F2">
      <w:pPr>
        <w:spacing w:after="0" w:line="240" w:lineRule="auto"/>
      </w:pPr>
      <w:r>
        <w:separator/>
      </w:r>
    </w:p>
  </w:footnote>
  <w:footnote w:type="continuationSeparator" w:id="0">
    <w:p w:rsidR="00B003F2" w:rsidRDefault="00B003F2" w:rsidP="00B003F2">
      <w:pPr>
        <w:spacing w:after="0" w:line="240" w:lineRule="auto"/>
      </w:pPr>
      <w:r>
        <w:continuationSeparator/>
      </w:r>
    </w:p>
  </w:footnote>
  <w:footnote w:id="1">
    <w:p w:rsidR="00B003F2" w:rsidRPr="00B003F2" w:rsidRDefault="00B003F2">
      <w:pPr>
        <w:pStyle w:val="FootnoteText"/>
      </w:pPr>
      <w:r>
        <w:rPr>
          <w:rStyle w:val="FootnoteReference"/>
        </w:rPr>
        <w:footnoteRef/>
      </w:r>
      <w:r>
        <w:t xml:space="preserve"> </w:t>
      </w:r>
      <w:proofErr w:type="gramStart"/>
      <w:r>
        <w:t>Highlighting not part of</w:t>
      </w:r>
      <w:r w:rsidRPr="00B003F2">
        <w:t xml:space="preserve"> legal text.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A7573"/>
    <w:multiLevelType w:val="multilevel"/>
    <w:tmpl w:val="2A0C51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D96709C"/>
    <w:multiLevelType w:val="hybridMultilevel"/>
    <w:tmpl w:val="E5D0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623334"/>
    <w:multiLevelType w:val="hybridMultilevel"/>
    <w:tmpl w:val="2124E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C102260"/>
    <w:multiLevelType w:val="hybridMultilevel"/>
    <w:tmpl w:val="E70A0924"/>
    <w:lvl w:ilvl="0" w:tplc="A4A61460">
      <w:start w:val="1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CF4353"/>
    <w:multiLevelType w:val="hybridMultilevel"/>
    <w:tmpl w:val="3052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76D5621"/>
    <w:multiLevelType w:val="hybridMultilevel"/>
    <w:tmpl w:val="15C81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F8E2FD7"/>
    <w:multiLevelType w:val="hybridMultilevel"/>
    <w:tmpl w:val="01E85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734241"/>
    <w:multiLevelType w:val="hybridMultilevel"/>
    <w:tmpl w:val="CC64CF24"/>
    <w:lvl w:ilvl="0" w:tplc="ED3E22AE">
      <w:start w:val="4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48C7248"/>
    <w:multiLevelType w:val="hybridMultilevel"/>
    <w:tmpl w:val="7A34B892"/>
    <w:lvl w:ilvl="0" w:tplc="80F00420">
      <w:start w:val="4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E153869"/>
    <w:multiLevelType w:val="hybridMultilevel"/>
    <w:tmpl w:val="8AC64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8"/>
  </w:num>
  <w:num w:numId="5">
    <w:abstractNumId w:val="3"/>
  </w:num>
  <w:num w:numId="6">
    <w:abstractNumId w:val="5"/>
  </w:num>
  <w:num w:numId="7">
    <w:abstractNumId w:val="2"/>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6DB"/>
    <w:rsid w:val="000476FF"/>
    <w:rsid w:val="00080F3E"/>
    <w:rsid w:val="000A5614"/>
    <w:rsid w:val="000B1D02"/>
    <w:rsid w:val="000B3974"/>
    <w:rsid w:val="001310A7"/>
    <w:rsid w:val="00153D18"/>
    <w:rsid w:val="00197F64"/>
    <w:rsid w:val="001B0C9A"/>
    <w:rsid w:val="002416DB"/>
    <w:rsid w:val="002576DF"/>
    <w:rsid w:val="002D5ECA"/>
    <w:rsid w:val="003910CB"/>
    <w:rsid w:val="00435AF5"/>
    <w:rsid w:val="0044477B"/>
    <w:rsid w:val="0046161E"/>
    <w:rsid w:val="00472402"/>
    <w:rsid w:val="004E32C5"/>
    <w:rsid w:val="0058137D"/>
    <w:rsid w:val="0059440F"/>
    <w:rsid w:val="005C3F91"/>
    <w:rsid w:val="00607005"/>
    <w:rsid w:val="00661418"/>
    <w:rsid w:val="00680184"/>
    <w:rsid w:val="006B21B7"/>
    <w:rsid w:val="006C2556"/>
    <w:rsid w:val="00714044"/>
    <w:rsid w:val="00723723"/>
    <w:rsid w:val="00736BA4"/>
    <w:rsid w:val="007458B2"/>
    <w:rsid w:val="00843CE0"/>
    <w:rsid w:val="008E0A82"/>
    <w:rsid w:val="008E3BD7"/>
    <w:rsid w:val="00A12F9D"/>
    <w:rsid w:val="00A46055"/>
    <w:rsid w:val="00AC6C10"/>
    <w:rsid w:val="00AF60B9"/>
    <w:rsid w:val="00B003F2"/>
    <w:rsid w:val="00B4505E"/>
    <w:rsid w:val="00C52C84"/>
    <w:rsid w:val="00CA6C16"/>
    <w:rsid w:val="00D25B87"/>
    <w:rsid w:val="00DA5BDC"/>
    <w:rsid w:val="00E306F3"/>
    <w:rsid w:val="00EA4C7B"/>
    <w:rsid w:val="00F35829"/>
    <w:rsid w:val="00FB54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6DB"/>
    <w:pPr>
      <w:spacing w:before="120" w:after="0" w:line="240" w:lineRule="auto"/>
      <w:ind w:left="708"/>
      <w:jc w:val="both"/>
    </w:pPr>
    <w:rPr>
      <w:rFonts w:ascii="Verdana" w:eastAsia="Times New Roman" w:hAnsi="Verdana" w:cs="Times New Roman"/>
      <w:szCs w:val="24"/>
      <w:lang w:val="fr-FR" w:eastAsia="en-GB"/>
    </w:rPr>
  </w:style>
  <w:style w:type="table" w:styleId="TableGrid">
    <w:name w:val="Table Grid"/>
    <w:basedOn w:val="TableNormal"/>
    <w:uiPriority w:val="59"/>
    <w:rsid w:val="0024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44"/>
    <w:rPr>
      <w:rFonts w:ascii="Tahoma" w:hAnsi="Tahoma" w:cs="Tahoma"/>
      <w:sz w:val="16"/>
      <w:szCs w:val="16"/>
    </w:rPr>
  </w:style>
  <w:style w:type="character" w:styleId="Hyperlink">
    <w:name w:val="Hyperlink"/>
    <w:basedOn w:val="DefaultParagraphFont"/>
    <w:uiPriority w:val="99"/>
    <w:unhideWhenUsed/>
    <w:rsid w:val="00CA6C16"/>
    <w:rPr>
      <w:color w:val="0000FF" w:themeColor="hyperlink"/>
      <w:u w:val="none"/>
    </w:rPr>
  </w:style>
  <w:style w:type="paragraph" w:styleId="Title">
    <w:name w:val="Title"/>
    <w:aliases w:val="Document Title"/>
    <w:basedOn w:val="Normal"/>
    <w:next w:val="Normal"/>
    <w:link w:val="TitleChar"/>
    <w:uiPriority w:val="10"/>
    <w:qFormat/>
    <w:rsid w:val="00CA6C16"/>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TitleChar">
    <w:name w:val="Title Char"/>
    <w:aliases w:val="Document Title Char"/>
    <w:basedOn w:val="DefaultParagraphFont"/>
    <w:link w:val="Title"/>
    <w:uiPriority w:val="10"/>
    <w:rsid w:val="00CA6C16"/>
    <w:rPr>
      <w:rFonts w:ascii="Verdana" w:eastAsiaTheme="majorEastAsia" w:hAnsi="Verdana" w:cstheme="majorBidi"/>
      <w:b/>
      <w:spacing w:val="5"/>
      <w:kern w:val="28"/>
      <w:sz w:val="40"/>
      <w:szCs w:val="52"/>
      <w:shd w:val="clear" w:color="auto" w:fill="D0E7F6"/>
    </w:rPr>
  </w:style>
  <w:style w:type="paragraph" w:customStyle="1" w:styleId="ReferenceNumber">
    <w:name w:val="Reference Number"/>
    <w:basedOn w:val="Normal"/>
    <w:qFormat/>
    <w:rsid w:val="00CA6C16"/>
    <w:pPr>
      <w:tabs>
        <w:tab w:val="left" w:pos="1480"/>
      </w:tabs>
      <w:spacing w:after="0" w:line="240" w:lineRule="auto"/>
      <w:jc w:val="right"/>
    </w:pPr>
    <w:rPr>
      <w:rFonts w:ascii="Verdana" w:hAnsi="Verdana"/>
      <w:sz w:val="20"/>
      <w:szCs w:val="20"/>
    </w:rPr>
  </w:style>
  <w:style w:type="character" w:customStyle="1" w:styleId="Regular">
    <w:name w:val="Regular"/>
    <w:basedOn w:val="DefaultParagraphFont"/>
    <w:uiPriority w:val="1"/>
    <w:qFormat/>
    <w:rsid w:val="00CA6C16"/>
  </w:style>
  <w:style w:type="character" w:customStyle="1" w:styleId="Style5">
    <w:name w:val="Style5"/>
    <w:basedOn w:val="DefaultParagraphFont"/>
    <w:uiPriority w:val="1"/>
    <w:rsid w:val="00CA6C16"/>
    <w:rPr>
      <w:color w:val="FF0000"/>
    </w:rPr>
  </w:style>
  <w:style w:type="table" w:customStyle="1" w:styleId="EIOPATable">
    <w:name w:val="EIOPA Table"/>
    <w:basedOn w:val="TableNormal"/>
    <w:uiPriority w:val="99"/>
    <w:rsid w:val="00AF60B9"/>
    <w:pPr>
      <w:spacing w:after="0" w:line="240" w:lineRule="auto"/>
    </w:pPr>
    <w:rPr>
      <w:rFonts w:ascii="Verdana" w:hAnsi="Verdana"/>
    </w:rPr>
    <w:tblPr>
      <w:tblStyleRow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cPr>
      <w:shd w:val="clear" w:color="auto" w:fill="auto"/>
    </w:tcPr>
    <w:tblStylePr w:type="band1Horz">
      <w:rPr>
        <w:rFonts w:ascii="Verdana" w:hAnsi="Verdana"/>
        <w:sz w:val="22"/>
      </w:rPr>
      <w:tblPr/>
      <w:tcPr>
        <w:shd w:val="clear" w:color="auto" w:fill="D0E7F6"/>
      </w:tcPr>
    </w:tblStylePr>
  </w:style>
  <w:style w:type="character" w:styleId="CommentReference">
    <w:name w:val="annotation reference"/>
    <w:basedOn w:val="DefaultParagraphFont"/>
    <w:uiPriority w:val="99"/>
    <w:semiHidden/>
    <w:unhideWhenUsed/>
    <w:rsid w:val="00B003F2"/>
    <w:rPr>
      <w:sz w:val="16"/>
      <w:szCs w:val="16"/>
    </w:rPr>
  </w:style>
  <w:style w:type="paragraph" w:styleId="CommentText">
    <w:name w:val="annotation text"/>
    <w:basedOn w:val="Normal"/>
    <w:link w:val="CommentTextChar"/>
    <w:uiPriority w:val="99"/>
    <w:semiHidden/>
    <w:unhideWhenUsed/>
    <w:rsid w:val="00B003F2"/>
    <w:pPr>
      <w:spacing w:line="240" w:lineRule="auto"/>
    </w:pPr>
    <w:rPr>
      <w:sz w:val="20"/>
      <w:szCs w:val="20"/>
    </w:rPr>
  </w:style>
  <w:style w:type="character" w:customStyle="1" w:styleId="CommentTextChar">
    <w:name w:val="Comment Text Char"/>
    <w:basedOn w:val="DefaultParagraphFont"/>
    <w:link w:val="CommentText"/>
    <w:uiPriority w:val="99"/>
    <w:semiHidden/>
    <w:rsid w:val="00B003F2"/>
    <w:rPr>
      <w:sz w:val="20"/>
      <w:szCs w:val="20"/>
    </w:rPr>
  </w:style>
  <w:style w:type="paragraph" w:styleId="CommentSubject">
    <w:name w:val="annotation subject"/>
    <w:basedOn w:val="CommentText"/>
    <w:next w:val="CommentText"/>
    <w:link w:val="CommentSubjectChar"/>
    <w:uiPriority w:val="99"/>
    <w:semiHidden/>
    <w:unhideWhenUsed/>
    <w:rsid w:val="00B003F2"/>
    <w:rPr>
      <w:b/>
      <w:bCs/>
    </w:rPr>
  </w:style>
  <w:style w:type="character" w:customStyle="1" w:styleId="CommentSubjectChar">
    <w:name w:val="Comment Subject Char"/>
    <w:basedOn w:val="CommentTextChar"/>
    <w:link w:val="CommentSubject"/>
    <w:uiPriority w:val="99"/>
    <w:semiHidden/>
    <w:rsid w:val="00B003F2"/>
    <w:rPr>
      <w:b/>
      <w:bCs/>
      <w:sz w:val="20"/>
      <w:szCs w:val="20"/>
    </w:rPr>
  </w:style>
  <w:style w:type="paragraph" w:styleId="FootnoteText">
    <w:name w:val="footnote text"/>
    <w:basedOn w:val="Normal"/>
    <w:link w:val="FootnoteTextChar"/>
    <w:uiPriority w:val="99"/>
    <w:semiHidden/>
    <w:unhideWhenUsed/>
    <w:rsid w:val="00B00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03F2"/>
    <w:rPr>
      <w:sz w:val="20"/>
      <w:szCs w:val="20"/>
    </w:rPr>
  </w:style>
  <w:style w:type="character" w:styleId="FootnoteReference">
    <w:name w:val="footnote reference"/>
    <w:basedOn w:val="DefaultParagraphFont"/>
    <w:uiPriority w:val="99"/>
    <w:semiHidden/>
    <w:unhideWhenUsed/>
    <w:rsid w:val="00B003F2"/>
    <w:rPr>
      <w:vertAlign w:val="superscript"/>
    </w:rPr>
  </w:style>
  <w:style w:type="character" w:styleId="PlaceholderText">
    <w:name w:val="Placeholder Text"/>
    <w:basedOn w:val="DefaultParagraphFont"/>
    <w:uiPriority w:val="99"/>
    <w:semiHidden/>
    <w:rsid w:val="0058137D"/>
    <w:rPr>
      <w:color w:val="808080"/>
    </w:rPr>
  </w:style>
  <w:style w:type="paragraph" w:styleId="Header">
    <w:name w:val="header"/>
    <w:basedOn w:val="Normal"/>
    <w:link w:val="HeaderChar"/>
    <w:uiPriority w:val="99"/>
    <w:unhideWhenUsed/>
    <w:rsid w:val="00FB54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484"/>
  </w:style>
  <w:style w:type="paragraph" w:styleId="Footer">
    <w:name w:val="footer"/>
    <w:basedOn w:val="Normal"/>
    <w:link w:val="FooterChar"/>
    <w:uiPriority w:val="99"/>
    <w:unhideWhenUsed/>
    <w:rsid w:val="00FB54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4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6DB"/>
    <w:pPr>
      <w:spacing w:before="120" w:after="0" w:line="240" w:lineRule="auto"/>
      <w:ind w:left="708"/>
      <w:jc w:val="both"/>
    </w:pPr>
    <w:rPr>
      <w:rFonts w:ascii="Verdana" w:eastAsia="Times New Roman" w:hAnsi="Verdana" w:cs="Times New Roman"/>
      <w:szCs w:val="24"/>
      <w:lang w:val="fr-FR" w:eastAsia="en-GB"/>
    </w:rPr>
  </w:style>
  <w:style w:type="table" w:styleId="TableGrid">
    <w:name w:val="Table Grid"/>
    <w:basedOn w:val="TableNormal"/>
    <w:uiPriority w:val="59"/>
    <w:rsid w:val="0024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44"/>
    <w:rPr>
      <w:rFonts w:ascii="Tahoma" w:hAnsi="Tahoma" w:cs="Tahoma"/>
      <w:sz w:val="16"/>
      <w:szCs w:val="16"/>
    </w:rPr>
  </w:style>
  <w:style w:type="character" w:styleId="Hyperlink">
    <w:name w:val="Hyperlink"/>
    <w:basedOn w:val="DefaultParagraphFont"/>
    <w:uiPriority w:val="99"/>
    <w:unhideWhenUsed/>
    <w:rsid w:val="00CA6C16"/>
    <w:rPr>
      <w:color w:val="0000FF" w:themeColor="hyperlink"/>
      <w:u w:val="none"/>
    </w:rPr>
  </w:style>
  <w:style w:type="paragraph" w:styleId="Title">
    <w:name w:val="Title"/>
    <w:aliases w:val="Document Title"/>
    <w:basedOn w:val="Normal"/>
    <w:next w:val="Normal"/>
    <w:link w:val="TitleChar"/>
    <w:uiPriority w:val="10"/>
    <w:qFormat/>
    <w:rsid w:val="00CA6C16"/>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TitleChar">
    <w:name w:val="Title Char"/>
    <w:aliases w:val="Document Title Char"/>
    <w:basedOn w:val="DefaultParagraphFont"/>
    <w:link w:val="Title"/>
    <w:uiPriority w:val="10"/>
    <w:rsid w:val="00CA6C16"/>
    <w:rPr>
      <w:rFonts w:ascii="Verdana" w:eastAsiaTheme="majorEastAsia" w:hAnsi="Verdana" w:cstheme="majorBidi"/>
      <w:b/>
      <w:spacing w:val="5"/>
      <w:kern w:val="28"/>
      <w:sz w:val="40"/>
      <w:szCs w:val="52"/>
      <w:shd w:val="clear" w:color="auto" w:fill="D0E7F6"/>
    </w:rPr>
  </w:style>
  <w:style w:type="paragraph" w:customStyle="1" w:styleId="ReferenceNumber">
    <w:name w:val="Reference Number"/>
    <w:basedOn w:val="Normal"/>
    <w:qFormat/>
    <w:rsid w:val="00CA6C16"/>
    <w:pPr>
      <w:tabs>
        <w:tab w:val="left" w:pos="1480"/>
      </w:tabs>
      <w:spacing w:after="0" w:line="240" w:lineRule="auto"/>
      <w:jc w:val="right"/>
    </w:pPr>
    <w:rPr>
      <w:rFonts w:ascii="Verdana" w:hAnsi="Verdana"/>
      <w:sz w:val="20"/>
      <w:szCs w:val="20"/>
    </w:rPr>
  </w:style>
  <w:style w:type="character" w:customStyle="1" w:styleId="Regular">
    <w:name w:val="Regular"/>
    <w:basedOn w:val="DefaultParagraphFont"/>
    <w:uiPriority w:val="1"/>
    <w:qFormat/>
    <w:rsid w:val="00CA6C16"/>
  </w:style>
  <w:style w:type="character" w:customStyle="1" w:styleId="Style5">
    <w:name w:val="Style5"/>
    <w:basedOn w:val="DefaultParagraphFont"/>
    <w:uiPriority w:val="1"/>
    <w:rsid w:val="00CA6C16"/>
    <w:rPr>
      <w:color w:val="FF0000"/>
    </w:rPr>
  </w:style>
  <w:style w:type="table" w:customStyle="1" w:styleId="EIOPATable">
    <w:name w:val="EIOPA Table"/>
    <w:basedOn w:val="TableNormal"/>
    <w:uiPriority w:val="99"/>
    <w:rsid w:val="00AF60B9"/>
    <w:pPr>
      <w:spacing w:after="0" w:line="240" w:lineRule="auto"/>
    </w:pPr>
    <w:rPr>
      <w:rFonts w:ascii="Verdana" w:hAnsi="Verdana"/>
    </w:rPr>
    <w:tblPr>
      <w:tblStyleRow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cPr>
      <w:shd w:val="clear" w:color="auto" w:fill="auto"/>
    </w:tcPr>
    <w:tblStylePr w:type="band1Horz">
      <w:rPr>
        <w:rFonts w:ascii="Verdana" w:hAnsi="Verdana"/>
        <w:sz w:val="22"/>
      </w:rPr>
      <w:tblPr/>
      <w:tcPr>
        <w:shd w:val="clear" w:color="auto" w:fill="D0E7F6"/>
      </w:tcPr>
    </w:tblStylePr>
  </w:style>
  <w:style w:type="character" w:styleId="CommentReference">
    <w:name w:val="annotation reference"/>
    <w:basedOn w:val="DefaultParagraphFont"/>
    <w:uiPriority w:val="99"/>
    <w:semiHidden/>
    <w:unhideWhenUsed/>
    <w:rsid w:val="00B003F2"/>
    <w:rPr>
      <w:sz w:val="16"/>
      <w:szCs w:val="16"/>
    </w:rPr>
  </w:style>
  <w:style w:type="paragraph" w:styleId="CommentText">
    <w:name w:val="annotation text"/>
    <w:basedOn w:val="Normal"/>
    <w:link w:val="CommentTextChar"/>
    <w:uiPriority w:val="99"/>
    <w:semiHidden/>
    <w:unhideWhenUsed/>
    <w:rsid w:val="00B003F2"/>
    <w:pPr>
      <w:spacing w:line="240" w:lineRule="auto"/>
    </w:pPr>
    <w:rPr>
      <w:sz w:val="20"/>
      <w:szCs w:val="20"/>
    </w:rPr>
  </w:style>
  <w:style w:type="character" w:customStyle="1" w:styleId="CommentTextChar">
    <w:name w:val="Comment Text Char"/>
    <w:basedOn w:val="DefaultParagraphFont"/>
    <w:link w:val="CommentText"/>
    <w:uiPriority w:val="99"/>
    <w:semiHidden/>
    <w:rsid w:val="00B003F2"/>
    <w:rPr>
      <w:sz w:val="20"/>
      <w:szCs w:val="20"/>
    </w:rPr>
  </w:style>
  <w:style w:type="paragraph" w:styleId="CommentSubject">
    <w:name w:val="annotation subject"/>
    <w:basedOn w:val="CommentText"/>
    <w:next w:val="CommentText"/>
    <w:link w:val="CommentSubjectChar"/>
    <w:uiPriority w:val="99"/>
    <w:semiHidden/>
    <w:unhideWhenUsed/>
    <w:rsid w:val="00B003F2"/>
    <w:rPr>
      <w:b/>
      <w:bCs/>
    </w:rPr>
  </w:style>
  <w:style w:type="character" w:customStyle="1" w:styleId="CommentSubjectChar">
    <w:name w:val="Comment Subject Char"/>
    <w:basedOn w:val="CommentTextChar"/>
    <w:link w:val="CommentSubject"/>
    <w:uiPriority w:val="99"/>
    <w:semiHidden/>
    <w:rsid w:val="00B003F2"/>
    <w:rPr>
      <w:b/>
      <w:bCs/>
      <w:sz w:val="20"/>
      <w:szCs w:val="20"/>
    </w:rPr>
  </w:style>
  <w:style w:type="paragraph" w:styleId="FootnoteText">
    <w:name w:val="footnote text"/>
    <w:basedOn w:val="Normal"/>
    <w:link w:val="FootnoteTextChar"/>
    <w:uiPriority w:val="99"/>
    <w:semiHidden/>
    <w:unhideWhenUsed/>
    <w:rsid w:val="00B00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03F2"/>
    <w:rPr>
      <w:sz w:val="20"/>
      <w:szCs w:val="20"/>
    </w:rPr>
  </w:style>
  <w:style w:type="character" w:styleId="FootnoteReference">
    <w:name w:val="footnote reference"/>
    <w:basedOn w:val="DefaultParagraphFont"/>
    <w:uiPriority w:val="99"/>
    <w:semiHidden/>
    <w:unhideWhenUsed/>
    <w:rsid w:val="00B003F2"/>
    <w:rPr>
      <w:vertAlign w:val="superscript"/>
    </w:rPr>
  </w:style>
  <w:style w:type="character" w:styleId="PlaceholderText">
    <w:name w:val="Placeholder Text"/>
    <w:basedOn w:val="DefaultParagraphFont"/>
    <w:uiPriority w:val="99"/>
    <w:semiHidden/>
    <w:rsid w:val="0058137D"/>
    <w:rPr>
      <w:color w:val="808080"/>
    </w:rPr>
  </w:style>
  <w:style w:type="paragraph" w:styleId="Header">
    <w:name w:val="header"/>
    <w:basedOn w:val="Normal"/>
    <w:link w:val="HeaderChar"/>
    <w:uiPriority w:val="99"/>
    <w:unhideWhenUsed/>
    <w:rsid w:val="00FB54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484"/>
  </w:style>
  <w:style w:type="paragraph" w:styleId="Footer">
    <w:name w:val="footer"/>
    <w:basedOn w:val="Normal"/>
    <w:link w:val="FooterChar"/>
    <w:uiPriority w:val="99"/>
    <w:unhideWhenUsed/>
    <w:rsid w:val="00FB54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08744">
      <w:bodyDiv w:val="1"/>
      <w:marLeft w:val="0"/>
      <w:marRight w:val="0"/>
      <w:marTop w:val="0"/>
      <w:marBottom w:val="0"/>
      <w:divBdr>
        <w:top w:val="none" w:sz="0" w:space="0" w:color="auto"/>
        <w:left w:val="none" w:sz="0" w:space="0" w:color="auto"/>
        <w:bottom w:val="none" w:sz="0" w:space="0" w:color="auto"/>
        <w:right w:val="none" w:sz="0" w:space="0" w:color="auto"/>
      </w:divBdr>
    </w:div>
    <w:div w:id="793793984">
      <w:bodyDiv w:val="1"/>
      <w:marLeft w:val="0"/>
      <w:marRight w:val="0"/>
      <w:marTop w:val="0"/>
      <w:marBottom w:val="0"/>
      <w:divBdr>
        <w:top w:val="none" w:sz="0" w:space="0" w:color="auto"/>
        <w:left w:val="none" w:sz="0" w:space="0" w:color="auto"/>
        <w:bottom w:val="none" w:sz="0" w:space="0" w:color="auto"/>
        <w:right w:val="none" w:sz="0" w:space="0" w:color="auto"/>
      </w:divBdr>
    </w:div>
    <w:div w:id="869073540">
      <w:bodyDiv w:val="1"/>
      <w:marLeft w:val="0"/>
      <w:marRight w:val="0"/>
      <w:marTop w:val="0"/>
      <w:marBottom w:val="0"/>
      <w:divBdr>
        <w:top w:val="none" w:sz="0" w:space="0" w:color="auto"/>
        <w:left w:val="none" w:sz="0" w:space="0" w:color="auto"/>
        <w:bottom w:val="none" w:sz="0" w:space="0" w:color="auto"/>
        <w:right w:val="none" w:sz="0" w:space="0" w:color="auto"/>
      </w:divBdr>
    </w:div>
    <w:div w:id="994409848">
      <w:bodyDiv w:val="1"/>
      <w:marLeft w:val="0"/>
      <w:marRight w:val="0"/>
      <w:marTop w:val="0"/>
      <w:marBottom w:val="0"/>
      <w:divBdr>
        <w:top w:val="none" w:sz="0" w:space="0" w:color="auto"/>
        <w:left w:val="none" w:sz="0" w:space="0" w:color="auto"/>
        <w:bottom w:val="none" w:sz="0" w:space="0" w:color="auto"/>
        <w:right w:val="none" w:sz="0" w:space="0" w:color="auto"/>
      </w:divBdr>
    </w:div>
    <w:div w:id="164700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C8D"/>
    <w:rsid w:val="00136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F099DAD5984DB9AB31C4D3C28848AA">
    <w:name w:val="3FF099DAD5984DB9AB31C4D3C28848AA"/>
    <w:rsid w:val="00136C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F099DAD5984DB9AB31C4D3C28848AA">
    <w:name w:val="3FF099DAD5984DB9AB31C4D3C28848AA"/>
    <w:rsid w:val="00136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 xsi:nil="tru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 xsi:nil="true"/>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74D1B50C-3257-4A5E-8578-F72337696D36}">
  <ds:schemaRefs>
    <ds:schemaRef ds:uri="http://schemas.openxmlformats.org/officeDocument/2006/bibliography"/>
  </ds:schemaRefs>
</ds:datastoreItem>
</file>

<file path=customXml/itemProps2.xml><?xml version="1.0" encoding="utf-8"?>
<ds:datastoreItem xmlns:ds="http://schemas.openxmlformats.org/officeDocument/2006/customXml" ds:itemID="{38F4271C-7C5D-4EAE-A39B-ED005F332FA1}"/>
</file>

<file path=customXml/itemProps3.xml><?xml version="1.0" encoding="utf-8"?>
<ds:datastoreItem xmlns:ds="http://schemas.openxmlformats.org/officeDocument/2006/customXml" ds:itemID="{A2614927-1DB7-4EB1-94DA-0B0EFBF8C62E}"/>
</file>

<file path=customXml/itemProps4.xml><?xml version="1.0" encoding="utf-8"?>
<ds:datastoreItem xmlns:ds="http://schemas.openxmlformats.org/officeDocument/2006/customXml" ds:itemID="{B4BCE7F6-34A0-4286-BC65-F4F120B7E298}"/>
</file>

<file path=docProps/app.xml><?xml version="1.0" encoding="utf-8"?>
<Properties xmlns="http://schemas.openxmlformats.org/officeDocument/2006/extended-properties" xmlns:vt="http://schemas.openxmlformats.org/officeDocument/2006/docPropsVTypes">
  <Template>Normal</Template>
  <TotalTime>67</TotalTime>
  <Pages>4</Pages>
  <Words>1181</Words>
  <Characters>6732</Characters>
  <Application>Microsoft Office Word</Application>
  <DocSecurity>0</DocSecurity>
  <Lines>56</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EIOPA</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Item_4_Motor_vehicle_liability_risk for CAT WS</dc:title>
  <dc:creator>Camille Graciani</dc:creator>
  <cp:lastModifiedBy>Roy Nitze</cp:lastModifiedBy>
  <cp:revision>6</cp:revision>
  <dcterms:created xsi:type="dcterms:W3CDTF">2017-08-21T14:53:00Z</dcterms:created>
  <dcterms:modified xsi:type="dcterms:W3CDTF">2017-08-21T16:02:00Z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1379550061</vt:i4>
  </property>
  <property fmtid="{D5CDD505-2E9C-101B-9397-08002B2CF9AE}" pid="3" name="_NewReviewCycle">
    <vt:lpwstr/>
  </property>
  <property fmtid="{D5CDD505-2E9C-101B-9397-08002B2CF9AE}" pid="4" name="_EmailSubject">
    <vt:lpwstr>To CAT WS: 2nd set of documents for 24-25 Aug 2017 4th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ies>
</file>