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noProof/>
          <w:lang w:eastAsia="en-GB"/>
        </w:rPr>
        <w:id w:val="2000993162"/>
        <w:lock w:val="contentLocked"/>
        <w:picture/>
      </w:sdtPr>
      <w:sdtEndPr/>
      <w:sdtContent>
        <w:p w:rsidR="00CA6C16" w:rsidRDefault="00CA6C16" w:rsidP="002D3A3F">
          <w:pPr>
            <w:jc w:val="center"/>
          </w:pPr>
          <w:r w:rsidRPr="009B01A3">
            <w:rPr>
              <w:noProof/>
              <w:lang w:eastAsia="en-GB"/>
            </w:rPr>
            <w:drawing>
              <wp:inline distT="0" distB="0" distL="0" distR="0" wp14:anchorId="1BFFBF86" wp14:editId="3D633F89">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rsidR="00CA6C16" w:rsidRPr="009B01A3" w:rsidRDefault="00CA6C16" w:rsidP="002D3A3F">
      <w:pPr>
        <w:jc w:val="center"/>
      </w:pPr>
    </w:p>
    <w:p w:rsidR="00CA6C16" w:rsidRPr="0010199E" w:rsidRDefault="00AA6EB6" w:rsidP="002D3A3F">
      <w:pPr>
        <w:pStyle w:val="ReferenceNumber"/>
        <w:rPr>
          <w:rStyle w:val="Regular"/>
        </w:rPr>
      </w:pPr>
      <w:sdt>
        <w:sdtPr>
          <w:rPr>
            <w:rStyle w:val="Style5"/>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color w:val="auto"/>
          </w:rPr>
        </w:sdtEndPr>
        <w:sdtContent>
          <w:r w:rsidR="00CA6C16">
            <w:rPr>
              <w:rStyle w:val="Style5"/>
            </w:rPr>
            <w:t xml:space="preserve"> </w:t>
          </w:r>
        </w:sdtContent>
      </w:sdt>
      <w:r w:rsidR="00CA6C16" w:rsidRPr="0010199E">
        <w:rPr>
          <w:rStyle w:val="Regular"/>
        </w:rPr>
        <w:t xml:space="preserve"> </w:t>
      </w:r>
    </w:p>
    <w:p w:rsidR="00CA6C16" w:rsidRPr="0010199E" w:rsidRDefault="00AA6EB6" w:rsidP="002D3A3F">
      <w:pPr>
        <w:pStyle w:val="ReferenceNumber"/>
      </w:pPr>
      <w:sdt>
        <w:sdtPr>
          <w:id w:val="2079789613"/>
          <w:showingPlcHdr/>
        </w:sdtPr>
        <w:sdtEndPr/>
        <w:sdtContent>
          <w:r w:rsidR="00CA6C16">
            <w:t xml:space="preserve">     </w:t>
          </w:r>
        </w:sdtContent>
      </w:sdt>
    </w:p>
    <w:p w:rsidR="00CA6C16" w:rsidRPr="0010199E" w:rsidRDefault="00AA6EB6" w:rsidP="002D3A3F">
      <w:pPr>
        <w:pStyle w:val="ReferenceNumber"/>
        <w:rPr>
          <w:rStyle w:val="Regular"/>
        </w:rPr>
      </w:pPr>
      <w:sdt>
        <w:sdtPr>
          <w:id w:val="-113525082"/>
        </w:sdtPr>
        <w:sdtEndPr/>
        <w:sdtContent>
          <w:r w:rsidR="00080F3E">
            <w:t>1</w:t>
          </w:r>
          <w:r w:rsidR="006E44E8">
            <w:t>7</w:t>
          </w:r>
          <w:r w:rsidR="00CA6C16" w:rsidRPr="0010199E">
            <w:t xml:space="preserve"> </w:t>
          </w:r>
          <w:r w:rsidR="00CA6C16">
            <w:t>0</w:t>
          </w:r>
          <w:r w:rsidR="00080F3E">
            <w:t>8</w:t>
          </w:r>
          <w:r w:rsidR="00CA6C16" w:rsidRPr="0010199E">
            <w:t xml:space="preserve"> </w:t>
          </w:r>
          <w:r w:rsidR="00CA6C16">
            <w:t>2017</w:t>
          </w:r>
        </w:sdtContent>
      </w:sdt>
    </w:p>
    <w:p w:rsidR="00CA6C16" w:rsidRDefault="00CA6C16" w:rsidP="002D3A3F">
      <w:pPr>
        <w:jc w:val="center"/>
        <w:rPr>
          <w:rStyle w:val="Hyperlink"/>
        </w:rPr>
      </w:pPr>
    </w:p>
    <w:p w:rsidR="00CA6C16" w:rsidRPr="009B01A3" w:rsidRDefault="00CA6C16" w:rsidP="002D3A3F">
      <w:pPr>
        <w:jc w:val="center"/>
        <w:rPr>
          <w:sz w:val="24"/>
          <w:szCs w:val="24"/>
        </w:rPr>
      </w:pPr>
    </w:p>
    <w:p w:rsidR="00CA6C16" w:rsidRDefault="00CA6C16" w:rsidP="002D3A3F">
      <w:pPr>
        <w:pStyle w:val="Title"/>
      </w:pPr>
      <w:r w:rsidRPr="00E97A4A">
        <w:tab/>
      </w:r>
    </w:p>
    <w:p w:rsidR="00CA6C16" w:rsidRDefault="00CA6C16" w:rsidP="002D3A3F">
      <w:pPr>
        <w:pStyle w:val="Title"/>
      </w:pPr>
      <w:r>
        <w:t>O</w:t>
      </w:r>
      <w:r w:rsidRPr="00BA4296">
        <w:t xml:space="preserve">n </w:t>
      </w:r>
      <w:sdt>
        <w:sdtPr>
          <w:id w:val="-1053920528"/>
        </w:sdtPr>
        <w:sdtEndPr/>
        <w:sdtContent>
          <w:r>
            <w:t>contractual limits and natural catastrophe risk</w:t>
          </w:r>
        </w:sdtContent>
      </w:sdt>
    </w:p>
    <w:p w:rsidR="00EA4C7B" w:rsidRPr="00EA4C7B" w:rsidRDefault="00EA4C7B" w:rsidP="00EA4C7B">
      <w:pPr>
        <w:jc w:val="center"/>
        <w:rPr>
          <w:rFonts w:ascii="Verdana" w:hAnsi="Verdana"/>
          <w:b/>
          <w:iCs/>
        </w:rPr>
      </w:pPr>
    </w:p>
    <w:p w:rsidR="00EA4C7B" w:rsidRPr="00EA4C7B" w:rsidRDefault="00EA4C7B" w:rsidP="00EA4C7B">
      <w:pPr>
        <w:pStyle w:val="ListParagraph"/>
        <w:ind w:left="0"/>
        <w:rPr>
          <w:szCs w:val="22"/>
          <w:lang w:val="en-US"/>
        </w:rPr>
      </w:pPr>
      <w:r w:rsidRPr="00EA4C7B">
        <w:rPr>
          <w:szCs w:val="22"/>
          <w:lang w:val="en-US"/>
        </w:rPr>
        <w:t xml:space="preserve">The </w:t>
      </w:r>
      <w:r w:rsidR="00080F3E">
        <w:rPr>
          <w:szCs w:val="22"/>
          <w:lang w:val="en-US"/>
        </w:rPr>
        <w:t xml:space="preserve">European Commission </w:t>
      </w:r>
      <w:r w:rsidRPr="00EA4C7B">
        <w:rPr>
          <w:szCs w:val="22"/>
          <w:lang w:val="en-US"/>
        </w:rPr>
        <w:t xml:space="preserve">call for advice contains a specific request on the catastrophe risk and contractual limits. </w:t>
      </w:r>
    </w:p>
    <w:p w:rsidR="00EA4C7B" w:rsidRPr="00EA4C7B" w:rsidRDefault="00EA4C7B" w:rsidP="00EA4C7B">
      <w:pPr>
        <w:pStyle w:val="ListParagraph"/>
        <w:ind w:left="0"/>
        <w:rPr>
          <w:szCs w:val="22"/>
          <w:lang w:val="en-GB"/>
        </w:rPr>
      </w:pPr>
      <w:r w:rsidRPr="00EA4C7B">
        <w:rPr>
          <w:szCs w:val="22"/>
          <w:lang w:val="en-US"/>
        </w:rPr>
        <w:t>In addition to the advice on a possible simpler structure, “</w:t>
      </w:r>
      <w:r w:rsidRPr="00EA4C7B">
        <w:rPr>
          <w:i/>
          <w:szCs w:val="22"/>
          <w:lang w:val="en-US"/>
        </w:rPr>
        <w:t xml:space="preserve">EIOPA is asked to assess the continued appropriateness of the methods and assumptions, and where required, the parameters, used when calculating the non-life catastrophe risk submodule, </w:t>
      </w:r>
      <w:r w:rsidRPr="00080F3E">
        <w:rPr>
          <w:i/>
          <w:szCs w:val="22"/>
          <w:u w:val="single"/>
          <w:lang w:val="en-US"/>
        </w:rPr>
        <w:t>in particular in view of the approach on contractual limits as set out in recital 54</w:t>
      </w:r>
      <w:r w:rsidRPr="00EA4C7B">
        <w:rPr>
          <w:i/>
          <w:szCs w:val="22"/>
          <w:lang w:val="en-US"/>
        </w:rPr>
        <w:t xml:space="preserve"> of Delegated Regulation (EU) 2015/35</w:t>
      </w:r>
      <w:r w:rsidRPr="00EA4C7B">
        <w:rPr>
          <w:szCs w:val="22"/>
          <w:lang w:val="en-US"/>
        </w:rPr>
        <w:t>.</w:t>
      </w:r>
      <w:r w:rsidRPr="00EA4C7B">
        <w:rPr>
          <w:szCs w:val="22"/>
          <w:lang w:val="en-GB"/>
        </w:rPr>
        <w:t>”</w:t>
      </w:r>
    </w:p>
    <w:p w:rsidR="00EA4C7B" w:rsidRPr="00EA4C7B" w:rsidRDefault="00EA4C7B" w:rsidP="00EA4C7B">
      <w:pPr>
        <w:pStyle w:val="ListParagraph"/>
        <w:ind w:left="0"/>
        <w:rPr>
          <w:szCs w:val="22"/>
          <w:lang w:val="en-GB"/>
        </w:rPr>
      </w:pPr>
      <w:r w:rsidRPr="00EA4C7B">
        <w:rPr>
          <w:szCs w:val="22"/>
          <w:lang w:val="en-GB"/>
        </w:rPr>
        <w:t>As explained in the EIOPA document about “The underlying assumptions in the standard formula of the Solvency Capital Requirement calculation”: “</w:t>
      </w:r>
      <w:r w:rsidRPr="00EA4C7B">
        <w:rPr>
          <w:i/>
          <w:szCs w:val="22"/>
          <w:lang w:val="en-GB"/>
        </w:rPr>
        <w:t>the calibration of the natural catastrophe risk submodule is based on average conditions for any given country-peril combination.”</w:t>
      </w:r>
      <w:r w:rsidRPr="00EA4C7B">
        <w:rPr>
          <w:szCs w:val="22"/>
          <w:lang w:val="en-GB"/>
        </w:rPr>
        <w:t xml:space="preserve"> </w:t>
      </w:r>
    </w:p>
    <w:p w:rsidR="00EA4C7B" w:rsidRPr="00EA4C7B" w:rsidRDefault="00EA4C7B" w:rsidP="00EA4C7B">
      <w:pPr>
        <w:pStyle w:val="ListParagraph"/>
        <w:ind w:left="0"/>
        <w:rPr>
          <w:szCs w:val="22"/>
          <w:lang w:val="en-GB"/>
        </w:rPr>
      </w:pPr>
      <w:r w:rsidRPr="00EA4C7B">
        <w:rPr>
          <w:szCs w:val="22"/>
          <w:lang w:val="en-GB"/>
        </w:rPr>
        <w:t>The risk weights and risk factors defined in Articles 120-1</w:t>
      </w:r>
      <w:r w:rsidR="00CA6C16">
        <w:rPr>
          <w:szCs w:val="22"/>
          <w:lang w:val="en-GB"/>
        </w:rPr>
        <w:t>25</w:t>
      </w:r>
      <w:r w:rsidRPr="00EA4C7B">
        <w:rPr>
          <w:szCs w:val="22"/>
          <w:lang w:val="en-GB"/>
        </w:rPr>
        <w:t xml:space="preserve"> of the Delegated Regulation have been calibrated by </w:t>
      </w:r>
      <w:r w:rsidR="00080F3E">
        <w:rPr>
          <w:szCs w:val="22"/>
          <w:lang w:val="en-GB"/>
        </w:rPr>
        <w:t xml:space="preserve">the previous CAT TF </w:t>
      </w:r>
      <w:r w:rsidRPr="00EA4C7B">
        <w:rPr>
          <w:szCs w:val="22"/>
          <w:lang w:val="en-GB"/>
        </w:rPr>
        <w:t xml:space="preserve">taking account </w:t>
      </w:r>
      <w:r w:rsidR="009D7128">
        <w:rPr>
          <w:szCs w:val="22"/>
          <w:lang w:val="en-GB"/>
        </w:rPr>
        <w:t xml:space="preserve">of </w:t>
      </w:r>
      <w:r w:rsidRPr="00EA4C7B">
        <w:rPr>
          <w:szCs w:val="22"/>
          <w:lang w:val="en-GB"/>
        </w:rPr>
        <w:t>average contractual limits</w:t>
      </w:r>
      <w:r w:rsidR="00CA6C16">
        <w:rPr>
          <w:szCs w:val="22"/>
          <w:lang w:val="en-GB"/>
        </w:rPr>
        <w:t xml:space="preserve"> and average deductibles</w:t>
      </w:r>
      <w:r w:rsidRPr="00EA4C7B">
        <w:rPr>
          <w:szCs w:val="22"/>
          <w:lang w:val="en-GB"/>
        </w:rPr>
        <w:t xml:space="preserve">. The intention was to apply </w:t>
      </w:r>
      <w:r w:rsidR="009D7128">
        <w:rPr>
          <w:szCs w:val="22"/>
          <w:lang w:val="en-GB"/>
        </w:rPr>
        <w:t>the risk factors</w:t>
      </w:r>
      <w:r w:rsidR="009D7128" w:rsidRPr="00EA4C7B">
        <w:rPr>
          <w:szCs w:val="22"/>
          <w:lang w:val="en-GB"/>
        </w:rPr>
        <w:t xml:space="preserve"> </w:t>
      </w:r>
      <w:r w:rsidRPr="00EA4C7B">
        <w:rPr>
          <w:szCs w:val="22"/>
          <w:lang w:val="en-GB"/>
        </w:rPr>
        <w:t>directly to the undertaking’s sum insured without contractual limits</w:t>
      </w:r>
      <w:r w:rsidR="003910CB">
        <w:rPr>
          <w:szCs w:val="22"/>
          <w:lang w:val="en-GB"/>
        </w:rPr>
        <w:t xml:space="preserve"> and without deductibles</w:t>
      </w:r>
      <w:r w:rsidRPr="00EA4C7B">
        <w:rPr>
          <w:szCs w:val="22"/>
          <w:lang w:val="en-GB"/>
        </w:rPr>
        <w:t xml:space="preserve">, so that the SCR per peril is calibrated at the appropriate level for each country. </w:t>
      </w:r>
    </w:p>
    <w:p w:rsidR="00EA4C7B" w:rsidRDefault="00EA4C7B" w:rsidP="00EA4C7B">
      <w:pPr>
        <w:pStyle w:val="ListParagraph"/>
        <w:ind w:left="0"/>
        <w:rPr>
          <w:szCs w:val="22"/>
          <w:lang w:val="en-GB"/>
        </w:rPr>
      </w:pPr>
      <w:r w:rsidRPr="00EA4C7B">
        <w:rPr>
          <w:szCs w:val="22"/>
          <w:lang w:val="en-GB"/>
        </w:rPr>
        <w:t>Recital 54 of the Delegated Regulation provides further guidance at undertaking level: “</w:t>
      </w:r>
      <w:r w:rsidRPr="00EA4C7B">
        <w:rPr>
          <w:i/>
          <w:szCs w:val="22"/>
          <w:lang w:val="en-GB"/>
        </w:rPr>
        <w:t xml:space="preserve">In order to capture the actual risk exposure of the undertaking in the calculation of the capital requirement for natural catastrophe risk in </w:t>
      </w:r>
      <w:r w:rsidR="009D7128">
        <w:rPr>
          <w:i/>
          <w:szCs w:val="22"/>
          <w:lang w:val="en-GB"/>
        </w:rPr>
        <w:t xml:space="preserve">the </w:t>
      </w:r>
      <w:r w:rsidRPr="00EA4C7B">
        <w:rPr>
          <w:i/>
          <w:szCs w:val="22"/>
          <w:lang w:val="en-GB"/>
        </w:rPr>
        <w:t>standard formula, the sum insured should be determined in a manner that takes account of contractual limits for the compensation for catastrophe events</w:t>
      </w:r>
      <w:r w:rsidRPr="00EA4C7B">
        <w:rPr>
          <w:szCs w:val="22"/>
          <w:lang w:val="en-GB"/>
        </w:rPr>
        <w:t>.”</w:t>
      </w:r>
    </w:p>
    <w:p w:rsidR="00080F3E" w:rsidRDefault="00680184" w:rsidP="00EA4C7B">
      <w:pPr>
        <w:pStyle w:val="ListParagraph"/>
        <w:ind w:left="0"/>
        <w:rPr>
          <w:szCs w:val="22"/>
          <w:lang w:val="en-GB"/>
        </w:rPr>
      </w:pPr>
      <w:r>
        <w:rPr>
          <w:szCs w:val="22"/>
          <w:lang w:val="en-GB"/>
        </w:rPr>
        <w:lastRenderedPageBreak/>
        <w:t xml:space="preserve">The purpose of the recital seems to better take into account individual risk profiles. </w:t>
      </w:r>
      <w:r w:rsidR="00080F3E">
        <w:rPr>
          <w:szCs w:val="22"/>
          <w:lang w:val="en-GB"/>
        </w:rPr>
        <w:t>However it is difficult to put in place in practice</w:t>
      </w:r>
      <w:r w:rsidR="00300F7F">
        <w:rPr>
          <w:szCs w:val="22"/>
          <w:lang w:val="en-GB"/>
        </w:rPr>
        <w:t xml:space="preserve"> at individual level</w:t>
      </w:r>
      <w:r w:rsidR="00080F3E">
        <w:rPr>
          <w:szCs w:val="22"/>
          <w:lang w:val="en-GB"/>
        </w:rPr>
        <w:t xml:space="preserve">, since the input of the formula of Articles 120-125 should be the sum insured gross of deductibles and contractual limits. </w:t>
      </w:r>
      <w:r w:rsidR="00300F7F">
        <w:rPr>
          <w:szCs w:val="22"/>
          <w:lang w:val="en-GB"/>
        </w:rPr>
        <w:t>This would require a radical change in the calibration process, making it difficult since historical losses would not be usable anymore, but even more importantly would severely increase the complexity of the design of the standard formula, since the relationship between catastrophe losses and contractual limits on policies is non-linear.</w:t>
      </w:r>
    </w:p>
    <w:p w:rsidR="006E44E8" w:rsidRPr="00AA6EB6" w:rsidRDefault="006E44E8" w:rsidP="006E44E8">
      <w:pPr>
        <w:pStyle w:val="ListParagraph"/>
        <w:ind w:left="0"/>
        <w:rPr>
          <w:lang w:val="en-GB"/>
        </w:rPr>
      </w:pPr>
      <w:r w:rsidRPr="00AA6EB6">
        <w:rPr>
          <w:lang w:val="en-GB"/>
        </w:rPr>
        <w:t>That is why the Insurance Policy Committee of EIOPA decided that only an adjustment to the end results would make sense. The proposal is referred as an “ex-post adjustment” and would work as follows, for each peril:</w:t>
      </w:r>
    </w:p>
    <w:p w:rsidR="006E44E8" w:rsidRPr="00AA6EB6" w:rsidRDefault="006E44E8" w:rsidP="006E44E8">
      <w:pPr>
        <w:pStyle w:val="ListParagraph"/>
        <w:numPr>
          <w:ilvl w:val="0"/>
          <w:numId w:val="6"/>
        </w:numPr>
        <w:rPr>
          <w:lang w:val="en-GB"/>
        </w:rPr>
      </w:pPr>
      <w:r w:rsidRPr="00AA6EB6">
        <w:rPr>
          <w:lang w:val="en-GB"/>
        </w:rPr>
        <w:t xml:space="preserve">Calculate, for each zone, the corresponding gross loss by applying the following formula: </w:t>
      </w:r>
      <w:r w:rsidRPr="00AA6EB6">
        <w:rPr>
          <w:i/>
          <w:iCs/>
          <w:lang w:val="en-GB"/>
        </w:rPr>
        <w:t>country factor</w:t>
      </w:r>
      <w:r w:rsidRPr="00AA6EB6">
        <w:rPr>
          <w:lang w:val="en-GB"/>
        </w:rPr>
        <w:t xml:space="preserve"> </w:t>
      </w:r>
      <w:proofErr w:type="gramStart"/>
      <w:r w:rsidRPr="00AA6EB6">
        <w:rPr>
          <w:lang w:val="en-GB"/>
        </w:rPr>
        <w:t>times</w:t>
      </w:r>
      <w:proofErr w:type="gramEnd"/>
      <w:r w:rsidRPr="00AA6EB6">
        <w:rPr>
          <w:lang w:val="en-GB"/>
        </w:rPr>
        <w:t xml:space="preserve"> </w:t>
      </w:r>
      <w:r w:rsidRPr="00AA6EB6">
        <w:rPr>
          <w:i/>
          <w:iCs/>
          <w:lang w:val="en-GB"/>
        </w:rPr>
        <w:t>zonal relativity</w:t>
      </w:r>
      <w:r w:rsidRPr="00AA6EB6">
        <w:rPr>
          <w:lang w:val="en-GB"/>
        </w:rPr>
        <w:t xml:space="preserve"> times</w:t>
      </w:r>
      <w:r w:rsidRPr="00AA6EB6">
        <w:rPr>
          <w:i/>
          <w:iCs/>
          <w:lang w:val="en-GB"/>
        </w:rPr>
        <w:t xml:space="preserve"> sum insured gross of deductibles and contractual limits</w:t>
      </w:r>
      <w:r w:rsidRPr="00AA6EB6">
        <w:rPr>
          <w:lang w:val="en-GB"/>
        </w:rPr>
        <w:t xml:space="preserve">. Using the notation of the Delegated Regulation, with a region </w:t>
      </w:r>
      <m:oMath>
        <m:r>
          <w:rPr>
            <w:rFonts w:ascii="Cambria Math" w:hAnsi="Cambria Math"/>
          </w:rPr>
          <m:t>r</m:t>
        </m:r>
      </m:oMath>
      <w:r w:rsidRPr="00AA6EB6">
        <w:rPr>
          <w:lang w:val="en-GB"/>
        </w:rPr>
        <w:t xml:space="preserve"> and a zone </w:t>
      </w:r>
      <m:oMath>
        <m:r>
          <w:rPr>
            <w:rFonts w:ascii="Cambria Math" w:hAnsi="Cambria Math"/>
          </w:rPr>
          <m:t>i</m:t>
        </m:r>
      </m:oMath>
      <w:r w:rsidRPr="00AA6EB6">
        <w:rPr>
          <w:lang w:val="en-GB"/>
        </w:rPr>
        <w:t>:</w:t>
      </w:r>
    </w:p>
    <w:p w:rsidR="006E44E8" w:rsidRPr="00AA6EB6" w:rsidRDefault="006E44E8" w:rsidP="006E44E8">
      <w:pPr>
        <w:pStyle w:val="ListParagraph"/>
        <w:ind w:left="720"/>
        <w:rPr>
          <w:lang w:val="en-GB"/>
        </w:rPr>
      </w:pPr>
    </w:p>
    <w:p w:rsidR="006E44E8" w:rsidRDefault="00AA6EB6" w:rsidP="006E44E8">
      <w:pPr>
        <w:pStyle w:val="ListParagraph"/>
        <w:ind w:left="720"/>
      </w:pPr>
      <m:oMathPara>
        <m:oMath>
          <m:sSub>
            <m:sSubPr>
              <m:ctrlPr>
                <w:rPr>
                  <w:rFonts w:ascii="Cambria Math" w:eastAsiaTheme="minorHAnsi" w:hAnsi="Cambria Math"/>
                  <w:i/>
                  <w:iCs/>
                  <w:szCs w:val="22"/>
                </w:rPr>
              </m:ctrlPr>
            </m:sSubPr>
            <m:e>
              <m:r>
                <w:rPr>
                  <w:rFonts w:ascii="Cambria Math" w:hAnsi="Cambria Math"/>
                </w:rPr>
                <m:t>GrossLoss</m:t>
              </m:r>
            </m:e>
            <m:sub>
              <m:d>
                <m:dPr>
                  <m:ctrlPr>
                    <w:rPr>
                      <w:rFonts w:ascii="Cambria Math" w:eastAsiaTheme="minorHAnsi" w:hAnsi="Cambria Math"/>
                      <w:i/>
                      <w:iCs/>
                      <w:szCs w:val="22"/>
                    </w:rPr>
                  </m:ctrlPr>
                </m:dPr>
                <m:e>
                  <m:r>
                    <w:rPr>
                      <w:rFonts w:ascii="Cambria Math" w:hAnsi="Cambria Math"/>
                    </w:rPr>
                    <m:t>peril,r,i</m:t>
                  </m:r>
                </m:e>
              </m:d>
            </m:sub>
          </m:sSub>
          <m:r>
            <w:rPr>
              <w:rFonts w:ascii="Cambria Math" w:hAnsi="Cambria Math"/>
            </w:rPr>
            <m:t>=</m:t>
          </m:r>
          <m:sSub>
            <m:sSubPr>
              <m:ctrlPr>
                <w:rPr>
                  <w:rFonts w:ascii="Cambria Math" w:eastAsiaTheme="minorHAnsi" w:hAnsi="Cambria Math"/>
                  <w:i/>
                  <w:iCs/>
                  <w:szCs w:val="22"/>
                </w:rPr>
              </m:ctrlPr>
            </m:sSubPr>
            <m:e>
              <m:r>
                <w:rPr>
                  <w:rFonts w:ascii="Cambria Math" w:hAnsi="Cambria Math"/>
                </w:rPr>
                <m:t>Q</m:t>
              </m:r>
            </m:e>
            <m:sub>
              <m:d>
                <m:dPr>
                  <m:ctrlPr>
                    <w:rPr>
                      <w:rFonts w:ascii="Cambria Math" w:eastAsiaTheme="minorHAnsi" w:hAnsi="Cambria Math"/>
                      <w:i/>
                      <w:iCs/>
                      <w:szCs w:val="22"/>
                    </w:rPr>
                  </m:ctrlPr>
                </m:dPr>
                <m:e>
                  <m:r>
                    <w:rPr>
                      <w:rFonts w:ascii="Cambria Math" w:hAnsi="Cambria Math"/>
                    </w:rPr>
                    <m:t>peril,r</m:t>
                  </m:r>
                </m:e>
              </m:d>
            </m:sub>
          </m:sSub>
          <m:r>
            <w:rPr>
              <w:rFonts w:ascii="Cambria Math" w:hAnsi="Cambria Math"/>
            </w:rPr>
            <m:t>×</m:t>
          </m:r>
          <m:sSub>
            <m:sSubPr>
              <m:ctrlPr>
                <w:rPr>
                  <w:rFonts w:ascii="Cambria Math" w:eastAsiaTheme="minorHAnsi" w:hAnsi="Cambria Math"/>
                  <w:i/>
                  <w:iCs/>
                  <w:szCs w:val="22"/>
                </w:rPr>
              </m:ctrlPr>
            </m:sSubPr>
            <m:e>
              <m:r>
                <w:rPr>
                  <w:rFonts w:ascii="Cambria Math" w:hAnsi="Cambria Math"/>
                </w:rPr>
                <m:t>W</m:t>
              </m:r>
            </m:e>
            <m:sub>
              <m:d>
                <m:dPr>
                  <m:ctrlPr>
                    <w:rPr>
                      <w:rFonts w:ascii="Cambria Math" w:eastAsiaTheme="minorHAnsi" w:hAnsi="Cambria Math"/>
                      <w:i/>
                      <w:iCs/>
                      <w:szCs w:val="22"/>
                    </w:rPr>
                  </m:ctrlPr>
                </m:dPr>
                <m:e>
                  <m:r>
                    <w:rPr>
                      <w:rFonts w:ascii="Cambria Math" w:hAnsi="Cambria Math"/>
                    </w:rPr>
                    <m:t>peril,r,i</m:t>
                  </m:r>
                </m:e>
              </m:d>
            </m:sub>
          </m:sSub>
          <m:r>
            <w:rPr>
              <w:rFonts w:ascii="Cambria Math" w:hAnsi="Cambria Math"/>
            </w:rPr>
            <m:t>×</m:t>
          </m:r>
          <m:sSub>
            <m:sSubPr>
              <m:ctrlPr>
                <w:rPr>
                  <w:rFonts w:ascii="Cambria Math" w:eastAsiaTheme="minorHAnsi" w:hAnsi="Cambria Math"/>
                  <w:i/>
                  <w:iCs/>
                  <w:szCs w:val="22"/>
                </w:rPr>
              </m:ctrlPr>
            </m:sSubPr>
            <m:e>
              <m:r>
                <w:rPr>
                  <w:rFonts w:ascii="Cambria Math" w:hAnsi="Cambria Math"/>
                </w:rPr>
                <m:t>SI</m:t>
              </m:r>
            </m:e>
            <m:sub>
              <m:d>
                <m:dPr>
                  <m:ctrlPr>
                    <w:rPr>
                      <w:rFonts w:ascii="Cambria Math" w:eastAsiaTheme="minorHAnsi" w:hAnsi="Cambria Math"/>
                      <w:i/>
                      <w:iCs/>
                      <w:szCs w:val="22"/>
                    </w:rPr>
                  </m:ctrlPr>
                </m:dPr>
                <m:e>
                  <m:r>
                    <w:rPr>
                      <w:rFonts w:ascii="Cambria Math" w:hAnsi="Cambria Math"/>
                    </w:rPr>
                    <m:t>peril,r,i</m:t>
                  </m:r>
                </m:e>
              </m:d>
            </m:sub>
          </m:sSub>
        </m:oMath>
      </m:oMathPara>
    </w:p>
    <w:p w:rsidR="006E44E8" w:rsidRDefault="006E44E8" w:rsidP="006E44E8">
      <w:pPr>
        <w:pStyle w:val="ListParagraph"/>
        <w:ind w:left="720"/>
      </w:pPr>
    </w:p>
    <w:p w:rsidR="006E44E8" w:rsidRPr="00AA6EB6" w:rsidRDefault="006E44E8" w:rsidP="006E44E8">
      <w:pPr>
        <w:pStyle w:val="ListParagraph"/>
        <w:numPr>
          <w:ilvl w:val="0"/>
          <w:numId w:val="6"/>
        </w:numPr>
        <w:rPr>
          <w:lang w:val="en-GB"/>
        </w:rPr>
      </w:pPr>
      <w:r w:rsidRPr="00AA6EB6">
        <w:rPr>
          <w:lang w:val="en-GB"/>
        </w:rPr>
        <w:t xml:space="preserve">Define the maximum gross exposure in the zone </w:t>
      </w:r>
      <m:oMath>
        <m:r>
          <w:rPr>
            <w:rFonts w:ascii="Cambria Math" w:hAnsi="Cambria Math"/>
          </w:rPr>
          <m:t>i</m:t>
        </m:r>
      </m:oMath>
      <w:r w:rsidRPr="00AA6EB6">
        <w:rPr>
          <w:lang w:val="en-GB"/>
        </w:rPr>
        <w:t xml:space="preserve">, using the undertaking-specific policy conditions: </w:t>
      </w:r>
      <m:oMath>
        <m:sSub>
          <m:sSubPr>
            <m:ctrlPr>
              <w:rPr>
                <w:rFonts w:ascii="Cambria Math" w:eastAsiaTheme="minorHAnsi" w:hAnsi="Cambria Math"/>
                <w:i/>
                <w:iCs/>
                <w:szCs w:val="22"/>
              </w:rPr>
            </m:ctrlPr>
          </m:sSubPr>
          <m:e>
            <m:r>
              <w:rPr>
                <w:rFonts w:ascii="Cambria Math" w:hAnsi="Cambria Math"/>
              </w:rPr>
              <m:t>MaxGrossExposure</m:t>
            </m:r>
          </m:e>
          <m:sub>
            <m:d>
              <m:dPr>
                <m:ctrlPr>
                  <w:rPr>
                    <w:rFonts w:ascii="Cambria Math" w:eastAsiaTheme="minorHAnsi" w:hAnsi="Cambria Math"/>
                    <w:i/>
                    <w:iCs/>
                    <w:szCs w:val="22"/>
                  </w:rPr>
                </m:ctrlPr>
              </m:dPr>
              <m:e>
                <m:r>
                  <w:rPr>
                    <w:rFonts w:ascii="Cambria Math" w:hAnsi="Cambria Math"/>
                  </w:rPr>
                  <m:t>peril</m:t>
                </m:r>
                <m:r>
                  <w:rPr>
                    <w:rFonts w:ascii="Cambria Math" w:hAnsi="Cambria Math"/>
                    <w:lang w:val="en-GB"/>
                  </w:rPr>
                  <m:t>,</m:t>
                </m:r>
                <m:r>
                  <w:rPr>
                    <w:rFonts w:ascii="Cambria Math" w:hAnsi="Cambria Math"/>
                  </w:rPr>
                  <m:t>r</m:t>
                </m:r>
                <m:r>
                  <w:rPr>
                    <w:rFonts w:ascii="Cambria Math" w:hAnsi="Cambria Math"/>
                    <w:lang w:val="en-GB"/>
                  </w:rPr>
                  <m:t>,</m:t>
                </m:r>
                <m:r>
                  <w:rPr>
                    <w:rFonts w:ascii="Cambria Math" w:hAnsi="Cambria Math"/>
                  </w:rPr>
                  <m:t>i</m:t>
                </m:r>
              </m:e>
            </m:d>
          </m:sub>
        </m:sSub>
      </m:oMath>
    </w:p>
    <w:p w:rsidR="006E44E8" w:rsidRPr="00AA6EB6" w:rsidRDefault="006E44E8" w:rsidP="006E44E8">
      <w:pPr>
        <w:pStyle w:val="ListParagraph"/>
        <w:numPr>
          <w:ilvl w:val="0"/>
          <w:numId w:val="6"/>
        </w:numPr>
        <w:rPr>
          <w:lang w:val="en-GB"/>
        </w:rPr>
      </w:pPr>
      <w:r w:rsidRPr="00AA6EB6">
        <w:rPr>
          <w:lang w:val="en-GB"/>
        </w:rPr>
        <w:t>Take the minimum between (1) and (2) as the maximum loss for the zone </w:t>
      </w:r>
      <m:oMath>
        <m:r>
          <w:rPr>
            <w:rFonts w:ascii="Cambria Math" w:hAnsi="Cambria Math"/>
          </w:rPr>
          <m:t>i</m:t>
        </m:r>
      </m:oMath>
      <w:r w:rsidRPr="00AA6EB6">
        <w:rPr>
          <w:lang w:val="en-GB"/>
        </w:rPr>
        <w:t>:</w:t>
      </w:r>
    </w:p>
    <w:p w:rsidR="006E44E8" w:rsidRDefault="00AA6EB6" w:rsidP="006E44E8">
      <w:pPr>
        <w:pStyle w:val="ListParagraph"/>
        <w:ind w:left="720"/>
      </w:pPr>
      <m:oMathPara>
        <m:oMath>
          <m:sSub>
            <m:sSubPr>
              <m:ctrlPr>
                <w:rPr>
                  <w:rFonts w:ascii="Cambria Math" w:eastAsiaTheme="minorHAnsi" w:hAnsi="Cambria Math"/>
                  <w:i/>
                  <w:iCs/>
                  <w:szCs w:val="22"/>
                </w:rPr>
              </m:ctrlPr>
            </m:sSubPr>
            <m:e>
              <m:r>
                <w:rPr>
                  <w:rFonts w:ascii="Cambria Math" w:hAnsi="Cambria Math"/>
                </w:rPr>
                <m:t>MaxLoss</m:t>
              </m:r>
            </m:e>
            <m:sub>
              <m:d>
                <m:dPr>
                  <m:ctrlPr>
                    <w:rPr>
                      <w:rFonts w:ascii="Cambria Math" w:eastAsiaTheme="minorHAnsi" w:hAnsi="Cambria Math"/>
                      <w:i/>
                      <w:iCs/>
                      <w:szCs w:val="22"/>
                    </w:rPr>
                  </m:ctrlPr>
                </m:dPr>
                <m:e>
                  <m:r>
                    <w:rPr>
                      <w:rFonts w:ascii="Cambria Math" w:hAnsi="Cambria Math"/>
                    </w:rPr>
                    <m:t>peril,r,i</m:t>
                  </m:r>
                </m:e>
              </m:d>
            </m:sub>
          </m:sSub>
          <m:r>
            <w:rPr>
              <w:rFonts w:ascii="Cambria Math" w:hAnsi="Cambria Math"/>
            </w:rPr>
            <m:t>=</m:t>
          </m:r>
          <m:func>
            <m:funcPr>
              <m:ctrlPr>
                <w:rPr>
                  <w:rFonts w:ascii="Cambria Math" w:eastAsiaTheme="minorHAnsi" w:hAnsi="Cambria Math"/>
                  <w:i/>
                  <w:iCs/>
                  <w:szCs w:val="22"/>
                </w:rPr>
              </m:ctrlPr>
            </m:funcPr>
            <m:fName>
              <m:r>
                <m:rPr>
                  <m:sty m:val="p"/>
                </m:rPr>
                <w:rPr>
                  <w:rFonts w:ascii="Cambria Math" w:hAnsi="Cambria Math"/>
                </w:rPr>
                <m:t>min</m:t>
              </m:r>
            </m:fName>
            <m:e>
              <m:d>
                <m:dPr>
                  <m:ctrlPr>
                    <w:rPr>
                      <w:rFonts w:ascii="Cambria Math" w:eastAsiaTheme="minorHAnsi" w:hAnsi="Cambria Math"/>
                      <w:i/>
                      <w:iCs/>
                      <w:szCs w:val="22"/>
                    </w:rPr>
                  </m:ctrlPr>
                </m:dPr>
                <m:e>
                  <m:sSub>
                    <m:sSubPr>
                      <m:ctrlPr>
                        <w:rPr>
                          <w:rFonts w:ascii="Cambria Math" w:eastAsiaTheme="minorHAnsi" w:hAnsi="Cambria Math"/>
                          <w:i/>
                          <w:iCs/>
                          <w:szCs w:val="22"/>
                        </w:rPr>
                      </m:ctrlPr>
                    </m:sSubPr>
                    <m:e>
                      <m:r>
                        <w:rPr>
                          <w:rFonts w:ascii="Cambria Math" w:hAnsi="Cambria Math"/>
                        </w:rPr>
                        <m:t>GrossLoss</m:t>
                      </m:r>
                    </m:e>
                    <m:sub>
                      <m:d>
                        <m:dPr>
                          <m:ctrlPr>
                            <w:rPr>
                              <w:rFonts w:ascii="Cambria Math" w:eastAsiaTheme="minorHAnsi" w:hAnsi="Cambria Math"/>
                              <w:i/>
                              <w:iCs/>
                              <w:szCs w:val="22"/>
                            </w:rPr>
                          </m:ctrlPr>
                        </m:dPr>
                        <m:e>
                          <m:r>
                            <w:rPr>
                              <w:rFonts w:ascii="Cambria Math" w:hAnsi="Cambria Math"/>
                            </w:rPr>
                            <m:t>peril,r,i</m:t>
                          </m:r>
                        </m:e>
                      </m:d>
                    </m:sub>
                  </m:sSub>
                  <m:r>
                    <w:rPr>
                      <w:rFonts w:ascii="Cambria Math" w:hAnsi="Cambria Math"/>
                    </w:rPr>
                    <m:t>,</m:t>
                  </m:r>
                  <m:r>
                    <m:rPr>
                      <m:sty m:val="p"/>
                    </m:rPr>
                    <w:rPr>
                      <w:rFonts w:ascii="Cambria Math" w:hAnsi="Cambria Math"/>
                    </w:rPr>
                    <m:t xml:space="preserve"> </m:t>
                  </m:r>
                  <m:sSub>
                    <m:sSubPr>
                      <m:ctrlPr>
                        <w:rPr>
                          <w:rFonts w:ascii="Cambria Math" w:eastAsiaTheme="minorHAnsi" w:hAnsi="Cambria Math"/>
                          <w:i/>
                          <w:iCs/>
                          <w:szCs w:val="22"/>
                        </w:rPr>
                      </m:ctrlPr>
                    </m:sSubPr>
                    <m:e>
                      <m:r>
                        <w:rPr>
                          <w:rFonts w:ascii="Cambria Math" w:hAnsi="Cambria Math"/>
                        </w:rPr>
                        <m:t>MaxGrossExposure</m:t>
                      </m:r>
                    </m:e>
                    <m:sub>
                      <m:d>
                        <m:dPr>
                          <m:ctrlPr>
                            <w:rPr>
                              <w:rFonts w:ascii="Cambria Math" w:eastAsiaTheme="minorHAnsi" w:hAnsi="Cambria Math"/>
                              <w:i/>
                              <w:iCs/>
                              <w:szCs w:val="22"/>
                            </w:rPr>
                          </m:ctrlPr>
                        </m:dPr>
                        <m:e>
                          <m:r>
                            <w:rPr>
                              <w:rFonts w:ascii="Cambria Math" w:hAnsi="Cambria Math"/>
                            </w:rPr>
                            <m:t>peril,r,i</m:t>
                          </m:r>
                        </m:e>
                      </m:d>
                    </m:sub>
                  </m:sSub>
                </m:e>
              </m:d>
            </m:e>
          </m:func>
        </m:oMath>
      </m:oMathPara>
    </w:p>
    <w:p w:rsidR="006E44E8" w:rsidRPr="00AA6EB6" w:rsidRDefault="006E44E8" w:rsidP="006E44E8">
      <w:pPr>
        <w:pStyle w:val="ListParagraph"/>
        <w:numPr>
          <w:ilvl w:val="0"/>
          <w:numId w:val="6"/>
        </w:numPr>
        <w:rPr>
          <w:lang w:val="en-GB"/>
        </w:rPr>
      </w:pPr>
      <w:r w:rsidRPr="00AA6EB6">
        <w:rPr>
          <w:lang w:val="en-GB"/>
        </w:rPr>
        <w:t xml:space="preserve">Calculate the loss for the region </w:t>
      </w:r>
      <m:oMath>
        <m:r>
          <w:rPr>
            <w:rFonts w:ascii="Cambria Math" w:hAnsi="Cambria Math"/>
          </w:rPr>
          <m:t>r</m:t>
        </m:r>
      </m:oMath>
      <w:r w:rsidRPr="00AA6EB6">
        <w:rPr>
          <w:lang w:val="en-GB"/>
        </w:rPr>
        <w:t xml:space="preserve"> by using the aggregation matrix:</w:t>
      </w:r>
    </w:p>
    <w:p w:rsidR="006E44E8" w:rsidRDefault="00AA6EB6" w:rsidP="006E44E8">
      <w:pPr>
        <w:pStyle w:val="ListParagraph"/>
        <w:ind w:left="720"/>
      </w:pPr>
      <m:oMathPara>
        <m:oMath>
          <m:sSub>
            <m:sSubPr>
              <m:ctrlPr>
                <w:rPr>
                  <w:rFonts w:ascii="Cambria Math" w:eastAsiaTheme="minorHAnsi" w:hAnsi="Cambria Math"/>
                  <w:i/>
                  <w:iCs/>
                  <w:szCs w:val="22"/>
                </w:rPr>
              </m:ctrlPr>
            </m:sSubPr>
            <m:e>
              <m:r>
                <w:rPr>
                  <w:rFonts w:ascii="Cambria Math" w:hAnsi="Cambria Math"/>
                </w:rPr>
                <m:t>L</m:t>
              </m:r>
            </m:e>
            <m:sub>
              <m:d>
                <m:dPr>
                  <m:ctrlPr>
                    <w:rPr>
                      <w:rFonts w:ascii="Cambria Math" w:eastAsiaTheme="minorHAnsi" w:hAnsi="Cambria Math"/>
                      <w:i/>
                      <w:iCs/>
                      <w:szCs w:val="22"/>
                    </w:rPr>
                  </m:ctrlPr>
                </m:dPr>
                <m:e>
                  <m:r>
                    <w:rPr>
                      <w:rFonts w:ascii="Cambria Math" w:hAnsi="Cambria Math"/>
                    </w:rPr>
                    <m:t>peril,r</m:t>
                  </m:r>
                </m:e>
              </m:d>
            </m:sub>
          </m:sSub>
          <m:r>
            <w:rPr>
              <w:rFonts w:ascii="Cambria Math" w:hAnsi="Cambria Math"/>
            </w:rPr>
            <m:t>=</m:t>
          </m:r>
          <m:rad>
            <m:radPr>
              <m:degHide m:val="1"/>
              <m:ctrlPr>
                <w:rPr>
                  <w:rFonts w:ascii="Cambria Math" w:eastAsiaTheme="minorHAnsi" w:hAnsi="Cambria Math"/>
                  <w:i/>
                  <w:iCs/>
                  <w:szCs w:val="22"/>
                </w:rPr>
              </m:ctrlPr>
            </m:radPr>
            <m:deg/>
            <m:e>
              <m:nary>
                <m:naryPr>
                  <m:chr m:val="∑"/>
                  <m:limLoc m:val="undOvr"/>
                  <m:supHide m:val="1"/>
                  <m:ctrlPr>
                    <w:rPr>
                      <w:rFonts w:ascii="Cambria Math" w:eastAsiaTheme="minorHAnsi" w:hAnsi="Cambria Math"/>
                      <w:i/>
                      <w:iCs/>
                      <w:szCs w:val="22"/>
                    </w:rPr>
                  </m:ctrlPr>
                </m:naryPr>
                <m:sub>
                  <m:d>
                    <m:dPr>
                      <m:ctrlPr>
                        <w:rPr>
                          <w:rFonts w:ascii="Cambria Math" w:eastAsiaTheme="minorHAnsi" w:hAnsi="Cambria Math"/>
                          <w:i/>
                          <w:iCs/>
                          <w:szCs w:val="22"/>
                        </w:rPr>
                      </m:ctrlPr>
                    </m:dPr>
                    <m:e>
                      <m:r>
                        <w:rPr>
                          <w:rFonts w:ascii="Cambria Math" w:hAnsi="Cambria Math"/>
                        </w:rPr>
                        <m:t>i,j</m:t>
                      </m:r>
                    </m:e>
                  </m:d>
                </m:sub>
                <m:sup/>
                <m:e>
                  <m:sSub>
                    <m:sSubPr>
                      <m:ctrlPr>
                        <w:rPr>
                          <w:rFonts w:ascii="Cambria Math" w:eastAsiaTheme="minorHAnsi" w:hAnsi="Cambria Math"/>
                          <w:szCs w:val="22"/>
                        </w:rPr>
                      </m:ctrlPr>
                    </m:sSubPr>
                    <m:e>
                      <m:r>
                        <w:rPr>
                          <w:rFonts w:ascii="Cambria Math" w:hAnsi="Cambria Math"/>
                        </w:rPr>
                        <m:t>Corr</m:t>
                      </m:r>
                    </m:e>
                    <m:sub>
                      <m:d>
                        <m:dPr>
                          <m:ctrlPr>
                            <w:rPr>
                              <w:rFonts w:ascii="Cambria Math" w:eastAsiaTheme="minorHAnsi" w:hAnsi="Cambria Math"/>
                              <w:i/>
                              <w:iCs/>
                              <w:szCs w:val="22"/>
                            </w:rPr>
                          </m:ctrlPr>
                        </m:dPr>
                        <m:e>
                          <m:r>
                            <w:rPr>
                              <w:rFonts w:ascii="Cambria Math" w:hAnsi="Cambria Math"/>
                            </w:rPr>
                            <m:t>peril,r,i,j</m:t>
                          </m:r>
                        </m:e>
                      </m:d>
                    </m:sub>
                  </m:sSub>
                  <m:r>
                    <w:rPr>
                      <w:rFonts w:ascii="Cambria Math" w:hAnsi="Cambria Math"/>
                    </w:rPr>
                    <m:t>×</m:t>
                  </m:r>
                  <m:sSub>
                    <m:sSubPr>
                      <m:ctrlPr>
                        <w:rPr>
                          <w:rFonts w:ascii="Cambria Math" w:eastAsiaTheme="minorHAnsi" w:hAnsi="Cambria Math"/>
                          <w:i/>
                          <w:iCs/>
                          <w:szCs w:val="22"/>
                        </w:rPr>
                      </m:ctrlPr>
                    </m:sSubPr>
                    <m:e>
                      <m:r>
                        <w:rPr>
                          <w:rFonts w:ascii="Cambria Math" w:hAnsi="Cambria Math"/>
                        </w:rPr>
                        <m:t>MaxLoss</m:t>
                      </m:r>
                    </m:e>
                    <m:sub>
                      <m:d>
                        <m:dPr>
                          <m:ctrlPr>
                            <w:rPr>
                              <w:rFonts w:ascii="Cambria Math" w:eastAsiaTheme="minorHAnsi" w:hAnsi="Cambria Math"/>
                              <w:i/>
                              <w:iCs/>
                              <w:szCs w:val="22"/>
                            </w:rPr>
                          </m:ctrlPr>
                        </m:dPr>
                        <m:e>
                          <m:r>
                            <w:rPr>
                              <w:rFonts w:ascii="Cambria Math" w:hAnsi="Cambria Math"/>
                            </w:rPr>
                            <m:t>peril,r,i</m:t>
                          </m:r>
                        </m:e>
                      </m:d>
                    </m:sub>
                  </m:sSub>
                  <m:r>
                    <w:rPr>
                      <w:rFonts w:ascii="Cambria Math" w:hAnsi="Cambria Math"/>
                    </w:rPr>
                    <m:t>×</m:t>
                  </m:r>
                  <m:sSub>
                    <m:sSubPr>
                      <m:ctrlPr>
                        <w:rPr>
                          <w:rFonts w:ascii="Cambria Math" w:eastAsiaTheme="minorHAnsi" w:hAnsi="Cambria Math"/>
                          <w:i/>
                          <w:iCs/>
                          <w:szCs w:val="22"/>
                        </w:rPr>
                      </m:ctrlPr>
                    </m:sSubPr>
                    <m:e>
                      <m:r>
                        <w:rPr>
                          <w:rFonts w:ascii="Cambria Math" w:hAnsi="Cambria Math"/>
                        </w:rPr>
                        <m:t>MaxLoss</m:t>
                      </m:r>
                    </m:e>
                    <m:sub>
                      <m:d>
                        <m:dPr>
                          <m:ctrlPr>
                            <w:rPr>
                              <w:rFonts w:ascii="Cambria Math" w:eastAsiaTheme="minorHAnsi" w:hAnsi="Cambria Math"/>
                              <w:i/>
                              <w:iCs/>
                              <w:szCs w:val="22"/>
                            </w:rPr>
                          </m:ctrlPr>
                        </m:dPr>
                        <m:e>
                          <m:r>
                            <w:rPr>
                              <w:rFonts w:ascii="Cambria Math" w:hAnsi="Cambria Math"/>
                            </w:rPr>
                            <m:t>peril,r,j</m:t>
                          </m:r>
                        </m:e>
                      </m:d>
                    </m:sub>
                  </m:sSub>
                </m:e>
              </m:nary>
            </m:e>
          </m:rad>
        </m:oMath>
      </m:oMathPara>
    </w:p>
    <w:p w:rsidR="00080F3E" w:rsidRDefault="004E32C5" w:rsidP="00EA4C7B">
      <w:pPr>
        <w:pStyle w:val="ListParagraph"/>
        <w:ind w:left="0"/>
        <w:rPr>
          <w:szCs w:val="22"/>
          <w:lang w:val="en-GB"/>
        </w:rPr>
      </w:pPr>
      <w:r>
        <w:rPr>
          <w:szCs w:val="22"/>
          <w:lang w:val="en-GB"/>
        </w:rPr>
        <w:t xml:space="preserve">This adjustment allows taking </w:t>
      </w:r>
      <w:r w:rsidR="00B66B36">
        <w:rPr>
          <w:szCs w:val="22"/>
          <w:lang w:val="en-GB"/>
        </w:rPr>
        <w:t xml:space="preserve">into </w:t>
      </w:r>
      <w:r>
        <w:rPr>
          <w:szCs w:val="22"/>
          <w:lang w:val="en-GB"/>
        </w:rPr>
        <w:t xml:space="preserve">account the specific exposure of undertakings that sell contract with policy conditions different than the average undertaking. In the case where the written policy of the undertaking limits more greatly the sum it would have to pay </w:t>
      </w:r>
      <w:r w:rsidR="007458B2">
        <w:rPr>
          <w:szCs w:val="22"/>
          <w:lang w:val="en-GB"/>
        </w:rPr>
        <w:t xml:space="preserve">in case of catastrophic events </w:t>
      </w:r>
      <w:r>
        <w:rPr>
          <w:szCs w:val="22"/>
          <w:lang w:val="en-GB"/>
        </w:rPr>
        <w:t xml:space="preserve">than the average undertaking, the “ex-post adjustment” avoids that the SCR of this specific undertaking becomes </w:t>
      </w:r>
      <w:r w:rsidR="007458B2">
        <w:rPr>
          <w:szCs w:val="22"/>
          <w:lang w:val="en-GB"/>
        </w:rPr>
        <w:t>unrealistically large</w:t>
      </w:r>
      <w:r>
        <w:rPr>
          <w:szCs w:val="22"/>
          <w:lang w:val="en-GB"/>
        </w:rPr>
        <w:t>.</w:t>
      </w:r>
    </w:p>
    <w:p w:rsidR="004E32C5" w:rsidRDefault="004E32C5" w:rsidP="00EA4C7B">
      <w:pPr>
        <w:pStyle w:val="ListParagraph"/>
        <w:ind w:left="0"/>
        <w:rPr>
          <w:szCs w:val="22"/>
          <w:lang w:val="en-GB"/>
        </w:rPr>
      </w:pPr>
    </w:p>
    <w:p w:rsidR="00B4505E" w:rsidRPr="00B4505E" w:rsidRDefault="00B4505E" w:rsidP="00EA4C7B">
      <w:pPr>
        <w:pStyle w:val="ListParagraph"/>
        <w:ind w:left="0"/>
        <w:rPr>
          <w:b/>
          <w:szCs w:val="22"/>
          <w:lang w:val="en-GB"/>
        </w:rPr>
      </w:pPr>
      <w:r>
        <w:rPr>
          <w:b/>
          <w:szCs w:val="22"/>
          <w:lang w:val="en-GB"/>
        </w:rPr>
        <w:t>Does the CAT WS have any comment or suggestion on this approach?</w:t>
      </w:r>
    </w:p>
    <w:sectPr w:rsidR="00B4505E" w:rsidRPr="00B4505E" w:rsidSect="00B450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709C"/>
    <w:multiLevelType w:val="hybridMultilevel"/>
    <w:tmpl w:val="E5D0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102260"/>
    <w:multiLevelType w:val="hybridMultilevel"/>
    <w:tmpl w:val="E70A0924"/>
    <w:lvl w:ilvl="0" w:tplc="A4A61460">
      <w:start w:val="1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F8E2FD7"/>
    <w:multiLevelType w:val="hybridMultilevel"/>
    <w:tmpl w:val="01E85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6734241"/>
    <w:multiLevelType w:val="hybridMultilevel"/>
    <w:tmpl w:val="CC64CF24"/>
    <w:lvl w:ilvl="0" w:tplc="ED3E22AE">
      <w:start w:val="4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48C7248"/>
    <w:multiLevelType w:val="hybridMultilevel"/>
    <w:tmpl w:val="7A34B892"/>
    <w:lvl w:ilvl="0" w:tplc="80F00420">
      <w:start w:val="4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6DB"/>
    <w:rsid w:val="000476FF"/>
    <w:rsid w:val="00080F3E"/>
    <w:rsid w:val="000A5614"/>
    <w:rsid w:val="000B3974"/>
    <w:rsid w:val="001B0C9A"/>
    <w:rsid w:val="002416DB"/>
    <w:rsid w:val="002576DF"/>
    <w:rsid w:val="002D5ECA"/>
    <w:rsid w:val="002E5E10"/>
    <w:rsid w:val="00300F7F"/>
    <w:rsid w:val="00347FE7"/>
    <w:rsid w:val="003910CB"/>
    <w:rsid w:val="003C46CF"/>
    <w:rsid w:val="0044477B"/>
    <w:rsid w:val="0046161E"/>
    <w:rsid w:val="00472402"/>
    <w:rsid w:val="004E32C5"/>
    <w:rsid w:val="005C3F91"/>
    <w:rsid w:val="00616E38"/>
    <w:rsid w:val="00631D79"/>
    <w:rsid w:val="00661418"/>
    <w:rsid w:val="00680184"/>
    <w:rsid w:val="006B21B7"/>
    <w:rsid w:val="006E44E8"/>
    <w:rsid w:val="00714044"/>
    <w:rsid w:val="00723723"/>
    <w:rsid w:val="007458B2"/>
    <w:rsid w:val="008E0A82"/>
    <w:rsid w:val="008E3BD7"/>
    <w:rsid w:val="009D7128"/>
    <w:rsid w:val="00A12F9D"/>
    <w:rsid w:val="00A46055"/>
    <w:rsid w:val="00AA6EB6"/>
    <w:rsid w:val="00AC6C10"/>
    <w:rsid w:val="00B4505E"/>
    <w:rsid w:val="00B66B36"/>
    <w:rsid w:val="00C52C84"/>
    <w:rsid w:val="00CA6C16"/>
    <w:rsid w:val="00D25B87"/>
    <w:rsid w:val="00DA5BDC"/>
    <w:rsid w:val="00DF5701"/>
    <w:rsid w:val="00E306F3"/>
    <w:rsid w:val="00EA4C7B"/>
    <w:rsid w:val="00F35829"/>
    <w:rsid w:val="00F75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6DB"/>
    <w:pPr>
      <w:spacing w:before="120" w:after="0" w:line="240" w:lineRule="auto"/>
      <w:ind w:left="708"/>
      <w:jc w:val="both"/>
    </w:pPr>
    <w:rPr>
      <w:rFonts w:ascii="Verdana" w:eastAsia="Times New Roman" w:hAnsi="Verdana" w:cs="Times New Roman"/>
      <w:szCs w:val="24"/>
      <w:lang w:val="fr-FR" w:eastAsia="en-GB"/>
    </w:rPr>
  </w:style>
  <w:style w:type="table" w:styleId="TableGrid">
    <w:name w:val="Table Grid"/>
    <w:basedOn w:val="TableNormal"/>
    <w:uiPriority w:val="59"/>
    <w:rsid w:val="0024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044"/>
    <w:rPr>
      <w:rFonts w:ascii="Tahoma" w:hAnsi="Tahoma" w:cs="Tahoma"/>
      <w:sz w:val="16"/>
      <w:szCs w:val="16"/>
    </w:rPr>
  </w:style>
  <w:style w:type="character" w:styleId="Hyperlink">
    <w:name w:val="Hyperlink"/>
    <w:basedOn w:val="DefaultParagraphFont"/>
    <w:uiPriority w:val="99"/>
    <w:unhideWhenUsed/>
    <w:rsid w:val="00CA6C16"/>
    <w:rPr>
      <w:color w:val="0000FF" w:themeColor="hyperlink"/>
      <w:u w:val="none"/>
    </w:rPr>
  </w:style>
  <w:style w:type="paragraph" w:styleId="Title">
    <w:name w:val="Title"/>
    <w:aliases w:val="Document Title"/>
    <w:basedOn w:val="Normal"/>
    <w:next w:val="Normal"/>
    <w:link w:val="TitleChar"/>
    <w:uiPriority w:val="10"/>
    <w:qFormat/>
    <w:rsid w:val="00CA6C16"/>
    <w:pPr>
      <w:shd w:val="clear" w:color="auto" w:fill="D0E7F6"/>
      <w:spacing w:before="240" w:after="240" w:line="240" w:lineRule="auto"/>
      <w:jc w:val="center"/>
    </w:pPr>
    <w:rPr>
      <w:rFonts w:ascii="Verdana" w:eastAsiaTheme="majorEastAsia" w:hAnsi="Verdana" w:cstheme="majorBidi"/>
      <w:b/>
      <w:spacing w:val="5"/>
      <w:kern w:val="28"/>
      <w:sz w:val="40"/>
      <w:szCs w:val="52"/>
    </w:rPr>
  </w:style>
  <w:style w:type="character" w:customStyle="1" w:styleId="TitleChar">
    <w:name w:val="Title Char"/>
    <w:aliases w:val="Document Title Char"/>
    <w:basedOn w:val="DefaultParagraphFont"/>
    <w:link w:val="Title"/>
    <w:uiPriority w:val="10"/>
    <w:rsid w:val="00CA6C16"/>
    <w:rPr>
      <w:rFonts w:ascii="Verdana" w:eastAsiaTheme="majorEastAsia" w:hAnsi="Verdana" w:cstheme="majorBidi"/>
      <w:b/>
      <w:spacing w:val="5"/>
      <w:kern w:val="28"/>
      <w:sz w:val="40"/>
      <w:szCs w:val="52"/>
      <w:shd w:val="clear" w:color="auto" w:fill="D0E7F6"/>
    </w:rPr>
  </w:style>
  <w:style w:type="paragraph" w:customStyle="1" w:styleId="ReferenceNumber">
    <w:name w:val="Reference Number"/>
    <w:basedOn w:val="Normal"/>
    <w:qFormat/>
    <w:rsid w:val="00CA6C16"/>
    <w:pPr>
      <w:tabs>
        <w:tab w:val="left" w:pos="1480"/>
      </w:tabs>
      <w:spacing w:after="0" w:line="240" w:lineRule="auto"/>
      <w:jc w:val="right"/>
    </w:pPr>
    <w:rPr>
      <w:rFonts w:ascii="Verdana" w:hAnsi="Verdana"/>
      <w:sz w:val="20"/>
      <w:szCs w:val="20"/>
    </w:rPr>
  </w:style>
  <w:style w:type="character" w:customStyle="1" w:styleId="Regular">
    <w:name w:val="Regular"/>
    <w:basedOn w:val="DefaultParagraphFont"/>
    <w:uiPriority w:val="1"/>
    <w:qFormat/>
    <w:rsid w:val="00CA6C16"/>
  </w:style>
  <w:style w:type="character" w:customStyle="1" w:styleId="Style5">
    <w:name w:val="Style5"/>
    <w:basedOn w:val="DefaultParagraphFont"/>
    <w:uiPriority w:val="1"/>
    <w:rsid w:val="00CA6C16"/>
    <w:rPr>
      <w:color w:val="FF0000"/>
    </w:rPr>
  </w:style>
  <w:style w:type="character" w:styleId="PlaceholderText">
    <w:name w:val="Placeholder Text"/>
    <w:basedOn w:val="DefaultParagraphFont"/>
    <w:uiPriority w:val="99"/>
    <w:semiHidden/>
    <w:rsid w:val="002E5E1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6DB"/>
    <w:pPr>
      <w:spacing w:before="120" w:after="0" w:line="240" w:lineRule="auto"/>
      <w:ind w:left="708"/>
      <w:jc w:val="both"/>
    </w:pPr>
    <w:rPr>
      <w:rFonts w:ascii="Verdana" w:eastAsia="Times New Roman" w:hAnsi="Verdana" w:cs="Times New Roman"/>
      <w:szCs w:val="24"/>
      <w:lang w:val="fr-FR" w:eastAsia="en-GB"/>
    </w:rPr>
  </w:style>
  <w:style w:type="table" w:styleId="TableGrid">
    <w:name w:val="Table Grid"/>
    <w:basedOn w:val="TableNormal"/>
    <w:uiPriority w:val="59"/>
    <w:rsid w:val="0024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044"/>
    <w:rPr>
      <w:rFonts w:ascii="Tahoma" w:hAnsi="Tahoma" w:cs="Tahoma"/>
      <w:sz w:val="16"/>
      <w:szCs w:val="16"/>
    </w:rPr>
  </w:style>
  <w:style w:type="character" w:styleId="Hyperlink">
    <w:name w:val="Hyperlink"/>
    <w:basedOn w:val="DefaultParagraphFont"/>
    <w:uiPriority w:val="99"/>
    <w:unhideWhenUsed/>
    <w:rsid w:val="00CA6C16"/>
    <w:rPr>
      <w:color w:val="0000FF" w:themeColor="hyperlink"/>
      <w:u w:val="none"/>
    </w:rPr>
  </w:style>
  <w:style w:type="paragraph" w:styleId="Title">
    <w:name w:val="Title"/>
    <w:aliases w:val="Document Title"/>
    <w:basedOn w:val="Normal"/>
    <w:next w:val="Normal"/>
    <w:link w:val="TitleChar"/>
    <w:uiPriority w:val="10"/>
    <w:qFormat/>
    <w:rsid w:val="00CA6C16"/>
    <w:pPr>
      <w:shd w:val="clear" w:color="auto" w:fill="D0E7F6"/>
      <w:spacing w:before="240" w:after="240" w:line="240" w:lineRule="auto"/>
      <w:jc w:val="center"/>
    </w:pPr>
    <w:rPr>
      <w:rFonts w:ascii="Verdana" w:eastAsiaTheme="majorEastAsia" w:hAnsi="Verdana" w:cstheme="majorBidi"/>
      <w:b/>
      <w:spacing w:val="5"/>
      <w:kern w:val="28"/>
      <w:sz w:val="40"/>
      <w:szCs w:val="52"/>
    </w:rPr>
  </w:style>
  <w:style w:type="character" w:customStyle="1" w:styleId="TitleChar">
    <w:name w:val="Title Char"/>
    <w:aliases w:val="Document Title Char"/>
    <w:basedOn w:val="DefaultParagraphFont"/>
    <w:link w:val="Title"/>
    <w:uiPriority w:val="10"/>
    <w:rsid w:val="00CA6C16"/>
    <w:rPr>
      <w:rFonts w:ascii="Verdana" w:eastAsiaTheme="majorEastAsia" w:hAnsi="Verdana" w:cstheme="majorBidi"/>
      <w:b/>
      <w:spacing w:val="5"/>
      <w:kern w:val="28"/>
      <w:sz w:val="40"/>
      <w:szCs w:val="52"/>
      <w:shd w:val="clear" w:color="auto" w:fill="D0E7F6"/>
    </w:rPr>
  </w:style>
  <w:style w:type="paragraph" w:customStyle="1" w:styleId="ReferenceNumber">
    <w:name w:val="Reference Number"/>
    <w:basedOn w:val="Normal"/>
    <w:qFormat/>
    <w:rsid w:val="00CA6C16"/>
    <w:pPr>
      <w:tabs>
        <w:tab w:val="left" w:pos="1480"/>
      </w:tabs>
      <w:spacing w:after="0" w:line="240" w:lineRule="auto"/>
      <w:jc w:val="right"/>
    </w:pPr>
    <w:rPr>
      <w:rFonts w:ascii="Verdana" w:hAnsi="Verdana"/>
      <w:sz w:val="20"/>
      <w:szCs w:val="20"/>
    </w:rPr>
  </w:style>
  <w:style w:type="character" w:customStyle="1" w:styleId="Regular">
    <w:name w:val="Regular"/>
    <w:basedOn w:val="DefaultParagraphFont"/>
    <w:uiPriority w:val="1"/>
    <w:qFormat/>
    <w:rsid w:val="00CA6C16"/>
  </w:style>
  <w:style w:type="character" w:customStyle="1" w:styleId="Style5">
    <w:name w:val="Style5"/>
    <w:basedOn w:val="DefaultParagraphFont"/>
    <w:uiPriority w:val="1"/>
    <w:rsid w:val="00CA6C16"/>
    <w:rPr>
      <w:color w:val="FF0000"/>
    </w:rPr>
  </w:style>
  <w:style w:type="character" w:styleId="PlaceholderText">
    <w:name w:val="Placeholder Text"/>
    <w:basedOn w:val="DefaultParagraphFont"/>
    <w:uiPriority w:val="99"/>
    <w:semiHidden/>
    <w:rsid w:val="002E5E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08744">
      <w:bodyDiv w:val="1"/>
      <w:marLeft w:val="0"/>
      <w:marRight w:val="0"/>
      <w:marTop w:val="0"/>
      <w:marBottom w:val="0"/>
      <w:divBdr>
        <w:top w:val="none" w:sz="0" w:space="0" w:color="auto"/>
        <w:left w:val="none" w:sz="0" w:space="0" w:color="auto"/>
        <w:bottom w:val="none" w:sz="0" w:space="0" w:color="auto"/>
        <w:right w:val="none" w:sz="0" w:space="0" w:color="auto"/>
      </w:divBdr>
    </w:div>
    <w:div w:id="166975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2017-08-23T22:00:00+00:00</Meeting_x0020_Dat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4D4D595B-205C-49C9-8E08-307D04351FE0}"/>
</file>

<file path=customXml/itemProps2.xml><?xml version="1.0" encoding="utf-8"?>
<ds:datastoreItem xmlns:ds="http://schemas.openxmlformats.org/officeDocument/2006/customXml" ds:itemID="{8B60FE57-8239-4ED7-9246-98467C2E9B71}"/>
</file>

<file path=customXml/itemProps3.xml><?xml version="1.0" encoding="utf-8"?>
<ds:datastoreItem xmlns:ds="http://schemas.openxmlformats.org/officeDocument/2006/customXml" ds:itemID="{93A077BE-41DB-4299-8523-57DFCCE6097E}"/>
</file>

<file path=docProps/app.xml><?xml version="1.0" encoding="utf-8"?>
<Properties xmlns="http://schemas.openxmlformats.org/officeDocument/2006/extended-properties" xmlns:vt="http://schemas.openxmlformats.org/officeDocument/2006/docPropsVTypes">
  <Template>Normal.dotm</Template>
  <TotalTime>102</TotalTime>
  <Pages>2</Pages>
  <Words>591</Words>
  <Characters>3375</Characters>
  <Application>Microsoft Office Word</Application>
  <DocSecurity>0</DocSecurity>
  <Lines>28</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EIOPA</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Item_2_-_Contractual limits for CAT WS</dc:title>
  <dc:creator>Camille Graciani</dc:creator>
  <cp:lastModifiedBy>Camille Graciani</cp:lastModifiedBy>
  <cp:revision>15</cp:revision>
  <dcterms:created xsi:type="dcterms:W3CDTF">2017-08-14T10:11:00Z</dcterms:created>
  <dcterms:modified xsi:type="dcterms:W3CDTF">2017-08-18T15:18:00Z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-383934146</vt:i4>
  </property>
  <property fmtid="{D5CDD505-2E9C-101B-9397-08002B2CF9AE}" pid="3" name="_NewReviewCycle">
    <vt:lpwstr/>
  </property>
  <property fmtid="{D5CDD505-2E9C-101B-9397-08002B2CF9AE}" pid="4" name="_EmailSubject">
    <vt:lpwstr>To CAT WS: Draft agenda + 1st set of documents for 24-25 Aug 2017 4th physical meeting</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ies>
</file>