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F7D80" w14:textId="45D42CDB" w:rsidR="00F9016C" w:rsidRPr="00B72996" w:rsidRDefault="000644D7">
      <w:pPr>
        <w:rPr>
          <w:b/>
          <w:bCs/>
        </w:rPr>
      </w:pPr>
      <w:r w:rsidRPr="00B72996">
        <w:rPr>
          <w:b/>
          <w:bCs/>
        </w:rPr>
        <w:t>IRRD – 1 Year to Go</w:t>
      </w:r>
    </w:p>
    <w:p w14:paraId="7773E959" w14:textId="21AF6EB9" w:rsidR="004A2918" w:rsidRDefault="004A2918" w:rsidP="00CD096D">
      <w:pPr>
        <w:jc w:val="both"/>
        <w:rPr>
          <w:b/>
          <w:bCs/>
        </w:rPr>
      </w:pPr>
      <w:r w:rsidRPr="004A2918">
        <w:rPr>
          <w:b/>
          <w:bCs/>
        </w:rPr>
        <w:t xml:space="preserve">Annex: </w:t>
      </w:r>
      <w:r w:rsidR="00C26EAD">
        <w:rPr>
          <w:b/>
          <w:bCs/>
        </w:rPr>
        <w:t xml:space="preserve">Specific Improvements Proposed </w:t>
      </w:r>
      <w:r w:rsidRPr="004A2918">
        <w:rPr>
          <w:b/>
          <w:bCs/>
        </w:rPr>
        <w:t>to Level 2 and 3 Guidance</w:t>
      </w:r>
      <w:r w:rsidR="00843EC7">
        <w:rPr>
          <w:b/>
          <w:bCs/>
        </w:rPr>
        <w:t xml:space="preserve"> </w:t>
      </w:r>
    </w:p>
    <w:p w14:paraId="18FB655D" w14:textId="0D94EC51" w:rsidR="004A2918" w:rsidRDefault="00CC4B70" w:rsidP="00CD096D">
      <w:pPr>
        <w:jc w:val="both"/>
      </w:pPr>
      <w:r w:rsidRPr="00CC4B70">
        <w:t xml:space="preserve">This </w:t>
      </w:r>
      <w:r>
        <w:t>paper collates all the concrete feedback provided to date by Insurance Europe to EIOPA’s IRRD Level 2 and 3 consultations in a single document.</w:t>
      </w:r>
    </w:p>
    <w:p w14:paraId="4C4BE05E" w14:textId="77777777" w:rsidR="00CC4B70" w:rsidRPr="00CC4B70" w:rsidRDefault="00CC4B70" w:rsidP="00CD096D">
      <w:pPr>
        <w:jc w:val="both"/>
      </w:pPr>
    </w:p>
    <w:p w14:paraId="7B6D6E8D" w14:textId="1E3746FB" w:rsidR="004A2918" w:rsidRDefault="00450CAB" w:rsidP="00CD096D">
      <w:pPr>
        <w:jc w:val="both"/>
        <w:rPr>
          <w:b/>
          <w:bCs/>
        </w:rPr>
      </w:pPr>
      <w:r>
        <w:rPr>
          <w:b/>
          <w:bCs/>
        </w:rPr>
        <w:t>RTS on the content of resolution plans and group resolution plans</w:t>
      </w:r>
    </w:p>
    <w:p w14:paraId="49FEA7C6" w14:textId="5A6828A0" w:rsidR="002B092F" w:rsidRPr="00315CE6" w:rsidRDefault="002B092F" w:rsidP="00E608D2">
      <w:pPr>
        <w:pStyle w:val="Odsekzoznamu"/>
        <w:numPr>
          <w:ilvl w:val="0"/>
          <w:numId w:val="5"/>
        </w:numPr>
        <w:ind w:left="714" w:hanging="357"/>
        <w:contextualSpacing w:val="0"/>
        <w:jc w:val="both"/>
      </w:pPr>
      <w:r w:rsidRPr="00315CE6">
        <w:rPr>
          <w:b/>
          <w:bCs/>
        </w:rPr>
        <w:t xml:space="preserve">Recital 1: </w:t>
      </w:r>
      <w:r w:rsidRPr="00315CE6">
        <w:t>Remo</w:t>
      </w:r>
      <w:r w:rsidR="00994E5E" w:rsidRPr="00315CE6">
        <w:t>ve reference to bank regulation as neither the IRRD nor the mandate of EIOPA include a requirement for consistency with the banking sector.</w:t>
      </w:r>
    </w:p>
    <w:p w14:paraId="50DE9373" w14:textId="08E1345A" w:rsidR="005200A4" w:rsidRPr="00315CE6" w:rsidRDefault="005200A4" w:rsidP="00E608D2">
      <w:pPr>
        <w:pStyle w:val="Odsekzoznamu"/>
        <w:numPr>
          <w:ilvl w:val="0"/>
          <w:numId w:val="5"/>
        </w:numPr>
        <w:contextualSpacing w:val="0"/>
        <w:jc w:val="both"/>
      </w:pPr>
      <w:r w:rsidRPr="00315CE6">
        <w:rPr>
          <w:b/>
          <w:bCs/>
        </w:rPr>
        <w:t>Recital</w:t>
      </w:r>
      <w:r w:rsidR="002B092F" w:rsidRPr="00315CE6">
        <w:rPr>
          <w:b/>
          <w:bCs/>
        </w:rPr>
        <w:t>s</w:t>
      </w:r>
      <w:r w:rsidRPr="00315CE6">
        <w:rPr>
          <w:b/>
          <w:bCs/>
        </w:rPr>
        <w:t xml:space="preserve">: </w:t>
      </w:r>
      <w:r w:rsidR="006F33FA" w:rsidRPr="00315CE6">
        <w:t>A</w:t>
      </w:r>
      <w:r w:rsidRPr="00315CE6">
        <w:t>dd the following recital to acknowledge the specificities of the reinsurance business model</w:t>
      </w:r>
      <w:r w:rsidR="008B5970">
        <w:t>:</w:t>
      </w:r>
    </w:p>
    <w:p w14:paraId="727F2896" w14:textId="05CB7713" w:rsidR="005200A4" w:rsidRPr="00315CE6" w:rsidRDefault="005200A4" w:rsidP="00E608D2">
      <w:pPr>
        <w:ind w:left="1134"/>
        <w:jc w:val="both"/>
      </w:pPr>
      <w:r w:rsidRPr="00315CE6">
        <w:t>“When assessing the implications of cross-border activities for reinsurance undertakings, national competent authorities should give due consideration to the fact that the reinsurance business model is inherently cross-border. The diversification of risks achieved through such cross-border operations is a fundamental component of the reinsurance value proposition, enhancing both its efficiency and resilience. In this context, the cross-border activity criterion of reinsurance undertakings should not be misunderstood as an indicator of heightened risk.”</w:t>
      </w:r>
    </w:p>
    <w:p w14:paraId="39244B41" w14:textId="634E5457" w:rsidR="00450CAB" w:rsidRPr="00315CE6" w:rsidRDefault="00A56619" w:rsidP="00E608D2">
      <w:pPr>
        <w:pStyle w:val="Odsekzoznamu"/>
        <w:numPr>
          <w:ilvl w:val="0"/>
          <w:numId w:val="5"/>
        </w:numPr>
        <w:contextualSpacing w:val="0"/>
        <w:jc w:val="both"/>
        <w:rPr>
          <w:b/>
          <w:bCs/>
        </w:rPr>
      </w:pPr>
      <w:r w:rsidRPr="00315CE6">
        <w:rPr>
          <w:b/>
          <w:bCs/>
        </w:rPr>
        <w:t>Article 1</w:t>
      </w:r>
      <w:r w:rsidR="00E608D2" w:rsidRPr="00315CE6">
        <w:rPr>
          <w:b/>
          <w:bCs/>
        </w:rPr>
        <w:t>(4)(i)</w:t>
      </w:r>
      <w:r w:rsidRPr="00315CE6">
        <w:rPr>
          <w:b/>
          <w:bCs/>
        </w:rPr>
        <w:t>:</w:t>
      </w:r>
      <w:r w:rsidRPr="00315CE6">
        <w:t xml:space="preserve"> </w:t>
      </w:r>
      <w:r w:rsidR="006F33FA" w:rsidRPr="00315CE6">
        <w:t>Remove the r</w:t>
      </w:r>
      <w:r w:rsidRPr="00315CE6">
        <w:t xml:space="preserve">eference to “reinsurance services” </w:t>
      </w:r>
      <w:r w:rsidR="009A7974" w:rsidRPr="00315CE6">
        <w:t xml:space="preserve">as this </w:t>
      </w:r>
      <w:r w:rsidR="00077352" w:rsidRPr="00315CE6">
        <w:t>lacks a clear legal basis and does not correspond to the types of services envisioned under “operational continuity” in the IRRD Annex.</w:t>
      </w:r>
      <w:r w:rsidR="00E608D2" w:rsidRPr="00315CE6">
        <w:t xml:space="preserve"> </w:t>
      </w:r>
    </w:p>
    <w:p w14:paraId="1F9C5C99" w14:textId="63F36B37" w:rsidR="00E608D2" w:rsidRPr="00315CE6" w:rsidRDefault="00E608D2" w:rsidP="00E608D2">
      <w:pPr>
        <w:pStyle w:val="Odsekzoznamu"/>
        <w:numPr>
          <w:ilvl w:val="0"/>
          <w:numId w:val="5"/>
        </w:numPr>
        <w:contextualSpacing w:val="0"/>
        <w:jc w:val="both"/>
        <w:rPr>
          <w:b/>
          <w:bCs/>
        </w:rPr>
      </w:pPr>
      <w:r w:rsidRPr="00315CE6">
        <w:rPr>
          <w:b/>
          <w:bCs/>
        </w:rPr>
        <w:t>Article 1(4)(</w:t>
      </w:r>
      <w:r w:rsidR="006F33FA" w:rsidRPr="00315CE6">
        <w:rPr>
          <w:b/>
          <w:bCs/>
        </w:rPr>
        <w:t>i</w:t>
      </w:r>
      <w:r w:rsidRPr="00315CE6">
        <w:rPr>
          <w:b/>
          <w:bCs/>
        </w:rPr>
        <w:t>i):</w:t>
      </w:r>
      <w:r w:rsidRPr="00315CE6">
        <w:t xml:space="preserve"> </w:t>
      </w:r>
      <w:r w:rsidR="006F33FA" w:rsidRPr="00315CE6">
        <w:t>Delete this clause as it is overly</w:t>
      </w:r>
      <w:r w:rsidR="00040260" w:rsidRPr="00315CE6">
        <w:rPr>
          <w:rFonts w:ascii="Verdana" w:hAnsi="Verdana" w:cs="Verdana"/>
          <w:color w:val="000000"/>
          <w:kern w:val="0"/>
          <w:sz w:val="17"/>
          <w:szCs w:val="17"/>
        </w:rPr>
        <w:t xml:space="preserve"> </w:t>
      </w:r>
      <w:r w:rsidR="00040260" w:rsidRPr="00315CE6">
        <w:t>broad and unrealistic. By definition, resolution implies a degree of disruption. This provision risks creating unworkable expectations</w:t>
      </w:r>
    </w:p>
    <w:p w14:paraId="0E2B4985" w14:textId="53423AAE" w:rsidR="006C768B" w:rsidRPr="00315CE6" w:rsidRDefault="006C768B" w:rsidP="00843EC7">
      <w:pPr>
        <w:pStyle w:val="Odsekzoznamu"/>
        <w:numPr>
          <w:ilvl w:val="0"/>
          <w:numId w:val="5"/>
        </w:numPr>
        <w:ind w:left="714" w:hanging="357"/>
        <w:contextualSpacing w:val="0"/>
        <w:jc w:val="both"/>
      </w:pPr>
      <w:r w:rsidRPr="00315CE6">
        <w:rPr>
          <w:b/>
          <w:bCs/>
        </w:rPr>
        <w:t xml:space="preserve">Article 2(1)(b)(ii): </w:t>
      </w:r>
      <w:r w:rsidRPr="00315CE6">
        <w:t>The term</w:t>
      </w:r>
      <w:r w:rsidR="0091017E" w:rsidRPr="00315CE6">
        <w:t xml:space="preserve"> “critical interdependencies”</w:t>
      </w:r>
      <w:r w:rsidRPr="00315CE6">
        <w:t xml:space="preserve"> is undefined in both the IRRD and RTS, with only examples provided. It would be helpful to reference Pillar 3 QRTs (where such exposures are already reported) and to clarify the distinction with Article 2(1)(d)(ii) on internal/external interdependencies, especially when such dependencies are considered “critical”.</w:t>
      </w:r>
    </w:p>
    <w:p w14:paraId="2DB01C14" w14:textId="3CB0CA63" w:rsidR="006C768B" w:rsidRPr="00315CE6" w:rsidRDefault="006C768B" w:rsidP="00843EC7">
      <w:pPr>
        <w:pStyle w:val="Odsekzoznamu"/>
        <w:numPr>
          <w:ilvl w:val="0"/>
          <w:numId w:val="5"/>
        </w:numPr>
        <w:ind w:left="714" w:hanging="357"/>
        <w:contextualSpacing w:val="0"/>
        <w:jc w:val="both"/>
      </w:pPr>
      <w:r w:rsidRPr="00315CE6">
        <w:rPr>
          <w:b/>
          <w:bCs/>
        </w:rPr>
        <w:t>Article 2(1)(b)(iv)</w:t>
      </w:r>
      <w:r w:rsidR="0023060E" w:rsidRPr="00315CE6">
        <w:rPr>
          <w:b/>
          <w:bCs/>
        </w:rPr>
        <w:t>:</w:t>
      </w:r>
      <w:r w:rsidRPr="00315CE6">
        <w:rPr>
          <w:b/>
          <w:bCs/>
        </w:rPr>
        <w:t xml:space="preserve"> </w:t>
      </w:r>
      <w:r w:rsidR="00541BAA" w:rsidRPr="00315CE6">
        <w:t>The term p</w:t>
      </w:r>
      <w:r w:rsidRPr="00315CE6">
        <w:t xml:space="preserve">reliminary public interest assessment is undefined. It is unclear whether the requirement applies to each possible resolution action or the </w:t>
      </w:r>
      <w:r w:rsidR="0091017E" w:rsidRPr="00315CE6">
        <w:t xml:space="preserve">whole </w:t>
      </w:r>
      <w:r w:rsidRPr="00315CE6">
        <w:t>plan. This conflict</w:t>
      </w:r>
      <w:r w:rsidR="0091017E" w:rsidRPr="00315CE6">
        <w:t>s</w:t>
      </w:r>
      <w:r w:rsidRPr="00315CE6">
        <w:t xml:space="preserve"> with the concept of minimum market coverage and should be clarified.</w:t>
      </w:r>
    </w:p>
    <w:p w14:paraId="5831FDE9" w14:textId="77777777" w:rsidR="006C768B" w:rsidRPr="00315CE6" w:rsidRDefault="006C768B" w:rsidP="00843EC7">
      <w:pPr>
        <w:pStyle w:val="Odsekzoznamu"/>
        <w:numPr>
          <w:ilvl w:val="0"/>
          <w:numId w:val="5"/>
        </w:numPr>
        <w:ind w:left="714" w:hanging="357"/>
        <w:contextualSpacing w:val="0"/>
        <w:jc w:val="both"/>
      </w:pPr>
      <w:r w:rsidRPr="00315CE6">
        <w:rPr>
          <w:b/>
          <w:bCs/>
        </w:rPr>
        <w:t xml:space="preserve">Article 2(1)(c)(i) – Third bullet: </w:t>
      </w:r>
      <w:r w:rsidRPr="00315CE6">
        <w:t>This repeats IRRD Article 9(6)(c) without adding clarity. Expectations for demonstrating legal and economic separation of critical functions and business lines should be specified.</w:t>
      </w:r>
    </w:p>
    <w:p w14:paraId="10E6BAE6" w14:textId="15683FB8" w:rsidR="006C768B" w:rsidRPr="00315CE6" w:rsidRDefault="006C768B" w:rsidP="00843EC7">
      <w:pPr>
        <w:pStyle w:val="Odsekzoznamu"/>
        <w:numPr>
          <w:ilvl w:val="0"/>
          <w:numId w:val="5"/>
        </w:numPr>
        <w:ind w:left="714" w:hanging="357"/>
        <w:contextualSpacing w:val="0"/>
        <w:jc w:val="both"/>
      </w:pPr>
      <w:r w:rsidRPr="00315CE6">
        <w:rPr>
          <w:b/>
          <w:bCs/>
        </w:rPr>
        <w:t xml:space="preserve">Articles 2(1)(e)(ii) and 2(1)(f)(ii): </w:t>
      </w:r>
      <w:r w:rsidRPr="00315CE6">
        <w:t xml:space="preserve">These </w:t>
      </w:r>
      <w:r w:rsidR="0023060E" w:rsidRPr="00315CE6">
        <w:t xml:space="preserve">should be deleted as they </w:t>
      </w:r>
      <w:r w:rsidRPr="00315CE6">
        <w:t>are direct repetitions of IRRD Articles 9(6)(h) and 9(6)(l), respectively, and offer no added value.</w:t>
      </w:r>
    </w:p>
    <w:p w14:paraId="7E9CC891" w14:textId="1D8CB2B4" w:rsidR="006C768B" w:rsidRPr="00315CE6" w:rsidRDefault="006C768B" w:rsidP="00843EC7">
      <w:pPr>
        <w:pStyle w:val="Odsekzoznamu"/>
        <w:numPr>
          <w:ilvl w:val="0"/>
          <w:numId w:val="5"/>
        </w:numPr>
        <w:ind w:left="714" w:hanging="357"/>
        <w:contextualSpacing w:val="0"/>
        <w:jc w:val="both"/>
        <w:rPr>
          <w:b/>
          <w:bCs/>
        </w:rPr>
      </w:pPr>
      <w:r w:rsidRPr="00315CE6">
        <w:rPr>
          <w:b/>
          <w:bCs/>
        </w:rPr>
        <w:t>Article 2 (1)(d)(ii)</w:t>
      </w:r>
      <w:r w:rsidR="00775316" w:rsidRPr="00315CE6">
        <w:rPr>
          <w:b/>
          <w:bCs/>
        </w:rPr>
        <w:t xml:space="preserve">: </w:t>
      </w:r>
      <w:r w:rsidR="00775316" w:rsidRPr="00315CE6">
        <w:t xml:space="preserve">This should be deleted as </w:t>
      </w:r>
      <w:r w:rsidRPr="00315CE6">
        <w:t>Article 2 (1)(b)(iii) also requires a description of relevant services.</w:t>
      </w:r>
    </w:p>
    <w:p w14:paraId="5FC759A9" w14:textId="2103D2EC" w:rsidR="006C768B" w:rsidRPr="00315CE6" w:rsidRDefault="006C768B" w:rsidP="00843EC7">
      <w:pPr>
        <w:pStyle w:val="Odsekzoznamu"/>
        <w:numPr>
          <w:ilvl w:val="0"/>
          <w:numId w:val="5"/>
        </w:numPr>
        <w:ind w:left="714" w:hanging="357"/>
        <w:contextualSpacing w:val="0"/>
        <w:jc w:val="both"/>
      </w:pPr>
      <w:r w:rsidRPr="00315CE6">
        <w:rPr>
          <w:b/>
          <w:bCs/>
        </w:rPr>
        <w:lastRenderedPageBreak/>
        <w:t xml:space="preserve">Articles 2(1)(b)(iii), 2(1)(d)(ii), and 2(1)(d)(iii): </w:t>
      </w:r>
      <w:r w:rsidRPr="00315CE6">
        <w:t>Articles 2(1)(b)(iii) and Article 2(1)(d)(ii)</w:t>
      </w:r>
      <w:r w:rsidR="003A74A0" w:rsidRPr="00315CE6">
        <w:t xml:space="preserve"> effectively describe</w:t>
      </w:r>
      <w:r w:rsidRPr="00315CE6">
        <w:t xml:space="preserve"> "relevant services" twice. In addition, Article 2(1)(d)(iii) requires outlining "shared operations and systems, which are critical for operational continuity", while the definition of "relevant services" already includes services "to ensure undisturbed functioning". As the provisions largely overlap and the distinction between "relevant services" and internal/external interdependencies is unclear</w:t>
      </w:r>
      <w:r w:rsidR="00FB6924" w:rsidRPr="00315CE6">
        <w:t>, these articles should be revised to remove the duplication</w:t>
      </w:r>
      <w:r w:rsidRPr="00315CE6">
        <w:t>.</w:t>
      </w:r>
    </w:p>
    <w:p w14:paraId="7DC79350" w14:textId="77777777" w:rsidR="006C768B" w:rsidRPr="00315CE6" w:rsidRDefault="006C768B" w:rsidP="00843EC7">
      <w:pPr>
        <w:pStyle w:val="Odsekzoznamu"/>
        <w:numPr>
          <w:ilvl w:val="0"/>
          <w:numId w:val="5"/>
        </w:numPr>
        <w:ind w:left="714" w:hanging="357"/>
        <w:contextualSpacing w:val="0"/>
        <w:jc w:val="both"/>
      </w:pPr>
      <w:r w:rsidRPr="00315CE6">
        <w:rPr>
          <w:b/>
          <w:bCs/>
        </w:rPr>
        <w:t xml:space="preserve">Article 2(1)(e)(v): </w:t>
      </w:r>
      <w:r w:rsidRPr="00315CE6">
        <w:t>Potential funding sources are rarely available. Suggest inserting “if any”.</w:t>
      </w:r>
    </w:p>
    <w:p w14:paraId="701A6934" w14:textId="1EDC84AF" w:rsidR="006C768B" w:rsidRPr="00315CE6" w:rsidRDefault="006C768B" w:rsidP="00843EC7">
      <w:pPr>
        <w:pStyle w:val="Odsekzoznamu"/>
        <w:numPr>
          <w:ilvl w:val="0"/>
          <w:numId w:val="5"/>
        </w:numPr>
        <w:ind w:left="714" w:hanging="357"/>
        <w:contextualSpacing w:val="0"/>
        <w:jc w:val="both"/>
        <w:rPr>
          <w:b/>
          <w:bCs/>
        </w:rPr>
      </w:pPr>
      <w:r w:rsidRPr="00315CE6">
        <w:rPr>
          <w:b/>
          <w:bCs/>
        </w:rPr>
        <w:t xml:space="preserve">Article 2(1)(f)(ii): </w:t>
      </w:r>
      <w:r w:rsidRPr="00315CE6">
        <w:t xml:space="preserve">Article 9(6)(l) of the IRRD requires only a "plan for communicating with the media and the public". </w:t>
      </w:r>
      <w:r w:rsidR="001D45A5" w:rsidRPr="00315CE6">
        <w:t xml:space="preserve">Here, </w:t>
      </w:r>
      <w:r w:rsidRPr="00315CE6">
        <w:t xml:space="preserve">this plan is presented as a sub-item of a broader "communication strategy with critical stakeholder groups" </w:t>
      </w:r>
      <w:r w:rsidR="001D45A5" w:rsidRPr="00315CE6">
        <w:t xml:space="preserve">which is </w:t>
      </w:r>
      <w:r w:rsidRPr="00315CE6">
        <w:t>an extension</w:t>
      </w:r>
      <w:r w:rsidR="001D45A5" w:rsidRPr="00315CE6">
        <w:t xml:space="preserve"> of scope</w:t>
      </w:r>
      <w:r w:rsidRPr="00315CE6">
        <w:t xml:space="preserve">. </w:t>
      </w:r>
      <w:r w:rsidR="00CA5076" w:rsidRPr="00315CE6">
        <w:t xml:space="preserve">This should be removed: </w:t>
      </w:r>
      <w:r w:rsidRPr="00315CE6">
        <w:t>defining a preventive communication strategy per (possible) stakeholder group is not practical, as it must be tailored to the actual situation at the time of the crisis – a situation that is by nature difficult to foresee.</w:t>
      </w:r>
    </w:p>
    <w:p w14:paraId="4A3A9A80" w14:textId="68EEE907" w:rsidR="00541BAA" w:rsidRPr="00315CE6" w:rsidRDefault="00541BAA" w:rsidP="00315CE6">
      <w:pPr>
        <w:pStyle w:val="Odsekzoznamu"/>
        <w:numPr>
          <w:ilvl w:val="0"/>
          <w:numId w:val="5"/>
        </w:numPr>
        <w:ind w:left="714" w:hanging="357"/>
        <w:contextualSpacing w:val="0"/>
        <w:jc w:val="both"/>
        <w:rPr>
          <w:b/>
          <w:bCs/>
        </w:rPr>
      </w:pPr>
      <w:r w:rsidRPr="00315CE6">
        <w:rPr>
          <w:b/>
          <w:bCs/>
        </w:rPr>
        <w:t>Article 2 (1)(f)(ii)</w:t>
      </w:r>
      <w:r w:rsidR="002E0F67" w:rsidRPr="00315CE6">
        <w:rPr>
          <w:b/>
          <w:bCs/>
        </w:rPr>
        <w:t xml:space="preserve">: </w:t>
      </w:r>
      <w:r w:rsidR="002E0F67" w:rsidRPr="00315CE6">
        <w:t xml:space="preserve">This </w:t>
      </w:r>
      <w:r w:rsidRPr="00315CE6">
        <w:t xml:space="preserve">refers to "other relevant stakeholders referred to in (a)". There are no other stakeholders noted </w:t>
      </w:r>
      <w:r w:rsidR="002E0F67" w:rsidRPr="00315CE6">
        <w:t xml:space="preserve">in </w:t>
      </w:r>
      <w:r w:rsidRPr="00315CE6">
        <w:t>Article 2(a</w:t>
      </w:r>
      <w:r w:rsidR="002E0F67" w:rsidRPr="00315CE6">
        <w:t xml:space="preserve">) </w:t>
      </w:r>
      <w:r w:rsidRPr="00315CE6">
        <w:t>and Article 9(6)(l) of IRRD does not provide for a communication strategy specific for certain stakeholder groups.</w:t>
      </w:r>
    </w:p>
    <w:p w14:paraId="4545EC7A" w14:textId="55F438F0" w:rsidR="00541BAA" w:rsidRPr="00315CE6" w:rsidRDefault="00315CE6" w:rsidP="00315CE6">
      <w:pPr>
        <w:pStyle w:val="Odsekzoznamu"/>
        <w:numPr>
          <w:ilvl w:val="0"/>
          <w:numId w:val="5"/>
        </w:numPr>
        <w:ind w:left="714" w:hanging="357"/>
        <w:contextualSpacing w:val="0"/>
        <w:jc w:val="both"/>
      </w:pPr>
      <w:r w:rsidRPr="00315CE6">
        <w:rPr>
          <w:b/>
          <w:bCs/>
        </w:rPr>
        <w:t xml:space="preserve">Article 2(g)(iv): </w:t>
      </w:r>
      <w:r w:rsidRPr="00315CE6">
        <w:t xml:space="preserve">The term </w:t>
      </w:r>
      <w:r w:rsidR="00541BAA" w:rsidRPr="00315CE6">
        <w:t xml:space="preserve">“challenges to resolvability” </w:t>
      </w:r>
      <w:r w:rsidRPr="00315CE6">
        <w:t>should be removed as it i</w:t>
      </w:r>
      <w:r w:rsidR="00541BAA" w:rsidRPr="00315CE6">
        <w:t>s not grounded in the IRRD and introduces ambiguity regarding its legal and operational implications. The RTS should adhere to the terminology used in the IRRD, specifically the established concept of “impediments to resolvability.”</w:t>
      </w:r>
    </w:p>
    <w:p w14:paraId="1985084E" w14:textId="6BE06E96" w:rsidR="00E608D2" w:rsidRPr="008225BC" w:rsidRDefault="00541BAA" w:rsidP="00315CE6">
      <w:pPr>
        <w:pStyle w:val="Odsekzoznamu"/>
        <w:numPr>
          <w:ilvl w:val="0"/>
          <w:numId w:val="5"/>
        </w:numPr>
        <w:ind w:left="714" w:hanging="357"/>
        <w:contextualSpacing w:val="0"/>
        <w:jc w:val="both"/>
      </w:pPr>
      <w:r w:rsidRPr="008225BC">
        <w:rPr>
          <w:b/>
          <w:bCs/>
        </w:rPr>
        <w:t>Article 2(2)</w:t>
      </w:r>
      <w:r w:rsidR="00EC1A65" w:rsidRPr="008225BC">
        <w:rPr>
          <w:b/>
          <w:bCs/>
        </w:rPr>
        <w:t xml:space="preserve">: </w:t>
      </w:r>
      <w:r w:rsidR="00EC1A65" w:rsidRPr="008225BC">
        <w:t xml:space="preserve">The requirement to include </w:t>
      </w:r>
      <w:r w:rsidRPr="008225BC">
        <w:t xml:space="preserve">any background information, descriptions and analyses supporting the preparation of </w:t>
      </w:r>
      <w:r w:rsidR="008225BC" w:rsidRPr="008225BC">
        <w:t xml:space="preserve">the </w:t>
      </w:r>
      <w:r w:rsidRPr="008225BC">
        <w:t>relevant points in annexes to the resolution plan should be restricted to key information.</w:t>
      </w:r>
    </w:p>
    <w:p w14:paraId="426F9D79" w14:textId="2130FF7F" w:rsidR="00541BAA" w:rsidRPr="00C4339C" w:rsidRDefault="00541BAA" w:rsidP="00315CE6">
      <w:pPr>
        <w:pStyle w:val="Odsekzoznamu"/>
        <w:numPr>
          <w:ilvl w:val="0"/>
          <w:numId w:val="5"/>
        </w:numPr>
        <w:ind w:left="714" w:hanging="357"/>
        <w:contextualSpacing w:val="0"/>
        <w:jc w:val="both"/>
        <w:rPr>
          <w:b/>
          <w:bCs/>
        </w:rPr>
      </w:pPr>
      <w:r w:rsidRPr="00C4339C">
        <w:rPr>
          <w:b/>
          <w:bCs/>
        </w:rPr>
        <w:t>Article 3(1)</w:t>
      </w:r>
      <w:r w:rsidR="008D3CFE" w:rsidRPr="00C4339C">
        <w:rPr>
          <w:b/>
          <w:bCs/>
        </w:rPr>
        <w:t xml:space="preserve">: </w:t>
      </w:r>
      <w:r w:rsidR="00C4339C" w:rsidRPr="00C4339C">
        <w:t>This refers</w:t>
      </w:r>
      <w:r w:rsidRPr="00C4339C">
        <w:t xml:space="preserve"> to Article 2, implying that group resolution plans must include all solo-level content plus additional group-specific elements. It is suggested to amend as follows: “A group resolution plan shall contain the aggregated information prescribed in Article 2 of this Regulation, material for the insurance or reinsurance group from a resolution planning perspective, and should additionally contain the following elements:”</w:t>
      </w:r>
    </w:p>
    <w:p w14:paraId="4EF91129" w14:textId="309EC44E" w:rsidR="00541BAA" w:rsidRPr="00541BAA" w:rsidRDefault="00E636EF" w:rsidP="00315CE6">
      <w:pPr>
        <w:pStyle w:val="Odsekzoznamu"/>
        <w:numPr>
          <w:ilvl w:val="0"/>
          <w:numId w:val="5"/>
        </w:numPr>
        <w:ind w:left="714" w:hanging="357"/>
        <w:contextualSpacing w:val="0"/>
        <w:jc w:val="both"/>
        <w:rPr>
          <w:b/>
          <w:bCs/>
        </w:rPr>
      </w:pPr>
      <w:r w:rsidRPr="00541BAA">
        <w:rPr>
          <w:b/>
          <w:bCs/>
        </w:rPr>
        <w:t>Article 3(1)(a)(iii)</w:t>
      </w:r>
      <w:r w:rsidR="00541BAA" w:rsidRPr="00541BAA">
        <w:rPr>
          <w:b/>
          <w:bCs/>
        </w:rPr>
        <w:t xml:space="preserve">: </w:t>
      </w:r>
      <w:r w:rsidR="00541BAA" w:rsidRPr="00E636EF">
        <w:t>Article 3 covers group-level plans only</w:t>
      </w:r>
      <w:r w:rsidRPr="00E636EF">
        <w:t>. Wording here should be clarified to</w:t>
      </w:r>
      <w:r w:rsidR="00541BAA" w:rsidRPr="00E636EF">
        <w:t xml:space="preserve"> “…insurance or reinsurance group” instead of “…insurance or reinsurance undertaking or group.”</w:t>
      </w:r>
    </w:p>
    <w:p w14:paraId="537A2D01" w14:textId="589434B5" w:rsidR="00541BAA" w:rsidRPr="00557860" w:rsidRDefault="00541BAA" w:rsidP="00315CE6">
      <w:pPr>
        <w:pStyle w:val="Odsekzoznamu"/>
        <w:numPr>
          <w:ilvl w:val="0"/>
          <w:numId w:val="5"/>
        </w:numPr>
        <w:ind w:left="714" w:hanging="357"/>
        <w:contextualSpacing w:val="0"/>
        <w:jc w:val="both"/>
      </w:pPr>
      <w:r w:rsidRPr="00541BAA">
        <w:rPr>
          <w:b/>
          <w:bCs/>
        </w:rPr>
        <w:t>Article 3(1)(a)(ii)</w:t>
      </w:r>
      <w:r w:rsidR="00BE1CF7">
        <w:rPr>
          <w:b/>
          <w:bCs/>
        </w:rPr>
        <w:t xml:space="preserve">: </w:t>
      </w:r>
      <w:r w:rsidR="00BE1CF7" w:rsidRPr="00557860">
        <w:t xml:space="preserve">This </w:t>
      </w:r>
      <w:r w:rsidRPr="00557860">
        <w:t>should be revised to state: “information about all EEA insurance or reinsurance undertaking(s) and, where relevant, their branches operating under the freedom of establishment in the single market, (…)”</w:t>
      </w:r>
      <w:r w:rsidR="00557860" w:rsidRPr="00557860">
        <w:t xml:space="preserve"> to recognise that third-country legal entities’ winding-up is governed by local regulations.</w:t>
      </w:r>
    </w:p>
    <w:p w14:paraId="111D650B" w14:textId="0709CA77" w:rsidR="00541BAA" w:rsidRPr="00D27D71" w:rsidRDefault="00541BAA" w:rsidP="00315CE6">
      <w:pPr>
        <w:pStyle w:val="Odsekzoznamu"/>
        <w:numPr>
          <w:ilvl w:val="0"/>
          <w:numId w:val="5"/>
        </w:numPr>
        <w:ind w:left="714" w:hanging="357"/>
        <w:contextualSpacing w:val="0"/>
        <w:jc w:val="both"/>
      </w:pPr>
      <w:r w:rsidRPr="00541BAA">
        <w:rPr>
          <w:b/>
          <w:bCs/>
        </w:rPr>
        <w:t>Article 3(1)(b)</w:t>
      </w:r>
      <w:r w:rsidR="00557860">
        <w:rPr>
          <w:b/>
          <w:bCs/>
        </w:rPr>
        <w:t>:</w:t>
      </w:r>
      <w:r w:rsidR="00D27D71">
        <w:rPr>
          <w:b/>
          <w:bCs/>
        </w:rPr>
        <w:t xml:space="preserve"> </w:t>
      </w:r>
      <w:r w:rsidR="00D27D71" w:rsidRPr="00D27D71">
        <w:t>This</w:t>
      </w:r>
      <w:r w:rsidRPr="00D27D71">
        <w:t xml:space="preserve"> should be revised to state: “a description of the group resolution strategy or strategies considered in the plan, including the identification of the EEA insurance or reinsurance undertaking(s) to which resolution tools or resolution powers may be applied.”</w:t>
      </w:r>
    </w:p>
    <w:p w14:paraId="3389FB21" w14:textId="54763362" w:rsidR="00541BAA" w:rsidRPr="002A210F" w:rsidRDefault="00197BE1" w:rsidP="00315CE6">
      <w:pPr>
        <w:pStyle w:val="Odsekzoznamu"/>
        <w:numPr>
          <w:ilvl w:val="0"/>
          <w:numId w:val="5"/>
        </w:numPr>
        <w:ind w:left="714" w:hanging="357"/>
        <w:contextualSpacing w:val="0"/>
        <w:jc w:val="both"/>
        <w:rPr>
          <w:b/>
          <w:bCs/>
        </w:rPr>
      </w:pPr>
      <w:r w:rsidRPr="00541BAA">
        <w:rPr>
          <w:b/>
          <w:bCs/>
        </w:rPr>
        <w:lastRenderedPageBreak/>
        <w:t>Article 3(1)(e)</w:t>
      </w:r>
      <w:r>
        <w:rPr>
          <w:b/>
          <w:bCs/>
        </w:rPr>
        <w:t xml:space="preserve">: </w:t>
      </w:r>
      <w:r w:rsidRPr="00197BE1">
        <w:t xml:space="preserve">To provide clarity from </w:t>
      </w:r>
      <w:r w:rsidR="00541BAA" w:rsidRPr="00197BE1">
        <w:t xml:space="preserve">Article 3(1)(a)(iii) (which refers to group-internal providers) from it is recommended to clarify </w:t>
      </w:r>
      <w:r w:rsidRPr="00197BE1">
        <w:t>here that “</w:t>
      </w:r>
      <w:r w:rsidR="00541BAA" w:rsidRPr="00197BE1">
        <w:t>external essential service provide</w:t>
      </w:r>
      <w:r w:rsidRPr="00197BE1">
        <w:t>rs” are referenced.</w:t>
      </w:r>
    </w:p>
    <w:p w14:paraId="37B60473" w14:textId="3355D3D3" w:rsidR="002A210F" w:rsidRDefault="002A210F" w:rsidP="002A210F">
      <w:pPr>
        <w:jc w:val="both"/>
        <w:rPr>
          <w:b/>
          <w:bCs/>
        </w:rPr>
      </w:pPr>
      <w:r>
        <w:rPr>
          <w:b/>
          <w:bCs/>
        </w:rPr>
        <w:t>RTS on the content of (group) pre-emptive recovery plans</w:t>
      </w:r>
    </w:p>
    <w:p w14:paraId="344050FE" w14:textId="6E9D80B8" w:rsidR="00FB5E29" w:rsidRPr="008B5970" w:rsidRDefault="00402C09" w:rsidP="008B5970">
      <w:pPr>
        <w:pStyle w:val="Odsekzoznamu"/>
        <w:numPr>
          <w:ilvl w:val="0"/>
          <w:numId w:val="6"/>
        </w:numPr>
        <w:ind w:left="714" w:hanging="357"/>
        <w:contextualSpacing w:val="0"/>
        <w:jc w:val="both"/>
      </w:pPr>
      <w:r w:rsidRPr="008B5970">
        <w:rPr>
          <w:b/>
          <w:bCs/>
        </w:rPr>
        <w:t xml:space="preserve">Recital 1: </w:t>
      </w:r>
      <w:r w:rsidRPr="008B5970">
        <w:t xml:space="preserve">The history of the </w:t>
      </w:r>
      <w:r w:rsidR="00FB5E29" w:rsidRPr="008B5970">
        <w:t>recovery plan required</w:t>
      </w:r>
      <w:r w:rsidRPr="008B5970">
        <w:t xml:space="preserve"> should be reduced from 10 years</w:t>
      </w:r>
      <w:r w:rsidR="00FB5E29" w:rsidRPr="008B5970">
        <w:t xml:space="preserve">, for reasons of relevance and cost. </w:t>
      </w:r>
    </w:p>
    <w:p w14:paraId="226FEA9B" w14:textId="24D216E4" w:rsidR="00FB5E29" w:rsidRPr="008B5970" w:rsidRDefault="00FB5E29" w:rsidP="008B5970">
      <w:pPr>
        <w:pStyle w:val="Odsekzoznamu"/>
        <w:numPr>
          <w:ilvl w:val="0"/>
          <w:numId w:val="6"/>
        </w:numPr>
        <w:ind w:left="714" w:hanging="357"/>
        <w:contextualSpacing w:val="0"/>
        <w:jc w:val="both"/>
      </w:pPr>
      <w:r w:rsidRPr="008B5970">
        <w:rPr>
          <w:b/>
          <w:bCs/>
        </w:rPr>
        <w:t>Recital 1</w:t>
      </w:r>
      <w:r w:rsidR="005E32A4" w:rsidRPr="008B5970">
        <w:rPr>
          <w:b/>
          <w:bCs/>
        </w:rPr>
        <w:t xml:space="preserve">: </w:t>
      </w:r>
      <w:r w:rsidR="005E32A4" w:rsidRPr="008B5970">
        <w:t xml:space="preserve">The </w:t>
      </w:r>
      <w:r w:rsidRPr="008B5970">
        <w:t xml:space="preserve">summary of the preventive recovery plan should be in either English or the language of insurance company operations for cross-border undertakings and the language of insurance company operations for those in a single Member State </w:t>
      </w:r>
      <w:r w:rsidR="00D94AB6" w:rsidRPr="008B5970">
        <w:t xml:space="preserve">rather than in an international language </w:t>
      </w:r>
      <w:r w:rsidRPr="008B5970">
        <w:t xml:space="preserve">so that they are able to make decisions in crisis situations without language barriers. </w:t>
      </w:r>
    </w:p>
    <w:p w14:paraId="0B43A52F" w14:textId="0DB145F0" w:rsidR="00FB5E29" w:rsidRPr="008B5970" w:rsidRDefault="002A41BE" w:rsidP="008B5970">
      <w:pPr>
        <w:pStyle w:val="Odsekzoznamu"/>
        <w:numPr>
          <w:ilvl w:val="0"/>
          <w:numId w:val="6"/>
        </w:numPr>
        <w:ind w:left="714" w:hanging="357"/>
        <w:contextualSpacing w:val="0"/>
        <w:jc w:val="both"/>
      </w:pPr>
      <w:r w:rsidRPr="008B5970">
        <w:rPr>
          <w:b/>
          <w:bCs/>
        </w:rPr>
        <w:t xml:space="preserve">Article 2: </w:t>
      </w:r>
      <w:r w:rsidR="00FB5E29" w:rsidRPr="008B5970">
        <w:t xml:space="preserve">The summary of the report should not include every item referred in points (b) to (g) of Article 5(6) of Directive (EU) 2025/1. Undertakings/groups should have flexibility to decide on the most relevant information of the plan to be highlighted in the summary. </w:t>
      </w:r>
      <w:r w:rsidR="002332A8" w:rsidRPr="008B5970">
        <w:t xml:space="preserve">Any prescribed content </w:t>
      </w:r>
      <w:r w:rsidR="00FB5E29" w:rsidRPr="008B5970">
        <w:t xml:space="preserve">should be limited to the most relevant items of Article 5(6) (for example, a summary of indicators and remedial actions). </w:t>
      </w:r>
    </w:p>
    <w:p w14:paraId="43BD2267" w14:textId="1330B816" w:rsidR="00FB5E29" w:rsidRPr="008B5970" w:rsidRDefault="00503903" w:rsidP="008B5970">
      <w:pPr>
        <w:pStyle w:val="Odsekzoznamu"/>
        <w:numPr>
          <w:ilvl w:val="0"/>
          <w:numId w:val="6"/>
        </w:numPr>
        <w:ind w:left="714" w:hanging="357"/>
        <w:contextualSpacing w:val="0"/>
        <w:jc w:val="both"/>
        <w:rPr>
          <w:b/>
          <w:bCs/>
        </w:rPr>
      </w:pPr>
      <w:r w:rsidRPr="008B5970">
        <w:rPr>
          <w:b/>
          <w:bCs/>
        </w:rPr>
        <w:t xml:space="preserve">Article 2(2): </w:t>
      </w:r>
      <w:r w:rsidRPr="008B5970">
        <w:t>“S</w:t>
      </w:r>
      <w:r w:rsidR="00FB5E29" w:rsidRPr="008B5970">
        <w:t>ignificant cross-border activities</w:t>
      </w:r>
      <w:r w:rsidRPr="008B5970">
        <w:t>” should be defined and it should be clarified</w:t>
      </w:r>
      <w:r w:rsidR="00FB5E29" w:rsidRPr="008B5970">
        <w:t xml:space="preserve"> how consistency with Solvency II will be ensured.</w:t>
      </w:r>
      <w:r w:rsidR="00FB5E29" w:rsidRPr="008B5970">
        <w:rPr>
          <w:b/>
          <w:bCs/>
        </w:rPr>
        <w:t xml:space="preserve"> </w:t>
      </w:r>
    </w:p>
    <w:p w14:paraId="574E46D4" w14:textId="231908EC" w:rsidR="00FB5E29" w:rsidRPr="008B5970" w:rsidRDefault="001C6386" w:rsidP="008B5970">
      <w:pPr>
        <w:pStyle w:val="Odsekzoznamu"/>
        <w:numPr>
          <w:ilvl w:val="0"/>
          <w:numId w:val="6"/>
        </w:numPr>
        <w:ind w:left="714" w:hanging="357"/>
        <w:contextualSpacing w:val="0"/>
        <w:jc w:val="both"/>
        <w:rPr>
          <w:b/>
          <w:bCs/>
        </w:rPr>
      </w:pPr>
      <w:r w:rsidRPr="008B5970">
        <w:rPr>
          <w:b/>
          <w:bCs/>
        </w:rPr>
        <w:t xml:space="preserve">Article 3: </w:t>
      </w:r>
      <w:r w:rsidR="00FB5E29" w:rsidRPr="008B5970">
        <w:t>Most of the information required is available in SFCR (Solvency and Financial Condition Report), RSR (Regular Supervisory Report) reports, QRTs (Quantitative Reporting Templates) and the ORSA (Own Risk and Solvency Assessment) report.</w:t>
      </w:r>
      <w:r w:rsidRPr="008B5970">
        <w:t xml:space="preserve"> I</w:t>
      </w:r>
      <w:r w:rsidR="00FB5E29" w:rsidRPr="008B5970">
        <w:t>t should be explicitly mentioned in the article that undertakings or groups can refer to these documents to cover the requirements under this article</w:t>
      </w:r>
      <w:r w:rsidRPr="008B5970">
        <w:t>. A</w:t>
      </w:r>
      <w:r w:rsidR="00FB5E29" w:rsidRPr="008B5970">
        <w:t>lternatively</w:t>
      </w:r>
      <w:r w:rsidRPr="008B5970">
        <w:t>,</w:t>
      </w:r>
      <w:r w:rsidR="00FB5E29" w:rsidRPr="008B5970">
        <w:t xml:space="preserve"> the description of the insurance or reinsurance undertaking or group should be reduced as much as possible</w:t>
      </w:r>
      <w:r w:rsidRPr="008B5970">
        <w:t xml:space="preserve"> to reduce duplication</w:t>
      </w:r>
      <w:r w:rsidR="00FB5E29" w:rsidRPr="008B5970">
        <w:t>.</w:t>
      </w:r>
      <w:r w:rsidR="00FB5E29" w:rsidRPr="008B5970">
        <w:rPr>
          <w:b/>
          <w:bCs/>
        </w:rPr>
        <w:t xml:space="preserve"> </w:t>
      </w:r>
    </w:p>
    <w:p w14:paraId="2ADD1504" w14:textId="392E40FF" w:rsidR="00FB5E29" w:rsidRPr="008B5970" w:rsidRDefault="00C435F1" w:rsidP="008B5970">
      <w:pPr>
        <w:pStyle w:val="Odsekzoznamu"/>
        <w:numPr>
          <w:ilvl w:val="0"/>
          <w:numId w:val="6"/>
        </w:numPr>
        <w:ind w:left="714" w:hanging="357"/>
        <w:contextualSpacing w:val="0"/>
        <w:jc w:val="both"/>
        <w:rPr>
          <w:b/>
          <w:bCs/>
        </w:rPr>
      </w:pPr>
      <w:r w:rsidRPr="008B5970">
        <w:rPr>
          <w:b/>
          <w:bCs/>
        </w:rPr>
        <w:t>Article 3.1</w:t>
      </w:r>
      <w:r w:rsidR="005C417D" w:rsidRPr="008B5970">
        <w:rPr>
          <w:b/>
          <w:bCs/>
        </w:rPr>
        <w:t>(a) and (b)</w:t>
      </w:r>
      <w:r w:rsidRPr="008B5970">
        <w:rPr>
          <w:b/>
          <w:bCs/>
        </w:rPr>
        <w:t xml:space="preserve">: </w:t>
      </w:r>
      <w:r w:rsidRPr="008B5970">
        <w:t>References to critical</w:t>
      </w:r>
      <w:r w:rsidR="00FB5E29" w:rsidRPr="008B5970">
        <w:t xml:space="preserve"> functions </w:t>
      </w:r>
      <w:r w:rsidRPr="008B5970">
        <w:t>should be removed</w:t>
      </w:r>
      <w:r w:rsidR="00FB5E29" w:rsidRPr="008B5970">
        <w:t>. T</w:t>
      </w:r>
      <w:r w:rsidR="005C417D" w:rsidRPr="008B5970">
        <w:t>hey</w:t>
      </w:r>
      <w:r w:rsidR="00FB5E29" w:rsidRPr="008B5970">
        <w:t xml:space="preserve"> </w:t>
      </w:r>
      <w:r w:rsidR="00196E09" w:rsidRPr="008B5970">
        <w:t>are</w:t>
      </w:r>
      <w:r w:rsidR="00FB5E29" w:rsidRPr="008B5970">
        <w:t xml:space="preserve"> not mentioned in the IRRD for recovery plans, </w:t>
      </w:r>
      <w:r w:rsidRPr="008B5970">
        <w:t xml:space="preserve">and </w:t>
      </w:r>
      <w:r w:rsidR="005C417D" w:rsidRPr="008B5970">
        <w:t xml:space="preserve">their inclusion is </w:t>
      </w:r>
      <w:r w:rsidRPr="008B5970">
        <w:t xml:space="preserve">not </w:t>
      </w:r>
      <w:r w:rsidR="00FB5E29" w:rsidRPr="008B5970">
        <w:t xml:space="preserve">necessary, as supervisory authorities will receive </w:t>
      </w:r>
      <w:r w:rsidRPr="008B5970">
        <w:t xml:space="preserve">information on </w:t>
      </w:r>
      <w:r w:rsidR="00FB5E29" w:rsidRPr="008B5970">
        <w:t>critical functions through the resolution plan under Article 9(7) IRRD. In addition, undertakings will not necessarily know whether and which activities are classified as critical functions by the resolution authority when preparing the recovery plan. If the assessment of critical functions in the resolution plan were to change, this would require updates to the recovery plan, creating unnecessary administrative burden. It is also unclear how firms outside the scope of resolution planning will have their identifications reviewed.</w:t>
      </w:r>
      <w:r w:rsidR="00FB5E29" w:rsidRPr="008B5970">
        <w:rPr>
          <w:b/>
          <w:bCs/>
        </w:rPr>
        <w:t xml:space="preserve"> </w:t>
      </w:r>
    </w:p>
    <w:p w14:paraId="764933C4" w14:textId="77777777" w:rsidR="00FB5E29" w:rsidRPr="008B5970" w:rsidRDefault="00FB5E29" w:rsidP="008B5970">
      <w:pPr>
        <w:pStyle w:val="Odsekzoznamu"/>
        <w:numPr>
          <w:ilvl w:val="0"/>
          <w:numId w:val="6"/>
        </w:numPr>
        <w:ind w:left="714" w:hanging="357"/>
        <w:contextualSpacing w:val="0"/>
        <w:jc w:val="both"/>
        <w:rPr>
          <w:b/>
          <w:bCs/>
        </w:rPr>
      </w:pPr>
      <w:r w:rsidRPr="008B5970">
        <w:rPr>
          <w:b/>
          <w:bCs/>
        </w:rPr>
        <w:t xml:space="preserve">Article 3(1)(c): </w:t>
      </w:r>
      <w:r w:rsidRPr="008B5970">
        <w:t>Information on intra-group transactions (IGT) and inter-connectedness is already captured in detail in Solvency II reporting templates, 36.01 (IGT Equity-type transactions, debt and asset transfer), 36.02 (derivatives), 36.03 (off balance sheet and contingent liabilities), 36.04 (IGT insurance and reinsurance), 36.05 (P&amp;L, including intra-group outsourcing or cost sharing) and should not be duplicated.</w:t>
      </w:r>
      <w:r w:rsidRPr="008B5970">
        <w:rPr>
          <w:b/>
          <w:bCs/>
        </w:rPr>
        <w:t xml:space="preserve"> </w:t>
      </w:r>
    </w:p>
    <w:p w14:paraId="73183D25" w14:textId="5E86A822" w:rsidR="00FB5E29" w:rsidRPr="008B5970" w:rsidRDefault="00FB5E29" w:rsidP="008B5970">
      <w:pPr>
        <w:pStyle w:val="Odsekzoznamu"/>
        <w:numPr>
          <w:ilvl w:val="0"/>
          <w:numId w:val="6"/>
        </w:numPr>
        <w:ind w:left="714" w:hanging="357"/>
        <w:contextualSpacing w:val="0"/>
        <w:jc w:val="both"/>
      </w:pPr>
      <w:r w:rsidRPr="008B5970">
        <w:rPr>
          <w:b/>
          <w:bCs/>
        </w:rPr>
        <w:t>Article 3(1)(c) and 3</w:t>
      </w:r>
      <w:r w:rsidR="00C115E3" w:rsidRPr="008B5970">
        <w:rPr>
          <w:b/>
          <w:bCs/>
        </w:rPr>
        <w:t>(</w:t>
      </w:r>
      <w:r w:rsidRPr="008B5970">
        <w:rPr>
          <w:b/>
          <w:bCs/>
        </w:rPr>
        <w:t>2</w:t>
      </w:r>
      <w:r w:rsidR="00C115E3" w:rsidRPr="008B5970">
        <w:rPr>
          <w:b/>
          <w:bCs/>
        </w:rPr>
        <w:t>)</w:t>
      </w:r>
      <w:r w:rsidR="005E30F0" w:rsidRPr="008B5970">
        <w:rPr>
          <w:b/>
          <w:bCs/>
        </w:rPr>
        <w:t>:</w:t>
      </w:r>
      <w:r w:rsidR="005E30F0" w:rsidRPr="008B5970">
        <w:t xml:space="preserve"> </w:t>
      </w:r>
      <w:r w:rsidR="00AD1EB9" w:rsidRPr="008B5970">
        <w:t>These</w:t>
      </w:r>
      <w:r w:rsidR="005E30F0" w:rsidRPr="008B5970">
        <w:t xml:space="preserve"> articles </w:t>
      </w:r>
      <w:r w:rsidR="00AD1EB9" w:rsidRPr="008B5970">
        <w:t xml:space="preserve">should be split </w:t>
      </w:r>
      <w:r w:rsidR="005E30F0" w:rsidRPr="008B5970">
        <w:t xml:space="preserve">into two, covering solo and group undertakings </w:t>
      </w:r>
      <w:r w:rsidR="00AD1EB9" w:rsidRPr="008B5970">
        <w:t>separately</w:t>
      </w:r>
      <w:r w:rsidR="005E30F0" w:rsidRPr="008B5970">
        <w:t>. At present, they</w:t>
      </w:r>
      <w:r w:rsidRPr="008B5970">
        <w:t xml:space="preserve"> are unclear about what information should be provided in an entity level plan and what should be provided in a group plan, in particular </w:t>
      </w:r>
      <w:r w:rsidRPr="008B5970">
        <w:lastRenderedPageBreak/>
        <w:t xml:space="preserve">in situations where both a group and (an) entity level plan(s) are required. This is not the regular situation foreseen by IRRD, but might still occur, for example where the group plan was drawn up by an ultimate parent undertaking outside the EU. In that case, the undertaking drawing up an entity-level plan should not be required to provide group information. Further guidance on information sharing and co-ordination between NSAs in such cases would also be useful. </w:t>
      </w:r>
    </w:p>
    <w:p w14:paraId="09896466" w14:textId="050D94DE" w:rsidR="00E94A7E" w:rsidRPr="008B5970" w:rsidRDefault="00FB5E29" w:rsidP="008B5970">
      <w:pPr>
        <w:pStyle w:val="Odsekzoznamu"/>
        <w:numPr>
          <w:ilvl w:val="0"/>
          <w:numId w:val="6"/>
        </w:numPr>
        <w:ind w:left="714" w:hanging="357"/>
        <w:contextualSpacing w:val="0"/>
        <w:jc w:val="both"/>
      </w:pPr>
      <w:r w:rsidRPr="008B5970">
        <w:rPr>
          <w:b/>
          <w:bCs/>
        </w:rPr>
        <w:t xml:space="preserve">Article 3(1)(d): </w:t>
      </w:r>
      <w:r w:rsidRPr="008B5970">
        <w:t xml:space="preserve">Solvency II reporting already includes extensive details on external transactions and </w:t>
      </w:r>
      <w:r w:rsidR="00C60189" w:rsidRPr="008B5970">
        <w:t xml:space="preserve">this </w:t>
      </w:r>
      <w:r w:rsidRPr="008B5970">
        <w:t>should not be duplicated</w:t>
      </w:r>
      <w:r w:rsidR="00C60189" w:rsidRPr="008B5970">
        <w:t xml:space="preserve"> here</w:t>
      </w:r>
      <w:r w:rsidRPr="008B5970">
        <w:t xml:space="preserve">. </w:t>
      </w:r>
    </w:p>
    <w:p w14:paraId="45924940" w14:textId="476A3AD5" w:rsidR="00E94A7E" w:rsidRPr="008B5970" w:rsidRDefault="00FB5E29" w:rsidP="008B5970">
      <w:pPr>
        <w:pStyle w:val="Odsekzoznamu"/>
        <w:numPr>
          <w:ilvl w:val="0"/>
          <w:numId w:val="6"/>
        </w:numPr>
        <w:ind w:left="714" w:hanging="357"/>
        <w:contextualSpacing w:val="0"/>
        <w:jc w:val="both"/>
        <w:rPr>
          <w:b/>
          <w:bCs/>
        </w:rPr>
      </w:pPr>
      <w:r w:rsidRPr="008B5970">
        <w:rPr>
          <w:b/>
          <w:bCs/>
        </w:rPr>
        <w:t>Article 3(2)</w:t>
      </w:r>
      <w:r w:rsidR="00E94A7E" w:rsidRPr="008B5970">
        <w:rPr>
          <w:b/>
          <w:bCs/>
        </w:rPr>
        <w:t xml:space="preserve">: </w:t>
      </w:r>
      <w:r w:rsidR="00E94A7E" w:rsidRPr="008B5970">
        <w:t xml:space="preserve">This should be amended to align the scope of reporting with Solvency II IGS reporting </w:t>
      </w:r>
      <w:r w:rsidR="00C60189" w:rsidRPr="008B5970">
        <w:t>to avoid undue burden and remove the need for a new d</w:t>
      </w:r>
      <w:r w:rsidRPr="008B5970">
        <w:t>efinition of “legal entities”</w:t>
      </w:r>
      <w:r w:rsidR="00C60189" w:rsidRPr="008B5970">
        <w:t>.</w:t>
      </w:r>
      <w:r w:rsidRPr="008B5970">
        <w:rPr>
          <w:b/>
          <w:bCs/>
        </w:rPr>
        <w:t xml:space="preserve"> </w:t>
      </w:r>
    </w:p>
    <w:p w14:paraId="6E358C11" w14:textId="53E7D1A1" w:rsidR="00A107E7" w:rsidRPr="008B5970" w:rsidRDefault="00A107E7" w:rsidP="008B5970">
      <w:pPr>
        <w:pStyle w:val="Odsekzoznamu"/>
        <w:numPr>
          <w:ilvl w:val="0"/>
          <w:numId w:val="6"/>
        </w:numPr>
        <w:ind w:left="714" w:hanging="357"/>
        <w:contextualSpacing w:val="0"/>
        <w:jc w:val="both"/>
      </w:pPr>
      <w:r w:rsidRPr="008B5970">
        <w:rPr>
          <w:b/>
          <w:bCs/>
        </w:rPr>
        <w:t>Article 4</w:t>
      </w:r>
      <w:r w:rsidR="001E0E4D" w:rsidRPr="008B5970">
        <w:rPr>
          <w:b/>
          <w:bCs/>
        </w:rPr>
        <w:t xml:space="preserve">: </w:t>
      </w:r>
      <w:r w:rsidRPr="008B5970">
        <w:t xml:space="preserve">For a recovery plan at group level, it is not appropriate to require indicators (triggers) at the level of individual subsidiary undertakings, and this requirement should be deleted. If an indicator is triggered at subsidiary level and this is material for the group, it will automatically result in a trigger at group level. </w:t>
      </w:r>
      <w:r w:rsidR="00BD1557" w:rsidRPr="008B5970">
        <w:t>If</w:t>
      </w:r>
      <w:r w:rsidRPr="008B5970">
        <w:t xml:space="preserve"> both a group and (an) entity level plan(s) are required, the group plan should not be required to include the triggers at the level of the individual subsidiary undertakings. </w:t>
      </w:r>
    </w:p>
    <w:p w14:paraId="174B582D" w14:textId="1447AC45" w:rsidR="00A107E7" w:rsidRPr="008B5970" w:rsidRDefault="00C115E3" w:rsidP="008B5970">
      <w:pPr>
        <w:pStyle w:val="Odsekzoznamu"/>
        <w:numPr>
          <w:ilvl w:val="0"/>
          <w:numId w:val="6"/>
        </w:numPr>
        <w:ind w:left="714" w:hanging="357"/>
        <w:contextualSpacing w:val="0"/>
        <w:jc w:val="both"/>
      </w:pPr>
      <w:r w:rsidRPr="008B5970">
        <w:rPr>
          <w:b/>
          <w:bCs/>
        </w:rPr>
        <w:t xml:space="preserve">Article 4(2) and 4(3): </w:t>
      </w:r>
      <w:r w:rsidRPr="008B5970">
        <w:t>These should be deleted to avoid overlap / dupli</w:t>
      </w:r>
      <w:r w:rsidR="00772704" w:rsidRPr="008B5970">
        <w:t xml:space="preserve">cation of the upcoming guidelines on indicators. </w:t>
      </w:r>
      <w:r w:rsidR="00A107E7" w:rsidRPr="008B5970">
        <w:t xml:space="preserve">If these are retained, a detailed description of the consistency of the indicators with the general risk management framework of the undertaking/group </w:t>
      </w:r>
      <w:r w:rsidR="00772704" w:rsidRPr="008B5970">
        <w:t xml:space="preserve">is </w:t>
      </w:r>
      <w:r w:rsidR="00A107E7" w:rsidRPr="008B5970">
        <w:t xml:space="preserve">unnecessary. A brief description (if any) would suffice. </w:t>
      </w:r>
      <w:r w:rsidR="00772704" w:rsidRPr="008B5970">
        <w:t>T</w:t>
      </w:r>
      <w:r w:rsidR="00A107E7" w:rsidRPr="008B5970">
        <w:t xml:space="preserve">he rationale for choosing specific indicators and triggers may also be unnecessary. In most cases, the rationale would be evident. The NSAs </w:t>
      </w:r>
      <w:r w:rsidR="00FA1FB9" w:rsidRPr="008B5970">
        <w:t xml:space="preserve">can </w:t>
      </w:r>
      <w:r w:rsidR="00A107E7" w:rsidRPr="008B5970">
        <w:t>request explanations where needed and challenge the indicators and triggers identified in the plan.</w:t>
      </w:r>
    </w:p>
    <w:p w14:paraId="1736490C" w14:textId="7FB5E6E9" w:rsidR="00A107E7" w:rsidRPr="008B5970" w:rsidRDefault="00F73F3D" w:rsidP="008B5970">
      <w:pPr>
        <w:pStyle w:val="Odsekzoznamu"/>
        <w:numPr>
          <w:ilvl w:val="0"/>
          <w:numId w:val="6"/>
        </w:numPr>
        <w:ind w:left="714" w:hanging="357"/>
        <w:contextualSpacing w:val="0"/>
        <w:jc w:val="both"/>
        <w:rPr>
          <w:b/>
          <w:bCs/>
        </w:rPr>
      </w:pPr>
      <w:r w:rsidRPr="008B5970">
        <w:rPr>
          <w:b/>
          <w:bCs/>
        </w:rPr>
        <w:t xml:space="preserve">Article 5(a): </w:t>
      </w:r>
      <w:r w:rsidR="00A107E7" w:rsidRPr="008B5970">
        <w:t>The description of how the plan was drawn up should be simpler, confirming administrative, management or supervisory body (AMSB) approval and the involvement of other relevant functions. There is no need for information about the role and persons responsible for preparing, implementing and updating each section of the plan as well as overall responsibility for the plan.</w:t>
      </w:r>
      <w:r w:rsidR="00B82F62" w:rsidRPr="008B5970">
        <w:t xml:space="preserve"> </w:t>
      </w:r>
      <w:r w:rsidR="00A107E7" w:rsidRPr="008B5970">
        <w:t xml:space="preserve">The reference to external auditors should be removed, since external auditing of plans is not foreseen in Directive (EU) 2025/1. </w:t>
      </w:r>
    </w:p>
    <w:p w14:paraId="189D09C8" w14:textId="176AF76C" w:rsidR="00A107E7" w:rsidRPr="008B5970" w:rsidRDefault="00A107E7" w:rsidP="008B5970">
      <w:pPr>
        <w:pStyle w:val="Odsekzoznamu"/>
        <w:numPr>
          <w:ilvl w:val="0"/>
          <w:numId w:val="6"/>
        </w:numPr>
        <w:ind w:left="714" w:hanging="357"/>
        <w:contextualSpacing w:val="0"/>
        <w:jc w:val="both"/>
        <w:rPr>
          <w:b/>
          <w:bCs/>
        </w:rPr>
      </w:pPr>
      <w:r w:rsidRPr="008B5970">
        <w:rPr>
          <w:b/>
          <w:bCs/>
        </w:rPr>
        <w:t>Article 5(1)(c)(i)</w:t>
      </w:r>
      <w:r w:rsidR="00B6192E" w:rsidRPr="008B5970">
        <w:rPr>
          <w:b/>
          <w:bCs/>
        </w:rPr>
        <w:t>:</w:t>
      </w:r>
      <w:r w:rsidRPr="008B5970">
        <w:rPr>
          <w:b/>
          <w:bCs/>
        </w:rPr>
        <w:t xml:space="preserve"> </w:t>
      </w:r>
      <w:r w:rsidR="00B6192E" w:rsidRPr="008B5970">
        <w:t>T</w:t>
      </w:r>
      <w:r w:rsidRPr="008B5970">
        <w:t xml:space="preserve">he pre-emptive recovery plan </w:t>
      </w:r>
      <w:r w:rsidR="00B6192E" w:rsidRPr="008B5970">
        <w:t xml:space="preserve">is required to be updated </w:t>
      </w:r>
      <w:r w:rsidRPr="008B5970">
        <w:t xml:space="preserve">at least every 2 years. </w:t>
      </w:r>
      <w:r w:rsidR="00B6192E" w:rsidRPr="008B5970">
        <w:t xml:space="preserve">It should be specified that </w:t>
      </w:r>
      <w:r w:rsidRPr="008B5970">
        <w:t xml:space="preserve">a shorter interval should only be </w:t>
      </w:r>
      <w:r w:rsidR="00B6192E" w:rsidRPr="008B5970">
        <w:t xml:space="preserve">required </w:t>
      </w:r>
      <w:r w:rsidRPr="008B5970">
        <w:t>in exceptional cases.</w:t>
      </w:r>
      <w:r w:rsidRPr="008B5970">
        <w:rPr>
          <w:b/>
          <w:bCs/>
        </w:rPr>
        <w:t xml:space="preserve"> </w:t>
      </w:r>
    </w:p>
    <w:p w14:paraId="4017D6F2" w14:textId="007C605F" w:rsidR="00A107E7" w:rsidRPr="008B5970" w:rsidRDefault="002216AA" w:rsidP="008B5970">
      <w:pPr>
        <w:pStyle w:val="Odsekzoznamu"/>
        <w:numPr>
          <w:ilvl w:val="0"/>
          <w:numId w:val="6"/>
        </w:numPr>
        <w:ind w:left="714" w:hanging="357"/>
        <w:contextualSpacing w:val="0"/>
        <w:jc w:val="both"/>
      </w:pPr>
      <w:r w:rsidRPr="008B5970">
        <w:rPr>
          <w:b/>
          <w:bCs/>
        </w:rPr>
        <w:t xml:space="preserve">Article 6(3)(c) and (d): </w:t>
      </w:r>
      <w:r w:rsidRPr="008B5970">
        <w:t>While there is a need for a high-level assessment of credibility, feasibility, and effectiveness—consistent with sound risk management —the level of detail required in Article 6(3)(c) and (d) is too extensive, and the sub-items under these paragraphs should be deleted</w:t>
      </w:r>
      <w:r w:rsidR="00097954" w:rsidRPr="008B5970">
        <w:t>.</w:t>
      </w:r>
    </w:p>
    <w:p w14:paraId="6D9DEB56" w14:textId="3E3E848E" w:rsidR="00A107E7" w:rsidRPr="008B5970" w:rsidRDefault="00097954" w:rsidP="008B5970">
      <w:pPr>
        <w:pStyle w:val="Odsekzoznamu"/>
        <w:numPr>
          <w:ilvl w:val="0"/>
          <w:numId w:val="6"/>
        </w:numPr>
        <w:ind w:left="714" w:hanging="357"/>
        <w:contextualSpacing w:val="0"/>
        <w:jc w:val="both"/>
        <w:rPr>
          <w:b/>
          <w:bCs/>
        </w:rPr>
      </w:pPr>
      <w:r w:rsidRPr="008B5970">
        <w:rPr>
          <w:b/>
          <w:bCs/>
        </w:rPr>
        <w:t xml:space="preserve">Article 6(3)(c)(ii): </w:t>
      </w:r>
      <w:r w:rsidRPr="008B5970">
        <w:t xml:space="preserve">As in Article 3.1 </w:t>
      </w:r>
      <w:r w:rsidR="00A107E7" w:rsidRPr="008B5970">
        <w:t xml:space="preserve">(see </w:t>
      </w:r>
      <w:r w:rsidRPr="008B5970">
        <w:t>above</w:t>
      </w:r>
      <w:r w:rsidR="00A107E7" w:rsidRPr="008B5970">
        <w:t xml:space="preserve">), critical functions should </w:t>
      </w:r>
      <w:r w:rsidRPr="008B5970">
        <w:t xml:space="preserve">not </w:t>
      </w:r>
      <w:r w:rsidR="00A107E7" w:rsidRPr="008B5970">
        <w:t>be addressed in the recovery plan</w:t>
      </w:r>
      <w:r w:rsidRPr="008B5970">
        <w:t xml:space="preserve"> and </w:t>
      </w:r>
      <w:r w:rsidR="00A107E7" w:rsidRPr="008B5970">
        <w:t xml:space="preserve">the reference to </w:t>
      </w:r>
      <w:r w:rsidRPr="008B5970">
        <w:t xml:space="preserve">them here </w:t>
      </w:r>
      <w:r w:rsidR="00A107E7" w:rsidRPr="008B5970">
        <w:t>should be deleted.</w:t>
      </w:r>
    </w:p>
    <w:p w14:paraId="280B384A" w14:textId="1433081C" w:rsidR="00A107E7" w:rsidRPr="008B5970" w:rsidRDefault="00D52561" w:rsidP="008B5970">
      <w:pPr>
        <w:pStyle w:val="Odsekzoznamu"/>
        <w:numPr>
          <w:ilvl w:val="0"/>
          <w:numId w:val="6"/>
        </w:numPr>
        <w:ind w:left="714" w:hanging="357"/>
        <w:contextualSpacing w:val="0"/>
        <w:jc w:val="both"/>
      </w:pPr>
      <w:r w:rsidRPr="008B5970">
        <w:rPr>
          <w:b/>
          <w:bCs/>
        </w:rPr>
        <w:t xml:space="preserve">Article 7: </w:t>
      </w:r>
      <w:r w:rsidR="00A107E7" w:rsidRPr="008B5970">
        <w:t xml:space="preserve">The text of this Article should emphasise that the plan should not be so specific or tailored as to impede its </w:t>
      </w:r>
      <w:r w:rsidRPr="008B5970">
        <w:t xml:space="preserve">use </w:t>
      </w:r>
      <w:r w:rsidR="00A107E7" w:rsidRPr="008B5970">
        <w:t xml:space="preserve">for all potential recovery situations and action </w:t>
      </w:r>
      <w:r w:rsidR="00A107E7" w:rsidRPr="008B5970">
        <w:lastRenderedPageBreak/>
        <w:t>combinations. The requirements regarding differentiation by scenarios go beyond what is required under Article 5(6) of the IRRD</w:t>
      </w:r>
      <w:r w:rsidRPr="008B5970">
        <w:t xml:space="preserve"> and should be removed</w:t>
      </w:r>
      <w:r w:rsidR="00A107E7" w:rsidRPr="008B5970">
        <w:t>.</w:t>
      </w:r>
    </w:p>
    <w:p w14:paraId="5E568194" w14:textId="51D3373D" w:rsidR="002A210F" w:rsidRPr="008B5970" w:rsidRDefault="006B57B9" w:rsidP="008B5970">
      <w:pPr>
        <w:pStyle w:val="Odsekzoznamu"/>
        <w:numPr>
          <w:ilvl w:val="0"/>
          <w:numId w:val="6"/>
        </w:numPr>
        <w:ind w:left="714" w:hanging="357"/>
        <w:contextualSpacing w:val="0"/>
        <w:jc w:val="both"/>
      </w:pPr>
      <w:r w:rsidRPr="008B5970">
        <w:rPr>
          <w:b/>
          <w:bCs/>
        </w:rPr>
        <w:t xml:space="preserve">Article 8: </w:t>
      </w:r>
      <w:r w:rsidR="00A107E7" w:rsidRPr="008B5970">
        <w:t>Any recovery plan submitted in the past in accordance with Article 138(2) of Solvency II should be properly recorded at the NSA. Therefore, there is no need to replicate it here.</w:t>
      </w:r>
    </w:p>
    <w:p w14:paraId="3DD15035" w14:textId="2A6CFC66" w:rsidR="004B1074" w:rsidRDefault="004B1074" w:rsidP="004B1074">
      <w:pPr>
        <w:jc w:val="both"/>
        <w:rPr>
          <w:b/>
          <w:bCs/>
        </w:rPr>
      </w:pPr>
      <w:r w:rsidRPr="004B1074">
        <w:rPr>
          <w:b/>
          <w:bCs/>
        </w:rPr>
        <w:t>RTS on</w:t>
      </w:r>
      <w:r w:rsidR="009571B3">
        <w:rPr>
          <w:b/>
          <w:bCs/>
        </w:rPr>
        <w:t xml:space="preserve"> </w:t>
      </w:r>
      <w:r w:rsidRPr="004B1074">
        <w:rPr>
          <w:b/>
          <w:bCs/>
        </w:rPr>
        <w:t>criteria for pre-emptive recovery planning requirements and</w:t>
      </w:r>
      <w:r>
        <w:rPr>
          <w:b/>
          <w:bCs/>
        </w:rPr>
        <w:t xml:space="preserve"> </w:t>
      </w:r>
      <w:r w:rsidRPr="004B1074">
        <w:rPr>
          <w:b/>
          <w:bCs/>
        </w:rPr>
        <w:t xml:space="preserve">methods to be used when determining the market shares </w:t>
      </w:r>
    </w:p>
    <w:p w14:paraId="2198971F" w14:textId="3208B6FF" w:rsidR="009571B3" w:rsidRPr="00512471" w:rsidRDefault="009571B3" w:rsidP="00E22814">
      <w:pPr>
        <w:pStyle w:val="Odsekzoznamu"/>
        <w:numPr>
          <w:ilvl w:val="0"/>
          <w:numId w:val="18"/>
        </w:numPr>
        <w:ind w:left="714" w:hanging="357"/>
        <w:contextualSpacing w:val="0"/>
        <w:jc w:val="both"/>
      </w:pPr>
      <w:r w:rsidRPr="00E22814">
        <w:rPr>
          <w:b/>
          <w:bCs/>
        </w:rPr>
        <w:t xml:space="preserve">Recital 2: </w:t>
      </w:r>
      <w:r w:rsidR="00512471" w:rsidRPr="00512471">
        <w:t>Certainty</w:t>
      </w:r>
      <w:r w:rsidRPr="00512471">
        <w:t xml:space="preserve"> around use of the “total assets” metric </w:t>
      </w:r>
      <w:r w:rsidR="00512471" w:rsidRPr="00512471">
        <w:t xml:space="preserve">should be increased </w:t>
      </w:r>
      <w:r w:rsidRPr="00512471">
        <w:t>by removing the words “for example”.</w:t>
      </w:r>
    </w:p>
    <w:p w14:paraId="75EA38AE" w14:textId="74747F29" w:rsidR="009571B3" w:rsidRPr="00E22814" w:rsidRDefault="009571B3" w:rsidP="00E22814">
      <w:pPr>
        <w:pStyle w:val="Odsekzoznamu"/>
        <w:numPr>
          <w:ilvl w:val="0"/>
          <w:numId w:val="18"/>
        </w:numPr>
        <w:ind w:left="714" w:hanging="357"/>
        <w:contextualSpacing w:val="0"/>
        <w:jc w:val="both"/>
        <w:rPr>
          <w:b/>
          <w:bCs/>
        </w:rPr>
      </w:pPr>
      <w:r w:rsidRPr="00E22814">
        <w:rPr>
          <w:b/>
          <w:bCs/>
        </w:rPr>
        <w:t>Recital 3</w:t>
      </w:r>
      <w:r w:rsidR="00E22814" w:rsidRPr="00E22814">
        <w:rPr>
          <w:b/>
          <w:bCs/>
        </w:rPr>
        <w:t xml:space="preserve">: </w:t>
      </w:r>
      <w:r w:rsidR="00E22814" w:rsidRPr="00E22814">
        <w:t xml:space="preserve">This </w:t>
      </w:r>
      <w:r w:rsidRPr="00E22814">
        <w:t>should clarify that when an NSA does not subject a subsidiary to recovery planning because it takes into account the group recovery plan drawn up by the ultimate parent undertaking in a third country, as regulated in Article 7(8) IRRD, the subsidiary should count towards the market coverage target. Article 5(2), 3rd subparagraph IRRD does not make a distinction between European Union (EU) and third county group plans. Recital 3 should further clarify that in the calculation of the market share of at least 60%, subsidiaries based in a different Member State covered by group pre-emptive recovery plans shall be regularly considered in the market coverage of the different Member State.</w:t>
      </w:r>
    </w:p>
    <w:p w14:paraId="358D62CC" w14:textId="496B34DC" w:rsidR="009571B3" w:rsidRPr="00512471" w:rsidRDefault="00512471" w:rsidP="00E22814">
      <w:pPr>
        <w:pStyle w:val="Odsekzoznamu"/>
        <w:numPr>
          <w:ilvl w:val="0"/>
          <w:numId w:val="18"/>
        </w:numPr>
        <w:ind w:left="714" w:hanging="357"/>
        <w:contextualSpacing w:val="0"/>
        <w:jc w:val="both"/>
      </w:pPr>
      <w:r w:rsidRPr="00E22814">
        <w:rPr>
          <w:b/>
          <w:bCs/>
        </w:rPr>
        <w:t xml:space="preserve">Overall: </w:t>
      </w:r>
      <w:r w:rsidRPr="00512471">
        <w:t>T</w:t>
      </w:r>
      <w:r w:rsidR="009571B3" w:rsidRPr="00512471">
        <w:t xml:space="preserve">he following recital </w:t>
      </w:r>
      <w:r w:rsidRPr="00512471">
        <w:t xml:space="preserve">should be added </w:t>
      </w:r>
      <w:r w:rsidR="009571B3" w:rsidRPr="00512471">
        <w:t>to acknowledge the specificities of the reinsurance business model based on the diversification of cross-border geographies and business lines:</w:t>
      </w:r>
    </w:p>
    <w:p w14:paraId="0C14020E" w14:textId="77777777" w:rsidR="009571B3" w:rsidRPr="00512471" w:rsidRDefault="009571B3" w:rsidP="00512471">
      <w:pPr>
        <w:ind w:left="1134"/>
        <w:jc w:val="both"/>
      </w:pPr>
      <w:r w:rsidRPr="00512471">
        <w:t>“When assessing the implications of cross-border activities for reinsurance undertakings, national competent authorities should give due consideration to the fact that the reinsurance business model is inherently cross-border. The diversification of risks achieved through such cross-border operations is a fundamental component of the reinsurance value proposition, enhancing both its efficiency and resilience. In this context, the relative importance of the cross-border activity criterion for reinsurance undertakings should not be overstated or misunderstood as an indicator of heightened risk.”</w:t>
      </w:r>
    </w:p>
    <w:p w14:paraId="37EEBDBA" w14:textId="7B81AA32" w:rsidR="009571B3" w:rsidRPr="008B30EE" w:rsidRDefault="008B30EE" w:rsidP="008B30EE">
      <w:pPr>
        <w:pStyle w:val="Odsekzoznamu"/>
        <w:numPr>
          <w:ilvl w:val="0"/>
          <w:numId w:val="19"/>
        </w:numPr>
        <w:jc w:val="both"/>
        <w:rPr>
          <w:b/>
          <w:bCs/>
        </w:rPr>
      </w:pPr>
      <w:r w:rsidRPr="008B30EE">
        <w:rPr>
          <w:b/>
          <w:bCs/>
        </w:rPr>
        <w:t>Article 1:</w:t>
      </w:r>
      <w:r w:rsidR="009571B3" w:rsidRPr="008B30EE">
        <w:rPr>
          <w:b/>
          <w:bCs/>
        </w:rPr>
        <w:t xml:space="preserve"> </w:t>
      </w:r>
      <w:r w:rsidRPr="008B30EE">
        <w:t>T</w:t>
      </w:r>
      <w:r w:rsidR="009571B3" w:rsidRPr="008B30EE">
        <w:t>he size criterion should be scoped to include the Gross Written Premiums (GWP) and technical provisions related to activities pursued within the EEA. This clarification is requested to avoid overstating the EEA impact of international re/insurer whose technical provisions or GWP include a large share of non-EEA activities.</w:t>
      </w:r>
      <w:r w:rsidRPr="008B30EE">
        <w:t xml:space="preserve"> Paragraph 1 should be amended to:</w:t>
      </w:r>
    </w:p>
    <w:p w14:paraId="5CF15525" w14:textId="670509BB" w:rsidR="009571B3" w:rsidRPr="008B30EE" w:rsidRDefault="008B30EE" w:rsidP="008B30EE">
      <w:pPr>
        <w:ind w:left="1134"/>
        <w:jc w:val="both"/>
      </w:pPr>
      <w:r w:rsidRPr="008B30EE">
        <w:t>“</w:t>
      </w:r>
      <w:r w:rsidR="009571B3" w:rsidRPr="008B30EE">
        <w:t>The amount of gross technical provisions and gross written premiums, as the case may be, shall be determined in relation to the activity pursued in the Member State in which the insurance or reinsurance undertaking is established.”</w:t>
      </w:r>
    </w:p>
    <w:p w14:paraId="3FAA1FAB" w14:textId="3819468A" w:rsidR="009571B3" w:rsidRPr="00F404C9" w:rsidRDefault="00F404C9" w:rsidP="00B60791">
      <w:pPr>
        <w:pStyle w:val="Odsekzoznamu"/>
        <w:numPr>
          <w:ilvl w:val="0"/>
          <w:numId w:val="19"/>
        </w:numPr>
        <w:ind w:left="714" w:hanging="357"/>
        <w:contextualSpacing w:val="0"/>
        <w:jc w:val="both"/>
      </w:pPr>
      <w:r w:rsidRPr="00B60791">
        <w:rPr>
          <w:b/>
          <w:bCs/>
        </w:rPr>
        <w:t xml:space="preserve">Article 3(3): </w:t>
      </w:r>
      <w:r w:rsidRPr="00F404C9">
        <w:t>T</w:t>
      </w:r>
      <w:r w:rsidR="009571B3" w:rsidRPr="00F404C9">
        <w:t xml:space="preserve">he assessment of the risk profile in accordance with Article 3(2) refers primarily to the Solvency Capital Requirement (SCR) assessment, while Article 3(3) refers to the ORSA. This means that far-reaching interpretations are possible for authorities, and this wording </w:t>
      </w:r>
      <w:r w:rsidRPr="00F404C9">
        <w:t xml:space="preserve">should be </w:t>
      </w:r>
      <w:r w:rsidR="009571B3" w:rsidRPr="00F404C9">
        <w:t>modified.</w:t>
      </w:r>
    </w:p>
    <w:p w14:paraId="6468FD1B" w14:textId="64824274" w:rsidR="009571B3" w:rsidRPr="0080580B" w:rsidRDefault="009571B3" w:rsidP="00B60791">
      <w:pPr>
        <w:pStyle w:val="Odsekzoznamu"/>
        <w:numPr>
          <w:ilvl w:val="0"/>
          <w:numId w:val="19"/>
        </w:numPr>
        <w:ind w:left="714" w:hanging="357"/>
        <w:contextualSpacing w:val="0"/>
        <w:jc w:val="both"/>
      </w:pPr>
      <w:r w:rsidRPr="00B60791">
        <w:rPr>
          <w:b/>
          <w:bCs/>
        </w:rPr>
        <w:t>Article 4(3)</w:t>
      </w:r>
      <w:r w:rsidR="00AB5939" w:rsidRPr="00B60791">
        <w:rPr>
          <w:b/>
          <w:bCs/>
        </w:rPr>
        <w:t xml:space="preserve">: </w:t>
      </w:r>
      <w:r w:rsidR="00AB5939" w:rsidRPr="0080580B">
        <w:t xml:space="preserve">This should be reworded to remove the implication </w:t>
      </w:r>
      <w:r w:rsidRPr="0080580B">
        <w:t xml:space="preserve">that diversification could be considered risky, e.g. through having a high number of counterparties. This contradicts </w:t>
      </w:r>
      <w:r w:rsidRPr="0080580B">
        <w:lastRenderedPageBreak/>
        <w:t xml:space="preserve">the concentration risk assessment in Article 6. </w:t>
      </w:r>
      <w:r w:rsidR="00AB5939" w:rsidRPr="0080580B">
        <w:t xml:space="preserve">We do not </w:t>
      </w:r>
      <w:r w:rsidRPr="0080580B">
        <w:t>view diversification as increasing risk.</w:t>
      </w:r>
    </w:p>
    <w:p w14:paraId="2AC2E9EC" w14:textId="2788D73B" w:rsidR="009571B3" w:rsidRPr="00A86722" w:rsidRDefault="00A86722" w:rsidP="00B60791">
      <w:pPr>
        <w:pStyle w:val="Odsekzoznamu"/>
        <w:numPr>
          <w:ilvl w:val="0"/>
          <w:numId w:val="19"/>
        </w:numPr>
        <w:ind w:left="714" w:hanging="357"/>
        <w:contextualSpacing w:val="0"/>
        <w:jc w:val="both"/>
      </w:pPr>
      <w:r w:rsidRPr="00B60791">
        <w:rPr>
          <w:b/>
          <w:bCs/>
        </w:rPr>
        <w:t xml:space="preserve">Article 4: </w:t>
      </w:r>
      <w:r w:rsidR="009571B3" w:rsidRPr="00A86722">
        <w:t>The RTS refers to insurance undertakings interconnectedness within a Group. However, the financial strength of the parent company is not mentioned as a criterion to assess the risk of the intra-group exposure. This should be considered</w:t>
      </w:r>
      <w:r w:rsidRPr="00A86722">
        <w:t xml:space="preserve"> here.</w:t>
      </w:r>
    </w:p>
    <w:p w14:paraId="7351EB69" w14:textId="4C6D0D4C" w:rsidR="009571B3" w:rsidRPr="00AA026A" w:rsidRDefault="00AA026A" w:rsidP="00B60791">
      <w:pPr>
        <w:pStyle w:val="Odsekzoznamu"/>
        <w:numPr>
          <w:ilvl w:val="0"/>
          <w:numId w:val="19"/>
        </w:numPr>
        <w:ind w:left="714" w:hanging="357"/>
        <w:contextualSpacing w:val="0"/>
        <w:jc w:val="both"/>
      </w:pPr>
      <w:r w:rsidRPr="00B60791">
        <w:rPr>
          <w:b/>
          <w:bCs/>
        </w:rPr>
        <w:t xml:space="preserve">Article 5(1) and 5(4): </w:t>
      </w:r>
      <w:r w:rsidRPr="00AA026A">
        <w:t>These should be amended to remove the</w:t>
      </w:r>
      <w:r w:rsidR="009571B3" w:rsidRPr="00AA026A">
        <w:t xml:space="preserve"> inconsistency between Article 5(1), which refers to products or policies, </w:t>
      </w:r>
      <w:r w:rsidRPr="00AA026A">
        <w:t xml:space="preserve">and </w:t>
      </w:r>
      <w:r w:rsidR="009571B3" w:rsidRPr="00AA026A">
        <w:t>Article 5(4)</w:t>
      </w:r>
      <w:r w:rsidRPr="00AA026A">
        <w:t>, which</w:t>
      </w:r>
      <w:r w:rsidR="009571B3" w:rsidRPr="00AA026A">
        <w:t xml:space="preserve"> refers to activities.</w:t>
      </w:r>
    </w:p>
    <w:p w14:paraId="28C0FEA7" w14:textId="4858CAA1" w:rsidR="009571B3" w:rsidRPr="00B60791" w:rsidRDefault="009571B3" w:rsidP="00B60791">
      <w:pPr>
        <w:pStyle w:val="Odsekzoznamu"/>
        <w:numPr>
          <w:ilvl w:val="0"/>
          <w:numId w:val="19"/>
        </w:numPr>
        <w:ind w:left="714" w:hanging="357"/>
        <w:contextualSpacing w:val="0"/>
        <w:jc w:val="both"/>
        <w:rPr>
          <w:b/>
          <w:bCs/>
        </w:rPr>
      </w:pPr>
      <w:r w:rsidRPr="00B60791">
        <w:rPr>
          <w:b/>
          <w:bCs/>
        </w:rPr>
        <w:t>Article 5(3)</w:t>
      </w:r>
      <w:r w:rsidR="00AA026A" w:rsidRPr="00B60791">
        <w:rPr>
          <w:b/>
          <w:bCs/>
        </w:rPr>
        <w:t xml:space="preserve">: </w:t>
      </w:r>
      <w:r w:rsidR="00AA026A" w:rsidRPr="00AA026A">
        <w:t>This should</w:t>
      </w:r>
      <w:r w:rsidRPr="00AA026A">
        <w:t xml:space="preserve"> provide a clear safeguard against small and non-complex undertakings being subject to pre-emptive recovery planning requirements.</w:t>
      </w:r>
    </w:p>
    <w:p w14:paraId="0FB24EA2" w14:textId="2C8AC6DB" w:rsidR="009571B3" w:rsidRPr="00B60791" w:rsidRDefault="009571B3" w:rsidP="00B60791">
      <w:pPr>
        <w:pStyle w:val="Odsekzoznamu"/>
        <w:numPr>
          <w:ilvl w:val="0"/>
          <w:numId w:val="19"/>
        </w:numPr>
        <w:ind w:left="714" w:hanging="357"/>
        <w:contextualSpacing w:val="0"/>
        <w:jc w:val="both"/>
        <w:rPr>
          <w:b/>
          <w:bCs/>
        </w:rPr>
      </w:pPr>
      <w:r w:rsidRPr="00B60791">
        <w:rPr>
          <w:b/>
          <w:bCs/>
        </w:rPr>
        <w:t>Article 7(1)</w:t>
      </w:r>
      <w:r w:rsidR="00AD6A86" w:rsidRPr="00B60791">
        <w:rPr>
          <w:b/>
          <w:bCs/>
        </w:rPr>
        <w:t>:</w:t>
      </w:r>
      <w:r w:rsidR="00893847" w:rsidRPr="00B60791">
        <w:rPr>
          <w:b/>
          <w:bCs/>
        </w:rPr>
        <w:t xml:space="preserve"> </w:t>
      </w:r>
      <w:r w:rsidR="00893847" w:rsidRPr="00F404C9">
        <w:t>This</w:t>
      </w:r>
      <w:r w:rsidRPr="00F404C9">
        <w:t xml:space="preserve"> should be amended to remove the words “as well as by the subsidiary undertaking” noting that the freedom of establishment and the freedom to provide services are considered as cross-border business for the purpose of this RTS. This means that business written by subsidiaries of an insurance group is not cross-border business.</w:t>
      </w:r>
    </w:p>
    <w:p w14:paraId="0A1888C9" w14:textId="61312CF5" w:rsidR="009571B3" w:rsidRPr="00AA026A" w:rsidRDefault="009571B3" w:rsidP="00B60791">
      <w:pPr>
        <w:pStyle w:val="Odsekzoznamu"/>
        <w:numPr>
          <w:ilvl w:val="0"/>
          <w:numId w:val="19"/>
        </w:numPr>
        <w:ind w:left="714" w:hanging="357"/>
        <w:contextualSpacing w:val="0"/>
        <w:jc w:val="both"/>
      </w:pPr>
      <w:r w:rsidRPr="00B60791">
        <w:rPr>
          <w:b/>
          <w:bCs/>
        </w:rPr>
        <w:t>Article 7(2)</w:t>
      </w:r>
      <w:r w:rsidR="00893847" w:rsidRPr="00B60791">
        <w:rPr>
          <w:b/>
          <w:bCs/>
        </w:rPr>
        <w:t xml:space="preserve">: </w:t>
      </w:r>
      <w:r w:rsidR="00893847" w:rsidRPr="0080580B">
        <w:t>This should be reworded to remove the implication that</w:t>
      </w:r>
      <w:r w:rsidRPr="0080580B">
        <w:t xml:space="preserve"> diversification could be considered risky, e.g. through having business in multiple countries. This contradicts the concentration risk assessment in Article 6. </w:t>
      </w:r>
      <w:r w:rsidR="0080580B" w:rsidRPr="0080580B">
        <w:t>We do not view diversification as increasing risk.</w:t>
      </w:r>
    </w:p>
    <w:p w14:paraId="311B69B4" w14:textId="5487AFF7" w:rsidR="009571B3" w:rsidRPr="00B60791" w:rsidRDefault="009571B3" w:rsidP="00B60791">
      <w:pPr>
        <w:pStyle w:val="Odsekzoznamu"/>
        <w:numPr>
          <w:ilvl w:val="0"/>
          <w:numId w:val="19"/>
        </w:numPr>
        <w:ind w:left="714" w:hanging="357"/>
        <w:contextualSpacing w:val="0"/>
        <w:jc w:val="both"/>
        <w:rPr>
          <w:b/>
          <w:bCs/>
        </w:rPr>
      </w:pPr>
      <w:r w:rsidRPr="00B60791">
        <w:rPr>
          <w:b/>
          <w:bCs/>
        </w:rPr>
        <w:t>Article 8</w:t>
      </w:r>
      <w:r w:rsidR="00974E6F" w:rsidRPr="00B60791">
        <w:rPr>
          <w:b/>
          <w:bCs/>
        </w:rPr>
        <w:t>:</w:t>
      </w:r>
      <w:r w:rsidR="00AD6A86" w:rsidRPr="00B60791">
        <w:rPr>
          <w:b/>
          <w:bCs/>
        </w:rPr>
        <w:t xml:space="preserve"> </w:t>
      </w:r>
      <w:r w:rsidRPr="00B60791">
        <w:rPr>
          <w:b/>
          <w:bCs/>
        </w:rPr>
        <w:t xml:space="preserve"> </w:t>
      </w:r>
      <w:r w:rsidR="00AD6A86" w:rsidRPr="00B60791">
        <w:rPr>
          <w:b/>
          <w:bCs/>
        </w:rPr>
        <w:t>S</w:t>
      </w:r>
      <w:r w:rsidR="00AD6A86" w:rsidRPr="00AD6A86">
        <w:t xml:space="preserve">afeguards should be introduced </w:t>
      </w:r>
      <w:r w:rsidRPr="00AD6A86">
        <w:t>against an NSA being excessively conservative in their assessments. Under the proposed text it is conceivable that an NSA puts all undertakings in scope for recovery planning, based on several of the above criteria.</w:t>
      </w:r>
    </w:p>
    <w:p w14:paraId="052FEE84" w14:textId="0450C645" w:rsidR="009571B3" w:rsidRPr="00974E6F" w:rsidRDefault="00974E6F" w:rsidP="00B60791">
      <w:pPr>
        <w:pStyle w:val="Odsekzoznamu"/>
        <w:numPr>
          <w:ilvl w:val="0"/>
          <w:numId w:val="19"/>
        </w:numPr>
        <w:ind w:left="714" w:hanging="357"/>
        <w:contextualSpacing w:val="0"/>
        <w:jc w:val="both"/>
      </w:pPr>
      <w:r w:rsidRPr="00B60791">
        <w:rPr>
          <w:b/>
          <w:bCs/>
        </w:rPr>
        <w:t xml:space="preserve">Article 10: </w:t>
      </w:r>
      <w:r w:rsidR="009571B3" w:rsidRPr="00974E6F">
        <w:t>It should be clearly stated that when calculating the market share of at least 60%, subsidiaries covered by group pre-emptive recovery plans shall be taken into account in the specific market of the Member State.</w:t>
      </w:r>
    </w:p>
    <w:p w14:paraId="4F10DFCE" w14:textId="79FC6986" w:rsidR="009571B3" w:rsidRPr="00974E6F" w:rsidRDefault="00974E6F" w:rsidP="00B60791">
      <w:pPr>
        <w:pStyle w:val="Odsekzoznamu"/>
        <w:numPr>
          <w:ilvl w:val="0"/>
          <w:numId w:val="19"/>
        </w:numPr>
        <w:ind w:left="714" w:hanging="357"/>
        <w:contextualSpacing w:val="0"/>
        <w:jc w:val="both"/>
      </w:pPr>
      <w:r w:rsidRPr="00B60791">
        <w:rPr>
          <w:b/>
          <w:bCs/>
        </w:rPr>
        <w:t xml:space="preserve">Article 11: </w:t>
      </w:r>
      <w:r w:rsidR="009571B3" w:rsidRPr="00974E6F">
        <w:t>This article should be amended to make clear that subsidiaries shall be accounted for when the market share is calculated.</w:t>
      </w:r>
    </w:p>
    <w:p w14:paraId="47249BCD" w14:textId="77777777" w:rsidR="00974E6F" w:rsidRDefault="00974E6F" w:rsidP="004B1074">
      <w:pPr>
        <w:jc w:val="both"/>
        <w:rPr>
          <w:b/>
          <w:bCs/>
        </w:rPr>
      </w:pPr>
    </w:p>
    <w:p w14:paraId="1881B284" w14:textId="355CE0B0" w:rsidR="00213860" w:rsidRDefault="00213860" w:rsidP="004B1074">
      <w:pPr>
        <w:jc w:val="both"/>
        <w:rPr>
          <w:b/>
          <w:bCs/>
        </w:rPr>
      </w:pPr>
      <w:r>
        <w:rPr>
          <w:b/>
          <w:bCs/>
        </w:rPr>
        <w:t>Guidelines on criteria for the identification of critical functions</w:t>
      </w:r>
    </w:p>
    <w:p w14:paraId="6CC43A6E" w14:textId="3B4B0FFE" w:rsidR="00213860" w:rsidRPr="00537FD7" w:rsidRDefault="002C289D" w:rsidP="00907826">
      <w:pPr>
        <w:pStyle w:val="Odsekzoznamu"/>
        <w:numPr>
          <w:ilvl w:val="0"/>
          <w:numId w:val="7"/>
        </w:numPr>
        <w:jc w:val="both"/>
      </w:pPr>
      <w:r w:rsidRPr="00907826">
        <w:rPr>
          <w:b/>
          <w:bCs/>
        </w:rPr>
        <w:t xml:space="preserve">Introduction Para 1.3: </w:t>
      </w:r>
      <w:r w:rsidRPr="00907826">
        <w:t xml:space="preserve">The Financial Stability Board (FSB) 2023 paper Identification of Critical Functions of Insurers” does </w:t>
      </w:r>
      <w:r w:rsidR="00213860" w:rsidRPr="00537FD7">
        <w:t xml:space="preserve">not identify reinsurance as a critical function for insurers. In particular, section 3.2.6 of this paper specifies that none of the case studies evaluated assessed reinsurance as a critical function. </w:t>
      </w:r>
      <w:r w:rsidR="00537FD7" w:rsidRPr="00537FD7">
        <w:t>This paragraph should be</w:t>
      </w:r>
      <w:r w:rsidR="00213860" w:rsidRPr="00537FD7">
        <w:t xml:space="preserve"> reworded to reflect this.</w:t>
      </w:r>
    </w:p>
    <w:p w14:paraId="3F027570" w14:textId="3C2956B8" w:rsidR="00213860" w:rsidRPr="00C10DBF" w:rsidRDefault="008B5970" w:rsidP="00907826">
      <w:pPr>
        <w:pStyle w:val="Odsekzoznamu"/>
        <w:numPr>
          <w:ilvl w:val="0"/>
          <w:numId w:val="7"/>
        </w:numPr>
        <w:jc w:val="both"/>
      </w:pPr>
      <w:r w:rsidRPr="00907826">
        <w:rPr>
          <w:b/>
          <w:bCs/>
        </w:rPr>
        <w:t xml:space="preserve">Introduction: </w:t>
      </w:r>
      <w:r w:rsidRPr="00C10DBF">
        <w:t xml:space="preserve">Add </w:t>
      </w:r>
      <w:r w:rsidR="00213860" w:rsidRPr="00C10DBF">
        <w:t>the following paragraph to acknowledge the specificities of the reinsurance business model:</w:t>
      </w:r>
    </w:p>
    <w:p w14:paraId="5AD3F57F" w14:textId="65557D78" w:rsidR="00213860" w:rsidRPr="00C10DBF" w:rsidRDefault="00213860" w:rsidP="00C10DBF">
      <w:pPr>
        <w:ind w:left="1134"/>
        <w:jc w:val="both"/>
      </w:pPr>
      <w:r w:rsidRPr="00C10DBF">
        <w:t>“When assessing whether a reinsurance undertaking carries critical functions, the national competent authorities should give due consideration to the fact that reinsurance is a business-to-business activity between highly skilled reinsurance professionals, including reinsurance brokers. Consequently, the reinsurance activity has no direct implications for retail policyholders.</w:t>
      </w:r>
      <w:r w:rsidR="00C10DBF" w:rsidRPr="00C10DBF">
        <w:t xml:space="preserve"> </w:t>
      </w:r>
      <w:r w:rsidRPr="00C10DBF">
        <w:t xml:space="preserve">Furthermore, national competent authorities should give due consideration to the fact that the reinsurance business </w:t>
      </w:r>
      <w:r w:rsidRPr="00C10DBF">
        <w:lastRenderedPageBreak/>
        <w:t>model is inherently cross-border.</w:t>
      </w:r>
      <w:r w:rsidR="00C10DBF" w:rsidRPr="00C10DBF">
        <w:t xml:space="preserve"> </w:t>
      </w:r>
      <w:r w:rsidRPr="00C10DBF">
        <w:t>The diversification of risks achieved through such cross-border operations is a fundamental component of the reinsurance value proposition, enhancing both its efficiency and resilience. In this context, the cross-border activity of reinsurance undertakings should not be misunderstood as an indicator of heightened risk.”</w:t>
      </w:r>
    </w:p>
    <w:p w14:paraId="5A30F495" w14:textId="407F57CF" w:rsidR="00213860" w:rsidRPr="001D6750" w:rsidRDefault="00213860" w:rsidP="007C62BF">
      <w:pPr>
        <w:pStyle w:val="Odsekzoznamu"/>
        <w:numPr>
          <w:ilvl w:val="0"/>
          <w:numId w:val="10"/>
        </w:numPr>
        <w:ind w:left="714" w:hanging="357"/>
        <w:contextualSpacing w:val="0"/>
        <w:jc w:val="both"/>
      </w:pPr>
      <w:r w:rsidRPr="007C62BF">
        <w:rPr>
          <w:b/>
          <w:bCs/>
        </w:rPr>
        <w:t>Guideline 1</w:t>
      </w:r>
      <w:r w:rsidR="001D6750" w:rsidRPr="001D6750">
        <w:t>: This should relate more closely to the text of Article 2(25) of the Directive and respecting the principle of proportionality. It should be made clear in the Guideline that all the criteria stated in the Directive's definition must be met in order for a function to be considered critical. Resolution authorities should focus on the impact that a discontinuation of the function and inability to replace it would cause and if the function “cannot be substituted easily within a reasonable timeframe, or at a reasonable cost for policy holders”.</w:t>
      </w:r>
    </w:p>
    <w:p w14:paraId="275148AB" w14:textId="5FA6856F" w:rsidR="00213860" w:rsidRPr="00081045" w:rsidRDefault="00387AE8" w:rsidP="007C62BF">
      <w:pPr>
        <w:pStyle w:val="Odsekzoznamu"/>
        <w:numPr>
          <w:ilvl w:val="0"/>
          <w:numId w:val="10"/>
        </w:numPr>
        <w:ind w:left="714" w:hanging="357"/>
        <w:contextualSpacing w:val="0"/>
        <w:jc w:val="both"/>
      </w:pPr>
      <w:r w:rsidRPr="007C62BF">
        <w:rPr>
          <w:b/>
          <w:bCs/>
        </w:rPr>
        <w:t>Guideline 1:</w:t>
      </w:r>
      <w:r w:rsidRPr="001A6661">
        <w:t xml:space="preserve"> </w:t>
      </w:r>
      <w:r w:rsidR="00213860" w:rsidRPr="001A6661">
        <w:t>Para</w:t>
      </w:r>
      <w:r w:rsidRPr="001A6661">
        <w:t>graph</w:t>
      </w:r>
      <w:r w:rsidR="00213860" w:rsidRPr="001A6661">
        <w:t xml:space="preserve"> 1</w:t>
      </w:r>
      <w:r w:rsidRPr="001A6661">
        <w:t>(</w:t>
      </w:r>
      <w:r w:rsidR="00213860" w:rsidRPr="001A6661">
        <w:t>13</w:t>
      </w:r>
      <w:r w:rsidRPr="001A6661">
        <w:t>)(b)</w:t>
      </w:r>
      <w:r w:rsidR="00267D7F">
        <w:t xml:space="preserve"> should not include i</w:t>
      </w:r>
      <w:r w:rsidR="00213860" w:rsidRPr="001A6661">
        <w:t>nvesting in and lending to the real economy, as well as non-insurance-specific activities</w:t>
      </w:r>
      <w:r w:rsidR="00267D7F">
        <w:t>,</w:t>
      </w:r>
      <w:r w:rsidR="001A6661" w:rsidRPr="001A6661">
        <w:t xml:space="preserve"> </w:t>
      </w:r>
      <w:r w:rsidR="00213860" w:rsidRPr="001A6661">
        <w:t xml:space="preserve">as potentially critical functions. This is in line with the case studies in the FSB practices paper (2023): “Critical functions in relation to investment and lending to the real economy and to acting as a counterparty in derivatives, repo and securities lending markets appear to be of less relevance or seem to be limited to the Chinese example.” </w:t>
      </w:r>
      <w:r w:rsidR="00213860" w:rsidRPr="00081045">
        <w:t>Furthermore, such investment and financing activities are carried out for the undertaking’s own account and balance sheet, in order to meet (re)insurance obligations. As such, they do not meet the definition of a critical function under Article 2(25), which refers to functions performed for third parties.</w:t>
      </w:r>
    </w:p>
    <w:p w14:paraId="09D39657" w14:textId="006301A7" w:rsidR="00213860" w:rsidRPr="007C62BF" w:rsidRDefault="00F10475" w:rsidP="007C62BF">
      <w:pPr>
        <w:pStyle w:val="Odsekzoznamu"/>
        <w:numPr>
          <w:ilvl w:val="0"/>
          <w:numId w:val="10"/>
        </w:numPr>
        <w:ind w:left="714" w:hanging="357"/>
        <w:contextualSpacing w:val="0"/>
        <w:jc w:val="both"/>
        <w:rPr>
          <w:b/>
          <w:bCs/>
        </w:rPr>
      </w:pPr>
      <w:r w:rsidRPr="007C62BF">
        <w:rPr>
          <w:b/>
          <w:bCs/>
        </w:rPr>
        <w:t xml:space="preserve">Guideline 1: </w:t>
      </w:r>
      <w:r w:rsidRPr="007C62BF">
        <w:t xml:space="preserve">Paragraph 1(13) should not refer to </w:t>
      </w:r>
      <w:r w:rsidR="00213860" w:rsidRPr="007C62BF">
        <w:t xml:space="preserve">reinsurance as a non-insurance function. </w:t>
      </w:r>
      <w:r w:rsidR="00705767" w:rsidRPr="007C62BF">
        <w:t xml:space="preserve">This paragraph </w:t>
      </w:r>
      <w:r w:rsidR="00213860" w:rsidRPr="007C62BF">
        <w:t>rewrites the FSB list of the types of economic function of insurance, including reference</w:t>
      </w:r>
      <w:r w:rsidR="00705767" w:rsidRPr="007C62BF">
        <w:t>s</w:t>
      </w:r>
      <w:r w:rsidR="00213860" w:rsidRPr="007C62BF">
        <w:t xml:space="preserve"> to reinsurance (e.g., “Insurance / reinsurance coverage as a precondition for individuals to go about their daily lives; Insurance / reinsurance payments that are vital to individuals’ financial security”).</w:t>
      </w:r>
      <w:r w:rsidR="00705767" w:rsidRPr="007C62BF">
        <w:t xml:space="preserve"> </w:t>
      </w:r>
      <w:r w:rsidR="00213860" w:rsidRPr="007C62BF">
        <w:t>Reinsurance is a Business-to-Business activity which does not provide direct coverage to individual customers. Applying criteria designed for primary insurers may overstate the systemic relevance of certain reinsurance functions. Instead, resolution authorities should take account of the specificities of the reinsurance model, which enhances market resilience rather than posing contagion risks. Therefore, the wording of the FSB’s Practices paper should be reflected in Para 1.13.</w:t>
      </w:r>
    </w:p>
    <w:p w14:paraId="3F733AA9" w14:textId="7FA7260C" w:rsidR="00213860" w:rsidRPr="00E53344" w:rsidRDefault="00596DA7" w:rsidP="00E53344">
      <w:pPr>
        <w:pStyle w:val="Odsekzoznamu"/>
        <w:numPr>
          <w:ilvl w:val="0"/>
          <w:numId w:val="9"/>
        </w:numPr>
        <w:ind w:left="714" w:hanging="357"/>
        <w:contextualSpacing w:val="0"/>
        <w:jc w:val="both"/>
      </w:pPr>
      <w:r w:rsidRPr="00E53344">
        <w:rPr>
          <w:b/>
          <w:bCs/>
        </w:rPr>
        <w:t xml:space="preserve">Guideline 2: </w:t>
      </w:r>
      <w:r w:rsidR="003C511C" w:rsidRPr="00E53344">
        <w:t>The requirement to carry out the</w:t>
      </w:r>
      <w:r w:rsidR="00213860" w:rsidRPr="00E53344">
        <w:t xml:space="preserve"> impact assessment on the effects of discontinuation/non-substitutability separately for each Member State</w:t>
      </w:r>
      <w:r w:rsidR="003C511C" w:rsidRPr="00E53344">
        <w:t xml:space="preserve"> should be removed</w:t>
      </w:r>
      <w:r w:rsidR="00213860" w:rsidRPr="00E53344">
        <w:t xml:space="preserve">. </w:t>
      </w:r>
      <w:r w:rsidR="003C511C" w:rsidRPr="00E53344">
        <w:t xml:space="preserve">This </w:t>
      </w:r>
      <w:r w:rsidR="00213860" w:rsidRPr="00E53344">
        <w:t>may result in artificial fragmentation of otherwise integrated markets, particularly for cross-border or group-level undertakings. A flexible, proportionate approach is needed.</w:t>
      </w:r>
      <w:r w:rsidR="00E53344" w:rsidRPr="00E53344">
        <w:t xml:space="preserve"> In addition, the term </w:t>
      </w:r>
      <w:r w:rsidR="00213860" w:rsidRPr="00E53344">
        <w:t xml:space="preserve"> ‘Significant impact” and the following paragraphs which are rather vague and risk heterogeneous interpretation by the NSAs</w:t>
      </w:r>
      <w:r w:rsidR="00E53344" w:rsidRPr="00E53344">
        <w:t xml:space="preserve"> and should be clarified</w:t>
      </w:r>
      <w:r w:rsidR="00213860" w:rsidRPr="00E53344">
        <w:t>.</w:t>
      </w:r>
    </w:p>
    <w:p w14:paraId="75021AA6" w14:textId="360B0D67" w:rsidR="008B5970" w:rsidRPr="00BF6C10" w:rsidRDefault="008C0EC4" w:rsidP="00907826">
      <w:pPr>
        <w:pStyle w:val="Odsekzoznamu"/>
        <w:numPr>
          <w:ilvl w:val="0"/>
          <w:numId w:val="8"/>
        </w:numPr>
        <w:jc w:val="both"/>
      </w:pPr>
      <w:r w:rsidRPr="00907826">
        <w:rPr>
          <w:b/>
          <w:bCs/>
        </w:rPr>
        <w:t xml:space="preserve">Guideline </w:t>
      </w:r>
      <w:r w:rsidR="00C12A0B" w:rsidRPr="00907826">
        <w:rPr>
          <w:b/>
          <w:bCs/>
        </w:rPr>
        <w:t xml:space="preserve">4: </w:t>
      </w:r>
      <w:r w:rsidR="00C12A0B" w:rsidRPr="00BF6C10">
        <w:t>Paragraph</w:t>
      </w:r>
      <w:r w:rsidR="00BF6C10" w:rsidRPr="00BF6C10">
        <w:t xml:space="preserve"> 1.18 should be amended as follows to make clear that t</w:t>
      </w:r>
      <w:r w:rsidR="008B5970" w:rsidRPr="00BF6C10">
        <w:t>he assessment is made at the level of</w:t>
      </w:r>
      <w:r w:rsidR="00BF6C10" w:rsidRPr="00BF6C10">
        <w:t xml:space="preserve"> </w:t>
      </w:r>
      <w:r w:rsidR="008B5970" w:rsidRPr="00BF6C10">
        <w:t>an individual insurance undertaking:</w:t>
      </w:r>
    </w:p>
    <w:p w14:paraId="654C4164" w14:textId="05204E80" w:rsidR="008B5970" w:rsidRPr="00BF6C10" w:rsidRDefault="008B5970" w:rsidP="00BF6C10">
      <w:pPr>
        <w:ind w:left="1134"/>
        <w:jc w:val="both"/>
      </w:pPr>
      <w:r w:rsidRPr="00BF6C10">
        <w:t xml:space="preserve">“1.18. When assessing whether the inability of the insurance or reinsurance undertaking to provide a functionthat consists of certain activities, services or operations results in a significant impact, the resolution authority should use the </w:t>
      </w:r>
      <w:r w:rsidRPr="00BF6C10">
        <w:lastRenderedPageBreak/>
        <w:t>assumption that these activities and operations cease completely and that the services are no longer provided at the level of this undertaking”.</w:t>
      </w:r>
    </w:p>
    <w:p w14:paraId="065DC1E6" w14:textId="342CB08F" w:rsidR="008B5970" w:rsidRPr="00297F1D" w:rsidRDefault="007B213D" w:rsidP="00907826">
      <w:pPr>
        <w:pStyle w:val="Odsekzoznamu"/>
        <w:numPr>
          <w:ilvl w:val="0"/>
          <w:numId w:val="8"/>
        </w:numPr>
        <w:jc w:val="both"/>
      </w:pPr>
      <w:r w:rsidRPr="00907826">
        <w:rPr>
          <w:b/>
          <w:bCs/>
        </w:rPr>
        <w:t xml:space="preserve">Guideline 7: </w:t>
      </w:r>
      <w:r w:rsidR="008B5970" w:rsidRPr="00297F1D">
        <w:t>The following amendment to the wording is suggested</w:t>
      </w:r>
      <w:r w:rsidR="00297F1D" w:rsidRPr="00297F1D">
        <w:t xml:space="preserve"> to make clear that the assessment is at the level of the individual insurance undertaking</w:t>
      </w:r>
      <w:r w:rsidR="008B5970" w:rsidRPr="00297F1D">
        <w:t>:</w:t>
      </w:r>
    </w:p>
    <w:p w14:paraId="301F7E6D" w14:textId="77777777" w:rsidR="008B5970" w:rsidRPr="00297F1D" w:rsidRDefault="008B5970" w:rsidP="00297F1D">
      <w:pPr>
        <w:ind w:left="1134"/>
        <w:jc w:val="both"/>
      </w:pPr>
      <w:r w:rsidRPr="00297F1D">
        <w:t>“1.25. When assessing whether there are functions for which the inability of the individual insurance or reinsurance undertaking to provide them is likely to have a significant impact on the real economy or the financial system resulting from the systemic disruption of insurance services the resolution authority should consider, inter alia, functions where the inability to provide them at the level of this individual undertaking creates a risk to the financial stability, in particular resulting from the systemic relevance of the insurance or reinsurance undertaking that provides the function, according to the criteria in point 1.18(a).”</w:t>
      </w:r>
    </w:p>
    <w:p w14:paraId="535DA7C6" w14:textId="1C54B665" w:rsidR="008B5970" w:rsidRDefault="00D05352" w:rsidP="007615E1">
      <w:pPr>
        <w:pStyle w:val="Odsekzoznamu"/>
        <w:numPr>
          <w:ilvl w:val="0"/>
          <w:numId w:val="8"/>
        </w:numPr>
        <w:jc w:val="both"/>
      </w:pPr>
      <w:r w:rsidRPr="007615E1">
        <w:rPr>
          <w:b/>
          <w:bCs/>
        </w:rPr>
        <w:t xml:space="preserve">Guideline 8: </w:t>
      </w:r>
      <w:r w:rsidRPr="00B01DA3">
        <w:t>Paragraph 1(27)(b)</w:t>
      </w:r>
      <w:r w:rsidR="008B5970" w:rsidRPr="00B01DA3">
        <w:t xml:space="preserve"> be clarified </w:t>
      </w:r>
      <w:r w:rsidRPr="00B01DA3">
        <w:t xml:space="preserve">to refer to either </w:t>
      </w:r>
      <w:r w:rsidR="008B5970" w:rsidRPr="00B01DA3">
        <w:t xml:space="preserve">the actual availability of insurance coverage or on the loss of confidence in its availability. </w:t>
      </w:r>
    </w:p>
    <w:p w14:paraId="4A8E0BCE" w14:textId="77777777" w:rsidR="00CD5E8F" w:rsidRDefault="00CD5E8F" w:rsidP="00CD5E8F">
      <w:pPr>
        <w:jc w:val="both"/>
      </w:pPr>
    </w:p>
    <w:p w14:paraId="350958A7" w14:textId="6C9964F1" w:rsidR="00CD5E8F" w:rsidRDefault="00CD5E8F" w:rsidP="00CD5E8F">
      <w:pPr>
        <w:jc w:val="both"/>
        <w:rPr>
          <w:b/>
          <w:bCs/>
        </w:rPr>
      </w:pPr>
      <w:r>
        <w:rPr>
          <w:b/>
          <w:bCs/>
        </w:rPr>
        <w:t>Guidelines on criteria for the assessment of resolvability</w:t>
      </w:r>
    </w:p>
    <w:p w14:paraId="350301E6" w14:textId="73075C3C" w:rsidR="00733B75" w:rsidRPr="00C22624" w:rsidRDefault="000205D3" w:rsidP="00C22624">
      <w:pPr>
        <w:pStyle w:val="Odsekzoznamu"/>
        <w:numPr>
          <w:ilvl w:val="0"/>
          <w:numId w:val="12"/>
        </w:numPr>
        <w:ind w:left="714" w:hanging="357"/>
        <w:contextualSpacing w:val="0"/>
        <w:jc w:val="both"/>
      </w:pPr>
      <w:r w:rsidRPr="00C22624">
        <w:rPr>
          <w:b/>
          <w:bCs/>
        </w:rPr>
        <w:t xml:space="preserve">Overall: </w:t>
      </w:r>
      <w:r w:rsidRPr="00C22624">
        <w:t>T</w:t>
      </w:r>
      <w:r w:rsidR="00733B75" w:rsidRPr="00C22624">
        <w:t>he guidelines</w:t>
      </w:r>
      <w:r w:rsidRPr="00C22624">
        <w:t xml:space="preserve"> should </w:t>
      </w:r>
      <w:r w:rsidR="00733B75" w:rsidRPr="00C22624">
        <w:t>be clarified to:</w:t>
      </w:r>
    </w:p>
    <w:p w14:paraId="4F6C97EA" w14:textId="77777777" w:rsidR="00733B75" w:rsidRPr="000205D3" w:rsidRDefault="00733B75" w:rsidP="00FB6706">
      <w:pPr>
        <w:pStyle w:val="Odsekzoznamu"/>
        <w:numPr>
          <w:ilvl w:val="1"/>
          <w:numId w:val="8"/>
        </w:numPr>
        <w:jc w:val="both"/>
      </w:pPr>
      <w:r w:rsidRPr="000205D3">
        <w:t>Make clear throughout how these guidelines should be proportionally applied.</w:t>
      </w:r>
    </w:p>
    <w:p w14:paraId="140CD12A" w14:textId="77777777" w:rsidR="00733B75" w:rsidRPr="000205D3" w:rsidRDefault="00733B75" w:rsidP="00FB6706">
      <w:pPr>
        <w:pStyle w:val="Odsekzoznamu"/>
        <w:numPr>
          <w:ilvl w:val="1"/>
          <w:numId w:val="8"/>
        </w:numPr>
        <w:jc w:val="both"/>
      </w:pPr>
      <w:r w:rsidRPr="000205D3">
        <w:t>State clearly that these guidelines, especially guidelines 4–12, should not be applied for those undertakings/groups where normal insolvency proceedings are expected to be used for winding-up instead of the resolution tools.</w:t>
      </w:r>
    </w:p>
    <w:p w14:paraId="4AC0F3FA" w14:textId="77777777" w:rsidR="00733B75" w:rsidRPr="000205D3" w:rsidRDefault="00733B75" w:rsidP="00FB6706">
      <w:pPr>
        <w:pStyle w:val="Odsekzoznamu"/>
        <w:numPr>
          <w:ilvl w:val="1"/>
          <w:numId w:val="8"/>
        </w:numPr>
        <w:jc w:val="both"/>
      </w:pPr>
      <w:r w:rsidRPr="000205D3">
        <w:t>Experience with the BRRD shows that assessments risk becoming tick-the-box exercises. To avoid unnecessary red tape, National Resolution Authorities (NRAs) should have the flexibility to decide which guidelines are relevant for specific insurers and groups. Applying all guidelines by default (i.e. “should, at a minimum, consider”) will result in a robotic checklist, contradicting the principles-based approach of Solvency II and the Insurance Recovery and Resolution Directive (IRRD) (notably the self-assessment report). It should, therefore, be changed in guidelines 4 -12 to that “…resolution authorities could consider…”.</w:t>
      </w:r>
    </w:p>
    <w:p w14:paraId="675C8EBE" w14:textId="77777777" w:rsidR="00733B75" w:rsidRPr="000205D3" w:rsidRDefault="00733B75" w:rsidP="000205D3">
      <w:pPr>
        <w:pStyle w:val="Odsekzoznamu"/>
        <w:numPr>
          <w:ilvl w:val="1"/>
          <w:numId w:val="8"/>
        </w:numPr>
        <w:ind w:left="1434" w:hanging="357"/>
        <w:contextualSpacing w:val="0"/>
        <w:jc w:val="both"/>
      </w:pPr>
      <w:r w:rsidRPr="000205D3">
        <w:t>Demonstrate how requirements for “ensuring an appropriate amount of eligible liabilities” interact with Solvency II capital requirements. There is a concern this could lead to resolution authorities imposing a requirement like Minimum Requirement for Own Funds and Eligible Liabilities (MREL) on insurance companies.</w:t>
      </w:r>
    </w:p>
    <w:p w14:paraId="3F3ED55F" w14:textId="0DB7716E" w:rsidR="00733B75" w:rsidRDefault="001E342E" w:rsidP="00983FCC">
      <w:pPr>
        <w:pStyle w:val="Odsekzoznamu"/>
        <w:numPr>
          <w:ilvl w:val="0"/>
          <w:numId w:val="12"/>
        </w:numPr>
        <w:ind w:left="714" w:hanging="357"/>
        <w:contextualSpacing w:val="0"/>
        <w:jc w:val="both"/>
      </w:pPr>
      <w:r w:rsidRPr="00983FCC">
        <w:rPr>
          <w:b/>
          <w:bCs/>
        </w:rPr>
        <w:t>Introduction 1(4):</w:t>
      </w:r>
      <w:r>
        <w:t xml:space="preserve"> </w:t>
      </w:r>
      <w:r w:rsidR="00733B75">
        <w:t xml:space="preserve">The definitions </w:t>
      </w:r>
      <w:r>
        <w:t xml:space="preserve">here </w:t>
      </w:r>
      <w:r w:rsidR="00733B75">
        <w:t>should be aligned with the corresponding definitions in other RTS/GL. For example, the definition of ‘alternative resolution strategy’ differs from the definition in the proposed GL on measures to remove impediments to resolvability.</w:t>
      </w:r>
    </w:p>
    <w:p w14:paraId="6CCEEBC4" w14:textId="742DFC17" w:rsidR="00733B75" w:rsidRPr="00FC0CD8" w:rsidRDefault="001E342E" w:rsidP="00983FCC">
      <w:pPr>
        <w:pStyle w:val="Odsekzoznamu"/>
        <w:numPr>
          <w:ilvl w:val="0"/>
          <w:numId w:val="12"/>
        </w:numPr>
        <w:ind w:left="714" w:hanging="357"/>
        <w:contextualSpacing w:val="0"/>
        <w:jc w:val="both"/>
      </w:pPr>
      <w:r w:rsidRPr="00983FCC">
        <w:rPr>
          <w:b/>
          <w:bCs/>
        </w:rPr>
        <w:t>Guideline 1:</w:t>
      </w:r>
      <w:r w:rsidR="00FC0CD8" w:rsidRPr="00983FCC">
        <w:rPr>
          <w:b/>
          <w:bCs/>
        </w:rPr>
        <w:t xml:space="preserve"> </w:t>
      </w:r>
      <w:r w:rsidR="00733B75" w:rsidRPr="00FC0CD8">
        <w:t>Para</w:t>
      </w:r>
      <w:r w:rsidRPr="00FC0CD8">
        <w:t>graph</w:t>
      </w:r>
      <w:r w:rsidR="00733B75" w:rsidRPr="00FC0CD8">
        <w:t xml:space="preserve"> 1</w:t>
      </w:r>
      <w:r w:rsidR="00FC0CD8" w:rsidRPr="00FC0CD8">
        <w:t>(</w:t>
      </w:r>
      <w:r w:rsidR="00733B75" w:rsidRPr="00FC0CD8">
        <w:t>5</w:t>
      </w:r>
      <w:r w:rsidR="00FC0CD8" w:rsidRPr="00FC0CD8">
        <w:t>) should be amended to “cooperation as much as necessary after using all the information already available to the authorities (including Solvency II reporting and the pre-emptive recovery plans)”.</w:t>
      </w:r>
      <w:r w:rsidR="00733B75" w:rsidRPr="00FC0CD8">
        <w:t xml:space="preserve"> The </w:t>
      </w:r>
      <w:r w:rsidR="00FC0CD8" w:rsidRPr="00FC0CD8">
        <w:t xml:space="preserve">current </w:t>
      </w:r>
      <w:r w:rsidR="00733B75" w:rsidRPr="00FC0CD8">
        <w:t>“ongoing cooperation and dialogue” goes beyond Article 12 (1) IRRD, according to which “cooperate as much as necessary” is the requirement. “</w:t>
      </w:r>
    </w:p>
    <w:p w14:paraId="5937AD9F" w14:textId="0F1D5738" w:rsidR="00733B75" w:rsidRPr="00FE486F" w:rsidRDefault="00FC0CD8" w:rsidP="00983FCC">
      <w:pPr>
        <w:pStyle w:val="Odsekzoznamu"/>
        <w:numPr>
          <w:ilvl w:val="0"/>
          <w:numId w:val="12"/>
        </w:numPr>
        <w:ind w:left="714" w:hanging="357"/>
        <w:contextualSpacing w:val="0"/>
        <w:jc w:val="both"/>
      </w:pPr>
      <w:r w:rsidRPr="00983FCC">
        <w:rPr>
          <w:b/>
          <w:bCs/>
        </w:rPr>
        <w:lastRenderedPageBreak/>
        <w:t>Guideline 1:</w:t>
      </w:r>
      <w:r w:rsidRPr="00FE486F">
        <w:t xml:space="preserve"> </w:t>
      </w:r>
      <w:r w:rsidR="00733B75" w:rsidRPr="00FE486F">
        <w:t>Para</w:t>
      </w:r>
      <w:r w:rsidRPr="00FE486F">
        <w:t>graph</w:t>
      </w:r>
      <w:r w:rsidR="00733B75" w:rsidRPr="00FE486F">
        <w:t xml:space="preserve"> 1</w:t>
      </w:r>
      <w:r w:rsidRPr="00FE486F">
        <w:t>(</w:t>
      </w:r>
      <w:r w:rsidR="00733B75" w:rsidRPr="00FE486F">
        <w:t>6</w:t>
      </w:r>
      <w:r w:rsidRPr="00FE486F">
        <w:t>) should not require t</w:t>
      </w:r>
      <w:r w:rsidR="00733B75" w:rsidRPr="00FE486F">
        <w:t xml:space="preserve">he authority to always identify multiple alternative strategies as one alternative strategy could be enough. </w:t>
      </w:r>
    </w:p>
    <w:p w14:paraId="16B97510" w14:textId="7AAC251F" w:rsidR="00D0427C" w:rsidRPr="00B76D38" w:rsidRDefault="00FE486F" w:rsidP="00983FCC">
      <w:pPr>
        <w:pStyle w:val="Odsekzoznamu"/>
        <w:numPr>
          <w:ilvl w:val="0"/>
          <w:numId w:val="12"/>
        </w:numPr>
        <w:ind w:left="714" w:hanging="357"/>
        <w:contextualSpacing w:val="0"/>
        <w:jc w:val="both"/>
      </w:pPr>
      <w:r w:rsidRPr="00983FCC">
        <w:rPr>
          <w:b/>
          <w:bCs/>
        </w:rPr>
        <w:t>Guideline 1:</w:t>
      </w:r>
      <w:r w:rsidRPr="00B76D38">
        <w:t xml:space="preserve"> </w:t>
      </w:r>
      <w:r w:rsidR="00733B75" w:rsidRPr="00B76D38">
        <w:t>Para</w:t>
      </w:r>
      <w:r w:rsidRPr="00B76D38">
        <w:t>graph</w:t>
      </w:r>
      <w:r w:rsidR="00733B75" w:rsidRPr="00B76D38">
        <w:t xml:space="preserve"> 1</w:t>
      </w:r>
      <w:r w:rsidRPr="00B76D38">
        <w:t>(</w:t>
      </w:r>
      <w:r w:rsidR="00733B75" w:rsidRPr="00B76D38">
        <w:t>9</w:t>
      </w:r>
      <w:r w:rsidRPr="00B76D38">
        <w:t>)</w:t>
      </w:r>
      <w:r w:rsidR="00D0427C" w:rsidRPr="00B76D38">
        <w:t xml:space="preserve"> should clarify that reinsurance should only be considered where there is a concrete and material link to a specific impediment to resolution, as per Article 15 of the Directive.</w:t>
      </w:r>
      <w:r w:rsidR="00B76D38" w:rsidRPr="00B76D38">
        <w:t xml:space="preserve"> Reinsurance is not included among the resolvability dimensions of the Annex of the IRRD, and is a sound and essential risk mitigation tool. It should not be assumed to pose a barrier to resolvability by default.</w:t>
      </w:r>
    </w:p>
    <w:p w14:paraId="56AFDE0A" w14:textId="06A59AEC" w:rsidR="00733B75" w:rsidRPr="00E208E5" w:rsidRDefault="00876C9B" w:rsidP="00983FCC">
      <w:pPr>
        <w:pStyle w:val="Odsekzoznamu"/>
        <w:numPr>
          <w:ilvl w:val="0"/>
          <w:numId w:val="12"/>
        </w:numPr>
        <w:ind w:left="714" w:hanging="357"/>
        <w:contextualSpacing w:val="0"/>
        <w:jc w:val="both"/>
      </w:pPr>
      <w:r w:rsidRPr="00983FCC">
        <w:rPr>
          <w:b/>
          <w:bCs/>
        </w:rPr>
        <w:t>Guideline 3:</w:t>
      </w:r>
      <w:r w:rsidRPr="00E208E5">
        <w:t xml:space="preserve"> This should be amended to reflect that the IRRD is an EU framework</w:t>
      </w:r>
      <w:r w:rsidR="00733B75" w:rsidRPr="00E208E5">
        <w:t xml:space="preserve"> </w:t>
      </w:r>
      <w:r w:rsidR="00E208E5" w:rsidRPr="00E208E5">
        <w:t>and similar frameworks may not exist in third countries.</w:t>
      </w:r>
    </w:p>
    <w:p w14:paraId="4568C252" w14:textId="47DC631F" w:rsidR="00733B75" w:rsidRPr="00B84F7F" w:rsidRDefault="00B91FD4" w:rsidP="00983FCC">
      <w:pPr>
        <w:pStyle w:val="Odsekzoznamu"/>
        <w:numPr>
          <w:ilvl w:val="0"/>
          <w:numId w:val="12"/>
        </w:numPr>
        <w:ind w:left="714" w:hanging="357"/>
        <w:contextualSpacing w:val="0"/>
        <w:jc w:val="both"/>
      </w:pPr>
      <w:r w:rsidRPr="00983FCC">
        <w:rPr>
          <w:b/>
          <w:bCs/>
        </w:rPr>
        <w:t>Guideline 4:</w:t>
      </w:r>
      <w:r w:rsidRPr="00B84F7F">
        <w:t xml:space="preserve"> In p</w:t>
      </w:r>
      <w:r w:rsidR="00733B75" w:rsidRPr="00B84F7F">
        <w:t>ara</w:t>
      </w:r>
      <w:r w:rsidRPr="00B84F7F">
        <w:t>graph 1</w:t>
      </w:r>
      <w:r w:rsidR="00A607B8">
        <w:t>(</w:t>
      </w:r>
      <w:r w:rsidRPr="00B84F7F">
        <w:t>20</w:t>
      </w:r>
      <w:r w:rsidR="00A607B8">
        <w:t>)</w:t>
      </w:r>
      <w:r w:rsidR="00ED4B41" w:rsidRPr="00B84F7F">
        <w:t xml:space="preserve">, it should be clarified that the use of the suggested items should be limited to what is strictly necessary under Article 12(1) IRRD, and that the resolution authority must demonstrate such necessity in line with the Directive. </w:t>
      </w:r>
      <w:r w:rsidR="00733B75" w:rsidRPr="00B84F7F">
        <w:t xml:space="preserve">While the items suggested are optional for resolution authorities to consider, these are potentially very onerous and could pass a significant part of the assessment of resolvability to undertakings. This contradicts recitals of the Directive (EU) 2025/1 (e.g. (17)), where it is explicitly stated that unnecessary administrative burdens and costs on undertakings and authorities are to be avoided. </w:t>
      </w:r>
    </w:p>
    <w:p w14:paraId="426BE13D" w14:textId="39EB46A6" w:rsidR="00733B75" w:rsidRPr="00B84F7F" w:rsidRDefault="00B84F7F" w:rsidP="00983FCC">
      <w:pPr>
        <w:pStyle w:val="Odsekzoznamu"/>
        <w:numPr>
          <w:ilvl w:val="0"/>
          <w:numId w:val="12"/>
        </w:numPr>
        <w:ind w:left="714" w:hanging="357"/>
        <w:contextualSpacing w:val="0"/>
        <w:jc w:val="both"/>
      </w:pPr>
      <w:r w:rsidRPr="00983FCC">
        <w:rPr>
          <w:b/>
          <w:bCs/>
        </w:rPr>
        <w:t xml:space="preserve">Guideline 5: </w:t>
      </w:r>
      <w:r w:rsidR="00733B75" w:rsidRPr="00B84F7F">
        <w:t>It is important to note in this guideline that not all groups provide critical functions.</w:t>
      </w:r>
    </w:p>
    <w:p w14:paraId="3FACBC6C" w14:textId="5AB0C7BE" w:rsidR="00733B75" w:rsidRPr="00A607B8" w:rsidRDefault="00A607B8" w:rsidP="00983FCC">
      <w:pPr>
        <w:pStyle w:val="Odsekzoznamu"/>
        <w:numPr>
          <w:ilvl w:val="0"/>
          <w:numId w:val="12"/>
        </w:numPr>
        <w:ind w:left="714" w:hanging="357"/>
        <w:contextualSpacing w:val="0"/>
        <w:jc w:val="both"/>
      </w:pPr>
      <w:r w:rsidRPr="00983FCC">
        <w:rPr>
          <w:b/>
          <w:bCs/>
        </w:rPr>
        <w:t>Guideline 5:</w:t>
      </w:r>
      <w:r w:rsidRPr="00A607B8">
        <w:t xml:space="preserve"> </w:t>
      </w:r>
      <w:r w:rsidR="00733B75" w:rsidRPr="00A607B8">
        <w:t>Para</w:t>
      </w:r>
      <w:r w:rsidRPr="00A607B8">
        <w:t>graph</w:t>
      </w:r>
      <w:r w:rsidR="00733B75" w:rsidRPr="00A607B8">
        <w:t xml:space="preserve"> 1</w:t>
      </w:r>
      <w:r w:rsidRPr="00A607B8">
        <w:t>(</w:t>
      </w:r>
      <w:r w:rsidR="00733B75" w:rsidRPr="00A607B8">
        <w:t>22</w:t>
      </w:r>
      <w:r w:rsidRPr="00A607B8">
        <w:t>) should be amended to give</w:t>
      </w:r>
      <w:r w:rsidR="00733B75" w:rsidRPr="00A607B8">
        <w:t xml:space="preserve"> greater clarity around what is meant by “clear parameters against which the performance of these services’ provision can be monitored”, noting that insurance companies should not be required to create new parameters that go beyond SLAs.</w:t>
      </w:r>
    </w:p>
    <w:p w14:paraId="0EBC3BCD" w14:textId="707C2118" w:rsidR="00733B75" w:rsidRPr="00941D19" w:rsidRDefault="00407367" w:rsidP="00983FCC">
      <w:pPr>
        <w:pStyle w:val="Odsekzoznamu"/>
        <w:numPr>
          <w:ilvl w:val="0"/>
          <w:numId w:val="12"/>
        </w:numPr>
        <w:ind w:left="714" w:hanging="357"/>
        <w:contextualSpacing w:val="0"/>
        <w:jc w:val="both"/>
      </w:pPr>
      <w:r w:rsidRPr="00983FCC">
        <w:rPr>
          <w:b/>
          <w:bCs/>
        </w:rPr>
        <w:t>Guideline 7:</w:t>
      </w:r>
      <w:r w:rsidRPr="00941D19">
        <w:t xml:space="preserve"> </w:t>
      </w:r>
      <w:r w:rsidR="00733B75" w:rsidRPr="00941D19">
        <w:t xml:space="preserve">It is important to note in this guideline that not all groups provide critical functions. The analysis on the market capacity to absorb the transfer perimeter(s) and the identification of specific counterparties would overlap with the substitutability analysis already performed for the purpose of the identification of critical functions. It is therefore suggested that this requirement be removed. </w:t>
      </w:r>
    </w:p>
    <w:p w14:paraId="7985F5B5" w14:textId="43C4B4BF" w:rsidR="00733B75" w:rsidRPr="00DE01EB" w:rsidRDefault="00941D19" w:rsidP="00983FCC">
      <w:pPr>
        <w:pStyle w:val="Odsekzoznamu"/>
        <w:numPr>
          <w:ilvl w:val="0"/>
          <w:numId w:val="12"/>
        </w:numPr>
        <w:ind w:left="714" w:hanging="357"/>
        <w:contextualSpacing w:val="0"/>
        <w:jc w:val="both"/>
      </w:pPr>
      <w:r w:rsidRPr="00983FCC">
        <w:rPr>
          <w:b/>
          <w:bCs/>
        </w:rPr>
        <w:t>Guideline 8:</w:t>
      </w:r>
      <w:r w:rsidRPr="00DE01EB">
        <w:t xml:space="preserve"> F</w:t>
      </w:r>
      <w:r w:rsidR="00733B75" w:rsidRPr="00DE01EB">
        <w:t xml:space="preserve">urther clarity </w:t>
      </w:r>
      <w:r w:rsidRPr="00DE01EB">
        <w:t xml:space="preserve">is needed </w:t>
      </w:r>
      <w:r w:rsidR="00733B75" w:rsidRPr="00DE01EB">
        <w:t>on how requirements for “ensuring an appropriate amount of eligible liabilities” interact with Solvency II capital requirements. There is a concern this will lead to Resolution Authorities (RAs) practically imposing an MREL-requirement on insurance companies.</w:t>
      </w:r>
    </w:p>
    <w:p w14:paraId="052B8E42" w14:textId="6C8CDCE5" w:rsidR="00733B75" w:rsidRPr="00DE01EB" w:rsidRDefault="009D4052" w:rsidP="00983FCC">
      <w:pPr>
        <w:pStyle w:val="Odsekzoznamu"/>
        <w:numPr>
          <w:ilvl w:val="0"/>
          <w:numId w:val="12"/>
        </w:numPr>
        <w:ind w:left="714" w:hanging="357"/>
        <w:contextualSpacing w:val="0"/>
        <w:jc w:val="both"/>
      </w:pPr>
      <w:r w:rsidRPr="00983FCC">
        <w:rPr>
          <w:b/>
          <w:bCs/>
        </w:rPr>
        <w:t>Guideline 8</w:t>
      </w:r>
      <w:r w:rsidRPr="00DE01EB">
        <w:t xml:space="preserve">: In Paragraphs 1(31) and 1(33)(b) </w:t>
      </w:r>
      <w:r w:rsidR="00733B75" w:rsidRPr="00DE01EB">
        <w:t xml:space="preserve">references to short time periods </w:t>
      </w:r>
      <w:r w:rsidRPr="00DE01EB">
        <w:t xml:space="preserve">should be </w:t>
      </w:r>
      <w:r w:rsidR="00733B75" w:rsidRPr="00DE01EB">
        <w:t xml:space="preserve">removed as these are less applicable to the long-term nature of insurance liabilities. </w:t>
      </w:r>
    </w:p>
    <w:p w14:paraId="67705044" w14:textId="04F70CDB" w:rsidR="00733B75" w:rsidRPr="00DE01EB" w:rsidRDefault="00A33859" w:rsidP="00983FCC">
      <w:pPr>
        <w:pStyle w:val="Odsekzoznamu"/>
        <w:numPr>
          <w:ilvl w:val="0"/>
          <w:numId w:val="12"/>
        </w:numPr>
        <w:ind w:left="714" w:hanging="357"/>
        <w:contextualSpacing w:val="0"/>
        <w:jc w:val="both"/>
      </w:pPr>
      <w:r w:rsidRPr="00983FCC">
        <w:rPr>
          <w:b/>
          <w:bCs/>
        </w:rPr>
        <w:t xml:space="preserve">Guideline </w:t>
      </w:r>
      <w:r w:rsidR="00874D33" w:rsidRPr="00983FCC">
        <w:rPr>
          <w:b/>
          <w:bCs/>
        </w:rPr>
        <w:t>11</w:t>
      </w:r>
      <w:r w:rsidRPr="00983FCC">
        <w:rPr>
          <w:b/>
          <w:bCs/>
        </w:rPr>
        <w:t>:</w:t>
      </w:r>
      <w:r w:rsidRPr="00DE01EB">
        <w:t xml:space="preserve"> In </w:t>
      </w:r>
      <w:r w:rsidR="00733B75" w:rsidRPr="00DE01EB">
        <w:t>Para</w:t>
      </w:r>
      <w:r w:rsidRPr="00DE01EB">
        <w:t xml:space="preserve">graph </w:t>
      </w:r>
      <w:r w:rsidR="00733B75" w:rsidRPr="00DE01EB">
        <w:t>1</w:t>
      </w:r>
      <w:r w:rsidRPr="00DE01EB">
        <w:t>(</w:t>
      </w:r>
      <w:r w:rsidR="00733B75" w:rsidRPr="00DE01EB">
        <w:t>39</w:t>
      </w:r>
      <w:r w:rsidR="00DE01EB" w:rsidRPr="00DE01EB">
        <w:t>),</w:t>
      </w:r>
      <w:r w:rsidR="00733B75" w:rsidRPr="00DE01EB">
        <w:t xml:space="preserve"> the reference to “local language” </w:t>
      </w:r>
      <w:r w:rsidR="00DE01EB" w:rsidRPr="00DE01EB">
        <w:t xml:space="preserve">should </w:t>
      </w:r>
      <w:r w:rsidR="00733B75" w:rsidRPr="00DE01EB">
        <w:t>be amended to “should be disclosed in a language customary in the sphere of international finance”. This would remove a potentially burdensome requirement to translate into multiple local languages.</w:t>
      </w:r>
    </w:p>
    <w:p w14:paraId="5AC4300C" w14:textId="68999D3A" w:rsidR="00733B75" w:rsidRPr="001B7341" w:rsidRDefault="006A2BC6" w:rsidP="00983FCC">
      <w:pPr>
        <w:pStyle w:val="Odsekzoznamu"/>
        <w:numPr>
          <w:ilvl w:val="0"/>
          <w:numId w:val="12"/>
        </w:numPr>
        <w:ind w:left="714" w:hanging="357"/>
        <w:contextualSpacing w:val="0"/>
        <w:jc w:val="both"/>
      </w:pPr>
      <w:r w:rsidRPr="00983FCC">
        <w:rPr>
          <w:b/>
          <w:bCs/>
        </w:rPr>
        <w:t>Guideline 11:</w:t>
      </w:r>
      <w:r w:rsidRPr="001B7341">
        <w:t xml:space="preserve"> </w:t>
      </w:r>
      <w:r w:rsidR="00733B75" w:rsidRPr="001B7341">
        <w:t>Information on the crisis management communication strategy is already expected in the Pre-emptive Recovery Plan. For resolution purposes, it is important that any additional requirements focus solely on specific communication elements unique to the resolution plan, ensuring added value rather than duplicating existing obligations.</w:t>
      </w:r>
    </w:p>
    <w:p w14:paraId="7824C0E7" w14:textId="1A09DBC5" w:rsidR="00CD5E8F" w:rsidRDefault="006A2BC6" w:rsidP="00983FCC">
      <w:pPr>
        <w:pStyle w:val="Odsekzoznamu"/>
        <w:numPr>
          <w:ilvl w:val="0"/>
          <w:numId w:val="12"/>
        </w:numPr>
        <w:ind w:left="714" w:hanging="357"/>
        <w:contextualSpacing w:val="0"/>
        <w:jc w:val="both"/>
      </w:pPr>
      <w:r w:rsidRPr="00983FCC">
        <w:rPr>
          <w:b/>
          <w:bCs/>
        </w:rPr>
        <w:lastRenderedPageBreak/>
        <w:t>Guideline 12:</w:t>
      </w:r>
      <w:r w:rsidRPr="00983FCC">
        <w:t xml:space="preserve"> </w:t>
      </w:r>
      <w:r w:rsidR="00983FCC" w:rsidRPr="00983FCC">
        <w:t>R</w:t>
      </w:r>
      <w:r w:rsidR="00733B75" w:rsidRPr="00983FCC">
        <w:t xml:space="preserve">equirements that endanger the independence of internal audit should not be imposed and </w:t>
      </w:r>
      <w:r w:rsidR="00983FCC" w:rsidRPr="00983FCC">
        <w:t>Paragraph 1(40) should</w:t>
      </w:r>
      <w:r w:rsidR="00733B75" w:rsidRPr="00983FCC">
        <w:t xml:space="preserve"> be amended to clarify that internal audit decides independently on any reviews performed.</w:t>
      </w:r>
    </w:p>
    <w:p w14:paraId="0268973D" w14:textId="77777777" w:rsidR="0075064E" w:rsidRDefault="0075064E" w:rsidP="0075064E">
      <w:pPr>
        <w:jc w:val="both"/>
      </w:pPr>
    </w:p>
    <w:p w14:paraId="227497E2" w14:textId="33CC1226" w:rsidR="0075064E" w:rsidRDefault="0075064E" w:rsidP="0075064E">
      <w:pPr>
        <w:jc w:val="both"/>
        <w:rPr>
          <w:b/>
          <w:bCs/>
        </w:rPr>
      </w:pPr>
      <w:r w:rsidRPr="0075064E">
        <w:rPr>
          <w:b/>
          <w:bCs/>
        </w:rPr>
        <w:t>Guidelines on the removal of impediments to resolvability</w:t>
      </w:r>
    </w:p>
    <w:p w14:paraId="13181A6C" w14:textId="084E0F28" w:rsidR="00693445" w:rsidRPr="00974E6F" w:rsidRDefault="00693445" w:rsidP="00974E6F">
      <w:pPr>
        <w:pStyle w:val="Odsekzoznamu"/>
        <w:numPr>
          <w:ilvl w:val="0"/>
          <w:numId w:val="17"/>
        </w:numPr>
        <w:ind w:left="714" w:hanging="357"/>
        <w:contextualSpacing w:val="0"/>
        <w:jc w:val="both"/>
      </w:pPr>
      <w:r w:rsidRPr="00974E6F">
        <w:rPr>
          <w:b/>
          <w:bCs/>
        </w:rPr>
        <w:t xml:space="preserve">Overall: </w:t>
      </w:r>
      <w:r w:rsidRPr="00974E6F">
        <w:t xml:space="preserve">There should be a separate Guideline to make clear that Alternative Measures should be exceptional and as ultima ratio, particularly given the low likelihood of resolution being necessary and hence imposed measures having a potential positive impact, while negative consequences of imposed measures (e.g. a required restructuring or forced sale of illiquid assets) have an immediate and certain negative impact on the financial situation of the undertaking or group as well as the customer value of products (e.g. through lower profit participation rates). Therefore, alternative measures can only be justified by the removal of real, demonstrable impediments to national resolution. </w:t>
      </w:r>
    </w:p>
    <w:p w14:paraId="149B8C98" w14:textId="1D12EB77" w:rsidR="00A27B9D" w:rsidRPr="00974E6F" w:rsidRDefault="0090044C" w:rsidP="00974E6F">
      <w:pPr>
        <w:pStyle w:val="Odsekzoznamu"/>
        <w:numPr>
          <w:ilvl w:val="0"/>
          <w:numId w:val="17"/>
        </w:numPr>
        <w:ind w:left="714" w:hanging="357"/>
        <w:contextualSpacing w:val="0"/>
        <w:jc w:val="both"/>
        <w:rPr>
          <w:b/>
          <w:bCs/>
        </w:rPr>
      </w:pPr>
      <w:r w:rsidRPr="00974E6F">
        <w:rPr>
          <w:b/>
          <w:bCs/>
        </w:rPr>
        <w:t xml:space="preserve">Overall: </w:t>
      </w:r>
      <w:r w:rsidR="00A27B9D" w:rsidRPr="0090044C">
        <w:t xml:space="preserve">Some parts of the guidance appear to duplicate or </w:t>
      </w:r>
      <w:r w:rsidRPr="0090044C">
        <w:t xml:space="preserve">go past </w:t>
      </w:r>
      <w:r w:rsidR="00A27B9D" w:rsidRPr="0090044C">
        <w:t xml:space="preserve">existing Solvency II requirements. </w:t>
      </w:r>
      <w:r w:rsidRPr="0090044C">
        <w:t xml:space="preserve">Where EIOPA considers that existing solvency requirements may not be sufficient, it would be helpful for the guidance to clearly indicate where it intends to go beyond the existing Solvency II and provide the rationale for doing so. </w:t>
      </w:r>
      <w:r w:rsidR="00A27B9D" w:rsidRPr="0090044C">
        <w:t>For example, Guideline 8 asks the resolution authority to consider the circumstances that could require a (re)insurer to change its reinsurance strategy. However, the elements listed here are also covered by Solvency II e.g. the strength of the reinsurer, the wording of the reinsurance agreement, and the nature of business reinsured. Therefore a (re)insurer which is compliant with Solvency II should also satisfy the guidance here.</w:t>
      </w:r>
      <w:r w:rsidR="00A27B9D" w:rsidRPr="00974E6F">
        <w:rPr>
          <w:b/>
          <w:bCs/>
        </w:rPr>
        <w:t xml:space="preserve"> </w:t>
      </w:r>
    </w:p>
    <w:p w14:paraId="2E6D6801" w14:textId="53FFA634" w:rsidR="00A27B9D" w:rsidRPr="00C57DF2" w:rsidRDefault="00A27B9D" w:rsidP="00974E6F">
      <w:pPr>
        <w:pStyle w:val="Odsekzoznamu"/>
        <w:numPr>
          <w:ilvl w:val="0"/>
          <w:numId w:val="17"/>
        </w:numPr>
        <w:ind w:left="714" w:hanging="357"/>
        <w:contextualSpacing w:val="0"/>
        <w:jc w:val="both"/>
      </w:pPr>
      <w:r w:rsidRPr="00974E6F">
        <w:rPr>
          <w:b/>
          <w:bCs/>
        </w:rPr>
        <w:t>Introduction</w:t>
      </w:r>
      <w:r w:rsidR="00B570F5" w:rsidRPr="00974E6F">
        <w:rPr>
          <w:b/>
          <w:bCs/>
        </w:rPr>
        <w:t xml:space="preserve">: </w:t>
      </w:r>
      <w:r w:rsidR="00B570F5" w:rsidRPr="00B570F5">
        <w:t>This should</w:t>
      </w:r>
      <w:r w:rsidRPr="00B570F5">
        <w:t xml:space="preserve"> explicitly refer to the Directive’s starting point (Recital 14) which states that there is much more time in the insurance sector – compared to the banking sector – to find </w:t>
      </w:r>
      <w:r w:rsidRPr="00C57DF2">
        <w:t>appropriate solutions in case of failure of an undertaking.</w:t>
      </w:r>
    </w:p>
    <w:p w14:paraId="363BBE76" w14:textId="00A49D8E" w:rsidR="00A27B9D" w:rsidRPr="00974E6F" w:rsidRDefault="00D4649D" w:rsidP="00974E6F">
      <w:pPr>
        <w:pStyle w:val="Odsekzoznamu"/>
        <w:numPr>
          <w:ilvl w:val="0"/>
          <w:numId w:val="17"/>
        </w:numPr>
        <w:ind w:left="714" w:hanging="357"/>
        <w:contextualSpacing w:val="0"/>
        <w:jc w:val="both"/>
        <w:rPr>
          <w:b/>
          <w:bCs/>
        </w:rPr>
      </w:pPr>
      <w:r w:rsidRPr="00974E6F">
        <w:rPr>
          <w:b/>
          <w:bCs/>
        </w:rPr>
        <w:t xml:space="preserve">Introduction: </w:t>
      </w:r>
      <w:r w:rsidR="00A27B9D" w:rsidRPr="00C57DF2">
        <w:t>Para</w:t>
      </w:r>
      <w:r w:rsidR="003967CA" w:rsidRPr="00C57DF2">
        <w:t>graph</w:t>
      </w:r>
      <w:r w:rsidR="00A27B9D" w:rsidRPr="00C57DF2">
        <w:t xml:space="preserve"> 1</w:t>
      </w:r>
      <w:r w:rsidR="003967CA" w:rsidRPr="00C57DF2">
        <w:t>(</w:t>
      </w:r>
      <w:r w:rsidR="00A27B9D" w:rsidRPr="00C57DF2">
        <w:t>4</w:t>
      </w:r>
      <w:r w:rsidR="003967CA" w:rsidRPr="00C57DF2">
        <w:t>)(</w:t>
      </w:r>
      <w:r w:rsidR="00A27B9D" w:rsidRPr="00C57DF2">
        <w:t>c) introduces the concept of an ‘alternative resolution strategy’,</w:t>
      </w:r>
      <w:r w:rsidR="00E86B96" w:rsidRPr="00C57DF2">
        <w:t xml:space="preserve"> which should be deleted. It g</w:t>
      </w:r>
      <w:r w:rsidR="00A27B9D" w:rsidRPr="00C57DF2">
        <w:t>oes beyond the requirements set out in Article 13(2)a) and Article 14(3)a) of Directive (EU) 2025/1</w:t>
      </w:r>
      <w:r w:rsidR="003967CA" w:rsidRPr="00C57DF2">
        <w:t xml:space="preserve"> which</w:t>
      </w:r>
      <w:r w:rsidR="00A27B9D" w:rsidRPr="00C57DF2">
        <w:t xml:space="preserve"> requires the selection of a preferred resolution action, not more than one resolution action</w:t>
      </w:r>
      <w:r w:rsidR="00E86B96" w:rsidRPr="00C57DF2">
        <w:t>.</w:t>
      </w:r>
      <w:r w:rsidR="00A27B9D" w:rsidRPr="00C57DF2">
        <w:t xml:space="preserve"> If this is maintained, it should be clear that the requirements in the Directive with respect to resolvability and the removal of substantial impediments can only be applied to the selected resolution action.</w:t>
      </w:r>
    </w:p>
    <w:p w14:paraId="2D069560" w14:textId="00DC6A6E" w:rsidR="00A27B9D" w:rsidRPr="00C57DF2" w:rsidRDefault="00E86B96" w:rsidP="00974E6F">
      <w:pPr>
        <w:pStyle w:val="Odsekzoznamu"/>
        <w:numPr>
          <w:ilvl w:val="0"/>
          <w:numId w:val="17"/>
        </w:numPr>
        <w:ind w:left="714" w:hanging="357"/>
        <w:contextualSpacing w:val="0"/>
        <w:jc w:val="both"/>
      </w:pPr>
      <w:r w:rsidRPr="00974E6F">
        <w:rPr>
          <w:b/>
          <w:bCs/>
        </w:rPr>
        <w:t xml:space="preserve">Introduction: </w:t>
      </w:r>
      <w:r w:rsidRPr="00C57DF2">
        <w:t>Paragraph 1(5)</w:t>
      </w:r>
      <w:r w:rsidR="00A27B9D" w:rsidRPr="00C57DF2">
        <w:t xml:space="preserve"> should be amended to emphasise that changes to the business structure, which impact business as usual activities, should only be implemented in exceptional circumstances with strong justification and as ultima ratio. </w:t>
      </w:r>
      <w:r w:rsidR="00C22624" w:rsidRPr="00C57DF2">
        <w:t>Ideally, this would be</w:t>
      </w:r>
      <w:r w:rsidR="00A27B9D" w:rsidRPr="00C57DF2">
        <w:t xml:space="preserve"> captured in a separate Guideline to emphasise the importance of the point. The </w:t>
      </w:r>
      <w:r w:rsidR="00C22624" w:rsidRPr="00C57DF2">
        <w:t xml:space="preserve">following </w:t>
      </w:r>
      <w:r w:rsidR="00A27B9D" w:rsidRPr="00C57DF2">
        <w:t>wording is suggested:</w:t>
      </w:r>
    </w:p>
    <w:p w14:paraId="709D5BEA" w14:textId="77777777" w:rsidR="00A27B9D" w:rsidRPr="00C57DF2" w:rsidRDefault="00A27B9D" w:rsidP="00C22624">
      <w:pPr>
        <w:ind w:left="1134"/>
        <w:jc w:val="both"/>
      </w:pPr>
      <w:r w:rsidRPr="00C57DF2">
        <w:t xml:space="preserve">“It is essential to apply the alternative measures in a proportionate manner and as ultima ratio, trying to minimise, limiting, to the maximum extent possible, the interference with the insurance or reinsurance undertakings’ or group’s legal structure and financial or operational strategy. Any such measures require detailed impact assessments clearly demonstrating how the expected benefits to resolvability outweigh any negative impacts, on ongoing operations, policyholder </w:t>
      </w:r>
      <w:r w:rsidRPr="00C57DF2">
        <w:lastRenderedPageBreak/>
        <w:t>protection, financial stability, or the undertaking’s broader economic role. Notwithstanding the right to appeal referred to in Article 15(7) of the IRRD, such assessments should be shared with the undertaking or group to provide an opportunity for appropriate engagement before measures are finalised.”</w:t>
      </w:r>
    </w:p>
    <w:p w14:paraId="5FDC0A41" w14:textId="2FCC1E40" w:rsidR="00A27B9D" w:rsidRPr="00C57DF2" w:rsidRDefault="00C22624" w:rsidP="00974E6F">
      <w:pPr>
        <w:pStyle w:val="Odsekzoznamu"/>
        <w:numPr>
          <w:ilvl w:val="0"/>
          <w:numId w:val="16"/>
        </w:numPr>
        <w:jc w:val="both"/>
      </w:pPr>
      <w:r w:rsidRPr="00974E6F">
        <w:rPr>
          <w:b/>
          <w:bCs/>
        </w:rPr>
        <w:t xml:space="preserve">Introduction: </w:t>
      </w:r>
      <w:r w:rsidRPr="00C57DF2">
        <w:t>Paragraph 1(7)</w:t>
      </w:r>
      <w:r w:rsidR="00FB1A44" w:rsidRPr="00C57DF2">
        <w:t xml:space="preserve"> should be amended as below to make clear that a </w:t>
      </w:r>
      <w:r w:rsidR="00A27B9D" w:rsidRPr="00C57DF2">
        <w:t>company which does not meet the criteria for entry into resolution should not have to address impediments to winding up as part of the IRRD framework</w:t>
      </w:r>
      <w:r w:rsidR="00FB1A44" w:rsidRPr="00C57DF2">
        <w:t>:</w:t>
      </w:r>
    </w:p>
    <w:p w14:paraId="17824F56" w14:textId="19283198" w:rsidR="00A27B9D" w:rsidRPr="00C57DF2" w:rsidRDefault="00FB1A44" w:rsidP="00FB1A44">
      <w:pPr>
        <w:ind w:left="1134"/>
        <w:jc w:val="both"/>
      </w:pPr>
      <w:r w:rsidRPr="00C57DF2">
        <w:t>“</w:t>
      </w:r>
      <w:r w:rsidR="00A27B9D" w:rsidRPr="00C57DF2">
        <w:t>The alternative measures may be applied if they are suitable, necessary and proportionate to address or remove the substantive impediments to the effective implementation of a preferred resolution strategy (and alternative resolution strategy, if applicable).</w:t>
      </w:r>
      <w:r w:rsidRPr="00C57DF2">
        <w:t>”</w:t>
      </w:r>
    </w:p>
    <w:p w14:paraId="16427627" w14:textId="30B88829" w:rsidR="00A27B9D" w:rsidRPr="00974E6F" w:rsidRDefault="00C57DF2" w:rsidP="00974E6F">
      <w:pPr>
        <w:pStyle w:val="Odsekzoznamu"/>
        <w:numPr>
          <w:ilvl w:val="0"/>
          <w:numId w:val="15"/>
        </w:numPr>
        <w:ind w:left="714" w:hanging="357"/>
        <w:contextualSpacing w:val="0"/>
        <w:jc w:val="both"/>
      </w:pPr>
      <w:r w:rsidRPr="00974E6F">
        <w:rPr>
          <w:b/>
          <w:bCs/>
        </w:rPr>
        <w:t xml:space="preserve">Introduction: </w:t>
      </w:r>
      <w:r w:rsidRPr="00974E6F">
        <w:t>Paragraph 1(10)</w:t>
      </w:r>
      <w:r w:rsidR="00AE5F19" w:rsidRPr="00974E6F">
        <w:t xml:space="preserve"> </w:t>
      </w:r>
      <w:r w:rsidR="00A27B9D" w:rsidRPr="00974E6F">
        <w:t>should clearly state that measures must not only be proportionate but also risk based, noting the interactions with Solvency II. Removing impediments to resolvability can potentially be a heavy operational burden with capital impacts, and it would not be proportionate to do so for healthy companies with solid solvency buffers for whom the risk of resolution is very remote.</w:t>
      </w:r>
    </w:p>
    <w:p w14:paraId="46DF0FF7" w14:textId="44B0324A" w:rsidR="00A27B9D" w:rsidRPr="00974E6F" w:rsidRDefault="00AE5F19" w:rsidP="00974E6F">
      <w:pPr>
        <w:pStyle w:val="Odsekzoznamu"/>
        <w:numPr>
          <w:ilvl w:val="0"/>
          <w:numId w:val="15"/>
        </w:numPr>
        <w:ind w:left="714" w:hanging="357"/>
        <w:contextualSpacing w:val="0"/>
        <w:jc w:val="both"/>
        <w:rPr>
          <w:b/>
          <w:bCs/>
        </w:rPr>
      </w:pPr>
      <w:r w:rsidRPr="00974E6F">
        <w:rPr>
          <w:b/>
          <w:bCs/>
        </w:rPr>
        <w:t xml:space="preserve">Guideline 1: </w:t>
      </w:r>
      <w:r w:rsidRPr="00974E6F">
        <w:t xml:space="preserve">The </w:t>
      </w:r>
      <w:r w:rsidR="00A27B9D" w:rsidRPr="00974E6F">
        <w:t>title ‘Alternative resolution strategies’ should be changed to ‘Alternative measures’. The measures referred to in Article 15(5) are not intended to be alternative resolution strategies, but alternative measures to remove substantial impediments to the preferred resolution action.</w:t>
      </w:r>
    </w:p>
    <w:p w14:paraId="69DBC4D6" w14:textId="3F0C0C76" w:rsidR="00A27B9D" w:rsidRPr="00974E6F" w:rsidRDefault="005F00DC" w:rsidP="00974E6F">
      <w:pPr>
        <w:pStyle w:val="Odsekzoznamu"/>
        <w:numPr>
          <w:ilvl w:val="0"/>
          <w:numId w:val="15"/>
        </w:numPr>
        <w:ind w:left="714" w:hanging="357"/>
        <w:contextualSpacing w:val="0"/>
        <w:jc w:val="both"/>
        <w:rPr>
          <w:b/>
          <w:bCs/>
        </w:rPr>
      </w:pPr>
      <w:r w:rsidRPr="00974E6F">
        <w:rPr>
          <w:b/>
          <w:bCs/>
        </w:rPr>
        <w:t xml:space="preserve">Guideline 1: </w:t>
      </w:r>
      <w:r w:rsidRPr="00974E6F">
        <w:t>The examples used in Paragraphs</w:t>
      </w:r>
      <w:r w:rsidR="00A27B9D" w:rsidRPr="00974E6F">
        <w:t xml:space="preserve"> 1</w:t>
      </w:r>
      <w:r w:rsidRPr="00974E6F">
        <w:t>(</w:t>
      </w:r>
      <w:r w:rsidR="00A27B9D" w:rsidRPr="00974E6F">
        <w:t>13</w:t>
      </w:r>
      <w:r w:rsidRPr="00974E6F">
        <w:t>)(</w:t>
      </w:r>
      <w:r w:rsidR="00A27B9D" w:rsidRPr="00974E6F">
        <w:t xml:space="preserve">a) and </w:t>
      </w:r>
      <w:r w:rsidRPr="00974E6F">
        <w:t>(</w:t>
      </w:r>
      <w:r w:rsidR="00A27B9D" w:rsidRPr="00974E6F">
        <w:t>c) imply that mechanisms should exist for loss-absorption beyond the NCWO-level</w:t>
      </w:r>
      <w:r w:rsidR="00435C6D" w:rsidRPr="00974E6F">
        <w:t xml:space="preserve"> and should be reworded to make it clear this is not the case</w:t>
      </w:r>
      <w:r w:rsidR="00A27B9D" w:rsidRPr="00974E6F">
        <w:t>. Such an approach could be interpreted that there might be circumstances in which more loss-absorption should be available within a group than Solvency II capital requirements prescribe, and that group entities could be exposed to more losses than their potential exposure existing prior to entry into resolution. This would raise concerns about consistency with existing prudential standards and the principle of limited liability within groups.</w:t>
      </w:r>
    </w:p>
    <w:p w14:paraId="2F1B2653" w14:textId="3A9DEE23" w:rsidR="00A27B9D" w:rsidRPr="00974E6F" w:rsidRDefault="005B77F8" w:rsidP="00974E6F">
      <w:pPr>
        <w:pStyle w:val="Odsekzoznamu"/>
        <w:numPr>
          <w:ilvl w:val="0"/>
          <w:numId w:val="15"/>
        </w:numPr>
        <w:ind w:left="714" w:hanging="357"/>
        <w:contextualSpacing w:val="0"/>
        <w:jc w:val="both"/>
        <w:rPr>
          <w:b/>
          <w:bCs/>
        </w:rPr>
      </w:pPr>
      <w:r w:rsidRPr="00974E6F">
        <w:rPr>
          <w:b/>
          <w:bCs/>
        </w:rPr>
        <w:t xml:space="preserve">Guideline 1: </w:t>
      </w:r>
      <w:r w:rsidR="00A27B9D" w:rsidRPr="00974E6F">
        <w:t>Para</w:t>
      </w:r>
      <w:r w:rsidR="00AD35F4" w:rsidRPr="00974E6F">
        <w:t>graphs</w:t>
      </w:r>
      <w:r w:rsidR="00A27B9D" w:rsidRPr="00974E6F">
        <w:t xml:space="preserve"> 1</w:t>
      </w:r>
      <w:r w:rsidR="00AD35F4" w:rsidRPr="00974E6F">
        <w:t>(</w:t>
      </w:r>
      <w:r w:rsidR="00A27B9D" w:rsidRPr="00974E6F">
        <w:t>13</w:t>
      </w:r>
      <w:r w:rsidR="00AD35F4" w:rsidRPr="00974E6F">
        <w:t>)(</w:t>
      </w:r>
      <w:r w:rsidR="00A27B9D" w:rsidRPr="00974E6F">
        <w:t>b) and d)</w:t>
      </w:r>
      <w:r w:rsidR="00AD35F4" w:rsidRPr="00974E6F">
        <w:t xml:space="preserve"> require further </w:t>
      </w:r>
      <w:r w:rsidR="00A27B9D" w:rsidRPr="00974E6F">
        <w:t>clarity to be operationally helpful as part of the guidelines.</w:t>
      </w:r>
      <w:r w:rsidR="00C170D1" w:rsidRPr="00974E6F">
        <w:t xml:space="preserve"> There is also no definition of what is “too complicated” an operational structure, considering that many operational structures are chosen based on regulatory, tax, liability, labour and other legal considerations, among others.</w:t>
      </w:r>
      <w:r w:rsidR="00A27B9D" w:rsidRPr="00974E6F">
        <w:t xml:space="preserve"> </w:t>
      </w:r>
      <w:r w:rsidR="00BE70DB" w:rsidRPr="00974E6F">
        <w:t>It is also unclear what a “</w:t>
      </w:r>
      <w:r w:rsidR="00A27B9D" w:rsidRPr="00974E6F">
        <w:t>structure not allowing loss absorption in accordance with general principles governing resolution as a going concern and in resolution</w:t>
      </w:r>
      <w:r w:rsidR="00BE70DB" w:rsidRPr="00974E6F">
        <w:t>” would be in practice</w:t>
      </w:r>
      <w:r w:rsidR="00A27B9D" w:rsidRPr="00974E6F">
        <w:t>.</w:t>
      </w:r>
      <w:r w:rsidR="00A27B9D" w:rsidRPr="00974E6F">
        <w:rPr>
          <w:b/>
          <w:bCs/>
        </w:rPr>
        <w:t xml:space="preserve"> </w:t>
      </w:r>
    </w:p>
    <w:p w14:paraId="3F9A1D29" w14:textId="6AF4F350" w:rsidR="00A27B9D" w:rsidRPr="00974E6F" w:rsidRDefault="00BE70DB" w:rsidP="00974E6F">
      <w:pPr>
        <w:pStyle w:val="Odsekzoznamu"/>
        <w:numPr>
          <w:ilvl w:val="0"/>
          <w:numId w:val="15"/>
        </w:numPr>
        <w:ind w:left="714" w:hanging="357"/>
        <w:contextualSpacing w:val="0"/>
        <w:jc w:val="both"/>
      </w:pPr>
      <w:r w:rsidRPr="00974E6F">
        <w:rPr>
          <w:b/>
          <w:bCs/>
        </w:rPr>
        <w:t xml:space="preserve">Guideline 1: </w:t>
      </w:r>
      <w:r w:rsidRPr="00974E6F">
        <w:t>Paragraph 1(14) should be modified to reflect that SLAs, where required, should be tailored, risk-based, and proportionate to the specific resolution strategy, and that a flexible approach is needed. T</w:t>
      </w:r>
      <w:r w:rsidR="00A27B9D" w:rsidRPr="00974E6F">
        <w:t xml:space="preserve">he drafting upfront of SLAs for all potential resolution scenarios may not be meaningful or proportionate, given the wide variety of circumstances in which resolution might occur. </w:t>
      </w:r>
    </w:p>
    <w:p w14:paraId="1F0473C3" w14:textId="7C5B09B7" w:rsidR="00A27B9D" w:rsidRPr="00974E6F" w:rsidRDefault="008F4064" w:rsidP="00974E6F">
      <w:pPr>
        <w:pStyle w:val="Odsekzoznamu"/>
        <w:numPr>
          <w:ilvl w:val="0"/>
          <w:numId w:val="15"/>
        </w:numPr>
        <w:ind w:left="714" w:hanging="357"/>
        <w:contextualSpacing w:val="0"/>
        <w:jc w:val="both"/>
        <w:rPr>
          <w:b/>
          <w:bCs/>
        </w:rPr>
      </w:pPr>
      <w:r w:rsidRPr="00974E6F">
        <w:rPr>
          <w:b/>
          <w:bCs/>
        </w:rPr>
        <w:t xml:space="preserve">Guideline 3: </w:t>
      </w:r>
      <w:r w:rsidR="00406678" w:rsidRPr="00974E6F">
        <w:t xml:space="preserve">This guideline should include a requirement for the resolution authority to assess the potential economic costs for the group of such an action. </w:t>
      </w:r>
      <w:r w:rsidR="00A27B9D" w:rsidRPr="00974E6F">
        <w:t xml:space="preserve">This guideline </w:t>
      </w:r>
      <w:r w:rsidRPr="00974E6F">
        <w:t>must be implemented proportionately to avoid</w:t>
      </w:r>
      <w:r w:rsidR="00A27B9D" w:rsidRPr="00974E6F">
        <w:t xml:space="preserve"> undermining the fundamental principle of diversification of risk in insurance if not implemented proportionately. Limiting exposures </w:t>
      </w:r>
      <w:r w:rsidR="00A27B9D" w:rsidRPr="00974E6F">
        <w:lastRenderedPageBreak/>
        <w:t>without clear justification may reduce the capacity of undertakings to accept risks. In so doing it has the potential to damage the economic effectiveness of the (re)insurance undertaking and its contribution to the wider economy and internal market for a potential gain in a hypothetical resolution scenario.</w:t>
      </w:r>
      <w:r w:rsidR="00A27B9D" w:rsidRPr="00974E6F">
        <w:rPr>
          <w:b/>
          <w:bCs/>
        </w:rPr>
        <w:t xml:space="preserve"> </w:t>
      </w:r>
    </w:p>
    <w:p w14:paraId="38D6BBB3" w14:textId="4BAD7C54" w:rsidR="00A27B9D" w:rsidRPr="00974E6F" w:rsidRDefault="0090044C" w:rsidP="00974E6F">
      <w:pPr>
        <w:pStyle w:val="Odsekzoznamu"/>
        <w:numPr>
          <w:ilvl w:val="0"/>
          <w:numId w:val="15"/>
        </w:numPr>
        <w:ind w:left="714" w:hanging="357"/>
        <w:contextualSpacing w:val="0"/>
        <w:jc w:val="both"/>
      </w:pPr>
      <w:r w:rsidRPr="00974E6F">
        <w:rPr>
          <w:b/>
          <w:bCs/>
        </w:rPr>
        <w:t xml:space="preserve">Guideline 4: </w:t>
      </w:r>
      <w:r w:rsidRPr="00974E6F">
        <w:t>The guideline should be amended to clarify that it is</w:t>
      </w:r>
      <w:r w:rsidR="00211FB5" w:rsidRPr="00974E6F">
        <w:t xml:space="preserve"> </w:t>
      </w:r>
      <w:r w:rsidR="00A27B9D" w:rsidRPr="00974E6F">
        <w:t xml:space="preserve">essential that authorities ensure that all information already available to the supervisory or resolution authority is used before imposing additional data requests or reporting requirements on companies. </w:t>
      </w:r>
      <w:r w:rsidR="0063134E" w:rsidRPr="00974E6F">
        <w:t>A possible wording would be:</w:t>
      </w:r>
    </w:p>
    <w:p w14:paraId="20EB8AB6" w14:textId="313384AD" w:rsidR="00A27B9D" w:rsidRPr="0063134E" w:rsidRDefault="0063134E" w:rsidP="0063134E">
      <w:pPr>
        <w:ind w:left="1134"/>
        <w:jc w:val="both"/>
      </w:pPr>
      <w:r w:rsidRPr="0063134E">
        <w:t>“</w:t>
      </w:r>
      <w:r w:rsidR="00A27B9D" w:rsidRPr="0063134E">
        <w:t>Resolution authorities should consider imposing additional information requirements, where this information is not already available to the supervisory or resolution authority in some form, when the insurance or reinsurance undertaking is not able to provide up-to-date information required within the timeframe necessary under the preferred resolution strategy.</w:t>
      </w:r>
      <w:r w:rsidRPr="0063134E">
        <w:t>”</w:t>
      </w:r>
    </w:p>
    <w:p w14:paraId="7942F880" w14:textId="38B12648" w:rsidR="00A27B9D" w:rsidRPr="00211FB5" w:rsidRDefault="005D4955" w:rsidP="00974E6F">
      <w:pPr>
        <w:pStyle w:val="Odsekzoznamu"/>
        <w:numPr>
          <w:ilvl w:val="0"/>
          <w:numId w:val="14"/>
        </w:numPr>
        <w:ind w:left="714" w:hanging="357"/>
        <w:contextualSpacing w:val="0"/>
        <w:jc w:val="both"/>
      </w:pPr>
      <w:r w:rsidRPr="009571B3">
        <w:rPr>
          <w:b/>
          <w:bCs/>
        </w:rPr>
        <w:t xml:space="preserve">Guideline 5: </w:t>
      </w:r>
      <w:r w:rsidR="009172C6" w:rsidRPr="00211FB5">
        <w:t xml:space="preserve">In </w:t>
      </w:r>
      <w:r w:rsidR="00A27B9D" w:rsidRPr="00211FB5">
        <w:t>Para</w:t>
      </w:r>
      <w:r w:rsidR="009172C6" w:rsidRPr="00211FB5">
        <w:t>graph</w:t>
      </w:r>
      <w:r w:rsidR="00A27B9D" w:rsidRPr="00211FB5">
        <w:t xml:space="preserve"> 1</w:t>
      </w:r>
      <w:r w:rsidR="00211FB5">
        <w:t>(</w:t>
      </w:r>
      <w:r w:rsidR="00A27B9D" w:rsidRPr="00211FB5">
        <w:t>21</w:t>
      </w:r>
      <w:r w:rsidR="00211FB5">
        <w:t>)</w:t>
      </w:r>
      <w:r w:rsidR="009172C6" w:rsidRPr="00211FB5">
        <w:t>, it should be stated that e</w:t>
      </w:r>
      <w:r w:rsidR="00A27B9D" w:rsidRPr="00211FB5">
        <w:t>xisting liquidity stress tests should be accepted by the resolution authority.</w:t>
      </w:r>
      <w:r w:rsidR="009172C6" w:rsidRPr="00211FB5">
        <w:t xml:space="preserve"> </w:t>
      </w:r>
      <w:r w:rsidR="00A27B9D" w:rsidRPr="00211FB5">
        <w:t xml:space="preserve">The second sentence </w:t>
      </w:r>
      <w:r w:rsidR="009172C6" w:rsidRPr="00211FB5">
        <w:t>should be amended</w:t>
      </w:r>
      <w:r w:rsidR="00211FB5" w:rsidRPr="00211FB5">
        <w:t xml:space="preserve"> or removed</w:t>
      </w:r>
      <w:r w:rsidR="009172C6" w:rsidRPr="00211FB5">
        <w:t xml:space="preserve">. At present, it </w:t>
      </w:r>
      <w:r w:rsidR="00A27B9D" w:rsidRPr="00211FB5">
        <w:t>could apply to all asset classes, except government bonds, given that resolution is likely to occur during period of extreme market stress. Insurers manage their asset portfolios in the interest of policyholders, sometimes aiming to secure an illiquidity premium for their benefit. A sub-optimal asset allocation imposed by the supervisor could undermine these objectives and potentially harm policyholder interests.</w:t>
      </w:r>
    </w:p>
    <w:p w14:paraId="19443971" w14:textId="00616C91" w:rsidR="00A27B9D" w:rsidRPr="00211FB5" w:rsidRDefault="00211FB5" w:rsidP="00974E6F">
      <w:pPr>
        <w:pStyle w:val="Odsekzoznamu"/>
        <w:numPr>
          <w:ilvl w:val="0"/>
          <w:numId w:val="14"/>
        </w:numPr>
        <w:ind w:left="714" w:hanging="357"/>
        <w:contextualSpacing w:val="0"/>
        <w:jc w:val="both"/>
      </w:pPr>
      <w:r w:rsidRPr="009571B3">
        <w:rPr>
          <w:b/>
          <w:bCs/>
        </w:rPr>
        <w:t xml:space="preserve">Guideline 5: </w:t>
      </w:r>
      <w:r w:rsidRPr="00211FB5">
        <w:t xml:space="preserve">In </w:t>
      </w:r>
      <w:r w:rsidR="00A27B9D" w:rsidRPr="00211FB5">
        <w:t>Para</w:t>
      </w:r>
      <w:r w:rsidRPr="00211FB5">
        <w:t>graph</w:t>
      </w:r>
      <w:r w:rsidR="00A27B9D" w:rsidRPr="00211FB5">
        <w:t xml:space="preserve"> 1</w:t>
      </w:r>
      <w:r w:rsidRPr="00211FB5">
        <w:t>(</w:t>
      </w:r>
      <w:r w:rsidR="00A27B9D" w:rsidRPr="00211FB5">
        <w:t>22</w:t>
      </w:r>
      <w:r w:rsidRPr="00211FB5">
        <w:t>), t</w:t>
      </w:r>
      <w:r w:rsidR="00A27B9D" w:rsidRPr="00211FB5">
        <w:t xml:space="preserve">he resolution authority should consider the </w:t>
      </w:r>
      <w:r w:rsidRPr="00211FB5">
        <w:t xml:space="preserve">economic impact of a divestment on the insurance undertaking, in both the short and long term, as well as the </w:t>
      </w:r>
      <w:r w:rsidR="00A27B9D" w:rsidRPr="00211FB5">
        <w:t xml:space="preserve">impact on profit participation of policyholders. </w:t>
      </w:r>
    </w:p>
    <w:p w14:paraId="695C701A" w14:textId="04510265" w:rsidR="00A27B9D" w:rsidRPr="009571B3" w:rsidRDefault="00211FB5" w:rsidP="00974E6F">
      <w:pPr>
        <w:pStyle w:val="Odsekzoznamu"/>
        <w:numPr>
          <w:ilvl w:val="0"/>
          <w:numId w:val="14"/>
        </w:numPr>
        <w:ind w:left="714" w:hanging="357"/>
        <w:contextualSpacing w:val="0"/>
        <w:jc w:val="both"/>
        <w:rPr>
          <w:b/>
          <w:bCs/>
        </w:rPr>
      </w:pPr>
      <w:r w:rsidRPr="009571B3">
        <w:rPr>
          <w:b/>
          <w:bCs/>
        </w:rPr>
        <w:t xml:space="preserve">Guideline 5: </w:t>
      </w:r>
      <w:r w:rsidR="00A27B9D" w:rsidRPr="00355757">
        <w:t>Para</w:t>
      </w:r>
      <w:r w:rsidRPr="00355757">
        <w:t>graph</w:t>
      </w:r>
      <w:r w:rsidR="00A27B9D" w:rsidRPr="00355757">
        <w:t xml:space="preserve"> 1</w:t>
      </w:r>
      <w:r w:rsidRPr="00355757">
        <w:t>(</w:t>
      </w:r>
      <w:r w:rsidR="00A27B9D" w:rsidRPr="00355757">
        <w:t>23</w:t>
      </w:r>
      <w:r w:rsidRPr="00355757">
        <w:t>)</w:t>
      </w:r>
      <w:r w:rsidR="00355757" w:rsidRPr="00355757">
        <w:t xml:space="preserve"> should be amended to clarify </w:t>
      </w:r>
      <w:r w:rsidR="00A27B9D" w:rsidRPr="00355757">
        <w:t>the circumstances in which EIOPA considers that an insurance undertaking or insurance group has insufficient loss-absorbency to execute the preferred resolution strategy. If an insurer is adequately capitalised and meets Solvency II requirements, both at solo and group level, the eligible own funds should be sufficient to absorb all relevant losses. The Solvency II supervisory authority has responsibility to assess if sufficient loss absorbency is available and the basis for an additional assessment of loss absorbing capacity by the resolution authority is unclear.</w:t>
      </w:r>
    </w:p>
    <w:p w14:paraId="1A457D4C" w14:textId="6659E9B8" w:rsidR="00A27B9D" w:rsidRPr="00837990" w:rsidRDefault="00315B4F" w:rsidP="00974E6F">
      <w:pPr>
        <w:pStyle w:val="Odsekzoznamu"/>
        <w:numPr>
          <w:ilvl w:val="0"/>
          <w:numId w:val="14"/>
        </w:numPr>
        <w:ind w:left="714" w:hanging="357"/>
        <w:contextualSpacing w:val="0"/>
        <w:jc w:val="both"/>
      </w:pPr>
      <w:r w:rsidRPr="009571B3">
        <w:rPr>
          <w:b/>
          <w:bCs/>
        </w:rPr>
        <w:t xml:space="preserve">Guideline 5: </w:t>
      </w:r>
      <w:r w:rsidR="00A27B9D" w:rsidRPr="00837990">
        <w:t>Para</w:t>
      </w:r>
      <w:r w:rsidRPr="00837990">
        <w:t>graph</w:t>
      </w:r>
      <w:r w:rsidR="00A27B9D" w:rsidRPr="00837990">
        <w:t xml:space="preserve"> 1</w:t>
      </w:r>
      <w:r w:rsidRPr="00837990">
        <w:t>(</w:t>
      </w:r>
      <w:r w:rsidR="00A27B9D" w:rsidRPr="00837990">
        <w:t>24</w:t>
      </w:r>
      <w:r w:rsidRPr="00837990">
        <w:t>) should be amended to clarify</w:t>
      </w:r>
      <w:r w:rsidR="00837990" w:rsidRPr="00837990">
        <w:t xml:space="preserve"> that </w:t>
      </w:r>
      <w:r w:rsidR="00A27B9D" w:rsidRPr="00837990">
        <w:t xml:space="preserve">the size of derivatives portfolios (used for hedging purposes) </w:t>
      </w:r>
      <w:r w:rsidR="00837990" w:rsidRPr="00837990">
        <w:t xml:space="preserve">is not related to </w:t>
      </w:r>
      <w:r w:rsidR="00A27B9D" w:rsidRPr="00837990">
        <w:t>complexity</w:t>
      </w:r>
      <w:r w:rsidR="00837990" w:rsidRPr="00837990">
        <w:t>. T</w:t>
      </w:r>
      <w:r w:rsidR="00A27B9D" w:rsidRPr="00837990">
        <w:t>hese derivatives are generally used as a risk management tool in a going concern and any concerns would already be addressed by the supervisory authority.</w:t>
      </w:r>
    </w:p>
    <w:p w14:paraId="5CD83587" w14:textId="5768CE1F" w:rsidR="00A27B9D" w:rsidRPr="001D3963" w:rsidRDefault="00B03D71" w:rsidP="00974E6F">
      <w:pPr>
        <w:pStyle w:val="Odsekzoznamu"/>
        <w:numPr>
          <w:ilvl w:val="0"/>
          <w:numId w:val="14"/>
        </w:numPr>
        <w:ind w:left="714" w:hanging="357"/>
        <w:contextualSpacing w:val="0"/>
        <w:jc w:val="both"/>
      </w:pPr>
      <w:r w:rsidRPr="009571B3">
        <w:rPr>
          <w:b/>
          <w:bCs/>
        </w:rPr>
        <w:t>Guid</w:t>
      </w:r>
      <w:r w:rsidR="001D3963" w:rsidRPr="009571B3">
        <w:rPr>
          <w:b/>
          <w:bCs/>
        </w:rPr>
        <w:t>e</w:t>
      </w:r>
      <w:r w:rsidRPr="009571B3">
        <w:rPr>
          <w:b/>
          <w:bCs/>
        </w:rPr>
        <w:t xml:space="preserve">line 8: </w:t>
      </w:r>
      <w:r w:rsidR="00A27B9D" w:rsidRPr="001D3963">
        <w:t>There is significant overlap here with Solvency II requirements (e.g. financial strength of the reinsurance counterparty). This section should be shortened to address points specific to resolution (if any) not already covered by Solvency II.</w:t>
      </w:r>
    </w:p>
    <w:p w14:paraId="6D8A6038" w14:textId="72BBA0FE" w:rsidR="00A27B9D" w:rsidRPr="009571B3" w:rsidRDefault="001D3963" w:rsidP="00974E6F">
      <w:pPr>
        <w:pStyle w:val="Odsekzoznamu"/>
        <w:numPr>
          <w:ilvl w:val="0"/>
          <w:numId w:val="14"/>
        </w:numPr>
        <w:ind w:left="714" w:hanging="357"/>
        <w:contextualSpacing w:val="0"/>
        <w:jc w:val="both"/>
        <w:rPr>
          <w:b/>
          <w:bCs/>
        </w:rPr>
      </w:pPr>
      <w:r w:rsidRPr="009571B3">
        <w:rPr>
          <w:b/>
          <w:bCs/>
        </w:rPr>
        <w:t xml:space="preserve">Guideline 8: </w:t>
      </w:r>
      <w:r w:rsidR="00A27B9D" w:rsidRPr="001D3963">
        <w:t>Para</w:t>
      </w:r>
      <w:r w:rsidRPr="001D3963">
        <w:t>graph</w:t>
      </w:r>
      <w:r w:rsidR="00A27B9D" w:rsidRPr="001D3963">
        <w:t xml:space="preserve"> 1</w:t>
      </w:r>
      <w:r w:rsidRPr="001D3963">
        <w:t>(</w:t>
      </w:r>
      <w:r w:rsidR="00A27B9D" w:rsidRPr="001D3963">
        <w:t>33</w:t>
      </w:r>
      <w:r w:rsidRPr="001D3963">
        <w:t>) should be amended from</w:t>
      </w:r>
      <w:r w:rsidR="00A27B9D" w:rsidRPr="001D3963">
        <w:t xml:space="preserve"> ‘negatively affects’ to ‘poses a substantial impediment to’ for greater clarity that a significant impact is required. Many of the triggering events identified for implementing the measure are linked to scenarios that could occur in a moderately stressed environment. The list could be reconsidered to ensure the option is reserved for more severe and impactful situations.</w:t>
      </w:r>
    </w:p>
    <w:p w14:paraId="686CEA3B" w14:textId="1BE870E8" w:rsidR="00A27B9D" w:rsidRPr="009571B3" w:rsidRDefault="00A27B9D" w:rsidP="00974E6F">
      <w:pPr>
        <w:pStyle w:val="Odsekzoznamu"/>
        <w:numPr>
          <w:ilvl w:val="0"/>
          <w:numId w:val="14"/>
        </w:numPr>
        <w:ind w:left="714" w:hanging="357"/>
        <w:contextualSpacing w:val="0"/>
        <w:jc w:val="both"/>
        <w:rPr>
          <w:b/>
          <w:bCs/>
        </w:rPr>
      </w:pPr>
      <w:r w:rsidRPr="009571B3">
        <w:rPr>
          <w:b/>
          <w:bCs/>
        </w:rPr>
        <w:lastRenderedPageBreak/>
        <w:t>Guideline 9</w:t>
      </w:r>
      <w:r w:rsidR="001D3963" w:rsidRPr="009571B3">
        <w:rPr>
          <w:b/>
          <w:bCs/>
        </w:rPr>
        <w:t>:</w:t>
      </w:r>
      <w:r w:rsidRPr="009571B3">
        <w:rPr>
          <w:b/>
          <w:bCs/>
        </w:rPr>
        <w:t xml:space="preserve"> </w:t>
      </w:r>
      <w:r w:rsidR="009708F2" w:rsidRPr="00634530">
        <w:t>T</w:t>
      </w:r>
      <w:r w:rsidRPr="00634530">
        <w:t xml:space="preserve">his power should </w:t>
      </w:r>
      <w:r w:rsidR="009708F2" w:rsidRPr="00634530">
        <w:t xml:space="preserve">be amended to remove </w:t>
      </w:r>
      <w:r w:rsidRPr="00634530">
        <w:t>the ability to restructure group entities geographically or by business unit in the case of, inter alia, centralised risk management, liquidity management or other key financial functions of the group, noting that Directive (EU) 2025/1 Article 15(5)h) refers to legal and operational separation of critical functions. Some level of complexity should be accepted in case of resolution planning for EU entities belonging to a third country group, for which a resolution plan is in place at group level, outside the EU. The presence of such a set-up should never be cause for restructuring requirements.</w:t>
      </w:r>
    </w:p>
    <w:p w14:paraId="3985AD6F" w14:textId="586F324E" w:rsidR="004A0134" w:rsidRPr="008C5B9F" w:rsidRDefault="00A27B9D" w:rsidP="00974E6F">
      <w:pPr>
        <w:pStyle w:val="Odsekzoznamu"/>
        <w:numPr>
          <w:ilvl w:val="0"/>
          <w:numId w:val="14"/>
        </w:numPr>
        <w:ind w:left="714" w:hanging="357"/>
        <w:contextualSpacing w:val="0"/>
        <w:jc w:val="both"/>
        <w:rPr>
          <w:b/>
          <w:bCs/>
        </w:rPr>
      </w:pPr>
      <w:r w:rsidRPr="009571B3">
        <w:rPr>
          <w:b/>
          <w:bCs/>
        </w:rPr>
        <w:t xml:space="preserve">Guideline </w:t>
      </w:r>
      <w:r w:rsidR="00634530" w:rsidRPr="009571B3">
        <w:rPr>
          <w:b/>
          <w:bCs/>
        </w:rPr>
        <w:t xml:space="preserve">9: </w:t>
      </w:r>
      <w:r w:rsidR="00634530" w:rsidRPr="006D0307">
        <w:t xml:space="preserve">This should be amended to make clear that </w:t>
      </w:r>
      <w:r w:rsidRPr="006D0307">
        <w:t xml:space="preserve">staff retention </w:t>
      </w:r>
      <w:r w:rsidR="00634530" w:rsidRPr="006D0307">
        <w:t xml:space="preserve">and </w:t>
      </w:r>
      <w:r w:rsidRPr="006D0307">
        <w:t>Financial Market Infrastructure (FMI) access</w:t>
      </w:r>
      <w:r w:rsidR="00634530" w:rsidRPr="006D0307">
        <w:t xml:space="preserve"> are not fully in the control of the undertaking</w:t>
      </w:r>
      <w:r w:rsidRPr="006D0307">
        <w:t>. For example, the assurance of availability of key staff to substitute the top management is not realistic from a practical perspective. It is not possible to</w:t>
      </w:r>
      <w:r w:rsidR="004A0134" w:rsidRPr="006D0307">
        <w:t xml:space="preserve"> prevent staff from leaving if they should choose to do so.</w:t>
      </w:r>
    </w:p>
    <w:p w14:paraId="330C164C" w14:textId="77777777" w:rsidR="008C5B9F" w:rsidRPr="00DC069F" w:rsidRDefault="008C5B9F" w:rsidP="008C5B9F">
      <w:pPr>
        <w:pStyle w:val="Odsekzoznamu"/>
        <w:ind w:left="714"/>
        <w:contextualSpacing w:val="0"/>
        <w:jc w:val="both"/>
        <w:rPr>
          <w:b/>
          <w:bCs/>
        </w:rPr>
      </w:pPr>
    </w:p>
    <w:p w14:paraId="4B526B28" w14:textId="4F74B805" w:rsidR="00DC069F" w:rsidRDefault="008C5B9F" w:rsidP="00DC069F">
      <w:pPr>
        <w:jc w:val="both"/>
        <w:rPr>
          <w:b/>
          <w:bCs/>
        </w:rPr>
      </w:pPr>
      <w:r>
        <w:rPr>
          <w:b/>
          <w:bCs/>
        </w:rPr>
        <w:t xml:space="preserve">RTS </w:t>
      </w:r>
      <w:r w:rsidRPr="008C5B9F">
        <w:rPr>
          <w:b/>
          <w:bCs/>
        </w:rPr>
        <w:t xml:space="preserve">on </w:t>
      </w:r>
      <w:r>
        <w:rPr>
          <w:b/>
          <w:bCs/>
        </w:rPr>
        <w:t>f</w:t>
      </w:r>
      <w:r w:rsidRPr="008C5B9F">
        <w:rPr>
          <w:b/>
          <w:bCs/>
        </w:rPr>
        <w:t xml:space="preserve">unctioning of the </w:t>
      </w:r>
      <w:r>
        <w:rPr>
          <w:b/>
          <w:bCs/>
        </w:rPr>
        <w:t>r</w:t>
      </w:r>
      <w:r w:rsidRPr="008C5B9F">
        <w:rPr>
          <w:b/>
          <w:bCs/>
        </w:rPr>
        <w:t xml:space="preserve">esolution </w:t>
      </w:r>
      <w:r>
        <w:rPr>
          <w:b/>
          <w:bCs/>
        </w:rPr>
        <w:t>c</w:t>
      </w:r>
      <w:r w:rsidRPr="008C5B9F">
        <w:rPr>
          <w:b/>
          <w:bCs/>
        </w:rPr>
        <w:t>olleges</w:t>
      </w:r>
    </w:p>
    <w:p w14:paraId="017DD679" w14:textId="6FE806EF" w:rsidR="001958AF" w:rsidRPr="00510E35" w:rsidRDefault="00510E35" w:rsidP="00801365">
      <w:pPr>
        <w:pStyle w:val="Odsekzoznamu"/>
        <w:numPr>
          <w:ilvl w:val="0"/>
          <w:numId w:val="25"/>
        </w:numPr>
        <w:ind w:left="714" w:hanging="357"/>
        <w:contextualSpacing w:val="0"/>
        <w:jc w:val="both"/>
      </w:pPr>
      <w:r w:rsidRPr="00801365">
        <w:rPr>
          <w:b/>
          <w:bCs/>
        </w:rPr>
        <w:t xml:space="preserve">Overall: </w:t>
      </w:r>
      <w:r w:rsidRPr="00510E35">
        <w:t>T</w:t>
      </w:r>
      <w:r w:rsidR="001958AF" w:rsidRPr="00510E35">
        <w:t>he RTS should refer to the “ultimate parent in scope of group supervision” rather than only “ultimate parents” to appropriately reflect recital 25 IRRD that stipulates that “any group treatment for pre-emptive recovery and resolution planning should apply to all group entities subject to group supervision”.</w:t>
      </w:r>
    </w:p>
    <w:p w14:paraId="308AEB05" w14:textId="6485AB21" w:rsidR="001958AF" w:rsidRPr="00801365" w:rsidRDefault="001958AF" w:rsidP="00801365">
      <w:pPr>
        <w:pStyle w:val="Odsekzoznamu"/>
        <w:numPr>
          <w:ilvl w:val="0"/>
          <w:numId w:val="25"/>
        </w:numPr>
        <w:ind w:left="714" w:hanging="357"/>
        <w:contextualSpacing w:val="0"/>
        <w:jc w:val="both"/>
        <w:rPr>
          <w:b/>
          <w:bCs/>
        </w:rPr>
      </w:pPr>
      <w:r w:rsidRPr="00801365">
        <w:rPr>
          <w:b/>
          <w:bCs/>
        </w:rPr>
        <w:t>Article 6</w:t>
      </w:r>
      <w:r w:rsidR="0024588B" w:rsidRPr="00801365">
        <w:rPr>
          <w:b/>
          <w:bCs/>
        </w:rPr>
        <w:t>(</w:t>
      </w:r>
      <w:r w:rsidRPr="00801365">
        <w:rPr>
          <w:b/>
          <w:bCs/>
        </w:rPr>
        <w:t>5</w:t>
      </w:r>
      <w:r w:rsidR="0024588B" w:rsidRPr="00801365">
        <w:rPr>
          <w:b/>
          <w:bCs/>
        </w:rPr>
        <w:t>):</w:t>
      </w:r>
      <w:r w:rsidR="00BC7EC7" w:rsidRPr="00801365">
        <w:rPr>
          <w:b/>
          <w:bCs/>
        </w:rPr>
        <w:t xml:space="preserve"> </w:t>
      </w:r>
      <w:r w:rsidR="00BC7EC7" w:rsidRPr="0066639B">
        <w:t xml:space="preserve">It </w:t>
      </w:r>
      <w:r w:rsidR="0066639B" w:rsidRPr="0066639B">
        <w:t>is paramount</w:t>
      </w:r>
      <w:r w:rsidRPr="0066639B">
        <w:t xml:space="preserve"> </w:t>
      </w:r>
      <w:r w:rsidR="0066639B" w:rsidRPr="0066639B">
        <w:t>that</w:t>
      </w:r>
      <w:r w:rsidRPr="0066639B">
        <w:t xml:space="preserve"> exchange platforms and data channels </w:t>
      </w:r>
      <w:r w:rsidR="0066639B" w:rsidRPr="0066639B">
        <w:t>are</w:t>
      </w:r>
      <w:r w:rsidRPr="0066639B">
        <w:t xml:space="preserve"> secure, given the importance of protecting sensitive company data. However,</w:t>
      </w:r>
      <w:r w:rsidR="0066639B" w:rsidRPr="0066639B">
        <w:t xml:space="preserve"> this article should clarify that</w:t>
      </w:r>
      <w:r w:rsidRPr="0066639B">
        <w:t xml:space="preserve"> this should be done in a way that does not require authorities and companies to spend extensive resources on developing special IRRD communication channels.</w:t>
      </w:r>
    </w:p>
    <w:p w14:paraId="5C66F7D4" w14:textId="75E75025" w:rsidR="001958AF" w:rsidRPr="00623242" w:rsidRDefault="001958AF" w:rsidP="00801365">
      <w:pPr>
        <w:pStyle w:val="Odsekzoznamu"/>
        <w:numPr>
          <w:ilvl w:val="0"/>
          <w:numId w:val="25"/>
        </w:numPr>
        <w:ind w:left="714" w:hanging="357"/>
        <w:contextualSpacing w:val="0"/>
        <w:jc w:val="both"/>
      </w:pPr>
      <w:r w:rsidRPr="00801365">
        <w:rPr>
          <w:b/>
          <w:bCs/>
        </w:rPr>
        <w:t>Article 7.2</w:t>
      </w:r>
      <w:r w:rsidR="00623242" w:rsidRPr="00801365">
        <w:rPr>
          <w:b/>
          <w:bCs/>
        </w:rPr>
        <w:t>:</w:t>
      </w:r>
      <w:r w:rsidRPr="00801365">
        <w:rPr>
          <w:b/>
          <w:bCs/>
        </w:rPr>
        <w:t xml:space="preserve"> </w:t>
      </w:r>
      <w:r w:rsidR="00623242" w:rsidRPr="00623242">
        <w:t xml:space="preserve">At present, this </w:t>
      </w:r>
      <w:r w:rsidRPr="00623242">
        <w:t xml:space="preserve">implies that all relevant information for the development of group resolution plans is provided by the ultimate parent undertaking in scope of group supervision. This contradicts Article 12(2)/12(3) of the IRRD. According to the Directive, resolution authorities should first obtain information from supervisory authorities, and only if such data is unavailable or unsuitable should undertakings be required to provide it directly. Therefore, </w:t>
      </w:r>
      <w:r w:rsidR="00623242" w:rsidRPr="00623242">
        <w:t>the wording</w:t>
      </w:r>
      <w:r w:rsidRPr="00623242">
        <w:t xml:space="preserve"> “provided by the ultimate parent undertaking”</w:t>
      </w:r>
      <w:r w:rsidR="00623242" w:rsidRPr="00623242">
        <w:t xml:space="preserve"> should be removed.</w:t>
      </w:r>
    </w:p>
    <w:p w14:paraId="753E781F" w14:textId="06C4F7C9" w:rsidR="001958AF" w:rsidRPr="00134ACD" w:rsidRDefault="001958AF" w:rsidP="00801365">
      <w:pPr>
        <w:pStyle w:val="Odsekzoznamu"/>
        <w:numPr>
          <w:ilvl w:val="0"/>
          <w:numId w:val="25"/>
        </w:numPr>
        <w:ind w:left="714" w:hanging="357"/>
        <w:contextualSpacing w:val="0"/>
        <w:jc w:val="both"/>
      </w:pPr>
      <w:r w:rsidRPr="00801365">
        <w:rPr>
          <w:b/>
          <w:bCs/>
        </w:rPr>
        <w:t>Article 8</w:t>
      </w:r>
      <w:r w:rsidR="00134ACD" w:rsidRPr="00801365">
        <w:rPr>
          <w:b/>
          <w:bCs/>
        </w:rPr>
        <w:t>(</w:t>
      </w:r>
      <w:r w:rsidRPr="00801365">
        <w:rPr>
          <w:b/>
          <w:bCs/>
        </w:rPr>
        <w:t>1</w:t>
      </w:r>
      <w:r w:rsidR="00134ACD" w:rsidRPr="00801365">
        <w:rPr>
          <w:b/>
          <w:bCs/>
        </w:rPr>
        <w:t>):</w:t>
      </w:r>
      <w:r w:rsidRPr="00801365">
        <w:rPr>
          <w:b/>
          <w:bCs/>
        </w:rPr>
        <w:t xml:space="preserve"> </w:t>
      </w:r>
      <w:r w:rsidRPr="00134ACD">
        <w:t xml:space="preserve">Clarification </w:t>
      </w:r>
      <w:r w:rsidR="00134ACD" w:rsidRPr="00134ACD">
        <w:t xml:space="preserve">should be given </w:t>
      </w:r>
      <w:r w:rsidRPr="00134ACD">
        <w:t>on how it can be ensured that the decisions made at the Resolution College are communicated uniformly within all member states (and possibly also third countries) by the national resolution authorities to the respective group entities</w:t>
      </w:r>
      <w:r w:rsidR="00134ACD" w:rsidRPr="00134ACD">
        <w:t>.</w:t>
      </w:r>
    </w:p>
    <w:p w14:paraId="71A65C37" w14:textId="130AD027" w:rsidR="001958AF" w:rsidRPr="00D574A3" w:rsidRDefault="001958AF" w:rsidP="00801365">
      <w:pPr>
        <w:pStyle w:val="Odsekzoznamu"/>
        <w:numPr>
          <w:ilvl w:val="0"/>
          <w:numId w:val="25"/>
        </w:numPr>
        <w:ind w:left="714" w:hanging="357"/>
        <w:contextualSpacing w:val="0"/>
        <w:jc w:val="both"/>
      </w:pPr>
      <w:r w:rsidRPr="00801365">
        <w:rPr>
          <w:b/>
          <w:bCs/>
        </w:rPr>
        <w:t>Article 13</w:t>
      </w:r>
      <w:r w:rsidR="00D574A3" w:rsidRPr="00801365">
        <w:rPr>
          <w:b/>
          <w:bCs/>
        </w:rPr>
        <w:t>(</w:t>
      </w:r>
      <w:r w:rsidRPr="00801365">
        <w:rPr>
          <w:b/>
          <w:bCs/>
        </w:rPr>
        <w:t>1</w:t>
      </w:r>
      <w:r w:rsidR="00D574A3" w:rsidRPr="00801365">
        <w:rPr>
          <w:b/>
          <w:bCs/>
        </w:rPr>
        <w:t>)(</w:t>
      </w:r>
      <w:r w:rsidRPr="00801365">
        <w:rPr>
          <w:b/>
          <w:bCs/>
        </w:rPr>
        <w:t>e</w:t>
      </w:r>
      <w:r w:rsidR="00D574A3" w:rsidRPr="00801365">
        <w:rPr>
          <w:b/>
          <w:bCs/>
        </w:rPr>
        <w:t>)</w:t>
      </w:r>
      <w:r w:rsidRPr="00801365">
        <w:rPr>
          <w:b/>
          <w:bCs/>
        </w:rPr>
        <w:t xml:space="preserve">: </w:t>
      </w:r>
      <w:r w:rsidRPr="00D574A3">
        <w:t>A summary of the key elements of the resolution plan, including the assessment of resolvability and the identified impediments to resolution, should be shared with the ultimate parent entities in scope of group supervision. This corresponds to the last sentence of Article 9 (6) in Level 1 of the IRRD:</w:t>
      </w:r>
    </w:p>
    <w:p w14:paraId="162C9940" w14:textId="77777777" w:rsidR="001958AF" w:rsidRPr="00D574A3" w:rsidRDefault="001958AF" w:rsidP="00D574A3">
      <w:pPr>
        <w:ind w:left="1134"/>
        <w:jc w:val="both"/>
      </w:pPr>
      <w:r w:rsidRPr="00D574A3">
        <w:t>“The summary of the key elements of the plan shall be disclosed to the insurance or reinsurance undertaking”.</w:t>
      </w:r>
    </w:p>
    <w:p w14:paraId="47FFFC0C" w14:textId="77777777" w:rsidR="001958AF" w:rsidRPr="00801365" w:rsidRDefault="001958AF" w:rsidP="00801365">
      <w:pPr>
        <w:pStyle w:val="Odsekzoznamu"/>
        <w:numPr>
          <w:ilvl w:val="0"/>
          <w:numId w:val="24"/>
        </w:numPr>
        <w:ind w:left="714" w:hanging="357"/>
        <w:contextualSpacing w:val="0"/>
        <w:jc w:val="both"/>
        <w:rPr>
          <w:b/>
          <w:bCs/>
        </w:rPr>
      </w:pPr>
      <w:r w:rsidRPr="00801365">
        <w:rPr>
          <w:b/>
          <w:bCs/>
        </w:rPr>
        <w:t xml:space="preserve">Article 13.3, Article 20.3: </w:t>
      </w:r>
      <w:r w:rsidRPr="004B0D45">
        <w:t xml:space="preserve">Regulations on the discussion of certain joint college decisions with ultimate parent companies in scope of group supervision should be made </w:t>
      </w:r>
      <w:r w:rsidRPr="004B0D45">
        <w:lastRenderedPageBreak/>
        <w:t>mandatory (i.e. “should” should replace “may”) in order to strengthen transparency, accountability and alignment with the responsibilities of the parent entity. Such discussions are essential to ensure that the parent undertaking fully understands the key elements, implications and potential impediments to resolvability.</w:t>
      </w:r>
    </w:p>
    <w:p w14:paraId="4275435B" w14:textId="66097A95" w:rsidR="001958AF" w:rsidRPr="00B40698" w:rsidRDefault="001958AF" w:rsidP="00801365">
      <w:pPr>
        <w:pStyle w:val="Odsekzoznamu"/>
        <w:numPr>
          <w:ilvl w:val="0"/>
          <w:numId w:val="24"/>
        </w:numPr>
        <w:ind w:left="714" w:hanging="357"/>
        <w:contextualSpacing w:val="0"/>
        <w:jc w:val="both"/>
      </w:pPr>
      <w:r w:rsidRPr="00801365">
        <w:rPr>
          <w:b/>
          <w:bCs/>
        </w:rPr>
        <w:t>Article 11</w:t>
      </w:r>
      <w:r w:rsidR="00442AF5" w:rsidRPr="00801365">
        <w:rPr>
          <w:b/>
          <w:bCs/>
        </w:rPr>
        <w:t>(</w:t>
      </w:r>
      <w:r w:rsidRPr="00801365">
        <w:rPr>
          <w:b/>
          <w:bCs/>
        </w:rPr>
        <w:t>1</w:t>
      </w:r>
      <w:r w:rsidR="00442AF5" w:rsidRPr="00801365">
        <w:rPr>
          <w:b/>
          <w:bCs/>
        </w:rPr>
        <w:t>)(</w:t>
      </w:r>
      <w:r w:rsidRPr="00801365">
        <w:rPr>
          <w:b/>
          <w:bCs/>
        </w:rPr>
        <w:t>g</w:t>
      </w:r>
      <w:r w:rsidR="00442AF5" w:rsidRPr="00801365">
        <w:rPr>
          <w:b/>
          <w:bCs/>
        </w:rPr>
        <w:t>)</w:t>
      </w:r>
      <w:r w:rsidRPr="00801365">
        <w:rPr>
          <w:b/>
          <w:bCs/>
        </w:rPr>
        <w:t>, Article 15</w:t>
      </w:r>
      <w:r w:rsidR="00442AF5" w:rsidRPr="00801365">
        <w:rPr>
          <w:b/>
          <w:bCs/>
        </w:rPr>
        <w:t>(</w:t>
      </w:r>
      <w:r w:rsidRPr="00801365">
        <w:rPr>
          <w:b/>
          <w:bCs/>
        </w:rPr>
        <w:t>1</w:t>
      </w:r>
      <w:r w:rsidR="00442AF5" w:rsidRPr="00801365">
        <w:rPr>
          <w:b/>
          <w:bCs/>
        </w:rPr>
        <w:t>)(</w:t>
      </w:r>
      <w:r w:rsidRPr="00801365">
        <w:rPr>
          <w:b/>
          <w:bCs/>
        </w:rPr>
        <w:t>g</w:t>
      </w:r>
      <w:r w:rsidR="00442AF5" w:rsidRPr="00801365">
        <w:rPr>
          <w:b/>
          <w:bCs/>
        </w:rPr>
        <w:t>)</w:t>
      </w:r>
      <w:r w:rsidRPr="00801365">
        <w:rPr>
          <w:b/>
          <w:bCs/>
        </w:rPr>
        <w:t>, Article 22</w:t>
      </w:r>
      <w:r w:rsidR="00442AF5" w:rsidRPr="00801365">
        <w:rPr>
          <w:b/>
          <w:bCs/>
        </w:rPr>
        <w:t>(</w:t>
      </w:r>
      <w:r w:rsidRPr="00801365">
        <w:rPr>
          <w:b/>
          <w:bCs/>
        </w:rPr>
        <w:t>1</w:t>
      </w:r>
      <w:r w:rsidR="00442AF5" w:rsidRPr="00801365">
        <w:rPr>
          <w:b/>
          <w:bCs/>
        </w:rPr>
        <w:t>)(</w:t>
      </w:r>
      <w:r w:rsidRPr="00801365">
        <w:rPr>
          <w:b/>
          <w:bCs/>
        </w:rPr>
        <w:t>h</w:t>
      </w:r>
      <w:r w:rsidR="00442AF5" w:rsidRPr="00801365">
        <w:rPr>
          <w:b/>
          <w:bCs/>
        </w:rPr>
        <w:t>)</w:t>
      </w:r>
      <w:r w:rsidRPr="00801365">
        <w:rPr>
          <w:b/>
          <w:bCs/>
        </w:rPr>
        <w:t xml:space="preserve">: </w:t>
      </w:r>
      <w:r w:rsidR="004B0D45" w:rsidRPr="00B40698">
        <w:t>T</w:t>
      </w:r>
      <w:r w:rsidRPr="00B40698">
        <w:t>he current draft does not sufficiently ensure that the group’s perspective is explicitly taken into account</w:t>
      </w:r>
      <w:r w:rsidR="004B0D45" w:rsidRPr="00B40698">
        <w:t>. These articles should be amended</w:t>
      </w:r>
      <w:r w:rsidRPr="00B40698">
        <w:t xml:space="preserve"> to explicitly require that the group’s perspective is included alongside the views of the authorities consulted. This would enhance transparency, foster a more balanced decision-making process, and strengthen the alignment between resolution authorities and the group entities concerned.</w:t>
      </w:r>
    </w:p>
    <w:p w14:paraId="0D6E1B2B" w14:textId="46F9D583" w:rsidR="00EE0D27" w:rsidRPr="00187D0B" w:rsidRDefault="00EE0D27" w:rsidP="00EE0D27">
      <w:pPr>
        <w:pStyle w:val="Odsekzoznamu"/>
        <w:numPr>
          <w:ilvl w:val="0"/>
          <w:numId w:val="23"/>
        </w:numPr>
        <w:jc w:val="both"/>
        <w:rPr>
          <w:b/>
          <w:bCs/>
        </w:rPr>
      </w:pPr>
      <w:r w:rsidRPr="00187D0B">
        <w:rPr>
          <w:b/>
          <w:bCs/>
        </w:rPr>
        <w:t xml:space="preserve">Section II: </w:t>
      </w:r>
      <w:r w:rsidRPr="00187D0B">
        <w:t>Group resolution plan</w:t>
      </w:r>
      <w:r>
        <w:t>ning</w:t>
      </w:r>
      <w:r w:rsidRPr="00187D0B">
        <w:t>:</w:t>
      </w:r>
    </w:p>
    <w:p w14:paraId="21F256E1" w14:textId="77777777" w:rsidR="001958AF" w:rsidRPr="00ED2E17" w:rsidRDefault="001958AF" w:rsidP="00EE0D27">
      <w:pPr>
        <w:pStyle w:val="Odsekzoznamu"/>
        <w:numPr>
          <w:ilvl w:val="1"/>
          <w:numId w:val="23"/>
        </w:numPr>
        <w:jc w:val="both"/>
      </w:pPr>
      <w:r w:rsidRPr="00ED2E17">
        <w:t>When reaching a joint decision, a “right to rectification” should be established, analogous to Article 7(5) IRRD, which states: “On the basis of a reasoned opinion, the group-level resolution authority should be required, to draw up a revised group pre-emptive resolution plan taking into account the concerns expressed by the resolution authority concerned.”. This would ensure that differing views among authorities could be addressed in a structured manner. However, it is equally important to preserve the group's overall decision-making framework and avoid fragmentation. Therefore, all measures should be taken to preserve group resolution plans in their entirety.</w:t>
      </w:r>
    </w:p>
    <w:p w14:paraId="68FBCD07" w14:textId="77777777" w:rsidR="001958AF" w:rsidRPr="00ED2E17" w:rsidRDefault="001958AF" w:rsidP="00EE0D27">
      <w:pPr>
        <w:pStyle w:val="Odsekzoznamu"/>
        <w:numPr>
          <w:ilvl w:val="1"/>
          <w:numId w:val="23"/>
        </w:numPr>
        <w:jc w:val="both"/>
      </w:pPr>
      <w:r w:rsidRPr="00ED2E17">
        <w:t>In exceptional cases where a group resolution plan is not possible, it should be stated that the resolution colleges are responsible for resolving any inconsistencies between the individual and group resolution plan, rather than the subsidiary or group. Additionally, individual resolution plans at subsidiary level should not result in duplicate reporting requirements for the subsidiary or group.</w:t>
      </w:r>
    </w:p>
    <w:p w14:paraId="29974220" w14:textId="77777777" w:rsidR="00801365" w:rsidRPr="00EE0D27" w:rsidRDefault="00801365" w:rsidP="00801365">
      <w:pPr>
        <w:pStyle w:val="Odsekzoznamu"/>
        <w:ind w:left="1440"/>
        <w:jc w:val="both"/>
        <w:rPr>
          <w:b/>
          <w:bCs/>
          <w:highlight w:val="yellow"/>
        </w:rPr>
      </w:pPr>
    </w:p>
    <w:p w14:paraId="49DCBBCB" w14:textId="4496F77E" w:rsidR="001958AF" w:rsidRPr="00187D0B" w:rsidRDefault="00E96666" w:rsidP="006C4558">
      <w:pPr>
        <w:pStyle w:val="Odsekzoznamu"/>
        <w:numPr>
          <w:ilvl w:val="0"/>
          <w:numId w:val="23"/>
        </w:numPr>
        <w:jc w:val="both"/>
        <w:rPr>
          <w:b/>
          <w:bCs/>
        </w:rPr>
      </w:pPr>
      <w:r w:rsidRPr="00187D0B">
        <w:rPr>
          <w:b/>
          <w:bCs/>
        </w:rPr>
        <w:t xml:space="preserve">Section III: </w:t>
      </w:r>
      <w:r w:rsidR="001958AF" w:rsidRPr="00187D0B">
        <w:t>Group resolution plan versus individual resolution plans:</w:t>
      </w:r>
    </w:p>
    <w:p w14:paraId="6190B7FA" w14:textId="71E1ABEF" w:rsidR="001958AF" w:rsidRPr="00187D0B" w:rsidRDefault="006C4558" w:rsidP="00E96666">
      <w:pPr>
        <w:pStyle w:val="Odsekzoznamu"/>
        <w:numPr>
          <w:ilvl w:val="0"/>
          <w:numId w:val="21"/>
        </w:numPr>
        <w:jc w:val="both"/>
      </w:pPr>
      <w:r w:rsidRPr="00187D0B">
        <w:t xml:space="preserve">It should be clarified how any individual resolution plan required by a </w:t>
      </w:r>
      <w:r w:rsidR="001958AF" w:rsidRPr="00187D0B">
        <w:t>subsidiary authority interacts with the group resolution plan</w:t>
      </w:r>
      <w:r w:rsidRPr="00187D0B">
        <w:t>.</w:t>
      </w:r>
      <w:r w:rsidR="001958AF" w:rsidRPr="00187D0B">
        <w:t xml:space="preserve"> For example, if a group consists of 10 entities and two have individual resolution plan(s), does the group plan continue to keep these two entities in scope?</w:t>
      </w:r>
    </w:p>
    <w:p w14:paraId="7FF1062B" w14:textId="77777777" w:rsidR="00187D0B" w:rsidRPr="00187D0B" w:rsidRDefault="006C4558" w:rsidP="00E96666">
      <w:pPr>
        <w:pStyle w:val="Odsekzoznamu"/>
        <w:numPr>
          <w:ilvl w:val="0"/>
          <w:numId w:val="21"/>
        </w:numPr>
        <w:jc w:val="both"/>
      </w:pPr>
      <w:r w:rsidRPr="00187D0B">
        <w:t>It should be clarified h</w:t>
      </w:r>
      <w:r w:rsidR="001958AF" w:rsidRPr="00187D0B">
        <w:t xml:space="preserve">ow should contradictions between the </w:t>
      </w:r>
      <w:r w:rsidRPr="00187D0B">
        <w:t xml:space="preserve">group and individual </w:t>
      </w:r>
      <w:r w:rsidR="001958AF" w:rsidRPr="00187D0B">
        <w:t>plans be handled</w:t>
      </w:r>
      <w:r w:rsidR="00187D0B" w:rsidRPr="00187D0B">
        <w:t xml:space="preserve">. </w:t>
      </w:r>
      <w:r w:rsidR="001958AF" w:rsidRPr="00187D0B">
        <w:t>If there is one group resolution plan, there is “manoeuvring room” in the event of a resolution. In contrast</w:t>
      </w:r>
      <w:r w:rsidR="00187D0B" w:rsidRPr="00187D0B">
        <w:t>,</w:t>
      </w:r>
      <w:r w:rsidR="001958AF" w:rsidRPr="00187D0B">
        <w:t xml:space="preserve"> if there are separate individual resolution plan(s), there is only one entity in scope, and if it is in resolution, it cannot be rescued by other group companies. </w:t>
      </w:r>
    </w:p>
    <w:p w14:paraId="45AAAB87" w14:textId="00560B02" w:rsidR="001958AF" w:rsidRDefault="00E96666" w:rsidP="00E96666">
      <w:pPr>
        <w:pStyle w:val="Odsekzoznamu"/>
        <w:numPr>
          <w:ilvl w:val="0"/>
          <w:numId w:val="21"/>
        </w:numPr>
        <w:jc w:val="both"/>
      </w:pPr>
      <w:r w:rsidRPr="00187D0B">
        <w:t>It</w:t>
      </w:r>
      <w:r w:rsidR="001958AF" w:rsidRPr="00187D0B">
        <w:t xml:space="preserve"> should be emphasised that individual plans should be in exceptional circumstances only.</w:t>
      </w:r>
    </w:p>
    <w:p w14:paraId="605B2337" w14:textId="77777777" w:rsidR="004A6D18" w:rsidRDefault="004A6D18" w:rsidP="004A6D18">
      <w:pPr>
        <w:jc w:val="both"/>
      </w:pPr>
    </w:p>
    <w:p w14:paraId="236CA257" w14:textId="3A29602B" w:rsidR="004A6D18" w:rsidRDefault="004A6D18" w:rsidP="004A6D18">
      <w:pPr>
        <w:jc w:val="both"/>
        <w:rPr>
          <w:b/>
          <w:bCs/>
        </w:rPr>
      </w:pPr>
      <w:r w:rsidRPr="004A6D18">
        <w:rPr>
          <w:b/>
          <w:bCs/>
        </w:rPr>
        <w:t>ITS on resolution reporting</w:t>
      </w:r>
    </w:p>
    <w:p w14:paraId="5C1006C4" w14:textId="45A73F04" w:rsidR="000D6BF8" w:rsidRPr="00194CE6" w:rsidRDefault="000D6BF8" w:rsidP="00194CE6">
      <w:pPr>
        <w:pStyle w:val="Odsekzoznamu"/>
        <w:numPr>
          <w:ilvl w:val="0"/>
          <w:numId w:val="31"/>
        </w:numPr>
        <w:jc w:val="both"/>
        <w:rPr>
          <w:b/>
          <w:bCs/>
        </w:rPr>
      </w:pPr>
      <w:r w:rsidRPr="00194CE6">
        <w:rPr>
          <w:b/>
          <w:bCs/>
        </w:rPr>
        <w:t>Overall</w:t>
      </w:r>
      <w:r w:rsidR="00A21476" w:rsidRPr="00194CE6">
        <w:rPr>
          <w:b/>
          <w:bCs/>
        </w:rPr>
        <w:t>:</w:t>
      </w:r>
      <w:r w:rsidRPr="00194CE6">
        <w:rPr>
          <w:b/>
          <w:bCs/>
        </w:rPr>
        <w:t xml:space="preserve"> </w:t>
      </w:r>
      <w:r w:rsidR="00A21476" w:rsidRPr="00A21476">
        <w:t>G</w:t>
      </w:r>
      <w:r w:rsidRPr="00A21476">
        <w:t>iven most resolution authorities are at the earliest stages of their work and the information truly required remains unclear, very little data should initially be required via mandatory templates, with a plan to review and add to these as work progresses. This process would be assisted by industry’s proposal for a Stop-the-Clock on the Insurance Recovery and Resolution Directive (IRRD).</w:t>
      </w:r>
    </w:p>
    <w:p w14:paraId="3D44D6EE" w14:textId="04F06116" w:rsidR="000D6BF8" w:rsidRPr="00194CE6" w:rsidRDefault="000D6BF8" w:rsidP="00194CE6">
      <w:pPr>
        <w:pStyle w:val="Odsekzoznamu"/>
        <w:jc w:val="both"/>
      </w:pPr>
      <w:r w:rsidRPr="00194CE6">
        <w:lastRenderedPageBreak/>
        <w:t>In particular:</w:t>
      </w:r>
      <w:r w:rsidR="00194CE6" w:rsidRPr="00194CE6">
        <w:t xml:space="preserve"> </w:t>
      </w:r>
      <w:r w:rsidRPr="00194CE6">
        <w:t>The templates covering critical functions (i.e. IR.07.01 – IR.07.04 and IR.07.06) should be deleted as it is the resolution authority that decides whether the insurance company provide critical functions (see Guidelines on criteria for the identification of critical functions EIOPA-BoS-25-100).</w:t>
      </w:r>
    </w:p>
    <w:p w14:paraId="14F6333E" w14:textId="77777777" w:rsidR="000D6BF8" w:rsidRPr="00194CE6" w:rsidRDefault="000D6BF8" w:rsidP="00194CE6">
      <w:pPr>
        <w:pStyle w:val="Odsekzoznamu"/>
        <w:jc w:val="both"/>
      </w:pPr>
      <w:r w:rsidRPr="00194CE6">
        <w:t>In addition, insurance companies should not assess the level of impact of a function on the financial system and real economy. Instead, this should be done by the resolution authority. The same applies for the assessment of substitutability and market share.</w:t>
      </w:r>
    </w:p>
    <w:p w14:paraId="7D4B504E" w14:textId="7F755AEA" w:rsidR="000D6BF8" w:rsidRPr="00786394" w:rsidRDefault="00FC2FF9" w:rsidP="00786394">
      <w:pPr>
        <w:pStyle w:val="Odsekzoznamu"/>
        <w:numPr>
          <w:ilvl w:val="0"/>
          <w:numId w:val="31"/>
        </w:numPr>
        <w:ind w:left="714" w:hanging="357"/>
        <w:contextualSpacing w:val="0"/>
        <w:jc w:val="both"/>
      </w:pPr>
      <w:r w:rsidRPr="00786394">
        <w:rPr>
          <w:b/>
          <w:bCs/>
        </w:rPr>
        <w:t xml:space="preserve">Overall: </w:t>
      </w:r>
      <w:r w:rsidR="000D6BF8" w:rsidRPr="00786394">
        <w:t>In the section “Background and Analysis”, EIOPA states that based “on Article 12(1) of Directive (EU) 2025/1, insurance and reinsurance undertakings or the ultimate parent undertaking (collectively “insurers”) have to provide the resolution authorities with all information necessary to draw up and implement (group) resolution plans”. This broad statement does not fully reflect the important caveats and limitations foreseen in the Directive. Additional procedural requirements for data collection are clearly defined in Article 12 IRRD and must not be ignored in the ITS. The main requirements are that information is only requested from the undertakings when:</w:t>
      </w:r>
    </w:p>
    <w:p w14:paraId="631639F7" w14:textId="77E6769D" w:rsidR="000D6BF8" w:rsidRPr="00786394" w:rsidRDefault="000D6BF8" w:rsidP="00786394">
      <w:pPr>
        <w:pStyle w:val="Odsekzoznamu"/>
        <w:numPr>
          <w:ilvl w:val="0"/>
          <w:numId w:val="32"/>
        </w:numPr>
        <w:ind w:left="1434"/>
        <w:jc w:val="both"/>
      </w:pPr>
      <w:r w:rsidRPr="00786394">
        <w:t>the information is necessary to draw up and implement (group) resolution plans, and</w:t>
      </w:r>
    </w:p>
    <w:p w14:paraId="2016EB62" w14:textId="269CEE2F" w:rsidR="000D6BF8" w:rsidRPr="00786394" w:rsidRDefault="000D6BF8" w:rsidP="00786394">
      <w:pPr>
        <w:ind w:left="354" w:firstLine="355"/>
        <w:jc w:val="both"/>
      </w:pPr>
      <w:r w:rsidRPr="00786394">
        <w:t>(ii</w:t>
      </w:r>
      <w:r w:rsidR="00FC2FF9" w:rsidRPr="00786394">
        <w:t xml:space="preserve">) </w:t>
      </w:r>
      <w:r w:rsidR="00786394">
        <w:tab/>
      </w:r>
      <w:r w:rsidRPr="00786394">
        <w:t>the information is not already available from the supervisory authority.</w:t>
      </w:r>
    </w:p>
    <w:p w14:paraId="2A50D8DB" w14:textId="71ECB5B1" w:rsidR="000D6BF8" w:rsidRPr="00786394" w:rsidRDefault="000D6BF8" w:rsidP="00353A0D">
      <w:pPr>
        <w:ind w:left="709"/>
        <w:jc w:val="both"/>
        <w:rPr>
          <w:b/>
          <w:bCs/>
        </w:rPr>
      </w:pPr>
      <w:r w:rsidRPr="00786394">
        <w:t xml:space="preserve">In light of this, along with the Commission's objective to reduce regulatory burdens by 25% for all businesses, and the 'once-only' principle, </w:t>
      </w:r>
      <w:r w:rsidR="00604A78" w:rsidRPr="00786394">
        <w:t xml:space="preserve">the ITS should </w:t>
      </w:r>
      <w:r w:rsidRPr="00786394">
        <w:t>provide clear justification for any new reporting requirements on a data item-by-data item basis.</w:t>
      </w:r>
    </w:p>
    <w:p w14:paraId="530F7156" w14:textId="52E5CADF" w:rsidR="000D6BF8" w:rsidRPr="00786394" w:rsidRDefault="00786394" w:rsidP="00786394">
      <w:pPr>
        <w:pStyle w:val="Odsekzoznamu"/>
        <w:numPr>
          <w:ilvl w:val="0"/>
          <w:numId w:val="31"/>
        </w:numPr>
        <w:ind w:left="714" w:hanging="357"/>
        <w:contextualSpacing w:val="0"/>
        <w:jc w:val="both"/>
      </w:pPr>
      <w:r w:rsidRPr="00786394">
        <w:rPr>
          <w:b/>
          <w:bCs/>
        </w:rPr>
        <w:t xml:space="preserve">Overall: </w:t>
      </w:r>
      <w:r w:rsidR="000D6BF8" w:rsidRPr="00786394">
        <w:t xml:space="preserve">the ITS </w:t>
      </w:r>
      <w:r w:rsidRPr="00786394">
        <w:t xml:space="preserve">should be revised </w:t>
      </w:r>
      <w:r w:rsidR="000D6BF8" w:rsidRPr="00786394">
        <w:t>to consider the two distinct information pathways under Article 12 IRRD: firstly, EIOPA being required to “specify procedures and a minimum set of standard forms and templates for the provision of information” and secondly requiring that supervisory authorities provide some of this information. The ITS might also specify how information is exchanged between resolution authorities and supervisory authorities, or between resolution authorities, including cases where the information is already available through Solvency II reporting.</w:t>
      </w:r>
    </w:p>
    <w:p w14:paraId="127BE3B6" w14:textId="3CE425E1" w:rsidR="000D6BF8" w:rsidRPr="00EA47D9" w:rsidRDefault="00EA47D9" w:rsidP="00786394">
      <w:pPr>
        <w:pStyle w:val="Odsekzoznamu"/>
        <w:numPr>
          <w:ilvl w:val="0"/>
          <w:numId w:val="31"/>
        </w:numPr>
        <w:ind w:left="714" w:hanging="357"/>
        <w:contextualSpacing w:val="0"/>
        <w:jc w:val="both"/>
      </w:pPr>
      <w:r w:rsidRPr="00786394">
        <w:rPr>
          <w:b/>
          <w:bCs/>
        </w:rPr>
        <w:t xml:space="preserve">Overall: </w:t>
      </w:r>
      <w:r w:rsidR="000D6BF8" w:rsidRPr="00EA47D9">
        <w:t>the impact assessment disregards that increased costs for insurance companies due to additional reporting ultimately have a negative impact on policyholders, as this (in many cases unnecessary) cost will lead to higher premiums</w:t>
      </w:r>
      <w:r w:rsidRPr="00EA47D9">
        <w:t xml:space="preserve"> and these costs should be reflected in the ITS</w:t>
      </w:r>
      <w:r w:rsidR="000D6BF8" w:rsidRPr="00EA47D9">
        <w:t>.</w:t>
      </w:r>
    </w:p>
    <w:p w14:paraId="4A40D873" w14:textId="33D97BF1" w:rsidR="000D6BF8" w:rsidRPr="00B42576" w:rsidRDefault="00B42576" w:rsidP="007A2C38">
      <w:pPr>
        <w:pStyle w:val="Odsekzoznamu"/>
        <w:numPr>
          <w:ilvl w:val="0"/>
          <w:numId w:val="30"/>
        </w:numPr>
        <w:ind w:left="714" w:hanging="357"/>
        <w:contextualSpacing w:val="0"/>
        <w:jc w:val="both"/>
      </w:pPr>
      <w:r w:rsidRPr="007A2C38">
        <w:rPr>
          <w:b/>
          <w:bCs/>
        </w:rPr>
        <w:t xml:space="preserve">Overall: </w:t>
      </w:r>
      <w:r w:rsidRPr="00B42576">
        <w:t>T</w:t>
      </w:r>
      <w:r w:rsidR="000D6BF8" w:rsidRPr="00B42576">
        <w:t>he ITS should refer to the “ultimate parent in scope of group supervision” rather than “ultimate parents”, to appropriately reflect recital 25 IRRD which stipulates that “any group treatment for pre-emptive recovery and resolution planning should apply to all group entities subject to group supervision”.</w:t>
      </w:r>
    </w:p>
    <w:p w14:paraId="0F5769E5" w14:textId="464E9B83" w:rsidR="000D6BF8" w:rsidRPr="007A2C38" w:rsidRDefault="000D6BF8" w:rsidP="007A2C38">
      <w:pPr>
        <w:pStyle w:val="Odsekzoznamu"/>
        <w:numPr>
          <w:ilvl w:val="0"/>
          <w:numId w:val="30"/>
        </w:numPr>
        <w:ind w:left="714" w:hanging="357"/>
        <w:contextualSpacing w:val="0"/>
        <w:jc w:val="both"/>
        <w:rPr>
          <w:b/>
          <w:bCs/>
        </w:rPr>
      </w:pPr>
      <w:r w:rsidRPr="007A2C38">
        <w:rPr>
          <w:b/>
          <w:bCs/>
        </w:rPr>
        <w:t>Article 1:</w:t>
      </w:r>
      <w:r w:rsidR="00B953A4" w:rsidRPr="007A2C38">
        <w:rPr>
          <w:b/>
          <w:bCs/>
        </w:rPr>
        <w:t xml:space="preserve"> </w:t>
      </w:r>
      <w:r w:rsidRPr="00B953A4">
        <w:t xml:space="preserve">It should be clarified that only companies required to have pre-emptive resolution plans are in the scope of reporting in accordance with the ITS. Under the proposed wording, it seems that all (re)insurance companies and ultimate parent undertakings need to report these templates to the (group) resolution authority, regardless of whether they are in scope of pre-emptive resolution planning and whether they are material for the group. This is not in line with the intended minimum scope and foreseen burden in IRRD regarding resolution planning. Companies not required to have </w:t>
      </w:r>
      <w:r w:rsidRPr="00B953A4">
        <w:lastRenderedPageBreak/>
        <w:t>a pre-emptive resolution plan should only be subject to ad-hoc reporting and not regular IRRD reporting.</w:t>
      </w:r>
    </w:p>
    <w:p w14:paraId="626F05FB" w14:textId="409B6AC5" w:rsidR="000D6BF8" w:rsidRPr="007A2C38" w:rsidRDefault="000D6BF8" w:rsidP="007A2C38">
      <w:pPr>
        <w:pStyle w:val="Odsekzoznamu"/>
        <w:numPr>
          <w:ilvl w:val="0"/>
          <w:numId w:val="30"/>
        </w:numPr>
        <w:ind w:left="714" w:hanging="357"/>
        <w:contextualSpacing w:val="0"/>
        <w:jc w:val="both"/>
        <w:rPr>
          <w:b/>
          <w:bCs/>
        </w:rPr>
      </w:pPr>
      <w:r w:rsidRPr="007A2C38">
        <w:rPr>
          <w:b/>
          <w:bCs/>
        </w:rPr>
        <w:t>Article 1(1):</w:t>
      </w:r>
      <w:r w:rsidR="00B953A4" w:rsidRPr="007A2C38">
        <w:rPr>
          <w:b/>
          <w:bCs/>
        </w:rPr>
        <w:t xml:space="preserve"> </w:t>
      </w:r>
      <w:r w:rsidRPr="00B953A4">
        <w:t xml:space="preserve">The paragraph should </w:t>
      </w:r>
      <w:r w:rsidR="00B953A4" w:rsidRPr="00B953A4">
        <w:t xml:space="preserve">be amended to </w:t>
      </w:r>
      <w:r w:rsidRPr="00B953A4">
        <w:t>“Insurance and reinsurance undertakings and, in the case of groups, the ultimate parent undertaking in scope of group supervision shall submit to the resolution authority, or to the group-level resolution authority, respectively, the information considered necessary by the resolution authority, and not already provided to the supervisory authorities, according to the format specified in the templates set out in Annex I, following the instructions set out in Annex II.” Otherwise, it is not aligned with the actual requirements of the Directive.</w:t>
      </w:r>
    </w:p>
    <w:p w14:paraId="502D7E46" w14:textId="67B0CA9D" w:rsidR="000D6BF8" w:rsidRPr="007A2C38" w:rsidRDefault="000D6BF8" w:rsidP="007A2C38">
      <w:pPr>
        <w:pStyle w:val="Odsekzoznamu"/>
        <w:numPr>
          <w:ilvl w:val="0"/>
          <w:numId w:val="30"/>
        </w:numPr>
        <w:ind w:left="714" w:hanging="357"/>
        <w:contextualSpacing w:val="0"/>
        <w:jc w:val="both"/>
        <w:rPr>
          <w:b/>
          <w:bCs/>
        </w:rPr>
      </w:pPr>
      <w:r w:rsidRPr="007A2C38">
        <w:rPr>
          <w:b/>
          <w:bCs/>
        </w:rPr>
        <w:t>Article 1(2):</w:t>
      </w:r>
      <w:r w:rsidR="00B953A4" w:rsidRPr="007A2C38">
        <w:rPr>
          <w:b/>
          <w:bCs/>
        </w:rPr>
        <w:t xml:space="preserve"> </w:t>
      </w:r>
      <w:r w:rsidRPr="00B907FF">
        <w:t>By default, the reporting requirements should not apply to insurance and reinsurance undertakings that are small and non-complex, except where the resolution authority considers that such an undertaking could represent a particular risk at national or regional level (cf. IRRD Article 9 (2)).</w:t>
      </w:r>
      <w:r w:rsidR="00B907FF" w:rsidRPr="00B907FF">
        <w:t xml:space="preserve"> </w:t>
      </w:r>
      <w:r w:rsidRPr="00B907FF">
        <w:t>If resolution authorities preliminary assess an insurance and reinsurance undertaking could represent a particular risk and could be earmarked for resolution, they can ad hoc request the undertaking to report specific templates to support resolution authorities in their final assessment.</w:t>
      </w:r>
    </w:p>
    <w:p w14:paraId="107F42F7" w14:textId="6B038592" w:rsidR="000D6BF8" w:rsidRPr="000808B9" w:rsidRDefault="000D6BF8" w:rsidP="007A2C38">
      <w:pPr>
        <w:pStyle w:val="Odsekzoznamu"/>
        <w:numPr>
          <w:ilvl w:val="0"/>
          <w:numId w:val="30"/>
        </w:numPr>
        <w:ind w:left="714" w:hanging="357"/>
        <w:contextualSpacing w:val="0"/>
        <w:jc w:val="both"/>
      </w:pPr>
      <w:r w:rsidRPr="007A2C38">
        <w:rPr>
          <w:b/>
          <w:bCs/>
        </w:rPr>
        <w:t>Article 2:</w:t>
      </w:r>
      <w:r w:rsidR="001B5829" w:rsidRPr="007A2C38">
        <w:rPr>
          <w:b/>
          <w:bCs/>
        </w:rPr>
        <w:t xml:space="preserve"> </w:t>
      </w:r>
      <w:r w:rsidRPr="000808B9">
        <w:t>For groups, the current ITS could be interpreted such that – irrespective of any materiality thresholds – information has to be provided for all (re)insurance undertakings, and their respective “service entities”. In particular, information seems to be required in the group templates with respect to undertakings that would not be covered by resolution planning requirements based on Article 9(2) of the IRRD and that are not relevant to the resolution objectives of the group. This should be clarified in the ITS.</w:t>
      </w:r>
    </w:p>
    <w:p w14:paraId="7D38C236" w14:textId="7244DBE5" w:rsidR="000D6BF8" w:rsidRPr="000808B9" w:rsidRDefault="000808B9" w:rsidP="007A2C38">
      <w:pPr>
        <w:pStyle w:val="Odsekzoznamu"/>
        <w:numPr>
          <w:ilvl w:val="0"/>
          <w:numId w:val="30"/>
        </w:numPr>
        <w:ind w:left="714" w:hanging="357"/>
        <w:contextualSpacing w:val="0"/>
        <w:jc w:val="both"/>
      </w:pPr>
      <w:r w:rsidRPr="007A2C38">
        <w:rPr>
          <w:b/>
          <w:bCs/>
        </w:rPr>
        <w:t xml:space="preserve">Article 2: </w:t>
      </w:r>
      <w:r w:rsidR="000D6BF8" w:rsidRPr="000808B9">
        <w:t>The requirement of Article 9(2) that small and non-complex undertakings shall not be subject to resolution planning requirements, except where the resolution authority considers that such an undertaking represents a particular risk at national or regional level, also applies to group resolution plans and must be reflected in the ITS.</w:t>
      </w:r>
    </w:p>
    <w:p w14:paraId="0A26B5BF" w14:textId="29CDF216" w:rsidR="000D6BF8" w:rsidRPr="007A2C38" w:rsidRDefault="000D6BF8" w:rsidP="007A2C38">
      <w:pPr>
        <w:pStyle w:val="Odsekzoznamu"/>
        <w:numPr>
          <w:ilvl w:val="0"/>
          <w:numId w:val="30"/>
        </w:numPr>
        <w:ind w:left="714" w:hanging="357"/>
        <w:contextualSpacing w:val="0"/>
        <w:jc w:val="both"/>
        <w:rPr>
          <w:b/>
          <w:bCs/>
        </w:rPr>
      </w:pPr>
      <w:r w:rsidRPr="007A2C38">
        <w:rPr>
          <w:b/>
          <w:bCs/>
        </w:rPr>
        <w:t>Article 3:</w:t>
      </w:r>
      <w:r w:rsidR="007A2C38" w:rsidRPr="007A2C38">
        <w:rPr>
          <w:b/>
          <w:bCs/>
        </w:rPr>
        <w:t xml:space="preserve"> </w:t>
      </w:r>
      <w:r w:rsidRPr="007A2C38">
        <w:t>The reporting interval being at least every two years is reasonable, given the planning interval. It should be clear that higher reporting frequencies other than in the case of material changes specified in Article 3(3) should be a rare exception, with greater clarity around the conditions under which resolution authorities may require more frequent reporting.</w:t>
      </w:r>
    </w:p>
    <w:p w14:paraId="32EEB09F" w14:textId="3278316D" w:rsidR="000D6BF8" w:rsidRPr="007A2C38" w:rsidRDefault="007A2C38" w:rsidP="007A2C38">
      <w:pPr>
        <w:pStyle w:val="Odsekzoznamu"/>
        <w:numPr>
          <w:ilvl w:val="0"/>
          <w:numId w:val="30"/>
        </w:numPr>
        <w:ind w:left="714" w:hanging="357"/>
        <w:contextualSpacing w:val="0"/>
        <w:jc w:val="both"/>
      </w:pPr>
      <w:r w:rsidRPr="007A2C38">
        <w:rPr>
          <w:b/>
          <w:bCs/>
        </w:rPr>
        <w:t xml:space="preserve">Article 3: </w:t>
      </w:r>
      <w:r w:rsidR="000D6BF8" w:rsidRPr="007A2C38">
        <w:t>The proposed reporting deadline coincides with SII reporting: this could be extended or postponed for resolution reporting (Article 3(1)) to ease the burden on companies. It is questionable if a fixed deadline and frequency should be covered by the ITS at all, as the frequency is related to Article 11 IRRD and not Article 12. Therefore, this is at the discretion of Member States and the resolution authorities.</w:t>
      </w:r>
    </w:p>
    <w:p w14:paraId="09FA930A" w14:textId="254F37E1" w:rsidR="000D6BF8" w:rsidRPr="007A2C38" w:rsidRDefault="007A2C38" w:rsidP="007A2C38">
      <w:pPr>
        <w:pStyle w:val="Odsekzoznamu"/>
        <w:numPr>
          <w:ilvl w:val="0"/>
          <w:numId w:val="30"/>
        </w:numPr>
        <w:ind w:left="714" w:hanging="357"/>
        <w:contextualSpacing w:val="0"/>
        <w:jc w:val="both"/>
      </w:pPr>
      <w:r w:rsidRPr="007A2C38">
        <w:rPr>
          <w:b/>
          <w:bCs/>
        </w:rPr>
        <w:t xml:space="preserve">Article 3: </w:t>
      </w:r>
      <w:r w:rsidR="000D6BF8" w:rsidRPr="007A2C38">
        <w:t xml:space="preserve">It is equally important to ensure an appropriate sequencing for the implementation of the reporting and planning requirements. This should be addressed via the industry’s proposed Stop-the-Clock. However, if this is not done, the first resolution plan should be drawn up by the authorities for the financial year from 1 January to 31 December 2029, based on the recovery plan for the first full financial year 2028. Such a sequencing approach would ensure a balanced and proportionate implementation of the RTS and ITS requirements. Lessons learned from the recovery planning process could be directly applied to the resolution phase, thereby improving the overall quality, </w:t>
      </w:r>
      <w:r w:rsidR="000D6BF8" w:rsidRPr="007A2C38">
        <w:lastRenderedPageBreak/>
        <w:t>consistency, and reliability of both frameworks overall. We consider this sequential approach to be the most efficient and proportionate solution for all stakeholders involved. It would enhance quality, reduce risks and costs, and ultimately strengthen the resilience of both insurers and supervisors</w:t>
      </w:r>
    </w:p>
    <w:p w14:paraId="0D12AA35" w14:textId="5F2093E3" w:rsidR="000D6BF8" w:rsidRPr="007A2C38" w:rsidRDefault="000D6BF8" w:rsidP="007A2C38">
      <w:pPr>
        <w:pStyle w:val="Odsekzoznamu"/>
        <w:numPr>
          <w:ilvl w:val="0"/>
          <w:numId w:val="30"/>
        </w:numPr>
        <w:ind w:left="714" w:hanging="357"/>
        <w:contextualSpacing w:val="0"/>
        <w:jc w:val="both"/>
        <w:rPr>
          <w:b/>
          <w:bCs/>
        </w:rPr>
      </w:pPr>
      <w:r w:rsidRPr="007A2C38">
        <w:rPr>
          <w:b/>
          <w:bCs/>
        </w:rPr>
        <w:t>Article 4:</w:t>
      </w:r>
      <w:r w:rsidR="00AA7037" w:rsidRPr="007A2C38">
        <w:rPr>
          <w:b/>
          <w:bCs/>
        </w:rPr>
        <w:t xml:space="preserve"> </w:t>
      </w:r>
      <w:r w:rsidR="00AA7037" w:rsidRPr="00AA7037">
        <w:t>It should be clarified w</w:t>
      </w:r>
      <w:r w:rsidRPr="00AA7037">
        <w:t>hat constitutes a “material change” that would trigger re-submission of data, and what mechanisms are in place to ensure data quality before initial submission.</w:t>
      </w:r>
    </w:p>
    <w:p w14:paraId="65015065" w14:textId="0918C11E" w:rsidR="000D6BF8" w:rsidRPr="00AA7037" w:rsidRDefault="000D6BF8" w:rsidP="007A2C38">
      <w:pPr>
        <w:pStyle w:val="Odsekzoznamu"/>
        <w:numPr>
          <w:ilvl w:val="0"/>
          <w:numId w:val="30"/>
        </w:numPr>
        <w:ind w:left="714" w:hanging="357"/>
        <w:contextualSpacing w:val="0"/>
        <w:jc w:val="both"/>
      </w:pPr>
      <w:r w:rsidRPr="007A2C38">
        <w:rPr>
          <w:b/>
          <w:bCs/>
        </w:rPr>
        <w:t>Article 5:</w:t>
      </w:r>
      <w:r w:rsidR="00AA7037" w:rsidRPr="007A2C38">
        <w:rPr>
          <w:b/>
          <w:bCs/>
        </w:rPr>
        <w:t xml:space="preserve"> </w:t>
      </w:r>
      <w:r w:rsidRPr="00AA7037">
        <w:t>To avoid potential inconsistencies, this Article should refer to the corresponding formats and specifications defined for Solvency II Quantitative Reporting Templates (QRT) reporting.</w:t>
      </w:r>
    </w:p>
    <w:p w14:paraId="13EDB682" w14:textId="3FE3D133" w:rsidR="000D6BF8" w:rsidRPr="00AA1643" w:rsidRDefault="000D6BF8" w:rsidP="007031FA">
      <w:pPr>
        <w:pStyle w:val="Odsekzoznamu"/>
        <w:numPr>
          <w:ilvl w:val="0"/>
          <w:numId w:val="29"/>
        </w:numPr>
        <w:ind w:left="714" w:hanging="357"/>
        <w:contextualSpacing w:val="0"/>
        <w:jc w:val="both"/>
      </w:pPr>
      <w:r w:rsidRPr="007031FA">
        <w:rPr>
          <w:b/>
          <w:bCs/>
        </w:rPr>
        <w:t>Article 6:</w:t>
      </w:r>
      <w:r w:rsidR="00AA7037" w:rsidRPr="007031FA">
        <w:rPr>
          <w:b/>
          <w:bCs/>
        </w:rPr>
        <w:t xml:space="preserve"> </w:t>
      </w:r>
      <w:r w:rsidRPr="00AA1643">
        <w:t>While the industry understands that resolution authorities must be able to request information necessary for resolution planning, there is inconsistency between:</w:t>
      </w:r>
    </w:p>
    <w:p w14:paraId="217F62E2" w14:textId="77777777" w:rsidR="000D6BF8" w:rsidRPr="00AA1643" w:rsidRDefault="000D6BF8" w:rsidP="00AA1643">
      <w:pPr>
        <w:pStyle w:val="Odsekzoznamu"/>
        <w:numPr>
          <w:ilvl w:val="0"/>
          <w:numId w:val="28"/>
        </w:numPr>
        <w:jc w:val="both"/>
      </w:pPr>
      <w:r w:rsidRPr="00AA1643">
        <w:t>Article 6(1), which states that additional information should be available on request from the insurance company, e.g. if SII data is not available in the appropriate format from supervisory authorities; and</w:t>
      </w:r>
    </w:p>
    <w:p w14:paraId="2F0140C9" w14:textId="77777777" w:rsidR="000D6BF8" w:rsidRPr="007031FA" w:rsidRDefault="000D6BF8" w:rsidP="00AA1643">
      <w:pPr>
        <w:pStyle w:val="Odsekzoznamu"/>
        <w:numPr>
          <w:ilvl w:val="0"/>
          <w:numId w:val="28"/>
        </w:numPr>
        <w:jc w:val="both"/>
        <w:rPr>
          <w:b/>
          <w:bCs/>
        </w:rPr>
      </w:pPr>
      <w:r w:rsidRPr="007031FA">
        <w:t>Article 12(3) of the IRRD, which states that additional information requests to undertakings should be subordinate to requests to supervisory authorities and only used when information is lacking, not merely in an inappropriate format.</w:t>
      </w:r>
    </w:p>
    <w:p w14:paraId="5E1F19D6" w14:textId="48622BDD" w:rsidR="000D6BF8" w:rsidRPr="007031FA" w:rsidRDefault="00AA7037" w:rsidP="007031FA">
      <w:pPr>
        <w:ind w:left="720"/>
        <w:jc w:val="both"/>
      </w:pPr>
      <w:r w:rsidRPr="007031FA">
        <w:t>It should be</w:t>
      </w:r>
      <w:r w:rsidR="000D6BF8" w:rsidRPr="007031FA">
        <w:t xml:space="preserve"> clarifi</w:t>
      </w:r>
      <w:r w:rsidRPr="007031FA">
        <w:t>ed</w:t>
      </w:r>
      <w:r w:rsidR="000D6BF8" w:rsidRPr="007031FA">
        <w:t xml:space="preserve"> that additional information requests to undertakings should be strictly subordinated to requests addressed to supervisory authorities. Undertakings should only be approached in exceptional cases where information is lacking. This would ensure consistency with the IRRD, avoid duplication of reporting channels, and reduce unnecessary administrative burden for undertakings. In case of inappropriate formats, it seems reasonable that resolution authorities adopt the Solvency II formats directly, where available. If resolution authorities want to change the format and structure of the data (e.g., to align with the corresponding banking resolution data), this task should not be assigned to the insurance industry.</w:t>
      </w:r>
    </w:p>
    <w:p w14:paraId="6A2F1722" w14:textId="469BB25A" w:rsidR="000D6BF8" w:rsidRPr="007031FA" w:rsidRDefault="00D151EC" w:rsidP="007031FA">
      <w:pPr>
        <w:pStyle w:val="Odsekzoznamu"/>
        <w:numPr>
          <w:ilvl w:val="0"/>
          <w:numId w:val="29"/>
        </w:numPr>
        <w:ind w:left="714" w:hanging="357"/>
        <w:contextualSpacing w:val="0"/>
        <w:jc w:val="both"/>
        <w:rPr>
          <w:b/>
          <w:bCs/>
        </w:rPr>
      </w:pPr>
      <w:r w:rsidRPr="007031FA">
        <w:rPr>
          <w:b/>
          <w:bCs/>
        </w:rPr>
        <w:t>Article 6:</w:t>
      </w:r>
      <w:r w:rsidRPr="00D151EC">
        <w:t xml:space="preserve"> This article should clarify </w:t>
      </w:r>
      <w:r w:rsidR="000D6BF8" w:rsidRPr="00D151EC">
        <w:t>how resolution authorities will be expected to justify requests for additional information not covered by Annex I, and whether flexibility is allowed in terms of the format and timeline for submitting additional data.</w:t>
      </w:r>
    </w:p>
    <w:p w14:paraId="7915F38A" w14:textId="705AD3A0" w:rsidR="000D6BF8" w:rsidRPr="00876BCE" w:rsidRDefault="000D6BF8" w:rsidP="007031FA">
      <w:pPr>
        <w:pStyle w:val="Odsekzoznamu"/>
        <w:numPr>
          <w:ilvl w:val="0"/>
          <w:numId w:val="29"/>
        </w:numPr>
        <w:ind w:left="714" w:hanging="357"/>
        <w:contextualSpacing w:val="0"/>
        <w:jc w:val="both"/>
      </w:pPr>
      <w:r w:rsidRPr="007031FA">
        <w:rPr>
          <w:b/>
          <w:bCs/>
        </w:rPr>
        <w:t>Article 7:</w:t>
      </w:r>
      <w:r w:rsidR="00876BCE" w:rsidRPr="007031FA">
        <w:rPr>
          <w:b/>
          <w:bCs/>
        </w:rPr>
        <w:t xml:space="preserve"> </w:t>
      </w:r>
      <w:r w:rsidRPr="00876BCE">
        <w:t>It should be clarified that the resolution authority, before requesting additional information from the insurance companies in accordance with Article 6, must request this information from the supervisory authority to see if it has it. This is in line with Article 12(2) and Recital 23 in IRRD. Furthermore, the order of Article 6 and 7 should be reversed to emphasise that the reporting burden for insurance companies should be limited as much as possible.</w:t>
      </w:r>
    </w:p>
    <w:p w14:paraId="5A2CF569" w14:textId="0A614BBC" w:rsidR="000D6BF8" w:rsidRPr="007031FA" w:rsidRDefault="00D151EC" w:rsidP="007031FA">
      <w:pPr>
        <w:pStyle w:val="Odsekzoznamu"/>
        <w:numPr>
          <w:ilvl w:val="0"/>
          <w:numId w:val="29"/>
        </w:numPr>
        <w:ind w:left="714" w:hanging="357"/>
        <w:contextualSpacing w:val="0"/>
        <w:jc w:val="both"/>
        <w:rPr>
          <w:b/>
          <w:bCs/>
        </w:rPr>
      </w:pPr>
      <w:r w:rsidRPr="007031FA">
        <w:rPr>
          <w:b/>
          <w:bCs/>
        </w:rPr>
        <w:t xml:space="preserve">Article 7: </w:t>
      </w:r>
      <w:r w:rsidRPr="00D151EC">
        <w:t>This article should clarify</w:t>
      </w:r>
      <w:r w:rsidR="000D6BF8" w:rsidRPr="00D151EC">
        <w:t xml:space="preserve"> how resolution authorities and supervisory authorities will ensure coordination to avoid duplication of data requests, and further details of the process for verifying whether requested data is already available to supervisory authorities.</w:t>
      </w:r>
    </w:p>
    <w:p w14:paraId="09CF95CA" w14:textId="33F6F4C0" w:rsidR="000D6BF8" w:rsidRPr="007031FA" w:rsidRDefault="00876BCE" w:rsidP="007031FA">
      <w:pPr>
        <w:pStyle w:val="Odsekzoznamu"/>
        <w:numPr>
          <w:ilvl w:val="0"/>
          <w:numId w:val="29"/>
        </w:numPr>
        <w:ind w:left="714" w:hanging="357"/>
        <w:contextualSpacing w:val="0"/>
        <w:jc w:val="both"/>
        <w:rPr>
          <w:b/>
          <w:bCs/>
        </w:rPr>
      </w:pPr>
      <w:r w:rsidRPr="007031FA">
        <w:rPr>
          <w:b/>
          <w:bCs/>
        </w:rPr>
        <w:t xml:space="preserve">Article 7: </w:t>
      </w:r>
      <w:r w:rsidR="000D6BF8" w:rsidRPr="00876BCE">
        <w:t xml:space="preserve">To facilitate the IRRD objective of reducing administrative burdens for undertakings (Recital 13), this article should also mandate cooperation between </w:t>
      </w:r>
      <w:r w:rsidR="000D6BF8" w:rsidRPr="00876BCE">
        <w:lastRenderedPageBreak/>
        <w:t>Resolution Authorities for financial conglomerates. The information provided by the banking head of group of a conglomerate to the banking resolution authority may well be the same as the information required for insurance undertakings. In this context, banking resolution authorities should obtain the information they need, as applicable, from the insurance supervisory and resolution authorities and vice-versa. Cooperation between banking and insurance supervisory and resolution authorities would ensure consistency between the Banking Recovery and Resolution Directive (BRRD) and IRRD analysis.</w:t>
      </w:r>
    </w:p>
    <w:p w14:paraId="6B6B160A" w14:textId="2D678A95" w:rsidR="000D6BF8" w:rsidRPr="003B6D3A" w:rsidRDefault="003B6D3A" w:rsidP="000D6BF8">
      <w:pPr>
        <w:jc w:val="both"/>
      </w:pPr>
      <w:r>
        <w:rPr>
          <w:b/>
          <w:bCs/>
        </w:rPr>
        <w:t xml:space="preserve">Annex II: Templates: </w:t>
      </w:r>
      <w:r w:rsidR="000D6BF8" w:rsidRPr="003B6D3A">
        <w:t>The templates as they stand constitute a comprehensive new data set in addition to existing supervisory reporting, which is not in line with the ongoing simplification agenda.If a standardised data set is to be introduced, it should be explicit that additional inquiries from resolution authorities should be exceptional to help minimise burden.</w:t>
      </w:r>
    </w:p>
    <w:p w14:paraId="06395F45" w14:textId="0FF75FD6" w:rsidR="000D6BF8" w:rsidRPr="003B6D3A" w:rsidRDefault="00C82520" w:rsidP="000D6BF8">
      <w:pPr>
        <w:jc w:val="both"/>
      </w:pPr>
      <w:r w:rsidRPr="003B6D3A">
        <w:t>C</w:t>
      </w:r>
      <w:r w:rsidR="000D6BF8" w:rsidRPr="003B6D3A">
        <w:t xml:space="preserve">omments on single templates </w:t>
      </w:r>
      <w:r w:rsidRPr="003B6D3A">
        <w:t xml:space="preserve">are </w:t>
      </w:r>
      <w:r w:rsidR="000D6BF8" w:rsidRPr="003B6D3A">
        <w:t>in the following table:</w:t>
      </w:r>
    </w:p>
    <w:tbl>
      <w:tblPr>
        <w:tblStyle w:val="Tabukasozoznamom3zvraznenie1"/>
        <w:tblW w:w="0" w:type="auto"/>
        <w:tblLook w:val="04A0" w:firstRow="1" w:lastRow="0" w:firstColumn="1" w:lastColumn="0" w:noHBand="0" w:noVBand="1"/>
      </w:tblPr>
      <w:tblGrid>
        <w:gridCol w:w="1261"/>
        <w:gridCol w:w="2481"/>
        <w:gridCol w:w="5274"/>
      </w:tblGrid>
      <w:tr w:rsidR="00C82520" w:rsidRPr="00AE224A" w14:paraId="4B3C3E6F" w14:textId="77777777" w:rsidTr="00C8252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261" w:type="dxa"/>
          </w:tcPr>
          <w:p w14:paraId="2740FA1A" w14:textId="77777777" w:rsidR="00C82520" w:rsidRPr="00AE224A" w:rsidRDefault="00C82520" w:rsidP="00BE6F4E">
            <w:pPr>
              <w:rPr>
                <w:szCs w:val="17"/>
                <w:lang w:val="en-US"/>
              </w:rPr>
            </w:pPr>
            <w:r w:rsidRPr="00AE224A">
              <w:rPr>
                <w:szCs w:val="17"/>
                <w:lang w:val="en-US"/>
              </w:rPr>
              <w:t>Template code</w:t>
            </w:r>
          </w:p>
        </w:tc>
        <w:tc>
          <w:tcPr>
            <w:tcW w:w="2481" w:type="dxa"/>
          </w:tcPr>
          <w:p w14:paraId="02C77F4E" w14:textId="77777777" w:rsidR="00C82520" w:rsidRPr="00AE224A" w:rsidRDefault="00C82520" w:rsidP="00BE6F4E">
            <w:pPr>
              <w:cnfStyle w:val="100000000000" w:firstRow="1" w:lastRow="0" w:firstColumn="0" w:lastColumn="0" w:oddVBand="0" w:evenVBand="0" w:oddHBand="0" w:evenHBand="0" w:firstRowFirstColumn="0" w:firstRowLastColumn="0" w:lastRowFirstColumn="0" w:lastRowLastColumn="0"/>
              <w:rPr>
                <w:szCs w:val="17"/>
                <w:lang w:val="en-US"/>
              </w:rPr>
            </w:pPr>
            <w:r w:rsidRPr="00AE224A">
              <w:rPr>
                <w:szCs w:val="17"/>
                <w:lang w:val="en-US"/>
              </w:rPr>
              <w:t>Template title</w:t>
            </w:r>
          </w:p>
        </w:tc>
        <w:tc>
          <w:tcPr>
            <w:tcW w:w="5274" w:type="dxa"/>
          </w:tcPr>
          <w:p w14:paraId="3A6B8E3B" w14:textId="77777777" w:rsidR="00C82520" w:rsidRPr="00AE224A" w:rsidRDefault="00C82520" w:rsidP="00BE6F4E">
            <w:pPr>
              <w:cnfStyle w:val="100000000000" w:firstRow="1" w:lastRow="0" w:firstColumn="0" w:lastColumn="0" w:oddVBand="0" w:evenVBand="0" w:oddHBand="0" w:evenHBand="0" w:firstRowFirstColumn="0" w:firstRowLastColumn="0" w:lastRowFirstColumn="0" w:lastRowLastColumn="0"/>
              <w:rPr>
                <w:szCs w:val="17"/>
                <w:lang w:val="en-US"/>
              </w:rPr>
            </w:pPr>
            <w:r w:rsidRPr="00AE224A">
              <w:rPr>
                <w:szCs w:val="17"/>
                <w:lang w:val="en-US"/>
              </w:rPr>
              <w:t>Assessment</w:t>
            </w:r>
          </w:p>
        </w:tc>
      </w:tr>
      <w:tr w:rsidR="00C82520" w:rsidRPr="00AE224A" w14:paraId="4F58918E" w14:textId="77777777" w:rsidTr="00C8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14:paraId="6134005D" w14:textId="77777777" w:rsidR="00C82520" w:rsidRPr="00AE224A" w:rsidRDefault="00C82520" w:rsidP="00BE6F4E">
            <w:pPr>
              <w:rPr>
                <w:b w:val="0"/>
                <w:bCs w:val="0"/>
                <w:szCs w:val="17"/>
                <w:lang w:val="en-US"/>
              </w:rPr>
            </w:pPr>
            <w:r w:rsidRPr="00AE224A">
              <w:rPr>
                <w:szCs w:val="17"/>
                <w:lang w:val="en-US"/>
              </w:rPr>
              <w:t>IR.01.01</w:t>
            </w:r>
          </w:p>
        </w:tc>
        <w:tc>
          <w:tcPr>
            <w:tcW w:w="2481" w:type="dxa"/>
          </w:tcPr>
          <w:p w14:paraId="22FEDA09"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Content of submission</w:t>
            </w:r>
          </w:p>
        </w:tc>
        <w:tc>
          <w:tcPr>
            <w:tcW w:w="5274" w:type="dxa"/>
          </w:tcPr>
          <w:p w14:paraId="25FF547A"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Pr>
                <w:szCs w:val="17"/>
                <w:lang w:val="en-US"/>
              </w:rPr>
              <w:t>No comments</w:t>
            </w:r>
          </w:p>
        </w:tc>
      </w:tr>
      <w:tr w:rsidR="00C82520" w:rsidRPr="00AE224A" w14:paraId="25671AB3" w14:textId="77777777" w:rsidTr="00C82520">
        <w:tc>
          <w:tcPr>
            <w:cnfStyle w:val="001000000000" w:firstRow="0" w:lastRow="0" w:firstColumn="1" w:lastColumn="0" w:oddVBand="0" w:evenVBand="0" w:oddHBand="0" w:evenHBand="0" w:firstRowFirstColumn="0" w:firstRowLastColumn="0" w:lastRowFirstColumn="0" w:lastRowLastColumn="0"/>
            <w:tcW w:w="1261" w:type="dxa"/>
          </w:tcPr>
          <w:p w14:paraId="13D4C822" w14:textId="77777777" w:rsidR="00C82520" w:rsidRPr="00AE224A" w:rsidRDefault="00C82520" w:rsidP="00BE6F4E">
            <w:pPr>
              <w:rPr>
                <w:szCs w:val="17"/>
                <w:lang w:val="en-US"/>
              </w:rPr>
            </w:pPr>
            <w:r w:rsidRPr="00AE224A">
              <w:rPr>
                <w:szCs w:val="17"/>
                <w:lang w:val="en-US"/>
              </w:rPr>
              <w:t>IR.01.02</w:t>
            </w:r>
          </w:p>
        </w:tc>
        <w:tc>
          <w:tcPr>
            <w:tcW w:w="2481" w:type="dxa"/>
          </w:tcPr>
          <w:p w14:paraId="650E8822"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Basis information</w:t>
            </w:r>
          </w:p>
        </w:tc>
        <w:tc>
          <w:tcPr>
            <w:tcW w:w="5274" w:type="dxa"/>
          </w:tcPr>
          <w:p w14:paraId="79895AA3"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highlight w:val="yellow"/>
                <w:lang w:val="en-US"/>
              </w:rPr>
            </w:pPr>
            <w:r w:rsidRPr="00AE224A">
              <w:rPr>
                <w:szCs w:val="17"/>
                <w:lang w:val="en-US"/>
              </w:rPr>
              <w:t xml:space="preserve">The distinction between information provided for an individual undertaking and for insurance group is not clear. Also, the distinction </w:t>
            </w:r>
            <w:r>
              <w:rPr>
                <w:szCs w:val="17"/>
                <w:lang w:val="en-US"/>
              </w:rPr>
              <w:t xml:space="preserve">from </w:t>
            </w:r>
            <w:r w:rsidRPr="00AE224A">
              <w:rPr>
                <w:szCs w:val="17"/>
                <w:lang w:val="en-US"/>
              </w:rPr>
              <w:t>IR.02.01 for individual undertakings is not clear.</w:t>
            </w:r>
          </w:p>
        </w:tc>
      </w:tr>
      <w:tr w:rsidR="00C82520" w:rsidRPr="00AE224A" w14:paraId="3079C18D" w14:textId="77777777" w:rsidTr="00C8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14:paraId="7F7805B0" w14:textId="77777777" w:rsidR="00C82520" w:rsidRPr="00AE224A" w:rsidRDefault="00C82520" w:rsidP="00BE6F4E">
            <w:pPr>
              <w:rPr>
                <w:szCs w:val="17"/>
                <w:lang w:val="en-US"/>
              </w:rPr>
            </w:pPr>
            <w:r w:rsidRPr="00AE224A">
              <w:rPr>
                <w:szCs w:val="17"/>
                <w:lang w:val="en-US"/>
              </w:rPr>
              <w:t>IR.02.01</w:t>
            </w:r>
          </w:p>
        </w:tc>
        <w:tc>
          <w:tcPr>
            <w:tcW w:w="2481" w:type="dxa"/>
          </w:tcPr>
          <w:p w14:paraId="3A7F27C6"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Legal entities</w:t>
            </w:r>
          </w:p>
        </w:tc>
        <w:tc>
          <w:tcPr>
            <w:tcW w:w="5274" w:type="dxa"/>
          </w:tcPr>
          <w:p w14:paraId="3B25B411"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Should largely be available from NSA. Only necessary information not available from NSA should be requested.</w:t>
            </w:r>
          </w:p>
        </w:tc>
      </w:tr>
      <w:tr w:rsidR="00C82520" w:rsidRPr="00AE224A" w14:paraId="0C0E4227" w14:textId="77777777" w:rsidTr="00C82520">
        <w:tc>
          <w:tcPr>
            <w:cnfStyle w:val="001000000000" w:firstRow="0" w:lastRow="0" w:firstColumn="1" w:lastColumn="0" w:oddVBand="0" w:evenVBand="0" w:oddHBand="0" w:evenHBand="0" w:firstRowFirstColumn="0" w:firstRowLastColumn="0" w:lastRowFirstColumn="0" w:lastRowLastColumn="0"/>
            <w:tcW w:w="1261" w:type="dxa"/>
          </w:tcPr>
          <w:p w14:paraId="4A02FBBD" w14:textId="77777777" w:rsidR="00C82520" w:rsidRPr="00AE224A" w:rsidRDefault="00C82520" w:rsidP="00BE6F4E">
            <w:pPr>
              <w:rPr>
                <w:szCs w:val="17"/>
                <w:lang w:val="en-US"/>
              </w:rPr>
            </w:pPr>
            <w:r w:rsidRPr="00AE224A">
              <w:rPr>
                <w:szCs w:val="17"/>
                <w:lang w:val="en-US"/>
              </w:rPr>
              <w:t>IR.02.02</w:t>
            </w:r>
          </w:p>
        </w:tc>
        <w:tc>
          <w:tcPr>
            <w:tcW w:w="2481" w:type="dxa"/>
          </w:tcPr>
          <w:p w14:paraId="6F80605E"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Ownership structure</w:t>
            </w:r>
          </w:p>
        </w:tc>
        <w:tc>
          <w:tcPr>
            <w:tcW w:w="5274" w:type="dxa"/>
          </w:tcPr>
          <w:p w14:paraId="2AFDE6C4" w14:textId="77777777" w:rsidR="00C82520"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Should largely be available from NSA</w:t>
            </w:r>
            <w:r>
              <w:rPr>
                <w:szCs w:val="17"/>
                <w:lang w:val="en-US"/>
              </w:rPr>
              <w:t xml:space="preserve">. </w:t>
            </w:r>
            <w:r w:rsidRPr="00AE224A">
              <w:rPr>
                <w:szCs w:val="17"/>
                <w:lang w:val="en-US"/>
              </w:rPr>
              <w:t xml:space="preserve">Since the threshold for shareholders is very low (more than 2% of share capital) and no threshold is defined for the shareholdings held by the undertaking, completing the template is only possible with considerable effort. It should be examined whether information at this level of granularity is actually necessary for resolution planning. In particular, if some resolution tools are not relevant for an undertaking, the corresponding information might not be necessary. </w:t>
            </w:r>
          </w:p>
          <w:p w14:paraId="698AC757"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874447">
              <w:rPr>
                <w:szCs w:val="17"/>
                <w:lang w:val="en-US"/>
              </w:rPr>
              <w:t xml:space="preserve">If this is the case, </w:t>
            </w:r>
            <w:r>
              <w:rPr>
                <w:szCs w:val="17"/>
                <w:lang w:val="en-US"/>
              </w:rPr>
              <w:t>it would be reasonable to apply</w:t>
            </w:r>
            <w:r w:rsidRPr="00874447">
              <w:rPr>
                <w:szCs w:val="17"/>
                <w:lang w:val="en-US"/>
              </w:rPr>
              <w:t xml:space="preserve"> </w:t>
            </w:r>
            <w:r>
              <w:rPr>
                <w:szCs w:val="17"/>
                <w:lang w:val="en-US"/>
              </w:rPr>
              <w:t xml:space="preserve">a </w:t>
            </w:r>
            <w:r w:rsidRPr="00874447">
              <w:rPr>
                <w:szCs w:val="17"/>
                <w:lang w:val="en-US"/>
              </w:rPr>
              <w:t>10% threshold</w:t>
            </w:r>
            <w:r>
              <w:rPr>
                <w:szCs w:val="17"/>
                <w:lang w:val="en-US"/>
              </w:rPr>
              <w:t>,</w:t>
            </w:r>
            <w:r w:rsidRPr="00874447">
              <w:rPr>
                <w:szCs w:val="17"/>
                <w:lang w:val="en-US"/>
              </w:rPr>
              <w:t xml:space="preserve"> in accordance with Article 13 (21) of the Solvency II Directive (2009/138/EC), which defines the qualifying holding. Given the limited impact and low risk, the industry therefore recommends increasing the threshold to at least 10%, in line with the Solvency II Directive</w:t>
            </w:r>
          </w:p>
        </w:tc>
      </w:tr>
      <w:tr w:rsidR="00C82520" w:rsidRPr="00AE224A" w14:paraId="331559E4" w14:textId="77777777" w:rsidTr="00C8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14:paraId="1A0C9B13" w14:textId="77777777" w:rsidR="00C82520" w:rsidRPr="00AE224A" w:rsidRDefault="00C82520" w:rsidP="00BE6F4E">
            <w:pPr>
              <w:rPr>
                <w:szCs w:val="17"/>
                <w:lang w:val="en-US"/>
              </w:rPr>
            </w:pPr>
            <w:r w:rsidRPr="00AE224A">
              <w:rPr>
                <w:szCs w:val="17"/>
                <w:lang w:val="en-US"/>
              </w:rPr>
              <w:t>IR.03.01</w:t>
            </w:r>
          </w:p>
        </w:tc>
        <w:tc>
          <w:tcPr>
            <w:tcW w:w="2481" w:type="dxa"/>
          </w:tcPr>
          <w:p w14:paraId="70A5F7A0"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Liability structure – Non-insurance</w:t>
            </w:r>
          </w:p>
        </w:tc>
        <w:tc>
          <w:tcPr>
            <w:tcW w:w="5274" w:type="dxa"/>
          </w:tcPr>
          <w:p w14:paraId="2A199928"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General Comments are missing</w:t>
            </w:r>
            <w:r>
              <w:rPr>
                <w:szCs w:val="17"/>
                <w:lang w:val="en-US"/>
              </w:rPr>
              <w:t>.</w:t>
            </w:r>
            <w:r w:rsidRPr="00AE224A">
              <w:rPr>
                <w:szCs w:val="17"/>
                <w:lang w:val="en-US"/>
              </w:rPr>
              <w:t xml:space="preserve"> </w:t>
            </w:r>
            <w:r>
              <w:rPr>
                <w:szCs w:val="17"/>
                <w:lang w:val="en-US"/>
              </w:rPr>
              <w:t>T</w:t>
            </w:r>
            <w:r w:rsidRPr="00AE224A">
              <w:rPr>
                <w:szCs w:val="17"/>
                <w:lang w:val="en-US"/>
              </w:rPr>
              <w:t>herefore</w:t>
            </w:r>
            <w:r>
              <w:rPr>
                <w:szCs w:val="17"/>
                <w:lang w:val="en-US"/>
              </w:rPr>
              <w:t>,</w:t>
            </w:r>
            <w:r w:rsidRPr="00AE224A">
              <w:rPr>
                <w:szCs w:val="17"/>
                <w:lang w:val="en-US"/>
              </w:rPr>
              <w:t xml:space="preserve"> it is difficult to provide an assessment for this template</w:t>
            </w:r>
            <w:r>
              <w:rPr>
                <w:szCs w:val="17"/>
                <w:lang w:val="en-US"/>
              </w:rPr>
              <w:t>.</w:t>
            </w:r>
            <w:r w:rsidRPr="00AE224A">
              <w:rPr>
                <w:szCs w:val="17"/>
                <w:lang w:val="en-US"/>
              </w:rPr>
              <w:t xml:space="preserve"> </w:t>
            </w:r>
            <w:r>
              <w:rPr>
                <w:szCs w:val="17"/>
                <w:lang w:val="en-US"/>
              </w:rPr>
              <w:t>I</w:t>
            </w:r>
            <w:r w:rsidRPr="00AE224A">
              <w:rPr>
                <w:szCs w:val="17"/>
                <w:lang w:val="en-US"/>
              </w:rPr>
              <w:t xml:space="preserve">nformation on liabilities with a maturity of less than 7 days is </w:t>
            </w:r>
            <w:r>
              <w:rPr>
                <w:szCs w:val="17"/>
                <w:lang w:val="en-US"/>
              </w:rPr>
              <w:t xml:space="preserve">not relevant for insurers and not </w:t>
            </w:r>
            <w:r w:rsidRPr="00AE224A">
              <w:rPr>
                <w:szCs w:val="17"/>
                <w:lang w:val="en-US"/>
              </w:rPr>
              <w:t>necessary for resolution planning.</w:t>
            </w:r>
            <w:r>
              <w:rPr>
                <w:szCs w:val="17"/>
                <w:lang w:val="en-US"/>
              </w:rPr>
              <w:t xml:space="preserve"> It should therefore be deleted from the template.</w:t>
            </w:r>
          </w:p>
        </w:tc>
      </w:tr>
      <w:tr w:rsidR="00C82520" w:rsidRPr="00AE224A" w14:paraId="7BD91650" w14:textId="77777777" w:rsidTr="00C82520">
        <w:tc>
          <w:tcPr>
            <w:cnfStyle w:val="001000000000" w:firstRow="0" w:lastRow="0" w:firstColumn="1" w:lastColumn="0" w:oddVBand="0" w:evenVBand="0" w:oddHBand="0" w:evenHBand="0" w:firstRowFirstColumn="0" w:firstRowLastColumn="0" w:lastRowFirstColumn="0" w:lastRowLastColumn="0"/>
            <w:tcW w:w="1261" w:type="dxa"/>
          </w:tcPr>
          <w:p w14:paraId="552648CF" w14:textId="77777777" w:rsidR="00C82520" w:rsidRPr="00AE224A" w:rsidRDefault="00C82520" w:rsidP="00BE6F4E">
            <w:pPr>
              <w:rPr>
                <w:szCs w:val="17"/>
                <w:lang w:val="en-US"/>
              </w:rPr>
            </w:pPr>
            <w:r w:rsidRPr="00AE224A">
              <w:rPr>
                <w:szCs w:val="17"/>
                <w:lang w:val="en-US"/>
              </w:rPr>
              <w:t>IR.03.02</w:t>
            </w:r>
          </w:p>
        </w:tc>
        <w:tc>
          <w:tcPr>
            <w:tcW w:w="2481" w:type="dxa"/>
          </w:tcPr>
          <w:p w14:paraId="38C403E4"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Liability structure – Insurance</w:t>
            </w:r>
          </w:p>
        </w:tc>
        <w:tc>
          <w:tcPr>
            <w:tcW w:w="5274" w:type="dxa"/>
          </w:tcPr>
          <w:p w14:paraId="52D621BC"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 xml:space="preserve"> General Comments are missing</w:t>
            </w:r>
            <w:r>
              <w:rPr>
                <w:szCs w:val="17"/>
                <w:lang w:val="en-US"/>
              </w:rPr>
              <w:t>.</w:t>
            </w:r>
            <w:r w:rsidRPr="00AE224A">
              <w:rPr>
                <w:szCs w:val="17"/>
                <w:lang w:val="en-US"/>
              </w:rPr>
              <w:t xml:space="preserve"> </w:t>
            </w:r>
            <w:r>
              <w:rPr>
                <w:szCs w:val="17"/>
                <w:lang w:val="en-US"/>
              </w:rPr>
              <w:t>T</w:t>
            </w:r>
            <w:r w:rsidRPr="00AE224A">
              <w:rPr>
                <w:szCs w:val="17"/>
                <w:lang w:val="en-US"/>
              </w:rPr>
              <w:t>herefore</w:t>
            </w:r>
            <w:r>
              <w:rPr>
                <w:szCs w:val="17"/>
                <w:lang w:val="en-US"/>
              </w:rPr>
              <w:t>,</w:t>
            </w:r>
            <w:r w:rsidRPr="00AE224A">
              <w:rPr>
                <w:szCs w:val="17"/>
                <w:lang w:val="en-US"/>
              </w:rPr>
              <w:t xml:space="preserve"> it is difficult to provide an assessment for this template</w:t>
            </w:r>
            <w:r>
              <w:rPr>
                <w:szCs w:val="17"/>
                <w:lang w:val="en-US"/>
              </w:rPr>
              <w:t>.</w:t>
            </w:r>
          </w:p>
        </w:tc>
      </w:tr>
      <w:tr w:rsidR="00C82520" w:rsidRPr="00AE224A" w14:paraId="48072584" w14:textId="77777777" w:rsidTr="00C8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14:paraId="523A0647" w14:textId="77777777" w:rsidR="00C82520" w:rsidRPr="00AE224A" w:rsidRDefault="00C82520" w:rsidP="00BE6F4E">
            <w:pPr>
              <w:rPr>
                <w:szCs w:val="17"/>
                <w:lang w:val="en-US"/>
              </w:rPr>
            </w:pPr>
            <w:r w:rsidRPr="00AE224A">
              <w:rPr>
                <w:szCs w:val="17"/>
                <w:lang w:val="en-US"/>
              </w:rPr>
              <w:lastRenderedPageBreak/>
              <w:t>IR.04.01</w:t>
            </w:r>
          </w:p>
        </w:tc>
        <w:tc>
          <w:tcPr>
            <w:tcW w:w="2481" w:type="dxa"/>
          </w:tcPr>
          <w:p w14:paraId="170FBE84"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rPr>
              <w:t>Intragroup financial interconnections</w:t>
            </w:r>
          </w:p>
        </w:tc>
        <w:tc>
          <w:tcPr>
            <w:tcW w:w="5274" w:type="dxa"/>
          </w:tcPr>
          <w:p w14:paraId="520C96EF"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Should largely be available from NSA. Only necessary information not available from NSA should be requested</w:t>
            </w:r>
          </w:p>
        </w:tc>
      </w:tr>
      <w:tr w:rsidR="00C82520" w:rsidRPr="00AE224A" w14:paraId="3A9E7851" w14:textId="77777777" w:rsidTr="00C82520">
        <w:tc>
          <w:tcPr>
            <w:cnfStyle w:val="001000000000" w:firstRow="0" w:lastRow="0" w:firstColumn="1" w:lastColumn="0" w:oddVBand="0" w:evenVBand="0" w:oddHBand="0" w:evenHBand="0" w:firstRowFirstColumn="0" w:firstRowLastColumn="0" w:lastRowFirstColumn="0" w:lastRowLastColumn="0"/>
            <w:tcW w:w="1261" w:type="dxa"/>
          </w:tcPr>
          <w:p w14:paraId="553718DC" w14:textId="77777777" w:rsidR="00C82520" w:rsidRPr="00AE224A" w:rsidRDefault="00C82520" w:rsidP="00BE6F4E">
            <w:pPr>
              <w:rPr>
                <w:szCs w:val="17"/>
                <w:lang w:val="en-US"/>
              </w:rPr>
            </w:pPr>
            <w:r w:rsidRPr="00AE224A">
              <w:rPr>
                <w:szCs w:val="17"/>
                <w:lang w:val="en-US"/>
              </w:rPr>
              <w:t>IR.05.01</w:t>
            </w:r>
          </w:p>
        </w:tc>
        <w:tc>
          <w:tcPr>
            <w:tcW w:w="2481" w:type="dxa"/>
          </w:tcPr>
          <w:p w14:paraId="3DC19CF1"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rPr>
              <w:t>Major liability counterparties</w:t>
            </w:r>
          </w:p>
        </w:tc>
        <w:tc>
          <w:tcPr>
            <w:tcW w:w="5274" w:type="dxa"/>
          </w:tcPr>
          <w:p w14:paraId="47AEAE67"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It should be clarified that only the 10 major counterparties are to be included in the template.</w:t>
            </w:r>
          </w:p>
          <w:p w14:paraId="136591FE"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 xml:space="preserve">It remains unclear what is meant by insolvency ranking in C0100. Such a rating is not available in </w:t>
            </w:r>
            <w:r>
              <w:rPr>
                <w:szCs w:val="17"/>
                <w:lang w:val="en-US"/>
              </w:rPr>
              <w:t xml:space="preserve">e.g. </w:t>
            </w:r>
            <w:r w:rsidRPr="00AE224A">
              <w:rPr>
                <w:szCs w:val="17"/>
                <w:lang w:val="en-US"/>
              </w:rPr>
              <w:t>Germany.</w:t>
            </w:r>
          </w:p>
        </w:tc>
      </w:tr>
      <w:tr w:rsidR="00C82520" w:rsidRPr="00AE224A" w14:paraId="4C3C903C" w14:textId="77777777" w:rsidTr="00C8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14:paraId="6C7A9A5C" w14:textId="77777777" w:rsidR="00C82520" w:rsidRPr="00AE224A" w:rsidRDefault="00C82520" w:rsidP="00BE6F4E">
            <w:pPr>
              <w:rPr>
                <w:szCs w:val="17"/>
                <w:lang w:val="en-US"/>
              </w:rPr>
            </w:pPr>
            <w:r w:rsidRPr="00AE224A">
              <w:rPr>
                <w:szCs w:val="17"/>
                <w:lang w:val="en-US"/>
              </w:rPr>
              <w:t>IR.05.02</w:t>
            </w:r>
          </w:p>
        </w:tc>
        <w:tc>
          <w:tcPr>
            <w:tcW w:w="2481" w:type="dxa"/>
          </w:tcPr>
          <w:p w14:paraId="36809A95"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Major off-balance sheet counterparties</w:t>
            </w:r>
          </w:p>
        </w:tc>
        <w:tc>
          <w:tcPr>
            <w:tcW w:w="5274" w:type="dxa"/>
          </w:tcPr>
          <w:p w14:paraId="7EB713FA"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 xml:space="preserve">Should largely be available from NSA: </w:t>
            </w:r>
          </w:p>
          <w:p w14:paraId="50865375"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 xml:space="preserve">It should be clarified that only the 10 major counterparties are to be included in the template. It remains unclear what is meant by insolvency ranking in C0100. Such a rating is not available in </w:t>
            </w:r>
            <w:r>
              <w:rPr>
                <w:szCs w:val="17"/>
                <w:lang w:val="en-US"/>
              </w:rPr>
              <w:t xml:space="preserve">e.g. </w:t>
            </w:r>
            <w:r w:rsidRPr="00AE224A">
              <w:rPr>
                <w:szCs w:val="17"/>
                <w:lang w:val="en-US"/>
              </w:rPr>
              <w:t>Germany.</w:t>
            </w:r>
          </w:p>
        </w:tc>
      </w:tr>
      <w:tr w:rsidR="00C82520" w:rsidRPr="00AE224A" w14:paraId="31D03D7E" w14:textId="77777777" w:rsidTr="00C82520">
        <w:tc>
          <w:tcPr>
            <w:cnfStyle w:val="001000000000" w:firstRow="0" w:lastRow="0" w:firstColumn="1" w:lastColumn="0" w:oddVBand="0" w:evenVBand="0" w:oddHBand="0" w:evenHBand="0" w:firstRowFirstColumn="0" w:firstRowLastColumn="0" w:lastRowFirstColumn="0" w:lastRowLastColumn="0"/>
            <w:tcW w:w="1261" w:type="dxa"/>
          </w:tcPr>
          <w:p w14:paraId="4A763ABE" w14:textId="77777777" w:rsidR="00C82520" w:rsidRPr="00AE224A" w:rsidRDefault="00C82520" w:rsidP="00BE6F4E">
            <w:pPr>
              <w:rPr>
                <w:szCs w:val="17"/>
                <w:lang w:val="en-US"/>
              </w:rPr>
            </w:pPr>
            <w:r w:rsidRPr="00AE224A">
              <w:rPr>
                <w:szCs w:val="17"/>
                <w:lang w:val="en-US"/>
              </w:rPr>
              <w:t>IR.06.01</w:t>
            </w:r>
          </w:p>
        </w:tc>
        <w:tc>
          <w:tcPr>
            <w:tcW w:w="2481" w:type="dxa"/>
          </w:tcPr>
          <w:p w14:paraId="34B868E9"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Insurance guarantee schemes - per line of business</w:t>
            </w:r>
          </w:p>
        </w:tc>
        <w:tc>
          <w:tcPr>
            <w:tcW w:w="5274" w:type="dxa"/>
          </w:tcPr>
          <w:p w14:paraId="219D7CFA"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Pr>
                <w:szCs w:val="17"/>
                <w:lang w:val="en-US"/>
              </w:rPr>
              <w:t>Should largely be available from NSA.</w:t>
            </w:r>
          </w:p>
        </w:tc>
      </w:tr>
      <w:tr w:rsidR="00C82520" w:rsidRPr="00AE224A" w14:paraId="1CF9FA2C" w14:textId="77777777" w:rsidTr="00C8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14:paraId="1CD3C6DE" w14:textId="77777777" w:rsidR="00C82520" w:rsidRPr="00AE224A" w:rsidRDefault="00C82520" w:rsidP="00BE6F4E">
            <w:pPr>
              <w:rPr>
                <w:szCs w:val="17"/>
                <w:lang w:val="en-US"/>
              </w:rPr>
            </w:pPr>
            <w:r w:rsidRPr="00AE224A">
              <w:rPr>
                <w:szCs w:val="17"/>
                <w:lang w:val="en-US"/>
              </w:rPr>
              <w:t>IR.07.01</w:t>
            </w:r>
          </w:p>
        </w:tc>
        <w:tc>
          <w:tcPr>
            <w:tcW w:w="2481" w:type="dxa"/>
          </w:tcPr>
          <w:p w14:paraId="0381000E"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Critical functions - Insurance (Life and Non-life)</w:t>
            </w:r>
          </w:p>
        </w:tc>
        <w:tc>
          <w:tcPr>
            <w:tcW w:w="5274" w:type="dxa"/>
          </w:tcPr>
          <w:p w14:paraId="06EBBE8E"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Pr>
                <w:szCs w:val="17"/>
                <w:lang w:val="en-US"/>
              </w:rPr>
              <w:t xml:space="preserve">Should be deleted. </w:t>
            </w:r>
            <w:r w:rsidRPr="00AE224A">
              <w:rPr>
                <w:szCs w:val="17"/>
                <w:lang w:val="en-US"/>
              </w:rPr>
              <w:t xml:space="preserve">The added value of a self-assessment of impact </w:t>
            </w:r>
            <w:r>
              <w:rPr>
                <w:szCs w:val="17"/>
                <w:lang w:val="en-US"/>
              </w:rPr>
              <w:t xml:space="preserve">on the </w:t>
            </w:r>
            <w:r w:rsidRPr="00AE224A">
              <w:rPr>
                <w:szCs w:val="17"/>
                <w:lang w:val="en-US"/>
              </w:rPr>
              <w:t xml:space="preserve">financial system, on </w:t>
            </w:r>
            <w:r>
              <w:rPr>
                <w:szCs w:val="17"/>
                <w:lang w:val="en-US"/>
              </w:rPr>
              <w:t xml:space="preserve">the </w:t>
            </w:r>
            <w:r w:rsidRPr="00AE224A">
              <w:rPr>
                <w:szCs w:val="17"/>
                <w:lang w:val="en-US"/>
              </w:rPr>
              <w:t>real economy and of substitutability is questionable. Such an assessment can only reasonably be conducted at the industry level</w:t>
            </w:r>
            <w:r>
              <w:rPr>
                <w:szCs w:val="17"/>
                <w:lang w:val="en-US"/>
              </w:rPr>
              <w:t xml:space="preserve"> by the RA</w:t>
            </w:r>
            <w:r w:rsidRPr="00AE224A">
              <w:rPr>
                <w:szCs w:val="17"/>
                <w:lang w:val="en-US"/>
              </w:rPr>
              <w:t xml:space="preserve"> and requires the availability of all relevant industry data. Therefore, if the RA requires this information, it should be derived from information </w:t>
            </w:r>
            <w:r>
              <w:rPr>
                <w:szCs w:val="17"/>
                <w:lang w:val="en-US"/>
              </w:rPr>
              <w:t xml:space="preserve">held by </w:t>
            </w:r>
            <w:r w:rsidRPr="00AE224A">
              <w:rPr>
                <w:szCs w:val="17"/>
                <w:lang w:val="en-US"/>
              </w:rPr>
              <w:t>the NCA, without requesting additional information from undertakings.</w:t>
            </w:r>
          </w:p>
        </w:tc>
      </w:tr>
      <w:tr w:rsidR="00C82520" w:rsidRPr="00AE224A" w14:paraId="32F51499" w14:textId="77777777" w:rsidTr="00C82520">
        <w:tc>
          <w:tcPr>
            <w:cnfStyle w:val="001000000000" w:firstRow="0" w:lastRow="0" w:firstColumn="1" w:lastColumn="0" w:oddVBand="0" w:evenVBand="0" w:oddHBand="0" w:evenHBand="0" w:firstRowFirstColumn="0" w:firstRowLastColumn="0" w:lastRowFirstColumn="0" w:lastRowLastColumn="0"/>
            <w:tcW w:w="1261" w:type="dxa"/>
          </w:tcPr>
          <w:p w14:paraId="3CFF2062" w14:textId="77777777" w:rsidR="00C82520" w:rsidRPr="00AE224A" w:rsidRDefault="00C82520" w:rsidP="00BE6F4E">
            <w:pPr>
              <w:rPr>
                <w:szCs w:val="17"/>
                <w:lang w:val="en-US"/>
              </w:rPr>
            </w:pPr>
            <w:r w:rsidRPr="00AE224A">
              <w:rPr>
                <w:szCs w:val="17"/>
                <w:lang w:val="en-US"/>
              </w:rPr>
              <w:t>IR.07.02</w:t>
            </w:r>
          </w:p>
        </w:tc>
        <w:tc>
          <w:tcPr>
            <w:tcW w:w="2481" w:type="dxa"/>
          </w:tcPr>
          <w:p w14:paraId="228A247F"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 xml:space="preserve">Critical functions - Non-Insurance </w:t>
            </w:r>
          </w:p>
          <w:p w14:paraId="28A6EE43"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functions</w:t>
            </w:r>
          </w:p>
        </w:tc>
        <w:tc>
          <w:tcPr>
            <w:tcW w:w="5274" w:type="dxa"/>
          </w:tcPr>
          <w:p w14:paraId="270F36D1" w14:textId="77777777" w:rsidR="00C82520"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Pr>
                <w:szCs w:val="17"/>
                <w:lang w:val="en-US"/>
              </w:rPr>
              <w:t xml:space="preserve">Should be deleted. </w:t>
            </w:r>
            <w:r w:rsidRPr="00AE224A">
              <w:rPr>
                <w:szCs w:val="17"/>
                <w:lang w:val="en-US"/>
              </w:rPr>
              <w:t xml:space="preserve">The added value of a self-assessment of impact </w:t>
            </w:r>
            <w:r>
              <w:rPr>
                <w:szCs w:val="17"/>
                <w:lang w:val="en-US"/>
              </w:rPr>
              <w:t xml:space="preserve">on the </w:t>
            </w:r>
            <w:r w:rsidRPr="00AE224A">
              <w:rPr>
                <w:szCs w:val="17"/>
                <w:lang w:val="en-US"/>
              </w:rPr>
              <w:t xml:space="preserve">financial system, on </w:t>
            </w:r>
            <w:r>
              <w:rPr>
                <w:szCs w:val="17"/>
                <w:lang w:val="en-US"/>
              </w:rPr>
              <w:t xml:space="preserve">the </w:t>
            </w:r>
            <w:r w:rsidRPr="00AE224A">
              <w:rPr>
                <w:szCs w:val="17"/>
                <w:lang w:val="en-US"/>
              </w:rPr>
              <w:t xml:space="preserve">real economy and of substitutability is questionable. Such an assessment can only reasonably be conducted at the industry level </w:t>
            </w:r>
            <w:r>
              <w:rPr>
                <w:szCs w:val="17"/>
                <w:lang w:val="en-US"/>
              </w:rPr>
              <w:t xml:space="preserve">by the RA </w:t>
            </w:r>
            <w:r w:rsidRPr="00AE224A">
              <w:rPr>
                <w:szCs w:val="17"/>
                <w:lang w:val="en-US"/>
              </w:rPr>
              <w:t>and requires the availability of all relevant industry data.</w:t>
            </w:r>
          </w:p>
          <w:p w14:paraId="0DB6A56E"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F30300">
              <w:rPr>
                <w:szCs w:val="17"/>
                <w:lang w:val="en-US"/>
              </w:rPr>
              <w:t>If included, further guidance is needed.</w:t>
            </w:r>
            <w:r>
              <w:rPr>
                <w:szCs w:val="17"/>
                <w:lang w:val="en-US"/>
              </w:rPr>
              <w:t xml:space="preserve"> </w:t>
            </w:r>
            <w:r w:rsidRPr="00AE224A">
              <w:rPr>
                <w:szCs w:val="17"/>
                <w:lang w:val="en-US"/>
              </w:rPr>
              <w:t>The distinction between economic functions</w:t>
            </w:r>
            <w:r>
              <w:rPr>
                <w:szCs w:val="17"/>
                <w:lang w:val="en-US"/>
              </w:rPr>
              <w:t xml:space="preserve"> and</w:t>
            </w:r>
            <w:r w:rsidRPr="00AE224A">
              <w:rPr>
                <w:szCs w:val="17"/>
                <w:lang w:val="en-US"/>
              </w:rPr>
              <w:t xml:space="preserve"> critical functions remains unclear.</w:t>
            </w:r>
          </w:p>
        </w:tc>
      </w:tr>
      <w:tr w:rsidR="00C82520" w:rsidRPr="00AE224A" w14:paraId="0802841E" w14:textId="77777777" w:rsidTr="00C8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14:paraId="7F240ECA" w14:textId="77777777" w:rsidR="00C82520" w:rsidRPr="00AE224A" w:rsidRDefault="00C82520" w:rsidP="00BE6F4E">
            <w:pPr>
              <w:rPr>
                <w:szCs w:val="17"/>
                <w:lang w:val="en-US"/>
              </w:rPr>
            </w:pPr>
            <w:r w:rsidRPr="00AE224A">
              <w:rPr>
                <w:szCs w:val="17"/>
                <w:lang w:val="en-US"/>
              </w:rPr>
              <w:t>IR.07.03</w:t>
            </w:r>
          </w:p>
        </w:tc>
        <w:tc>
          <w:tcPr>
            <w:tcW w:w="2481" w:type="dxa"/>
          </w:tcPr>
          <w:p w14:paraId="25585A17"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 xml:space="preserve">Critical functions – </w:t>
            </w:r>
          </w:p>
          <w:p w14:paraId="4984DDD3"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 xml:space="preserve">Insurance or reinsurance related </w:t>
            </w:r>
          </w:p>
          <w:p w14:paraId="093ECDB5"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functions</w:t>
            </w:r>
          </w:p>
        </w:tc>
        <w:tc>
          <w:tcPr>
            <w:tcW w:w="5274" w:type="dxa"/>
          </w:tcPr>
          <w:p w14:paraId="49665B5D" w14:textId="77777777" w:rsidR="00C82520"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Pr>
                <w:szCs w:val="17"/>
                <w:lang w:val="en-US"/>
              </w:rPr>
              <w:t>Should be deleted.</w:t>
            </w:r>
            <w:r w:rsidRPr="00AE224A">
              <w:rPr>
                <w:szCs w:val="17"/>
                <w:lang w:val="en-US"/>
              </w:rPr>
              <w:t xml:space="preserve"> The added value of a self-assessment of impact </w:t>
            </w:r>
            <w:r>
              <w:rPr>
                <w:szCs w:val="17"/>
                <w:lang w:val="en-US"/>
              </w:rPr>
              <w:t>on the</w:t>
            </w:r>
            <w:r w:rsidRPr="00AE224A">
              <w:rPr>
                <w:szCs w:val="17"/>
                <w:lang w:val="en-US"/>
              </w:rPr>
              <w:t xml:space="preserve"> financial system, on </w:t>
            </w:r>
            <w:r>
              <w:rPr>
                <w:szCs w:val="17"/>
                <w:lang w:val="en-US"/>
              </w:rPr>
              <w:t xml:space="preserve">the </w:t>
            </w:r>
            <w:r w:rsidRPr="00AE224A">
              <w:rPr>
                <w:szCs w:val="17"/>
                <w:lang w:val="en-US"/>
              </w:rPr>
              <w:t xml:space="preserve">real economy and of substitutability is questionable. Such an assessment can only reasonably be conducted at the industry level </w:t>
            </w:r>
            <w:r>
              <w:rPr>
                <w:szCs w:val="17"/>
                <w:lang w:val="en-US"/>
              </w:rPr>
              <w:t xml:space="preserve">by the RA </w:t>
            </w:r>
            <w:r w:rsidRPr="00AE224A">
              <w:rPr>
                <w:szCs w:val="17"/>
                <w:lang w:val="en-US"/>
              </w:rPr>
              <w:t>and requires the availability of all relevant industry data. Therefore, if the RA requires this information, it should be derived from information of the NCA, without requesting additional information from the undertakings.</w:t>
            </w:r>
          </w:p>
          <w:p w14:paraId="76CBEAFB"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F30300">
              <w:rPr>
                <w:szCs w:val="17"/>
                <w:lang w:val="en-US"/>
              </w:rPr>
              <w:t>If included, further guidance is needed.</w:t>
            </w:r>
            <w:r>
              <w:rPr>
                <w:szCs w:val="17"/>
                <w:lang w:val="en-US"/>
              </w:rPr>
              <w:t xml:space="preserve"> </w:t>
            </w:r>
            <w:r w:rsidRPr="00AE224A">
              <w:rPr>
                <w:szCs w:val="17"/>
                <w:lang w:val="en-US"/>
              </w:rPr>
              <w:t>The distinction between economic functions, critical functions and LoBs remains unclear.</w:t>
            </w:r>
            <w:r w:rsidRPr="00AE224A">
              <w:rPr>
                <w:szCs w:val="17"/>
                <w:lang w:val="en-US"/>
              </w:rPr>
              <w:br/>
            </w:r>
            <w:r w:rsidRPr="00AE224A">
              <w:rPr>
                <w:szCs w:val="17"/>
                <w:lang w:val="en-US"/>
              </w:rPr>
              <w:lastRenderedPageBreak/>
              <w:t>ITS should not refer to Guidelines addressed to the resolution authorities (C0020)</w:t>
            </w:r>
          </w:p>
        </w:tc>
      </w:tr>
      <w:tr w:rsidR="00C82520" w:rsidRPr="00AE224A" w14:paraId="35135969" w14:textId="77777777" w:rsidTr="00C82520">
        <w:tc>
          <w:tcPr>
            <w:cnfStyle w:val="001000000000" w:firstRow="0" w:lastRow="0" w:firstColumn="1" w:lastColumn="0" w:oddVBand="0" w:evenVBand="0" w:oddHBand="0" w:evenHBand="0" w:firstRowFirstColumn="0" w:firstRowLastColumn="0" w:lastRowFirstColumn="0" w:lastRowLastColumn="0"/>
            <w:tcW w:w="1261" w:type="dxa"/>
          </w:tcPr>
          <w:p w14:paraId="639319C9" w14:textId="77777777" w:rsidR="00C82520" w:rsidRPr="00AE224A" w:rsidRDefault="00C82520" w:rsidP="00BE6F4E">
            <w:pPr>
              <w:rPr>
                <w:szCs w:val="17"/>
                <w:lang w:val="en-US"/>
              </w:rPr>
            </w:pPr>
            <w:r w:rsidRPr="00AE224A">
              <w:rPr>
                <w:szCs w:val="17"/>
                <w:lang w:val="en-US"/>
              </w:rPr>
              <w:lastRenderedPageBreak/>
              <w:t>IR.07.04</w:t>
            </w:r>
          </w:p>
        </w:tc>
        <w:tc>
          <w:tcPr>
            <w:tcW w:w="2481" w:type="dxa"/>
          </w:tcPr>
          <w:p w14:paraId="1D511847"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Critical functions - Mapping to legal entities</w:t>
            </w:r>
          </w:p>
        </w:tc>
        <w:tc>
          <w:tcPr>
            <w:tcW w:w="5274" w:type="dxa"/>
          </w:tcPr>
          <w:p w14:paraId="4B1D109E"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317BFE">
              <w:rPr>
                <w:szCs w:val="17"/>
                <w:lang w:val="en-US"/>
              </w:rPr>
              <w:t xml:space="preserve">Should be deleted. </w:t>
            </w:r>
            <w:r w:rsidRPr="00036C9F">
              <w:rPr>
                <w:szCs w:val="17"/>
                <w:lang w:val="en-US"/>
              </w:rPr>
              <w:t>The added value of a self-assessment of impact on the financial system, on the real economy and of substitutability is questionable. Such an assessment can only reasonably be conducted at the industry level by the RA and requires the availability of all relevant industry data. Therefore, if the RA requires this information, it should be derived from information of the NCA, without requesting additional information from the undertakings.</w:t>
            </w:r>
          </w:p>
        </w:tc>
      </w:tr>
      <w:tr w:rsidR="00C82520" w:rsidRPr="00AE224A" w14:paraId="3B907833" w14:textId="77777777" w:rsidTr="00C8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14:paraId="4259ED15" w14:textId="77777777" w:rsidR="00C82520" w:rsidRPr="00AE224A" w:rsidRDefault="00C82520" w:rsidP="00BE6F4E">
            <w:pPr>
              <w:rPr>
                <w:szCs w:val="17"/>
                <w:lang w:val="en-US"/>
              </w:rPr>
            </w:pPr>
            <w:r w:rsidRPr="00AE224A">
              <w:rPr>
                <w:szCs w:val="17"/>
                <w:lang w:val="en-US"/>
              </w:rPr>
              <w:t>IR.07.05</w:t>
            </w:r>
          </w:p>
        </w:tc>
        <w:tc>
          <w:tcPr>
            <w:tcW w:w="2481" w:type="dxa"/>
          </w:tcPr>
          <w:p w14:paraId="0EE9139A"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Core business lines - Mapping to legal entities</w:t>
            </w:r>
          </w:p>
        </w:tc>
        <w:tc>
          <w:tcPr>
            <w:tcW w:w="5274" w:type="dxa"/>
          </w:tcPr>
          <w:p w14:paraId="1EA1ADAD"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Pr>
                <w:szCs w:val="17"/>
                <w:lang w:val="en-US"/>
              </w:rPr>
              <w:t>No comments</w:t>
            </w:r>
          </w:p>
        </w:tc>
      </w:tr>
      <w:tr w:rsidR="00C82520" w:rsidRPr="00AE224A" w14:paraId="1A8B2201" w14:textId="77777777" w:rsidTr="00C82520">
        <w:tc>
          <w:tcPr>
            <w:cnfStyle w:val="001000000000" w:firstRow="0" w:lastRow="0" w:firstColumn="1" w:lastColumn="0" w:oddVBand="0" w:evenVBand="0" w:oddHBand="0" w:evenHBand="0" w:firstRowFirstColumn="0" w:firstRowLastColumn="0" w:lastRowFirstColumn="0" w:lastRowLastColumn="0"/>
            <w:tcW w:w="1261" w:type="dxa"/>
          </w:tcPr>
          <w:p w14:paraId="306018C4" w14:textId="77777777" w:rsidR="00C82520" w:rsidRPr="00AE224A" w:rsidRDefault="00C82520" w:rsidP="00BE6F4E">
            <w:pPr>
              <w:rPr>
                <w:szCs w:val="17"/>
                <w:lang w:val="en-US"/>
              </w:rPr>
            </w:pPr>
            <w:r w:rsidRPr="00AE224A">
              <w:rPr>
                <w:szCs w:val="17"/>
                <w:lang w:val="en-US"/>
              </w:rPr>
              <w:t>IR.07.06</w:t>
            </w:r>
          </w:p>
        </w:tc>
        <w:tc>
          <w:tcPr>
            <w:tcW w:w="2481" w:type="dxa"/>
          </w:tcPr>
          <w:p w14:paraId="71A2E1AE"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Critical functions - Mapping to core business lines</w:t>
            </w:r>
          </w:p>
        </w:tc>
        <w:tc>
          <w:tcPr>
            <w:tcW w:w="5274" w:type="dxa"/>
          </w:tcPr>
          <w:p w14:paraId="10B8BF2F"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317BFE">
              <w:rPr>
                <w:szCs w:val="17"/>
                <w:lang w:val="en-US"/>
              </w:rPr>
              <w:t xml:space="preserve">Should be deleted. </w:t>
            </w:r>
            <w:r w:rsidRPr="0021626B">
              <w:rPr>
                <w:szCs w:val="17"/>
                <w:lang w:val="en-US"/>
              </w:rPr>
              <w:t xml:space="preserve">The added value of a self-assessment of impact on the financial system, on the real economy and of substitutability is questionable. Such an assessment can only reasonably be conducted at the industry level by the RA and requires the availability of all relevant industry data. Therefore, if the RA requires this information, it should be derived from information </w:t>
            </w:r>
            <w:r>
              <w:rPr>
                <w:szCs w:val="17"/>
                <w:lang w:val="en-US"/>
              </w:rPr>
              <w:t xml:space="preserve">provided by </w:t>
            </w:r>
            <w:r w:rsidRPr="0021626B">
              <w:rPr>
                <w:szCs w:val="17"/>
                <w:lang w:val="en-US"/>
              </w:rPr>
              <w:t>the NCA, without requesting additional information from the undertakings.</w:t>
            </w:r>
          </w:p>
        </w:tc>
      </w:tr>
      <w:tr w:rsidR="00C82520" w:rsidRPr="00AE224A" w14:paraId="1E4F7A07" w14:textId="77777777" w:rsidTr="00C8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14:paraId="66A42F1E" w14:textId="77777777" w:rsidR="00C82520" w:rsidRPr="00AE224A" w:rsidRDefault="00C82520" w:rsidP="00BE6F4E">
            <w:pPr>
              <w:rPr>
                <w:szCs w:val="17"/>
                <w:lang w:val="en-US"/>
              </w:rPr>
            </w:pPr>
            <w:r w:rsidRPr="00AE224A">
              <w:rPr>
                <w:szCs w:val="17"/>
                <w:lang w:val="en-US"/>
              </w:rPr>
              <w:t>IR.08.01</w:t>
            </w:r>
          </w:p>
        </w:tc>
        <w:tc>
          <w:tcPr>
            <w:tcW w:w="2481" w:type="dxa"/>
          </w:tcPr>
          <w:p w14:paraId="43B078ED"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rPr>
              <w:t>Relevant services</w:t>
            </w:r>
          </w:p>
        </w:tc>
        <w:tc>
          <w:tcPr>
            <w:tcW w:w="5274" w:type="dxa"/>
          </w:tcPr>
          <w:p w14:paraId="641BEC92"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Information about reinsurance should be derived from existing SII reporting.</w:t>
            </w:r>
          </w:p>
        </w:tc>
      </w:tr>
      <w:tr w:rsidR="00C82520" w:rsidRPr="00AE224A" w14:paraId="530C3909" w14:textId="77777777" w:rsidTr="00C82520">
        <w:tc>
          <w:tcPr>
            <w:cnfStyle w:val="001000000000" w:firstRow="0" w:lastRow="0" w:firstColumn="1" w:lastColumn="0" w:oddVBand="0" w:evenVBand="0" w:oddHBand="0" w:evenHBand="0" w:firstRowFirstColumn="0" w:firstRowLastColumn="0" w:lastRowFirstColumn="0" w:lastRowLastColumn="0"/>
            <w:tcW w:w="1261" w:type="dxa"/>
          </w:tcPr>
          <w:p w14:paraId="6A0921FA" w14:textId="77777777" w:rsidR="00C82520" w:rsidRPr="00AE224A" w:rsidRDefault="00C82520" w:rsidP="00BE6F4E">
            <w:pPr>
              <w:rPr>
                <w:szCs w:val="17"/>
                <w:lang w:val="en-US"/>
              </w:rPr>
            </w:pPr>
            <w:r w:rsidRPr="00AE224A">
              <w:rPr>
                <w:szCs w:val="17"/>
                <w:lang w:val="en-US"/>
              </w:rPr>
              <w:t>IR.08.02</w:t>
            </w:r>
          </w:p>
        </w:tc>
        <w:tc>
          <w:tcPr>
            <w:tcW w:w="2481" w:type="dxa"/>
          </w:tcPr>
          <w:p w14:paraId="7B695FF0"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Relevant services - Mapping to critical functions</w:t>
            </w:r>
          </w:p>
        </w:tc>
        <w:tc>
          <w:tcPr>
            <w:tcW w:w="5274" w:type="dxa"/>
          </w:tcPr>
          <w:p w14:paraId="14927E84"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Pr>
                <w:szCs w:val="17"/>
                <w:lang w:val="en-US"/>
              </w:rPr>
              <w:t>No comments.</w:t>
            </w:r>
          </w:p>
        </w:tc>
      </w:tr>
      <w:tr w:rsidR="00C82520" w:rsidRPr="00AE224A" w14:paraId="2A0AC22D" w14:textId="77777777" w:rsidTr="00C8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14:paraId="16F4F91F" w14:textId="77777777" w:rsidR="00C82520" w:rsidRPr="00AE224A" w:rsidRDefault="00C82520" w:rsidP="00BE6F4E">
            <w:pPr>
              <w:rPr>
                <w:szCs w:val="17"/>
                <w:lang w:val="en-US"/>
              </w:rPr>
            </w:pPr>
            <w:r w:rsidRPr="00AE224A">
              <w:rPr>
                <w:szCs w:val="17"/>
                <w:lang w:val="en-US"/>
              </w:rPr>
              <w:t>IR.08.03</w:t>
            </w:r>
          </w:p>
        </w:tc>
        <w:tc>
          <w:tcPr>
            <w:tcW w:w="2481" w:type="dxa"/>
          </w:tcPr>
          <w:p w14:paraId="4F05CE7C"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Relevant services - Mapping to core business lines</w:t>
            </w:r>
          </w:p>
        </w:tc>
        <w:tc>
          <w:tcPr>
            <w:tcW w:w="5274" w:type="dxa"/>
          </w:tcPr>
          <w:p w14:paraId="2CCF5C0A"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Pr>
                <w:szCs w:val="17"/>
                <w:lang w:val="en-US"/>
              </w:rPr>
              <w:t>No comments.</w:t>
            </w:r>
          </w:p>
        </w:tc>
      </w:tr>
      <w:tr w:rsidR="00C82520" w:rsidRPr="00AE224A" w14:paraId="204A8C09" w14:textId="77777777" w:rsidTr="00C82520">
        <w:tc>
          <w:tcPr>
            <w:cnfStyle w:val="001000000000" w:firstRow="0" w:lastRow="0" w:firstColumn="1" w:lastColumn="0" w:oddVBand="0" w:evenVBand="0" w:oddHBand="0" w:evenHBand="0" w:firstRowFirstColumn="0" w:firstRowLastColumn="0" w:lastRowFirstColumn="0" w:lastRowLastColumn="0"/>
            <w:tcW w:w="1261" w:type="dxa"/>
          </w:tcPr>
          <w:p w14:paraId="79C80A51" w14:textId="77777777" w:rsidR="00C82520" w:rsidRPr="00AE224A" w:rsidRDefault="00C82520" w:rsidP="00BE6F4E">
            <w:pPr>
              <w:rPr>
                <w:szCs w:val="17"/>
                <w:lang w:val="en-US"/>
              </w:rPr>
            </w:pPr>
            <w:r w:rsidRPr="00AE224A">
              <w:rPr>
                <w:szCs w:val="17"/>
                <w:lang w:val="en-US"/>
              </w:rPr>
              <w:t>IR.09.01</w:t>
            </w:r>
          </w:p>
        </w:tc>
        <w:tc>
          <w:tcPr>
            <w:tcW w:w="2481" w:type="dxa"/>
          </w:tcPr>
          <w:p w14:paraId="0A40BAB1"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rPr>
              <w:t>FMI - Providers and users</w:t>
            </w:r>
          </w:p>
        </w:tc>
        <w:tc>
          <w:tcPr>
            <w:tcW w:w="5274" w:type="dxa"/>
          </w:tcPr>
          <w:p w14:paraId="7046D61D"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General comments are missing</w:t>
            </w:r>
            <w:r>
              <w:rPr>
                <w:szCs w:val="17"/>
                <w:lang w:val="en-US"/>
              </w:rPr>
              <w:t>.</w:t>
            </w:r>
          </w:p>
          <w:p w14:paraId="6891111E" w14:textId="77777777" w:rsidR="00C82520" w:rsidRPr="00AE224A" w:rsidRDefault="00C82520" w:rsidP="00BE6F4E">
            <w:pPr>
              <w:cnfStyle w:val="000000000000" w:firstRow="0" w:lastRow="0" w:firstColumn="0" w:lastColumn="0" w:oddVBand="0" w:evenVBand="0" w:oddHBand="0" w:evenHBand="0" w:firstRowFirstColumn="0" w:firstRowLastColumn="0" w:lastRowFirstColumn="0" w:lastRowLastColumn="0"/>
              <w:rPr>
                <w:szCs w:val="17"/>
                <w:lang w:val="en-US"/>
              </w:rPr>
            </w:pPr>
            <w:r w:rsidRPr="00AE224A">
              <w:rPr>
                <w:szCs w:val="17"/>
                <w:lang w:val="en-US"/>
              </w:rPr>
              <w:t>Definition of FMI is missing</w:t>
            </w:r>
            <w:r>
              <w:rPr>
                <w:szCs w:val="17"/>
                <w:lang w:val="en-US"/>
              </w:rPr>
              <w:t>.</w:t>
            </w:r>
          </w:p>
        </w:tc>
      </w:tr>
      <w:tr w:rsidR="00C82520" w:rsidRPr="00AE224A" w14:paraId="2194851F" w14:textId="77777777" w:rsidTr="00C825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14:paraId="66EAEA77" w14:textId="77777777" w:rsidR="00C82520" w:rsidRPr="00AE224A" w:rsidRDefault="00C82520" w:rsidP="00BE6F4E">
            <w:pPr>
              <w:rPr>
                <w:szCs w:val="17"/>
                <w:lang w:val="en-US"/>
              </w:rPr>
            </w:pPr>
            <w:r w:rsidRPr="00AE224A">
              <w:rPr>
                <w:szCs w:val="17"/>
                <w:lang w:val="en-US"/>
              </w:rPr>
              <w:t>IR.09.02</w:t>
            </w:r>
          </w:p>
        </w:tc>
        <w:tc>
          <w:tcPr>
            <w:tcW w:w="2481" w:type="dxa"/>
          </w:tcPr>
          <w:p w14:paraId="5D31D615"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FMI - Mapping to critical functions and core business lines</w:t>
            </w:r>
          </w:p>
        </w:tc>
        <w:tc>
          <w:tcPr>
            <w:tcW w:w="5274" w:type="dxa"/>
          </w:tcPr>
          <w:p w14:paraId="5BEED153"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r w:rsidRPr="00AE224A">
              <w:rPr>
                <w:szCs w:val="17"/>
                <w:lang w:val="en-US"/>
              </w:rPr>
              <w:t>General comments are missing</w:t>
            </w:r>
            <w:r>
              <w:rPr>
                <w:szCs w:val="17"/>
                <w:lang w:val="en-US"/>
              </w:rPr>
              <w:t>.</w:t>
            </w:r>
          </w:p>
          <w:p w14:paraId="73E133FE" w14:textId="77777777" w:rsidR="00C82520" w:rsidRPr="00AE224A" w:rsidRDefault="00C82520" w:rsidP="00BE6F4E">
            <w:pPr>
              <w:cnfStyle w:val="000000100000" w:firstRow="0" w:lastRow="0" w:firstColumn="0" w:lastColumn="0" w:oddVBand="0" w:evenVBand="0" w:oddHBand="1" w:evenHBand="0" w:firstRowFirstColumn="0" w:firstRowLastColumn="0" w:lastRowFirstColumn="0" w:lastRowLastColumn="0"/>
              <w:rPr>
                <w:szCs w:val="17"/>
                <w:lang w:val="en-US"/>
              </w:rPr>
            </w:pPr>
          </w:p>
        </w:tc>
      </w:tr>
    </w:tbl>
    <w:p w14:paraId="59C3B4D3" w14:textId="77777777" w:rsidR="00C82520" w:rsidRPr="00123D52" w:rsidRDefault="00C82520" w:rsidP="00C82520">
      <w:pPr>
        <w:autoSpaceDE w:val="0"/>
        <w:autoSpaceDN w:val="0"/>
        <w:adjustRightInd w:val="0"/>
        <w:rPr>
          <w:szCs w:val="17"/>
        </w:rPr>
      </w:pPr>
    </w:p>
    <w:p w14:paraId="5A7D9316" w14:textId="0B72F33E" w:rsidR="00C82520" w:rsidRPr="003B6D3A" w:rsidRDefault="003B6D3A" w:rsidP="003B6D3A">
      <w:pPr>
        <w:pStyle w:val="Odsekzoznamu"/>
        <w:numPr>
          <w:ilvl w:val="0"/>
          <w:numId w:val="26"/>
        </w:numPr>
        <w:autoSpaceDE w:val="0"/>
        <w:autoSpaceDN w:val="0"/>
        <w:adjustRightInd w:val="0"/>
        <w:rPr>
          <w:szCs w:val="17"/>
        </w:rPr>
      </w:pPr>
      <w:r>
        <w:rPr>
          <w:szCs w:val="17"/>
        </w:rPr>
        <w:t xml:space="preserve">It would be useful to have </w:t>
      </w:r>
      <w:r w:rsidR="00C82520" w:rsidRPr="003B6D3A">
        <w:rPr>
          <w:szCs w:val="17"/>
        </w:rPr>
        <w:t xml:space="preserve">the lists/drop-down fields (e.g. identifiers, codes) </w:t>
      </w:r>
      <w:r>
        <w:rPr>
          <w:szCs w:val="17"/>
        </w:rPr>
        <w:t xml:space="preserve">populated </w:t>
      </w:r>
      <w:r w:rsidR="00C82520" w:rsidRPr="003B6D3A">
        <w:rPr>
          <w:szCs w:val="17"/>
        </w:rPr>
        <w:t xml:space="preserve">and </w:t>
      </w:r>
      <w:r>
        <w:rPr>
          <w:szCs w:val="17"/>
        </w:rPr>
        <w:t xml:space="preserve">to have </w:t>
      </w:r>
      <w:r w:rsidR="00C82520" w:rsidRPr="003B6D3A">
        <w:rPr>
          <w:szCs w:val="17"/>
        </w:rPr>
        <w:t>sample data indicating how the forms should be filled out</w:t>
      </w:r>
      <w:r>
        <w:rPr>
          <w:szCs w:val="17"/>
        </w:rPr>
        <w:t>.</w:t>
      </w:r>
    </w:p>
    <w:p w14:paraId="1E80924E" w14:textId="77777777" w:rsidR="00C82520" w:rsidRDefault="00C82520" w:rsidP="00C82520">
      <w:pPr>
        <w:rPr>
          <w:szCs w:val="17"/>
        </w:rPr>
      </w:pPr>
    </w:p>
    <w:p w14:paraId="56A860FB" w14:textId="77777777" w:rsidR="00300BD6" w:rsidRPr="000D6BF8" w:rsidRDefault="00300BD6" w:rsidP="000D6BF8">
      <w:pPr>
        <w:jc w:val="both"/>
        <w:rPr>
          <w:b/>
          <w:bCs/>
        </w:rPr>
      </w:pPr>
    </w:p>
    <w:sectPr w:rsidR="00300BD6" w:rsidRPr="000D6BF8">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592B0" w14:textId="77777777" w:rsidR="009977E2" w:rsidRDefault="009977E2" w:rsidP="00CC4B70">
      <w:pPr>
        <w:spacing w:after="0" w:line="240" w:lineRule="auto"/>
      </w:pPr>
      <w:r>
        <w:separator/>
      </w:r>
    </w:p>
  </w:endnote>
  <w:endnote w:type="continuationSeparator" w:id="0">
    <w:p w14:paraId="0C917650" w14:textId="77777777" w:rsidR="009977E2" w:rsidRDefault="009977E2" w:rsidP="00CC4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7E1B" w14:textId="77777777" w:rsidR="009A725E" w:rsidRDefault="009A725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7B730" w14:textId="77777777" w:rsidR="009A725E" w:rsidRDefault="009A725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7C237" w14:textId="77777777" w:rsidR="009A725E" w:rsidRDefault="009A72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E0BA" w14:textId="77777777" w:rsidR="009977E2" w:rsidRDefault="009977E2" w:rsidP="00CC4B70">
      <w:pPr>
        <w:spacing w:after="0" w:line="240" w:lineRule="auto"/>
      </w:pPr>
      <w:r>
        <w:separator/>
      </w:r>
    </w:p>
  </w:footnote>
  <w:footnote w:type="continuationSeparator" w:id="0">
    <w:p w14:paraId="2346EF9B" w14:textId="77777777" w:rsidR="009977E2" w:rsidRDefault="009977E2" w:rsidP="00CC4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93D9" w14:textId="77777777" w:rsidR="009A725E" w:rsidRDefault="009A725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0DBD" w14:textId="0B4CAEC5" w:rsidR="00CC4B70" w:rsidRPr="00733055" w:rsidRDefault="00CC4B70" w:rsidP="00CC4B70">
    <w:pPr>
      <w:pStyle w:val="Hlavika"/>
      <w:jc w:val="right"/>
      <w:rPr>
        <w:b/>
        <w:bCs/>
        <w:color w:val="EE0000"/>
      </w:rPr>
    </w:pPr>
    <w:r w:rsidRPr="00733055">
      <w:rPr>
        <w:b/>
        <w:bCs/>
        <w:color w:val="EE0000"/>
      </w:rPr>
      <w:t xml:space="preserve">DRAFT </w:t>
    </w:r>
  </w:p>
  <w:p w14:paraId="33AF5691" w14:textId="77777777" w:rsidR="00CC4B70" w:rsidRDefault="00CC4B7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584A" w14:textId="77777777" w:rsidR="009A725E" w:rsidRDefault="009A72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85C"/>
    <w:multiLevelType w:val="hybridMultilevel"/>
    <w:tmpl w:val="9EEC4B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28F4C16"/>
    <w:multiLevelType w:val="hybridMultilevel"/>
    <w:tmpl w:val="4E1014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3201A9C"/>
    <w:multiLevelType w:val="hybridMultilevel"/>
    <w:tmpl w:val="5CC0B822"/>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950653"/>
    <w:multiLevelType w:val="hybridMultilevel"/>
    <w:tmpl w:val="F08A7E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1AA68B0"/>
    <w:multiLevelType w:val="hybridMultilevel"/>
    <w:tmpl w:val="62DAC066"/>
    <w:lvl w:ilvl="0" w:tplc="6742ED98">
      <w:start w:val="3"/>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77F233C"/>
    <w:multiLevelType w:val="hybridMultilevel"/>
    <w:tmpl w:val="E3CC9E6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17D1672D"/>
    <w:multiLevelType w:val="hybridMultilevel"/>
    <w:tmpl w:val="04FE00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7E448B8"/>
    <w:multiLevelType w:val="hybridMultilevel"/>
    <w:tmpl w:val="3DA09654"/>
    <w:lvl w:ilvl="0" w:tplc="2000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EE27ECA"/>
    <w:multiLevelType w:val="hybridMultilevel"/>
    <w:tmpl w:val="BDF26272"/>
    <w:lvl w:ilvl="0" w:tplc="2000000F">
      <w:start w:val="1"/>
      <w:numFmt w:val="decimal"/>
      <w:lvlText w:val="%1."/>
      <w:lvlJc w:val="left"/>
      <w:pPr>
        <w:ind w:left="720" w:hanging="360"/>
      </w:pPr>
    </w:lvl>
    <w:lvl w:ilvl="1" w:tplc="6742ED98">
      <w:start w:val="3"/>
      <w:numFmt w:val="bullet"/>
      <w:lvlText w:val="-"/>
      <w:lvlJc w:val="left"/>
      <w:pPr>
        <w:ind w:left="720" w:hanging="360"/>
      </w:pPr>
      <w:rPr>
        <w:rFonts w:ascii="Aptos" w:eastAsiaTheme="minorHAnsi" w:hAnsi="Aptos" w:cstheme="minorBidi" w:hint="default"/>
      </w:r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06032B2"/>
    <w:multiLevelType w:val="hybridMultilevel"/>
    <w:tmpl w:val="16B6AE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4EB75C1"/>
    <w:multiLevelType w:val="hybridMultilevel"/>
    <w:tmpl w:val="8642242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57230DF"/>
    <w:multiLevelType w:val="hybridMultilevel"/>
    <w:tmpl w:val="1480EC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6BE0057"/>
    <w:multiLevelType w:val="hybridMultilevel"/>
    <w:tmpl w:val="93AA5E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8253EF5"/>
    <w:multiLevelType w:val="hybridMultilevel"/>
    <w:tmpl w:val="E3DE51E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4" w15:restartNumberingAfterBreak="0">
    <w:nsid w:val="2C834ACB"/>
    <w:multiLevelType w:val="hybridMultilevel"/>
    <w:tmpl w:val="74AC4E2A"/>
    <w:lvl w:ilvl="0" w:tplc="2000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B68422C"/>
    <w:multiLevelType w:val="hybridMultilevel"/>
    <w:tmpl w:val="51C8E340"/>
    <w:lvl w:ilvl="0" w:tplc="2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08F70BA"/>
    <w:multiLevelType w:val="hybridMultilevel"/>
    <w:tmpl w:val="5F164E30"/>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11637E3"/>
    <w:multiLevelType w:val="hybridMultilevel"/>
    <w:tmpl w:val="7EDC3A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BBB18C8"/>
    <w:multiLevelType w:val="hybridMultilevel"/>
    <w:tmpl w:val="E63E6D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4E3C1366"/>
    <w:multiLevelType w:val="multilevel"/>
    <w:tmpl w:val="CE88A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160A9E"/>
    <w:multiLevelType w:val="hybridMultilevel"/>
    <w:tmpl w:val="19367E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52C4E78"/>
    <w:multiLevelType w:val="hybridMultilevel"/>
    <w:tmpl w:val="0C8830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6EA14BA"/>
    <w:multiLevelType w:val="hybridMultilevel"/>
    <w:tmpl w:val="988464E6"/>
    <w:lvl w:ilvl="0" w:tplc="FA345BD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60032212"/>
    <w:multiLevelType w:val="hybridMultilevel"/>
    <w:tmpl w:val="8904C8B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64846031"/>
    <w:multiLevelType w:val="multilevel"/>
    <w:tmpl w:val="E6969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144794"/>
    <w:multiLevelType w:val="hybridMultilevel"/>
    <w:tmpl w:val="980C82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76B504A"/>
    <w:multiLevelType w:val="hybridMultilevel"/>
    <w:tmpl w:val="C6ECF8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E4943D0"/>
    <w:multiLevelType w:val="hybridMultilevel"/>
    <w:tmpl w:val="84900D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E6268E6"/>
    <w:multiLevelType w:val="hybridMultilevel"/>
    <w:tmpl w:val="F508C01C"/>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4D303BC"/>
    <w:multiLevelType w:val="hybridMultilevel"/>
    <w:tmpl w:val="DC7AD2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759071C2"/>
    <w:multiLevelType w:val="hybridMultilevel"/>
    <w:tmpl w:val="CDF0F1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7C8852EA"/>
    <w:multiLevelType w:val="hybridMultilevel"/>
    <w:tmpl w:val="5970B9F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3808393">
    <w:abstractNumId w:val="4"/>
  </w:num>
  <w:num w:numId="2" w16cid:durableId="233129985">
    <w:abstractNumId w:val="8"/>
  </w:num>
  <w:num w:numId="3" w16cid:durableId="1686516055">
    <w:abstractNumId w:val="24"/>
  </w:num>
  <w:num w:numId="4" w16cid:durableId="2635314">
    <w:abstractNumId w:val="19"/>
  </w:num>
  <w:num w:numId="5" w16cid:durableId="1431587279">
    <w:abstractNumId w:val="18"/>
  </w:num>
  <w:num w:numId="6" w16cid:durableId="1567376166">
    <w:abstractNumId w:val="21"/>
  </w:num>
  <w:num w:numId="7" w16cid:durableId="21909220">
    <w:abstractNumId w:val="20"/>
  </w:num>
  <w:num w:numId="8" w16cid:durableId="1073703366">
    <w:abstractNumId w:val="10"/>
  </w:num>
  <w:num w:numId="9" w16cid:durableId="351103409">
    <w:abstractNumId w:val="1"/>
  </w:num>
  <w:num w:numId="10" w16cid:durableId="321740172">
    <w:abstractNumId w:val="0"/>
  </w:num>
  <w:num w:numId="11" w16cid:durableId="1857036440">
    <w:abstractNumId w:val="6"/>
  </w:num>
  <w:num w:numId="12" w16cid:durableId="1399784064">
    <w:abstractNumId w:val="15"/>
  </w:num>
  <w:num w:numId="13" w16cid:durableId="1551650656">
    <w:abstractNumId w:val="23"/>
  </w:num>
  <w:num w:numId="14" w16cid:durableId="353579645">
    <w:abstractNumId w:val="2"/>
  </w:num>
  <w:num w:numId="15" w16cid:durableId="269359881">
    <w:abstractNumId w:val="26"/>
  </w:num>
  <w:num w:numId="16" w16cid:durableId="817763331">
    <w:abstractNumId w:val="29"/>
  </w:num>
  <w:num w:numId="17" w16cid:durableId="1762294119">
    <w:abstractNumId w:val="12"/>
  </w:num>
  <w:num w:numId="18" w16cid:durableId="828594363">
    <w:abstractNumId w:val="17"/>
  </w:num>
  <w:num w:numId="19" w16cid:durableId="524681736">
    <w:abstractNumId w:val="9"/>
  </w:num>
  <w:num w:numId="20" w16cid:durableId="252591392">
    <w:abstractNumId w:val="13"/>
  </w:num>
  <w:num w:numId="21" w16cid:durableId="470442692">
    <w:abstractNumId w:val="14"/>
  </w:num>
  <w:num w:numId="22" w16cid:durableId="1174492708">
    <w:abstractNumId w:val="28"/>
  </w:num>
  <w:num w:numId="23" w16cid:durableId="1713649379">
    <w:abstractNumId w:val="16"/>
  </w:num>
  <w:num w:numId="24" w16cid:durableId="1795323804">
    <w:abstractNumId w:val="25"/>
  </w:num>
  <w:num w:numId="25" w16cid:durableId="1777019625">
    <w:abstractNumId w:val="30"/>
  </w:num>
  <w:num w:numId="26" w16cid:durableId="1742871963">
    <w:abstractNumId w:val="31"/>
  </w:num>
  <w:num w:numId="27" w16cid:durableId="1219122291">
    <w:abstractNumId w:val="5"/>
  </w:num>
  <w:num w:numId="28" w16cid:durableId="10880370">
    <w:abstractNumId w:val="7"/>
  </w:num>
  <w:num w:numId="29" w16cid:durableId="1214660946">
    <w:abstractNumId w:val="11"/>
  </w:num>
  <w:num w:numId="30" w16cid:durableId="54933533">
    <w:abstractNumId w:val="27"/>
  </w:num>
  <w:num w:numId="31" w16cid:durableId="1740404133">
    <w:abstractNumId w:val="3"/>
  </w:num>
  <w:num w:numId="32" w16cid:durableId="130508945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81E"/>
    <w:rsid w:val="0001292A"/>
    <w:rsid w:val="000205D3"/>
    <w:rsid w:val="0003214B"/>
    <w:rsid w:val="00040260"/>
    <w:rsid w:val="000636E6"/>
    <w:rsid w:val="000644D7"/>
    <w:rsid w:val="00065D43"/>
    <w:rsid w:val="00067F62"/>
    <w:rsid w:val="000709E4"/>
    <w:rsid w:val="00077352"/>
    <w:rsid w:val="000808B9"/>
    <w:rsid w:val="00081045"/>
    <w:rsid w:val="00087476"/>
    <w:rsid w:val="000957D2"/>
    <w:rsid w:val="00097954"/>
    <w:rsid w:val="000A131C"/>
    <w:rsid w:val="000A152C"/>
    <w:rsid w:val="000A3944"/>
    <w:rsid w:val="000B6FF2"/>
    <w:rsid w:val="000C29F9"/>
    <w:rsid w:val="000D3C76"/>
    <w:rsid w:val="000D6BF8"/>
    <w:rsid w:val="0012181E"/>
    <w:rsid w:val="0012533A"/>
    <w:rsid w:val="00134ACD"/>
    <w:rsid w:val="0017569B"/>
    <w:rsid w:val="00183CAD"/>
    <w:rsid w:val="00185EBC"/>
    <w:rsid w:val="00187D0B"/>
    <w:rsid w:val="00194CE6"/>
    <w:rsid w:val="001958AF"/>
    <w:rsid w:val="00196E09"/>
    <w:rsid w:val="00197BE1"/>
    <w:rsid w:val="001A06F1"/>
    <w:rsid w:val="001A4367"/>
    <w:rsid w:val="001A6661"/>
    <w:rsid w:val="001B1052"/>
    <w:rsid w:val="001B5829"/>
    <w:rsid w:val="001B7341"/>
    <w:rsid w:val="001C026C"/>
    <w:rsid w:val="001C0DE1"/>
    <w:rsid w:val="001C6386"/>
    <w:rsid w:val="001D3963"/>
    <w:rsid w:val="001D45A5"/>
    <w:rsid w:val="001D6750"/>
    <w:rsid w:val="001E0E4D"/>
    <w:rsid w:val="001E342E"/>
    <w:rsid w:val="001E452C"/>
    <w:rsid w:val="00211FB5"/>
    <w:rsid w:val="00213860"/>
    <w:rsid w:val="002159E5"/>
    <w:rsid w:val="00216AE8"/>
    <w:rsid w:val="002216AA"/>
    <w:rsid w:val="0022716B"/>
    <w:rsid w:val="0023060E"/>
    <w:rsid w:val="002332A8"/>
    <w:rsid w:val="00233521"/>
    <w:rsid w:val="0024401D"/>
    <w:rsid w:val="0024588B"/>
    <w:rsid w:val="00253F1E"/>
    <w:rsid w:val="002542E9"/>
    <w:rsid w:val="00267D7F"/>
    <w:rsid w:val="00297F1D"/>
    <w:rsid w:val="002A210F"/>
    <w:rsid w:val="002A41BE"/>
    <w:rsid w:val="002A5240"/>
    <w:rsid w:val="002A5588"/>
    <w:rsid w:val="002B092F"/>
    <w:rsid w:val="002B0AC5"/>
    <w:rsid w:val="002C289D"/>
    <w:rsid w:val="002D4352"/>
    <w:rsid w:val="002E0F67"/>
    <w:rsid w:val="002E1CC4"/>
    <w:rsid w:val="002E3F23"/>
    <w:rsid w:val="002E6684"/>
    <w:rsid w:val="00300BD6"/>
    <w:rsid w:val="00311A4F"/>
    <w:rsid w:val="00315B4F"/>
    <w:rsid w:val="00315CE6"/>
    <w:rsid w:val="003168A8"/>
    <w:rsid w:val="003465AA"/>
    <w:rsid w:val="00353A0D"/>
    <w:rsid w:val="00355757"/>
    <w:rsid w:val="00364200"/>
    <w:rsid w:val="00372774"/>
    <w:rsid w:val="0037444B"/>
    <w:rsid w:val="00376A75"/>
    <w:rsid w:val="00387AE8"/>
    <w:rsid w:val="003967CA"/>
    <w:rsid w:val="003A0392"/>
    <w:rsid w:val="003A2903"/>
    <w:rsid w:val="003A3CB3"/>
    <w:rsid w:val="003A5DB5"/>
    <w:rsid w:val="003A74A0"/>
    <w:rsid w:val="003B6D3A"/>
    <w:rsid w:val="003B7B2F"/>
    <w:rsid w:val="003C0413"/>
    <w:rsid w:val="003C511C"/>
    <w:rsid w:val="003D1BFB"/>
    <w:rsid w:val="003D2333"/>
    <w:rsid w:val="003D3D5C"/>
    <w:rsid w:val="003F60DF"/>
    <w:rsid w:val="003F6930"/>
    <w:rsid w:val="00400120"/>
    <w:rsid w:val="004010B7"/>
    <w:rsid w:val="00402C09"/>
    <w:rsid w:val="00406678"/>
    <w:rsid w:val="00407367"/>
    <w:rsid w:val="00416E6D"/>
    <w:rsid w:val="00431A8F"/>
    <w:rsid w:val="004322FB"/>
    <w:rsid w:val="00435C6D"/>
    <w:rsid w:val="00442AF5"/>
    <w:rsid w:val="00445033"/>
    <w:rsid w:val="004475EE"/>
    <w:rsid w:val="00450CAB"/>
    <w:rsid w:val="0045600B"/>
    <w:rsid w:val="00456B66"/>
    <w:rsid w:val="00463923"/>
    <w:rsid w:val="00486EEC"/>
    <w:rsid w:val="004979CA"/>
    <w:rsid w:val="004A0134"/>
    <w:rsid w:val="004A2918"/>
    <w:rsid w:val="004A2CBD"/>
    <w:rsid w:val="004A35AE"/>
    <w:rsid w:val="004A411E"/>
    <w:rsid w:val="004A4EA9"/>
    <w:rsid w:val="004A6D18"/>
    <w:rsid w:val="004B0D45"/>
    <w:rsid w:val="004B1074"/>
    <w:rsid w:val="004B1692"/>
    <w:rsid w:val="004B7C8A"/>
    <w:rsid w:val="004D22C8"/>
    <w:rsid w:val="004E0857"/>
    <w:rsid w:val="004E679D"/>
    <w:rsid w:val="0050193F"/>
    <w:rsid w:val="0050207A"/>
    <w:rsid w:val="00503903"/>
    <w:rsid w:val="00510E35"/>
    <w:rsid w:val="00512471"/>
    <w:rsid w:val="005200A4"/>
    <w:rsid w:val="00537FD7"/>
    <w:rsid w:val="00541442"/>
    <w:rsid w:val="00541BAA"/>
    <w:rsid w:val="00554861"/>
    <w:rsid w:val="00555E71"/>
    <w:rsid w:val="00557860"/>
    <w:rsid w:val="00564625"/>
    <w:rsid w:val="0056767B"/>
    <w:rsid w:val="00572298"/>
    <w:rsid w:val="00572CB2"/>
    <w:rsid w:val="00584E85"/>
    <w:rsid w:val="00585F5B"/>
    <w:rsid w:val="00595023"/>
    <w:rsid w:val="00596DA7"/>
    <w:rsid w:val="005A7AB4"/>
    <w:rsid w:val="005B011C"/>
    <w:rsid w:val="005B77F8"/>
    <w:rsid w:val="005C01F2"/>
    <w:rsid w:val="005C081B"/>
    <w:rsid w:val="005C2A93"/>
    <w:rsid w:val="005C417D"/>
    <w:rsid w:val="005D1977"/>
    <w:rsid w:val="005D3853"/>
    <w:rsid w:val="005D4955"/>
    <w:rsid w:val="005E30F0"/>
    <w:rsid w:val="005E32A4"/>
    <w:rsid w:val="005E6F07"/>
    <w:rsid w:val="005F00DC"/>
    <w:rsid w:val="00604A78"/>
    <w:rsid w:val="006065C7"/>
    <w:rsid w:val="00623242"/>
    <w:rsid w:val="0062707F"/>
    <w:rsid w:val="0063134E"/>
    <w:rsid w:val="00634530"/>
    <w:rsid w:val="00634BF7"/>
    <w:rsid w:val="00657382"/>
    <w:rsid w:val="0066639B"/>
    <w:rsid w:val="00693445"/>
    <w:rsid w:val="00695D7A"/>
    <w:rsid w:val="00696571"/>
    <w:rsid w:val="006A2BC6"/>
    <w:rsid w:val="006A4D7E"/>
    <w:rsid w:val="006B29C8"/>
    <w:rsid w:val="006B57B9"/>
    <w:rsid w:val="006C33DD"/>
    <w:rsid w:val="006C4558"/>
    <w:rsid w:val="006C768B"/>
    <w:rsid w:val="006D0307"/>
    <w:rsid w:val="006D1D26"/>
    <w:rsid w:val="006E13B0"/>
    <w:rsid w:val="006E3CEA"/>
    <w:rsid w:val="006F33FA"/>
    <w:rsid w:val="006F37FC"/>
    <w:rsid w:val="007010A4"/>
    <w:rsid w:val="007031FA"/>
    <w:rsid w:val="00705767"/>
    <w:rsid w:val="00727F93"/>
    <w:rsid w:val="00732E26"/>
    <w:rsid w:val="00733B75"/>
    <w:rsid w:val="0075064E"/>
    <w:rsid w:val="007615E1"/>
    <w:rsid w:val="00764F0F"/>
    <w:rsid w:val="00772704"/>
    <w:rsid w:val="00775316"/>
    <w:rsid w:val="00786394"/>
    <w:rsid w:val="007868CB"/>
    <w:rsid w:val="007A2C38"/>
    <w:rsid w:val="007B213D"/>
    <w:rsid w:val="007C430A"/>
    <w:rsid w:val="007C62BF"/>
    <w:rsid w:val="007D1E85"/>
    <w:rsid w:val="007D3422"/>
    <w:rsid w:val="007D3679"/>
    <w:rsid w:val="007E7E51"/>
    <w:rsid w:val="00801365"/>
    <w:rsid w:val="0080580B"/>
    <w:rsid w:val="00815303"/>
    <w:rsid w:val="008225BC"/>
    <w:rsid w:val="008257BA"/>
    <w:rsid w:val="00827438"/>
    <w:rsid w:val="00835E92"/>
    <w:rsid w:val="00836B65"/>
    <w:rsid w:val="00837990"/>
    <w:rsid w:val="0084327A"/>
    <w:rsid w:val="00843EC7"/>
    <w:rsid w:val="00866545"/>
    <w:rsid w:val="008731C7"/>
    <w:rsid w:val="00874D33"/>
    <w:rsid w:val="00876BCE"/>
    <w:rsid w:val="00876C9B"/>
    <w:rsid w:val="008771AC"/>
    <w:rsid w:val="00877622"/>
    <w:rsid w:val="00885AA6"/>
    <w:rsid w:val="00887DB3"/>
    <w:rsid w:val="008924A6"/>
    <w:rsid w:val="00893847"/>
    <w:rsid w:val="00894126"/>
    <w:rsid w:val="008A0C98"/>
    <w:rsid w:val="008A5F8C"/>
    <w:rsid w:val="008B2AC0"/>
    <w:rsid w:val="008B30EE"/>
    <w:rsid w:val="008B5970"/>
    <w:rsid w:val="008B597E"/>
    <w:rsid w:val="008B72A4"/>
    <w:rsid w:val="008C0EC4"/>
    <w:rsid w:val="008C5B9F"/>
    <w:rsid w:val="008D399F"/>
    <w:rsid w:val="008D3CFE"/>
    <w:rsid w:val="008F2A20"/>
    <w:rsid w:val="008F3B09"/>
    <w:rsid w:val="008F4064"/>
    <w:rsid w:val="008F6C03"/>
    <w:rsid w:val="0090044C"/>
    <w:rsid w:val="00905889"/>
    <w:rsid w:val="009069A8"/>
    <w:rsid w:val="00907826"/>
    <w:rsid w:val="0091017E"/>
    <w:rsid w:val="009172C6"/>
    <w:rsid w:val="00917EF6"/>
    <w:rsid w:val="00922CC9"/>
    <w:rsid w:val="00931650"/>
    <w:rsid w:val="00941D19"/>
    <w:rsid w:val="00942FE8"/>
    <w:rsid w:val="009571B3"/>
    <w:rsid w:val="00961302"/>
    <w:rsid w:val="009621C2"/>
    <w:rsid w:val="009708F2"/>
    <w:rsid w:val="00974E6F"/>
    <w:rsid w:val="00977CE3"/>
    <w:rsid w:val="009839D5"/>
    <w:rsid w:val="00983FCC"/>
    <w:rsid w:val="00984CD7"/>
    <w:rsid w:val="00985B93"/>
    <w:rsid w:val="009905E5"/>
    <w:rsid w:val="00994E5E"/>
    <w:rsid w:val="009977E2"/>
    <w:rsid w:val="009A0487"/>
    <w:rsid w:val="009A45F7"/>
    <w:rsid w:val="009A725E"/>
    <w:rsid w:val="009A7974"/>
    <w:rsid w:val="009B3C5D"/>
    <w:rsid w:val="009C49DD"/>
    <w:rsid w:val="009D2545"/>
    <w:rsid w:val="009D4052"/>
    <w:rsid w:val="00A107E7"/>
    <w:rsid w:val="00A21476"/>
    <w:rsid w:val="00A27B9D"/>
    <w:rsid w:val="00A30FCD"/>
    <w:rsid w:val="00A33859"/>
    <w:rsid w:val="00A406AE"/>
    <w:rsid w:val="00A56619"/>
    <w:rsid w:val="00A607B8"/>
    <w:rsid w:val="00A63662"/>
    <w:rsid w:val="00A7218E"/>
    <w:rsid w:val="00A82A63"/>
    <w:rsid w:val="00A839B3"/>
    <w:rsid w:val="00A86722"/>
    <w:rsid w:val="00A90B27"/>
    <w:rsid w:val="00AA026A"/>
    <w:rsid w:val="00AA1643"/>
    <w:rsid w:val="00AA7037"/>
    <w:rsid w:val="00AA768A"/>
    <w:rsid w:val="00AB2207"/>
    <w:rsid w:val="00AB5939"/>
    <w:rsid w:val="00AC0648"/>
    <w:rsid w:val="00AC6F19"/>
    <w:rsid w:val="00AD1EB9"/>
    <w:rsid w:val="00AD35F4"/>
    <w:rsid w:val="00AD6A86"/>
    <w:rsid w:val="00AE0A94"/>
    <w:rsid w:val="00AE5F19"/>
    <w:rsid w:val="00AE761B"/>
    <w:rsid w:val="00B01DA3"/>
    <w:rsid w:val="00B03D71"/>
    <w:rsid w:val="00B173A2"/>
    <w:rsid w:val="00B37766"/>
    <w:rsid w:val="00B40698"/>
    <w:rsid w:val="00B40D12"/>
    <w:rsid w:val="00B42576"/>
    <w:rsid w:val="00B54656"/>
    <w:rsid w:val="00B570F5"/>
    <w:rsid w:val="00B60791"/>
    <w:rsid w:val="00B6192E"/>
    <w:rsid w:val="00B72996"/>
    <w:rsid w:val="00B75A97"/>
    <w:rsid w:val="00B76D38"/>
    <w:rsid w:val="00B82F62"/>
    <w:rsid w:val="00B84F7F"/>
    <w:rsid w:val="00B87DBE"/>
    <w:rsid w:val="00B907FF"/>
    <w:rsid w:val="00B91FD4"/>
    <w:rsid w:val="00B953A4"/>
    <w:rsid w:val="00BB2ED7"/>
    <w:rsid w:val="00BC5E96"/>
    <w:rsid w:val="00BC72D0"/>
    <w:rsid w:val="00BC7EC7"/>
    <w:rsid w:val="00BD1557"/>
    <w:rsid w:val="00BD7E20"/>
    <w:rsid w:val="00BE08D9"/>
    <w:rsid w:val="00BE1CF7"/>
    <w:rsid w:val="00BE70DB"/>
    <w:rsid w:val="00BE719A"/>
    <w:rsid w:val="00BF141D"/>
    <w:rsid w:val="00BF43EC"/>
    <w:rsid w:val="00BF6093"/>
    <w:rsid w:val="00BF6C10"/>
    <w:rsid w:val="00C10DBF"/>
    <w:rsid w:val="00C115E3"/>
    <w:rsid w:val="00C12A0B"/>
    <w:rsid w:val="00C170D1"/>
    <w:rsid w:val="00C22624"/>
    <w:rsid w:val="00C26EAD"/>
    <w:rsid w:val="00C26EC8"/>
    <w:rsid w:val="00C32C5D"/>
    <w:rsid w:val="00C32CA4"/>
    <w:rsid w:val="00C34C0A"/>
    <w:rsid w:val="00C4339C"/>
    <w:rsid w:val="00C435F1"/>
    <w:rsid w:val="00C57DF2"/>
    <w:rsid w:val="00C60102"/>
    <w:rsid w:val="00C60189"/>
    <w:rsid w:val="00C704E4"/>
    <w:rsid w:val="00C82520"/>
    <w:rsid w:val="00C85A9C"/>
    <w:rsid w:val="00C9013F"/>
    <w:rsid w:val="00CA5076"/>
    <w:rsid w:val="00CC15DF"/>
    <w:rsid w:val="00CC4B70"/>
    <w:rsid w:val="00CC7FE1"/>
    <w:rsid w:val="00CD096D"/>
    <w:rsid w:val="00CD5E8F"/>
    <w:rsid w:val="00CE4A20"/>
    <w:rsid w:val="00CE5791"/>
    <w:rsid w:val="00CF4926"/>
    <w:rsid w:val="00D00FF5"/>
    <w:rsid w:val="00D0427C"/>
    <w:rsid w:val="00D05352"/>
    <w:rsid w:val="00D151EC"/>
    <w:rsid w:val="00D27D71"/>
    <w:rsid w:val="00D27E8C"/>
    <w:rsid w:val="00D4361E"/>
    <w:rsid w:val="00D45D8A"/>
    <w:rsid w:val="00D4649D"/>
    <w:rsid w:val="00D52561"/>
    <w:rsid w:val="00D574A3"/>
    <w:rsid w:val="00D62B8D"/>
    <w:rsid w:val="00D66AAA"/>
    <w:rsid w:val="00D73947"/>
    <w:rsid w:val="00D743DA"/>
    <w:rsid w:val="00D74B40"/>
    <w:rsid w:val="00D84A52"/>
    <w:rsid w:val="00D94AB6"/>
    <w:rsid w:val="00DB2776"/>
    <w:rsid w:val="00DB37C2"/>
    <w:rsid w:val="00DB3F8D"/>
    <w:rsid w:val="00DB52FA"/>
    <w:rsid w:val="00DC069F"/>
    <w:rsid w:val="00DC5690"/>
    <w:rsid w:val="00DD744A"/>
    <w:rsid w:val="00DE01EB"/>
    <w:rsid w:val="00DE6467"/>
    <w:rsid w:val="00DE7668"/>
    <w:rsid w:val="00E05BB4"/>
    <w:rsid w:val="00E11B50"/>
    <w:rsid w:val="00E166BB"/>
    <w:rsid w:val="00E208E5"/>
    <w:rsid w:val="00E22814"/>
    <w:rsid w:val="00E23943"/>
    <w:rsid w:val="00E23C24"/>
    <w:rsid w:val="00E23FDF"/>
    <w:rsid w:val="00E27964"/>
    <w:rsid w:val="00E44E47"/>
    <w:rsid w:val="00E51D1C"/>
    <w:rsid w:val="00E53344"/>
    <w:rsid w:val="00E54743"/>
    <w:rsid w:val="00E608D2"/>
    <w:rsid w:val="00E636EF"/>
    <w:rsid w:val="00E733BA"/>
    <w:rsid w:val="00E755FD"/>
    <w:rsid w:val="00E80D2C"/>
    <w:rsid w:val="00E86B96"/>
    <w:rsid w:val="00E9074F"/>
    <w:rsid w:val="00E919FE"/>
    <w:rsid w:val="00E92F67"/>
    <w:rsid w:val="00E949B2"/>
    <w:rsid w:val="00E94A7E"/>
    <w:rsid w:val="00E94C92"/>
    <w:rsid w:val="00E96666"/>
    <w:rsid w:val="00EA47D9"/>
    <w:rsid w:val="00EB4CC9"/>
    <w:rsid w:val="00EB6802"/>
    <w:rsid w:val="00EC1A65"/>
    <w:rsid w:val="00ED13A6"/>
    <w:rsid w:val="00ED2CD4"/>
    <w:rsid w:val="00ED2E17"/>
    <w:rsid w:val="00ED4B41"/>
    <w:rsid w:val="00ED57D4"/>
    <w:rsid w:val="00EE0D27"/>
    <w:rsid w:val="00F00767"/>
    <w:rsid w:val="00F10475"/>
    <w:rsid w:val="00F21223"/>
    <w:rsid w:val="00F22FD0"/>
    <w:rsid w:val="00F2468C"/>
    <w:rsid w:val="00F3083A"/>
    <w:rsid w:val="00F32E7D"/>
    <w:rsid w:val="00F35B9C"/>
    <w:rsid w:val="00F404C9"/>
    <w:rsid w:val="00F45C62"/>
    <w:rsid w:val="00F54142"/>
    <w:rsid w:val="00F5629D"/>
    <w:rsid w:val="00F735E2"/>
    <w:rsid w:val="00F73F3D"/>
    <w:rsid w:val="00F7494D"/>
    <w:rsid w:val="00F77B37"/>
    <w:rsid w:val="00F77DCD"/>
    <w:rsid w:val="00F81F57"/>
    <w:rsid w:val="00F9016C"/>
    <w:rsid w:val="00F91A1A"/>
    <w:rsid w:val="00FA0C20"/>
    <w:rsid w:val="00FA1FB9"/>
    <w:rsid w:val="00FB1A44"/>
    <w:rsid w:val="00FB5E29"/>
    <w:rsid w:val="00FB6706"/>
    <w:rsid w:val="00FB6924"/>
    <w:rsid w:val="00FC01DE"/>
    <w:rsid w:val="00FC0CD8"/>
    <w:rsid w:val="00FC2FF9"/>
    <w:rsid w:val="00FD07CA"/>
    <w:rsid w:val="00FD14EB"/>
    <w:rsid w:val="00FD6AFF"/>
    <w:rsid w:val="00FD72A9"/>
    <w:rsid w:val="00FE486F"/>
    <w:rsid w:val="00FF5F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CE644"/>
  <w15:chartTrackingRefBased/>
  <w15:docId w15:val="{8F4DADC8-4A81-431E-8FEB-15DEC9EB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9A0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A0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A048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A048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A048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A048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A048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A048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A048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A048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A048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A048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A048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A048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A048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A048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A048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A0487"/>
    <w:rPr>
      <w:rFonts w:eastAsiaTheme="majorEastAsia" w:cstheme="majorBidi"/>
      <w:color w:val="272727" w:themeColor="text1" w:themeTint="D8"/>
    </w:rPr>
  </w:style>
  <w:style w:type="paragraph" w:styleId="Nzov">
    <w:name w:val="Title"/>
    <w:basedOn w:val="Normlny"/>
    <w:next w:val="Normlny"/>
    <w:link w:val="NzovChar"/>
    <w:uiPriority w:val="10"/>
    <w:qFormat/>
    <w:rsid w:val="009A0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A048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A048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A048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A048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A0487"/>
    <w:rPr>
      <w:i/>
      <w:iCs/>
      <w:color w:val="404040" w:themeColor="text1" w:themeTint="BF"/>
    </w:rPr>
  </w:style>
  <w:style w:type="paragraph" w:styleId="Odsekzoznamu">
    <w:name w:val="List Paragraph"/>
    <w:basedOn w:val="Normlny"/>
    <w:uiPriority w:val="34"/>
    <w:qFormat/>
    <w:rsid w:val="009A0487"/>
    <w:pPr>
      <w:ind w:left="720"/>
      <w:contextualSpacing/>
    </w:pPr>
  </w:style>
  <w:style w:type="character" w:styleId="Intenzvnezvraznenie">
    <w:name w:val="Intense Emphasis"/>
    <w:basedOn w:val="Predvolenpsmoodseku"/>
    <w:uiPriority w:val="21"/>
    <w:qFormat/>
    <w:rsid w:val="009A0487"/>
    <w:rPr>
      <w:i/>
      <w:iCs/>
      <w:color w:val="0F4761" w:themeColor="accent1" w:themeShade="BF"/>
    </w:rPr>
  </w:style>
  <w:style w:type="paragraph" w:styleId="Zvraznencitcia">
    <w:name w:val="Intense Quote"/>
    <w:basedOn w:val="Normlny"/>
    <w:next w:val="Normlny"/>
    <w:link w:val="ZvraznencitciaChar"/>
    <w:uiPriority w:val="30"/>
    <w:qFormat/>
    <w:rsid w:val="009A0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A0487"/>
    <w:rPr>
      <w:i/>
      <w:iCs/>
      <w:color w:val="0F4761" w:themeColor="accent1" w:themeShade="BF"/>
    </w:rPr>
  </w:style>
  <w:style w:type="character" w:styleId="Zvraznenodkaz">
    <w:name w:val="Intense Reference"/>
    <w:basedOn w:val="Predvolenpsmoodseku"/>
    <w:uiPriority w:val="32"/>
    <w:qFormat/>
    <w:rsid w:val="009A0487"/>
    <w:rPr>
      <w:b/>
      <w:bCs/>
      <w:smallCaps/>
      <w:color w:val="0F4761" w:themeColor="accent1" w:themeShade="BF"/>
      <w:spacing w:val="5"/>
    </w:rPr>
  </w:style>
  <w:style w:type="character" w:styleId="Odkaznakomentr">
    <w:name w:val="annotation reference"/>
    <w:basedOn w:val="Predvolenpsmoodseku"/>
    <w:uiPriority w:val="99"/>
    <w:semiHidden/>
    <w:unhideWhenUsed/>
    <w:rsid w:val="008F2A20"/>
    <w:rPr>
      <w:sz w:val="16"/>
      <w:szCs w:val="16"/>
    </w:rPr>
  </w:style>
  <w:style w:type="paragraph" w:styleId="Textkomentra">
    <w:name w:val="annotation text"/>
    <w:basedOn w:val="Normlny"/>
    <w:link w:val="TextkomentraChar"/>
    <w:uiPriority w:val="99"/>
    <w:unhideWhenUsed/>
    <w:rsid w:val="008F2A20"/>
    <w:pPr>
      <w:spacing w:line="240" w:lineRule="auto"/>
    </w:pPr>
    <w:rPr>
      <w:sz w:val="20"/>
      <w:szCs w:val="20"/>
    </w:rPr>
  </w:style>
  <w:style w:type="character" w:customStyle="1" w:styleId="TextkomentraChar">
    <w:name w:val="Text komentára Char"/>
    <w:basedOn w:val="Predvolenpsmoodseku"/>
    <w:link w:val="Textkomentra"/>
    <w:uiPriority w:val="99"/>
    <w:rsid w:val="008F2A20"/>
    <w:rPr>
      <w:sz w:val="20"/>
      <w:szCs w:val="20"/>
    </w:rPr>
  </w:style>
  <w:style w:type="paragraph" w:styleId="Predmetkomentra">
    <w:name w:val="annotation subject"/>
    <w:basedOn w:val="Textkomentra"/>
    <w:next w:val="Textkomentra"/>
    <w:link w:val="PredmetkomentraChar"/>
    <w:uiPriority w:val="99"/>
    <w:semiHidden/>
    <w:unhideWhenUsed/>
    <w:rsid w:val="008F2A20"/>
    <w:rPr>
      <w:b/>
      <w:bCs/>
    </w:rPr>
  </w:style>
  <w:style w:type="character" w:customStyle="1" w:styleId="PredmetkomentraChar">
    <w:name w:val="Predmet komentára Char"/>
    <w:basedOn w:val="TextkomentraChar"/>
    <w:link w:val="Predmetkomentra"/>
    <w:uiPriority w:val="99"/>
    <w:semiHidden/>
    <w:rsid w:val="008F2A20"/>
    <w:rPr>
      <w:b/>
      <w:bCs/>
      <w:sz w:val="20"/>
      <w:szCs w:val="20"/>
    </w:rPr>
  </w:style>
  <w:style w:type="table" w:styleId="Tabukasozoznamom3zvraznenie1">
    <w:name w:val="List Table 3 Accent 1"/>
    <w:basedOn w:val="Normlnatabuka"/>
    <w:uiPriority w:val="48"/>
    <w:rsid w:val="00C82520"/>
    <w:pPr>
      <w:spacing w:after="0" w:line="240" w:lineRule="auto"/>
    </w:pPr>
    <w:rPr>
      <w:kern w:val="0"/>
      <w:lang w:val="de-DE"/>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Hlavika">
    <w:name w:val="header"/>
    <w:basedOn w:val="Normlny"/>
    <w:link w:val="HlavikaChar"/>
    <w:uiPriority w:val="99"/>
    <w:unhideWhenUsed/>
    <w:rsid w:val="00CC4B70"/>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CC4B70"/>
  </w:style>
  <w:style w:type="paragraph" w:styleId="Pta">
    <w:name w:val="footer"/>
    <w:basedOn w:val="Normlny"/>
    <w:link w:val="PtaChar"/>
    <w:uiPriority w:val="99"/>
    <w:unhideWhenUsed/>
    <w:rsid w:val="00CC4B70"/>
    <w:pPr>
      <w:tabs>
        <w:tab w:val="center" w:pos="4513"/>
        <w:tab w:val="right" w:pos="9026"/>
      </w:tabs>
      <w:spacing w:after="0" w:line="240" w:lineRule="auto"/>
    </w:pPr>
  </w:style>
  <w:style w:type="character" w:customStyle="1" w:styleId="PtaChar">
    <w:name w:val="Päta Char"/>
    <w:basedOn w:val="Predvolenpsmoodseku"/>
    <w:link w:val="Pta"/>
    <w:uiPriority w:val="99"/>
    <w:rsid w:val="00CC4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adline xmlns="d89e7f9f-465d-4b0e-8a4e-a5735fe6921d" xsi:nil="true"/>
    <Feedback_x0020_type xmlns="d89e7f9f-465d-4b0e-8a4e-a5735fe6921d" xsi:nil="true"/>
    <Allow_x0020_uploads xmlns="d89e7f9f-465d-4b0e-8a4e-a5735fe6921d" xsi:nil="true"/>
    <Allow_x0020_comments xmlns="d89e7f9f-465d-4b0e-8a4e-a5735fe6921d" xsi:nil="true"/>
    <Leading_x0020_document xmlns="d89e7f9f-465d-4b0e-8a4e-a5735fe692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230D00C9159A40A142F60EA7E19883" ma:contentTypeVersion="8" ma:contentTypeDescription="Create a new document." ma:contentTypeScope="" ma:versionID="d87816c7e33e62be84b415b5c3cbc267">
  <xsd:schema xmlns:xsd="http://www.w3.org/2001/XMLSchema" xmlns:xs="http://www.w3.org/2001/XMLSchema" xmlns:p="http://schemas.microsoft.com/office/2006/metadata/properties" xmlns:ns2="d89e7f9f-465d-4b0e-8a4e-a5735fe6921d" targetNamespace="http://schemas.microsoft.com/office/2006/metadata/properties" ma:root="true" ma:fieldsID="fe4b98305ca6d695f3921010c23e2310" ns2:_="">
    <xsd:import namespace="d89e7f9f-465d-4b0e-8a4e-a5735fe6921d"/>
    <xsd:element name="properties">
      <xsd:complexType>
        <xsd:sequence>
          <xsd:element name="documentManagement">
            <xsd:complexType>
              <xsd:all>
                <xsd:element ref="ns2:Feedback_x0020_type" minOccurs="0"/>
                <xsd:element ref="ns2:Allow_x0020_uploads" minOccurs="0"/>
                <xsd:element ref="ns2:Allow_x0020_comments" minOccurs="0"/>
                <xsd:element ref="ns2:Deadline" minOccurs="0"/>
                <xsd:element ref="ns2:Leading_x0020_document"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7f9f-465d-4b0e-8a4e-a5735fe6921d" elementFormDefault="qualified">
    <xsd:import namespace="http://schemas.microsoft.com/office/2006/documentManagement/types"/>
    <xsd:import namespace="http://schemas.microsoft.com/office/infopath/2007/PartnerControls"/>
    <xsd:element name="Feedback_x0020_type" ma:index="8" nillable="true" ma:displayName="Feedback type" ma:internalName="Feedback_x0020_type">
      <xsd:simpleType>
        <xsd:restriction base="dms:Text"/>
      </xsd:simpleType>
    </xsd:element>
    <xsd:element name="Allow_x0020_uploads" ma:index="9" nillable="true" ma:displayName="Allow uploads" ma:internalName="Allow_x0020_uploads">
      <xsd:simpleType>
        <xsd:restriction base="dms:Boolean"/>
      </xsd:simpleType>
    </xsd:element>
    <xsd:element name="Allow_x0020_comments" ma:index="10" nillable="true" ma:displayName="Allow comments" ma:internalName="Allow_x0020_comments">
      <xsd:simpleType>
        <xsd:restriction base="dms:Boolean"/>
      </xsd:simpleType>
    </xsd:element>
    <xsd:element name="Deadline" ma:index="11" nillable="true" ma:displayName="Deadline" ma:internalName="Deadline">
      <xsd:simpleType>
        <xsd:restriction base="dms:DateTime"/>
      </xsd:simpleType>
    </xsd:element>
    <xsd:element name="Leading_x0020_document" ma:index="12" nillable="true" ma:displayName="Leading document" ma:internalName="Leading_x0020_document">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E26E24-1CB8-4666-A6EE-E2A8A11665C1}">
  <ds:schemaRefs>
    <ds:schemaRef ds:uri="http://purl.org/dc/term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d89e7f9f-465d-4b0e-8a4e-a5735fe6921d"/>
    <ds:schemaRef ds:uri="http://www.w3.org/XML/1998/namespace"/>
    <ds:schemaRef ds:uri="http://purl.org/dc/dcmitype/"/>
  </ds:schemaRefs>
</ds:datastoreItem>
</file>

<file path=customXml/itemProps2.xml><?xml version="1.0" encoding="utf-8"?>
<ds:datastoreItem xmlns:ds="http://schemas.openxmlformats.org/officeDocument/2006/customXml" ds:itemID="{5848B2B8-C27B-4CF8-906D-9A9979638508}">
  <ds:schemaRefs>
    <ds:schemaRef ds:uri="http://schemas.microsoft.com/sharepoint/v3/contenttype/forms"/>
  </ds:schemaRefs>
</ds:datastoreItem>
</file>

<file path=customXml/itemProps3.xml><?xml version="1.0" encoding="utf-8"?>
<ds:datastoreItem xmlns:ds="http://schemas.openxmlformats.org/officeDocument/2006/customXml" ds:itemID="{313BB70A-D4FC-485B-A9E8-038A18E63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7f9f-465d-4b0e-8a4e-a5735fe69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9334</Words>
  <Characters>53210</Characters>
  <Application>Microsoft Office Word</Application>
  <DocSecurity>4</DocSecurity>
  <Lines>443</Lines>
  <Paragraphs>124</Paragraphs>
  <ScaleCrop>false</ScaleCrop>
  <Company/>
  <LinksUpToDate>false</LinksUpToDate>
  <CharactersWithSpaces>62420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IRRD - Specific Improvements to Level 2 and 3</dc:title>
  <dc:subject/>
  <dc:creator>Insurance Europe</dc:creator>
  <cp:keywords/>
  <dc:description/>
  <cp:lastModifiedBy>Jozef Bachnicek</cp:lastModifiedBy>
  <cp:revision>2</cp:revision>
  <dcterms:created xsi:type="dcterms:W3CDTF">2026-01-21T13:33:00Z</dcterms:created>
  <dcterms:modified xsi:type="dcterms:W3CDTF">2026-01-21T13:33:00Z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0x01010046230D00C9159A40A142F60EA7E19883</vt:lpwstr>
  </property>
</Properties>
</file>