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1958A7" w14:textId="77777777" w:rsidR="00AC6110" w:rsidRPr="00843812" w:rsidRDefault="00AC6110" w:rsidP="00B540C1">
      <w:pPr>
        <w:pStyle w:val="BodyText"/>
        <w:spacing w:after="0" w:line="240" w:lineRule="auto"/>
        <w:rPr>
          <w:rFonts w:cs="Arial"/>
          <w:sz w:val="18"/>
          <w:szCs w:val="18"/>
          <w:lang w:val="en-US"/>
        </w:rPr>
      </w:pPr>
    </w:p>
    <w:p w14:paraId="306AD955" w14:textId="469EC56C" w:rsidR="00AC6110" w:rsidRDefault="00AC6110" w:rsidP="00B540C1">
      <w:pPr>
        <w:spacing w:line="240" w:lineRule="auto"/>
        <w:rPr>
          <w:b/>
          <w:color w:val="002957"/>
          <w:sz w:val="19"/>
          <w:szCs w:val="19"/>
        </w:rPr>
      </w:pPr>
      <w:r w:rsidRPr="00C90332">
        <w:rPr>
          <w:b/>
          <w:color w:val="002957"/>
          <w:sz w:val="19"/>
          <w:szCs w:val="19"/>
        </w:rPr>
        <w:t xml:space="preserve">Solvency 2 – </w:t>
      </w:r>
      <w:r w:rsidR="00B540C1">
        <w:rPr>
          <w:b/>
          <w:color w:val="002957"/>
          <w:sz w:val="19"/>
          <w:szCs w:val="19"/>
        </w:rPr>
        <w:t>Remaining</w:t>
      </w:r>
      <w:r w:rsidR="00B540C1" w:rsidRPr="00C90332">
        <w:rPr>
          <w:b/>
          <w:color w:val="002957"/>
          <w:sz w:val="19"/>
          <w:szCs w:val="19"/>
        </w:rPr>
        <w:t xml:space="preserve"> </w:t>
      </w:r>
      <w:r w:rsidRPr="00C90332">
        <w:rPr>
          <w:b/>
          <w:color w:val="002957"/>
          <w:sz w:val="19"/>
          <w:szCs w:val="19"/>
        </w:rPr>
        <w:t xml:space="preserve">issues in </w:t>
      </w:r>
      <w:r w:rsidR="00B540C1">
        <w:rPr>
          <w:b/>
          <w:color w:val="002957"/>
          <w:sz w:val="19"/>
          <w:szCs w:val="19"/>
        </w:rPr>
        <w:t xml:space="preserve">the </w:t>
      </w:r>
      <w:r w:rsidRPr="00C90332">
        <w:rPr>
          <w:b/>
          <w:color w:val="002957"/>
          <w:sz w:val="19"/>
          <w:szCs w:val="19"/>
        </w:rPr>
        <w:t>final Delegated Acts</w:t>
      </w:r>
    </w:p>
    <w:p w14:paraId="0E20637B" w14:textId="32E518E4" w:rsidR="0033325D" w:rsidRDefault="00294DD8" w:rsidP="00B540C1">
      <w:pPr>
        <w:spacing w:line="240" w:lineRule="auto"/>
        <w:rPr>
          <w:b/>
          <w:color w:val="002957"/>
          <w:sz w:val="19"/>
          <w:szCs w:val="19"/>
        </w:rPr>
      </w:pPr>
      <w:r>
        <w:rPr>
          <w:b/>
          <w:color w:val="002957"/>
          <w:sz w:val="19"/>
          <w:szCs w:val="19"/>
        </w:rPr>
        <w:t xml:space="preserve">  </w:t>
      </w:r>
    </w:p>
    <w:p w14:paraId="0B9511BF" w14:textId="668A9969" w:rsidR="0033325D" w:rsidRPr="0033325D" w:rsidRDefault="0033325D" w:rsidP="00B540C1">
      <w:pPr>
        <w:pStyle w:val="BodyText"/>
        <w:spacing w:after="0"/>
        <w:rPr>
          <w:rFonts w:cs="Arial"/>
          <w:szCs w:val="17"/>
        </w:rPr>
      </w:pPr>
      <w:r w:rsidRPr="0033325D">
        <w:rPr>
          <w:rFonts w:cs="Arial"/>
          <w:szCs w:val="17"/>
        </w:rPr>
        <w:t xml:space="preserve">This </w:t>
      </w:r>
      <w:r>
        <w:rPr>
          <w:rFonts w:cs="Arial"/>
          <w:szCs w:val="17"/>
        </w:rPr>
        <w:t xml:space="preserve">memo gives </w:t>
      </w:r>
      <w:r w:rsidR="00D7008B">
        <w:rPr>
          <w:rFonts w:cs="Arial"/>
          <w:szCs w:val="17"/>
        </w:rPr>
        <w:t xml:space="preserve">an updated </w:t>
      </w:r>
      <w:r>
        <w:rPr>
          <w:rFonts w:cs="Arial"/>
          <w:szCs w:val="17"/>
        </w:rPr>
        <w:t xml:space="preserve">state-of-play regarding our 8 priorities </w:t>
      </w:r>
      <w:r w:rsidR="004705C4">
        <w:rPr>
          <w:rFonts w:cs="Arial"/>
          <w:szCs w:val="17"/>
        </w:rPr>
        <w:t xml:space="preserve">based on </w:t>
      </w:r>
      <w:r w:rsidR="00D7008B">
        <w:rPr>
          <w:rFonts w:cs="Arial"/>
          <w:szCs w:val="17"/>
        </w:rPr>
        <w:t xml:space="preserve">the </w:t>
      </w:r>
      <w:r w:rsidR="00F47B7F">
        <w:rPr>
          <w:rFonts w:cs="Arial"/>
          <w:szCs w:val="17"/>
        </w:rPr>
        <w:t>analysis</w:t>
      </w:r>
      <w:r w:rsidR="004705C4">
        <w:rPr>
          <w:rFonts w:cs="Arial"/>
          <w:szCs w:val="17"/>
        </w:rPr>
        <w:t xml:space="preserve"> performed on the version</w:t>
      </w:r>
      <w:r w:rsidR="00435150">
        <w:rPr>
          <w:rFonts w:cs="Arial"/>
          <w:szCs w:val="17"/>
        </w:rPr>
        <w:t>s</w:t>
      </w:r>
      <w:r w:rsidR="004705C4">
        <w:rPr>
          <w:rFonts w:cs="Arial"/>
          <w:szCs w:val="17"/>
        </w:rPr>
        <w:t xml:space="preserve"> of the Delegated Acts circulated in </w:t>
      </w:r>
      <w:r w:rsidR="00DE0440">
        <w:rPr>
          <w:rFonts w:cs="Arial"/>
          <w:szCs w:val="17"/>
        </w:rPr>
        <w:t>July</w:t>
      </w:r>
      <w:r w:rsidR="00435150">
        <w:rPr>
          <w:rFonts w:cs="Arial"/>
          <w:szCs w:val="17"/>
        </w:rPr>
        <w:t xml:space="preserve"> </w:t>
      </w:r>
      <w:r w:rsidR="00E21733">
        <w:rPr>
          <w:rFonts w:cs="Arial"/>
          <w:szCs w:val="17"/>
        </w:rPr>
        <w:t xml:space="preserve">(draft) </w:t>
      </w:r>
      <w:r w:rsidR="00435150">
        <w:rPr>
          <w:rFonts w:cs="Arial"/>
          <w:szCs w:val="17"/>
        </w:rPr>
        <w:t xml:space="preserve">and </w:t>
      </w:r>
      <w:r w:rsidR="00DE0440">
        <w:rPr>
          <w:rFonts w:cs="Arial"/>
          <w:szCs w:val="17"/>
        </w:rPr>
        <w:t>October</w:t>
      </w:r>
      <w:r w:rsidR="004705C4">
        <w:rPr>
          <w:rFonts w:cs="Arial"/>
          <w:szCs w:val="17"/>
        </w:rPr>
        <w:t xml:space="preserve"> 2014</w:t>
      </w:r>
      <w:r w:rsidR="00E21733">
        <w:rPr>
          <w:rFonts w:cs="Arial"/>
          <w:szCs w:val="17"/>
        </w:rPr>
        <w:t xml:space="preserve"> (adopted by the European Commission)</w:t>
      </w:r>
      <w:r w:rsidR="004705C4">
        <w:rPr>
          <w:rFonts w:cs="Arial"/>
          <w:szCs w:val="17"/>
        </w:rPr>
        <w:t xml:space="preserve"> </w:t>
      </w:r>
      <w:r w:rsidR="00D7008B">
        <w:rPr>
          <w:rFonts w:cs="Arial"/>
          <w:szCs w:val="17"/>
        </w:rPr>
        <w:t>and the feedback received from members</w:t>
      </w:r>
      <w:r w:rsidR="004705C4" w:rsidRPr="00493A10">
        <w:rPr>
          <w:rFonts w:cs="Arial"/>
          <w:szCs w:val="17"/>
        </w:rPr>
        <w:t>.</w:t>
      </w:r>
    </w:p>
    <w:p w14:paraId="61981FCC" w14:textId="77777777" w:rsidR="00A67A10" w:rsidRDefault="00A67A10" w:rsidP="00B540C1">
      <w:pPr>
        <w:rPr>
          <w:rFonts w:cs="Arial"/>
          <w:szCs w:val="17"/>
        </w:rPr>
      </w:pPr>
    </w:p>
    <w:p w14:paraId="61D06011" w14:textId="34E638C1" w:rsidR="00A45DD5" w:rsidRDefault="007B0B9B" w:rsidP="00B540C1">
      <w:pPr>
        <w:rPr>
          <w:rFonts w:cs="Arial"/>
          <w:szCs w:val="17"/>
        </w:rPr>
      </w:pPr>
      <w:r>
        <w:rPr>
          <w:rFonts w:cs="Arial"/>
          <w:szCs w:val="17"/>
        </w:rPr>
        <w:t>T</w:t>
      </w:r>
      <w:r w:rsidR="00953250">
        <w:rPr>
          <w:rFonts w:cs="Arial"/>
          <w:szCs w:val="17"/>
        </w:rPr>
        <w:t>he memo additionally provides amendments</w:t>
      </w:r>
      <w:r>
        <w:rPr>
          <w:rFonts w:cs="Arial"/>
          <w:szCs w:val="17"/>
        </w:rPr>
        <w:t xml:space="preserve"> outside of the 8 priorities,</w:t>
      </w:r>
      <w:r w:rsidR="00A45DD5">
        <w:rPr>
          <w:rFonts w:cs="Arial"/>
          <w:szCs w:val="17"/>
        </w:rPr>
        <w:t xml:space="preserve"> including those:</w:t>
      </w:r>
    </w:p>
    <w:p w14:paraId="6E6AAE5F" w14:textId="77777777" w:rsidR="00A45DD5" w:rsidRDefault="00A45DD5" w:rsidP="00B540C1">
      <w:pPr>
        <w:rPr>
          <w:rFonts w:cs="Arial"/>
          <w:szCs w:val="17"/>
        </w:rPr>
      </w:pPr>
    </w:p>
    <w:p w14:paraId="5CFE7E3B" w14:textId="6D3AC687" w:rsidR="00A45DD5" w:rsidRPr="0023297A" w:rsidRDefault="00B540C1" w:rsidP="00B540C1">
      <w:pPr>
        <w:pStyle w:val="CEABullet-Level1"/>
        <w:rPr>
          <w:lang w:val="en-GB"/>
        </w:rPr>
      </w:pPr>
      <w:r>
        <w:rPr>
          <w:szCs w:val="17"/>
          <w:lang w:val="en-GB"/>
        </w:rPr>
        <w:t>H</w:t>
      </w:r>
      <w:r w:rsidRPr="00B540C1">
        <w:rPr>
          <w:szCs w:val="17"/>
          <w:lang w:val="en-GB"/>
        </w:rPr>
        <w:t>ighlighted</w:t>
      </w:r>
      <w:r w:rsidRPr="0023297A">
        <w:rPr>
          <w:lang w:val="en-GB"/>
        </w:rPr>
        <w:t xml:space="preserve"> </w:t>
      </w:r>
      <w:r w:rsidR="00953250" w:rsidRPr="0023297A">
        <w:rPr>
          <w:lang w:val="en-GB"/>
        </w:rPr>
        <w:t>by the European Commission (Klaus Wiedner) to the Permanent Representatives following publication of the July 2014 draft Delegated Acts</w:t>
      </w:r>
      <w:r w:rsidR="009B732F" w:rsidRPr="0023297A">
        <w:rPr>
          <w:lang w:val="en-GB"/>
        </w:rPr>
        <w:t>;</w:t>
      </w:r>
    </w:p>
    <w:p w14:paraId="3CD6AC47" w14:textId="7F1C21FF" w:rsidR="00A67A10" w:rsidRPr="0023297A" w:rsidRDefault="00B540C1" w:rsidP="00B540C1">
      <w:pPr>
        <w:pStyle w:val="CEABullet-Level1"/>
        <w:rPr>
          <w:lang w:val="en-GB"/>
        </w:rPr>
      </w:pPr>
      <w:r>
        <w:rPr>
          <w:lang w:val="en-GB"/>
        </w:rPr>
        <w:t xml:space="preserve">Noticed </w:t>
      </w:r>
      <w:r w:rsidR="00953250" w:rsidRPr="0023297A">
        <w:rPr>
          <w:lang w:val="en-GB"/>
        </w:rPr>
        <w:t>by the Secretariat</w:t>
      </w:r>
      <w:r w:rsidR="003D3E35" w:rsidRPr="0023297A">
        <w:rPr>
          <w:lang w:val="en-GB"/>
        </w:rPr>
        <w:t xml:space="preserve"> </w:t>
      </w:r>
      <w:r>
        <w:rPr>
          <w:lang w:val="en-GB"/>
        </w:rPr>
        <w:t xml:space="preserve">or raised by members </w:t>
      </w:r>
      <w:r w:rsidR="003D3E35" w:rsidRPr="0023297A">
        <w:rPr>
          <w:lang w:val="en-GB"/>
        </w:rPr>
        <w:t>as positive or negative changes</w:t>
      </w:r>
      <w:r w:rsidR="00953250" w:rsidRPr="0023297A">
        <w:rPr>
          <w:lang w:val="en-GB"/>
        </w:rPr>
        <w:t xml:space="preserve"> in </w:t>
      </w:r>
      <w:r>
        <w:rPr>
          <w:lang w:val="en-GB"/>
        </w:rPr>
        <w:t>July and</w:t>
      </w:r>
      <w:r w:rsidRPr="0023297A">
        <w:rPr>
          <w:lang w:val="en-GB"/>
        </w:rPr>
        <w:t xml:space="preserve"> </w:t>
      </w:r>
      <w:r w:rsidR="00953250" w:rsidRPr="0023297A">
        <w:rPr>
          <w:lang w:val="en-GB"/>
        </w:rPr>
        <w:t xml:space="preserve">October </w:t>
      </w:r>
      <w:r w:rsidR="00A45DD5" w:rsidRPr="0023297A">
        <w:rPr>
          <w:lang w:val="en-GB"/>
        </w:rPr>
        <w:t>2014 version</w:t>
      </w:r>
      <w:r>
        <w:rPr>
          <w:lang w:val="en-GB"/>
        </w:rPr>
        <w:t>s</w:t>
      </w:r>
      <w:r w:rsidR="009B732F" w:rsidRPr="0023297A">
        <w:rPr>
          <w:lang w:val="en-GB"/>
        </w:rPr>
        <w:t>.</w:t>
      </w:r>
    </w:p>
    <w:p w14:paraId="334A56AA" w14:textId="77777777" w:rsidR="00A67A10" w:rsidRPr="00C90332" w:rsidRDefault="00A67A10" w:rsidP="00B540C1">
      <w:pPr>
        <w:rPr>
          <w:rFonts w:cs="Arial"/>
          <w:szCs w:val="17"/>
        </w:rPr>
      </w:pPr>
    </w:p>
    <w:p w14:paraId="6E06BD53" w14:textId="27FE97BA" w:rsidR="0063117F" w:rsidRPr="00DE0440" w:rsidRDefault="00AC6110" w:rsidP="00B540C1">
      <w:pPr>
        <w:pStyle w:val="ListParagraph"/>
        <w:numPr>
          <w:ilvl w:val="0"/>
          <w:numId w:val="18"/>
        </w:numPr>
        <w:rPr>
          <w:rFonts w:cs="Arial"/>
          <w:b/>
          <w:szCs w:val="17"/>
        </w:rPr>
      </w:pPr>
      <w:r w:rsidRPr="00C90332">
        <w:rPr>
          <w:rFonts w:cs="Arial"/>
          <w:b/>
          <w:szCs w:val="17"/>
        </w:rPr>
        <w:t xml:space="preserve">Previously identified </w:t>
      </w:r>
      <w:r w:rsidR="00EA466A" w:rsidRPr="00C90332">
        <w:rPr>
          <w:rFonts w:cs="Arial"/>
          <w:b/>
          <w:szCs w:val="17"/>
        </w:rPr>
        <w:t>priority</w:t>
      </w:r>
      <w:r w:rsidR="00874E5D" w:rsidRPr="00C90332">
        <w:rPr>
          <w:rFonts w:cs="Arial"/>
          <w:b/>
          <w:szCs w:val="17"/>
        </w:rPr>
        <w:t xml:space="preserve"> issues</w:t>
      </w:r>
    </w:p>
    <w:p w14:paraId="1C4A2BF2" w14:textId="740556C1" w:rsidR="00496516" w:rsidRPr="00DE0440" w:rsidRDefault="00496516" w:rsidP="00B540C1">
      <w:pPr>
        <w:rPr>
          <w:rFonts w:cs="Arial"/>
          <w:szCs w:val="17"/>
        </w:rPr>
      </w:pPr>
    </w:p>
    <w:p w14:paraId="30194769" w14:textId="62BA11D0" w:rsidR="00DE0440" w:rsidRPr="00F47B7F" w:rsidRDefault="00DE0440" w:rsidP="00B540C1">
      <w:pPr>
        <w:pStyle w:val="BodyText"/>
        <w:spacing w:after="0"/>
        <w:rPr>
          <w:rFonts w:cs="Arial"/>
          <w:szCs w:val="17"/>
        </w:rPr>
      </w:pPr>
      <w:r w:rsidRPr="00C90332">
        <w:rPr>
          <w:rFonts w:cs="Arial"/>
          <w:szCs w:val="17"/>
        </w:rPr>
        <w:t xml:space="preserve">Following </w:t>
      </w:r>
      <w:r>
        <w:rPr>
          <w:rFonts w:cs="Arial"/>
          <w:szCs w:val="17"/>
        </w:rPr>
        <w:t>the Secretariat’s analysis on</w:t>
      </w:r>
      <w:r w:rsidRPr="00C90332">
        <w:rPr>
          <w:rFonts w:cs="Arial"/>
          <w:szCs w:val="17"/>
        </w:rPr>
        <w:t xml:space="preserve"> the updated Delegated Acts released on </w:t>
      </w:r>
      <w:r>
        <w:rPr>
          <w:rFonts w:cs="Arial"/>
          <w:szCs w:val="17"/>
        </w:rPr>
        <w:t>10</w:t>
      </w:r>
      <w:r w:rsidRPr="00C90332">
        <w:rPr>
          <w:rFonts w:cs="Arial"/>
          <w:szCs w:val="17"/>
        </w:rPr>
        <w:t xml:space="preserve"> </w:t>
      </w:r>
      <w:r>
        <w:rPr>
          <w:rFonts w:cs="Arial"/>
          <w:szCs w:val="17"/>
        </w:rPr>
        <w:t>October</w:t>
      </w:r>
      <w:r w:rsidRPr="00C90332">
        <w:rPr>
          <w:rFonts w:cs="Arial"/>
          <w:szCs w:val="17"/>
        </w:rPr>
        <w:t xml:space="preserve"> 2014, the following summarises </w:t>
      </w:r>
      <w:r>
        <w:rPr>
          <w:rFonts w:cs="Arial"/>
          <w:szCs w:val="17"/>
        </w:rPr>
        <w:t xml:space="preserve">the </w:t>
      </w:r>
      <w:r w:rsidRPr="00C90332">
        <w:rPr>
          <w:szCs w:val="17"/>
        </w:rPr>
        <w:t xml:space="preserve">changes made </w:t>
      </w:r>
      <w:r>
        <w:rPr>
          <w:szCs w:val="17"/>
        </w:rPr>
        <w:t xml:space="preserve">in </w:t>
      </w:r>
      <w:r w:rsidRPr="00C90332">
        <w:rPr>
          <w:szCs w:val="17"/>
        </w:rPr>
        <w:t xml:space="preserve">the </w:t>
      </w:r>
      <w:r>
        <w:rPr>
          <w:szCs w:val="17"/>
        </w:rPr>
        <w:t xml:space="preserve">July </w:t>
      </w:r>
      <w:r w:rsidRPr="00C90332">
        <w:rPr>
          <w:szCs w:val="17"/>
        </w:rPr>
        <w:t xml:space="preserve">and </w:t>
      </w:r>
      <w:r>
        <w:rPr>
          <w:szCs w:val="17"/>
        </w:rPr>
        <w:t>October</w:t>
      </w:r>
      <w:r w:rsidRPr="00C90332">
        <w:rPr>
          <w:szCs w:val="17"/>
        </w:rPr>
        <w:t xml:space="preserve"> 2014 versions of the Delegated Acts regarding our 8 priorities, highlighting the positive and negative developments</w:t>
      </w:r>
      <w:r w:rsidRPr="00C90332">
        <w:rPr>
          <w:rFonts w:cs="Arial"/>
          <w:szCs w:val="17"/>
        </w:rPr>
        <w:t xml:space="preserve">.  </w:t>
      </w:r>
    </w:p>
    <w:p w14:paraId="54D55A50" w14:textId="77777777" w:rsidR="00DE0440" w:rsidRDefault="00DE0440" w:rsidP="00B540C1">
      <w:pPr>
        <w:rPr>
          <w:rFonts w:cs="Arial"/>
          <w:b/>
          <w:color w:val="FF0000"/>
          <w:szCs w:val="17"/>
        </w:rPr>
      </w:pPr>
    </w:p>
    <w:p w14:paraId="17F6A0BB" w14:textId="174A3DDE" w:rsidR="00DE0440" w:rsidRDefault="00DE0440" w:rsidP="00B540C1">
      <w:pPr>
        <w:pStyle w:val="Default"/>
        <w:jc w:val="both"/>
        <w:rPr>
          <w:sz w:val="17"/>
          <w:szCs w:val="17"/>
        </w:rPr>
      </w:pPr>
      <w:r>
        <w:rPr>
          <w:sz w:val="17"/>
          <w:szCs w:val="17"/>
        </w:rPr>
        <w:t xml:space="preserve">Note that these 8 priorities were discussed in the Solvency II Steering Group of 5 March and </w:t>
      </w:r>
      <w:r w:rsidR="002F2AAD">
        <w:rPr>
          <w:sz w:val="17"/>
          <w:szCs w:val="17"/>
        </w:rPr>
        <w:t>raised</w:t>
      </w:r>
      <w:r>
        <w:rPr>
          <w:sz w:val="17"/>
          <w:szCs w:val="17"/>
        </w:rPr>
        <w:t xml:space="preserve"> in the </w:t>
      </w:r>
      <w:r>
        <w:rPr>
          <w:b/>
          <w:bCs/>
          <w:sz w:val="17"/>
          <w:szCs w:val="17"/>
        </w:rPr>
        <w:t xml:space="preserve">letter to Klaus Wiedner of 6 March 2014. </w:t>
      </w:r>
    </w:p>
    <w:p w14:paraId="6B80EE76" w14:textId="77777777" w:rsidR="00DE0440" w:rsidRDefault="00DE0440" w:rsidP="00B540C1">
      <w:pPr>
        <w:pStyle w:val="Default"/>
        <w:jc w:val="both"/>
        <w:rPr>
          <w:sz w:val="17"/>
          <w:szCs w:val="17"/>
        </w:rPr>
      </w:pPr>
    </w:p>
    <w:p w14:paraId="4EE25893" w14:textId="77777777" w:rsidR="009C64A9" w:rsidRDefault="00B540C1" w:rsidP="009C64A9">
      <w:pPr>
        <w:pStyle w:val="CEABullet-Level1"/>
        <w:numPr>
          <w:ilvl w:val="0"/>
          <w:numId w:val="0"/>
        </w:numPr>
        <w:rPr>
          <w:szCs w:val="17"/>
          <w:lang w:val="en-GB"/>
        </w:rPr>
      </w:pPr>
      <w:r w:rsidRPr="009C64A9">
        <w:rPr>
          <w:szCs w:val="17"/>
          <w:lang w:val="en-GB"/>
        </w:rPr>
        <w:t xml:space="preserve">To summarize for these 8 priorities, </w:t>
      </w:r>
      <w:r>
        <w:rPr>
          <w:szCs w:val="17"/>
          <w:lang w:val="en-GB"/>
        </w:rPr>
        <w:t>t</w:t>
      </w:r>
      <w:r w:rsidR="002F2AAD">
        <w:rPr>
          <w:szCs w:val="17"/>
          <w:lang w:val="en-GB"/>
        </w:rPr>
        <w:t>he o</w:t>
      </w:r>
      <w:r w:rsidR="00CF028B" w:rsidRPr="00CF028B">
        <w:rPr>
          <w:szCs w:val="17"/>
          <w:lang w:val="en-GB"/>
        </w:rPr>
        <w:t xml:space="preserve">nly </w:t>
      </w:r>
      <w:r>
        <w:rPr>
          <w:szCs w:val="17"/>
          <w:lang w:val="en-GB"/>
        </w:rPr>
        <w:t xml:space="preserve">significant </w:t>
      </w:r>
      <w:r w:rsidR="00CF028B" w:rsidRPr="00CF028B">
        <w:rPr>
          <w:szCs w:val="17"/>
          <w:lang w:val="en-GB"/>
        </w:rPr>
        <w:t xml:space="preserve">changes </w:t>
      </w:r>
      <w:r>
        <w:rPr>
          <w:szCs w:val="17"/>
          <w:lang w:val="en-GB"/>
        </w:rPr>
        <w:t>identifi</w:t>
      </w:r>
      <w:r w:rsidR="002F2AAD">
        <w:rPr>
          <w:szCs w:val="17"/>
          <w:lang w:val="en-GB"/>
        </w:rPr>
        <w:t>ed so far</w:t>
      </w:r>
      <w:r w:rsidR="00E21733">
        <w:rPr>
          <w:szCs w:val="17"/>
          <w:lang w:val="en-GB"/>
        </w:rPr>
        <w:t xml:space="preserve"> in the final version of the Delegated Acts adopted by the European Commission on 10 October</w:t>
      </w:r>
      <w:r w:rsidR="00CF028B" w:rsidRPr="00CF028B">
        <w:rPr>
          <w:szCs w:val="17"/>
          <w:lang w:val="en-GB"/>
        </w:rPr>
        <w:t xml:space="preserve"> </w:t>
      </w:r>
      <w:r>
        <w:rPr>
          <w:szCs w:val="17"/>
          <w:lang w:val="en-GB"/>
        </w:rPr>
        <w:t>are related to</w:t>
      </w:r>
      <w:r w:rsidR="00CF028B" w:rsidRPr="00CF028B">
        <w:rPr>
          <w:szCs w:val="17"/>
          <w:lang w:val="en-GB"/>
        </w:rPr>
        <w:t xml:space="preserve"> securitisations</w:t>
      </w:r>
      <w:r>
        <w:rPr>
          <w:szCs w:val="17"/>
          <w:lang w:val="en-GB"/>
        </w:rPr>
        <w:t xml:space="preserve"> and are rather positive.</w:t>
      </w:r>
      <w:r w:rsidR="00E21733">
        <w:rPr>
          <w:szCs w:val="17"/>
          <w:lang w:val="en-GB"/>
        </w:rPr>
        <w:t xml:space="preserve"> </w:t>
      </w:r>
    </w:p>
    <w:p w14:paraId="2FAF7685" w14:textId="43AF635C" w:rsidR="00CF028B" w:rsidRPr="00CF028B" w:rsidRDefault="00E21733" w:rsidP="009C64A9">
      <w:pPr>
        <w:pStyle w:val="CEABullet-Level1"/>
        <w:numPr>
          <w:ilvl w:val="0"/>
          <w:numId w:val="0"/>
        </w:numPr>
        <w:rPr>
          <w:szCs w:val="17"/>
          <w:lang w:val="en-GB"/>
        </w:rPr>
      </w:pPr>
      <w:r>
        <w:rPr>
          <w:szCs w:val="17"/>
          <w:lang w:val="en-GB"/>
        </w:rPr>
        <w:t xml:space="preserve">Note should also be taken that some flexibility </w:t>
      </w:r>
      <w:r w:rsidR="009C64A9">
        <w:rPr>
          <w:szCs w:val="17"/>
          <w:lang w:val="en-GB"/>
        </w:rPr>
        <w:t>is</w:t>
      </w:r>
      <w:bookmarkStart w:id="0" w:name="_GoBack"/>
      <w:bookmarkEnd w:id="0"/>
      <w:r>
        <w:rPr>
          <w:szCs w:val="17"/>
          <w:lang w:val="en-GB"/>
        </w:rPr>
        <w:t xml:space="preserve"> given to undertakings with regards to the calculation of the SCR operational risk (recital).</w:t>
      </w:r>
    </w:p>
    <w:p w14:paraId="27AFE00F" w14:textId="09EE6144" w:rsidR="00BC20E6" w:rsidRDefault="00BC20E6" w:rsidP="009C64A9">
      <w:pPr>
        <w:pStyle w:val="Default"/>
        <w:jc w:val="both"/>
        <w:rPr>
          <w:sz w:val="17"/>
          <w:szCs w:val="17"/>
        </w:rPr>
      </w:pPr>
    </w:p>
    <w:p w14:paraId="20B47C65" w14:textId="55EA732D" w:rsidR="00DE0440" w:rsidRPr="00B540C1" w:rsidRDefault="00DE0440" w:rsidP="00B540C1">
      <w:pPr>
        <w:rPr>
          <w:rFonts w:cs="Arial"/>
          <w:i/>
          <w:color w:val="FF0000"/>
          <w:szCs w:val="17"/>
        </w:rPr>
      </w:pPr>
      <w:r w:rsidRPr="00B540C1">
        <w:rPr>
          <w:bCs/>
          <w:i/>
          <w:szCs w:val="17"/>
        </w:rPr>
        <w:t>Please note these comments are based on a preliminary analysis of the updated Delegated Acts and will change following members’ feedback and further analysis to provide a complete view of the changes.</w:t>
      </w:r>
    </w:p>
    <w:p w14:paraId="1C1D51E5" w14:textId="02875332" w:rsidR="00DE0440" w:rsidRPr="00C90332" w:rsidRDefault="00DE0440" w:rsidP="00B540C1">
      <w:pPr>
        <w:rPr>
          <w:rFonts w:cs="Arial"/>
          <w:b/>
          <w:color w:val="FF0000"/>
          <w:szCs w:val="17"/>
        </w:rPr>
      </w:pPr>
    </w:p>
    <w:p w14:paraId="6484B45C" w14:textId="77777777" w:rsidR="003A7BE3" w:rsidRPr="00C90332" w:rsidRDefault="00AC6110" w:rsidP="00B540C1">
      <w:pPr>
        <w:pStyle w:val="CEABullet-Level1"/>
        <w:rPr>
          <w:b/>
          <w:szCs w:val="17"/>
          <w:lang w:val="en-US"/>
        </w:rPr>
      </w:pPr>
      <w:r w:rsidRPr="00C90332">
        <w:rPr>
          <w:b/>
          <w:szCs w:val="17"/>
          <w:lang w:val="en-GB"/>
        </w:rPr>
        <w:t>Long Term Guarantee</w:t>
      </w:r>
      <w:r w:rsidR="008E54D0" w:rsidRPr="00C90332">
        <w:rPr>
          <w:b/>
          <w:szCs w:val="17"/>
          <w:lang w:val="en-GB"/>
        </w:rPr>
        <w:t>s</w:t>
      </w:r>
      <w:r w:rsidRPr="00C90332">
        <w:rPr>
          <w:b/>
          <w:szCs w:val="17"/>
          <w:lang w:val="en-GB"/>
        </w:rPr>
        <w:t xml:space="preserve">  </w:t>
      </w:r>
    </w:p>
    <w:p w14:paraId="52081845" w14:textId="77777777" w:rsidR="006A2B44" w:rsidRPr="00C90332" w:rsidRDefault="006A2B44" w:rsidP="00B540C1">
      <w:pPr>
        <w:pStyle w:val="CEABullet-Level1"/>
        <w:numPr>
          <w:ilvl w:val="0"/>
          <w:numId w:val="0"/>
        </w:numPr>
        <w:ind w:left="360"/>
        <w:rPr>
          <w:szCs w:val="17"/>
          <w:lang w:val="en-US"/>
        </w:rPr>
      </w:pPr>
    </w:p>
    <w:p w14:paraId="1B97E9A8" w14:textId="77777777" w:rsidR="006A2B44" w:rsidRPr="00C90332" w:rsidRDefault="00AC6110" w:rsidP="00B540C1">
      <w:pPr>
        <w:pStyle w:val="CEABullet-Level2"/>
        <w:rPr>
          <w:b/>
          <w:szCs w:val="17"/>
          <w:lang w:val="en-GB"/>
        </w:rPr>
      </w:pPr>
      <w:r w:rsidRPr="00C90332">
        <w:rPr>
          <w:b/>
          <w:szCs w:val="17"/>
          <w:lang w:val="en-GB"/>
        </w:rPr>
        <w:t xml:space="preserve">Volatility Adjustment </w:t>
      </w:r>
    </w:p>
    <w:p w14:paraId="08E2A1AD" w14:textId="77777777" w:rsidR="006A2B44" w:rsidRPr="00C90332" w:rsidRDefault="006A2B44" w:rsidP="00B540C1">
      <w:pPr>
        <w:pStyle w:val="ListParagraph"/>
        <w:ind w:left="0"/>
        <w:contextualSpacing w:val="0"/>
        <w:rPr>
          <w:color w:val="E36C0A"/>
          <w:szCs w:val="17"/>
        </w:rPr>
      </w:pPr>
    </w:p>
    <w:p w14:paraId="79610F3C" w14:textId="77777777" w:rsidR="006A2B44" w:rsidRPr="00C90332" w:rsidRDefault="006A2B44" w:rsidP="00B540C1">
      <w:pPr>
        <w:pStyle w:val="CEABullet-Level3"/>
        <w:numPr>
          <w:ilvl w:val="0"/>
          <w:numId w:val="0"/>
        </w:numPr>
        <w:ind w:left="1494" w:hanging="360"/>
        <w:rPr>
          <w:szCs w:val="17"/>
          <w:u w:val="single"/>
          <w:lang w:val="en-GB"/>
        </w:rPr>
      </w:pPr>
      <w:r w:rsidRPr="00C90332">
        <w:rPr>
          <w:szCs w:val="17"/>
          <w:u w:val="single"/>
          <w:lang w:val="en-GB"/>
        </w:rPr>
        <w:t>July 2014 Changes</w:t>
      </w:r>
    </w:p>
    <w:p w14:paraId="1B926324" w14:textId="0BEFA2D3" w:rsidR="00C104A3" w:rsidRDefault="00C104A3" w:rsidP="00B540C1">
      <w:pPr>
        <w:pStyle w:val="CEABullet-Level3"/>
        <w:rPr>
          <w:szCs w:val="17"/>
          <w:lang w:val="en-GB"/>
        </w:rPr>
      </w:pPr>
      <w:r w:rsidRPr="00C90332">
        <w:rPr>
          <w:szCs w:val="17"/>
          <w:lang w:val="en-GB"/>
        </w:rPr>
        <w:t xml:space="preserve">No </w:t>
      </w:r>
      <w:r w:rsidR="002F2AAD">
        <w:rPr>
          <w:szCs w:val="17"/>
          <w:lang w:val="en-GB"/>
        </w:rPr>
        <w:t xml:space="preserve">significant </w:t>
      </w:r>
      <w:r w:rsidRPr="00C90332">
        <w:rPr>
          <w:szCs w:val="17"/>
          <w:lang w:val="en-GB"/>
        </w:rPr>
        <w:t>change. The Insurance Europe position on this issue remains the same.</w:t>
      </w:r>
    </w:p>
    <w:p w14:paraId="59F21699" w14:textId="77777777" w:rsidR="0033325D" w:rsidRDefault="0033325D" w:rsidP="00B540C1">
      <w:pPr>
        <w:pStyle w:val="CEABullet-Level3"/>
        <w:rPr>
          <w:lang w:val="en-GB"/>
        </w:rPr>
      </w:pPr>
      <w:r w:rsidRPr="000C42A5">
        <w:rPr>
          <w:lang w:val="en-GB"/>
        </w:rPr>
        <w:t>Recital 23 added, explicitly stating that the methodology, assumptions and identification of data used by EIOPA to calculate the volatility adjustment should be published quarterly (</w:t>
      </w:r>
      <w:r w:rsidRPr="008E54D0">
        <w:rPr>
          <w:color w:val="auto"/>
          <w:highlight w:val="green"/>
          <w:lang w:val="en-GB"/>
        </w:rPr>
        <w:t>positive</w:t>
      </w:r>
      <w:r w:rsidRPr="000C42A5">
        <w:rPr>
          <w:lang w:val="en-GB"/>
        </w:rPr>
        <w:t>).</w:t>
      </w:r>
    </w:p>
    <w:p w14:paraId="4F83C38E" w14:textId="66262B2A" w:rsidR="00641F52" w:rsidRDefault="00641F52" w:rsidP="00B540C1">
      <w:pPr>
        <w:pStyle w:val="CEABullet-Level3"/>
        <w:numPr>
          <w:ilvl w:val="0"/>
          <w:numId w:val="0"/>
        </w:numPr>
        <w:ind w:left="1494" w:hanging="360"/>
        <w:rPr>
          <w:lang w:val="en-GB"/>
        </w:rPr>
      </w:pPr>
    </w:p>
    <w:p w14:paraId="2C2FFF68" w14:textId="56C44DE6" w:rsidR="00641F52" w:rsidRPr="00C90332" w:rsidRDefault="00641F52" w:rsidP="00B540C1">
      <w:pPr>
        <w:pStyle w:val="CEABullet-Level3"/>
        <w:numPr>
          <w:ilvl w:val="0"/>
          <w:numId w:val="0"/>
        </w:numPr>
        <w:ind w:left="1494" w:hanging="360"/>
        <w:rPr>
          <w:szCs w:val="17"/>
          <w:u w:val="single"/>
          <w:lang w:val="en-GB"/>
        </w:rPr>
      </w:pPr>
      <w:r>
        <w:rPr>
          <w:szCs w:val="17"/>
          <w:u w:val="single"/>
          <w:lang w:val="en-GB"/>
        </w:rPr>
        <w:t>October</w:t>
      </w:r>
      <w:r w:rsidRPr="00C90332">
        <w:rPr>
          <w:szCs w:val="17"/>
          <w:u w:val="single"/>
          <w:lang w:val="en-GB"/>
        </w:rPr>
        <w:t xml:space="preserve"> 2014 Changes</w:t>
      </w:r>
    </w:p>
    <w:p w14:paraId="0B6651B0" w14:textId="77777777" w:rsidR="0004735A" w:rsidRPr="0004735A" w:rsidRDefault="005A3D79" w:rsidP="00B540C1">
      <w:pPr>
        <w:pStyle w:val="CEABullet-Level3"/>
        <w:rPr>
          <w:szCs w:val="17"/>
          <w:lang w:val="en-GB"/>
        </w:rPr>
      </w:pPr>
      <w:r w:rsidRPr="005A3D79">
        <w:rPr>
          <w:b/>
          <w:lang w:val="en-GB"/>
        </w:rPr>
        <w:t>Articles 50 and 51</w:t>
      </w:r>
      <w:r w:rsidRPr="005A3D79">
        <w:rPr>
          <w:lang w:val="en-GB"/>
        </w:rPr>
        <w:t>: The definition of the risk-corrected spread has been amended with the following rewording: “</w:t>
      </w:r>
      <w:r w:rsidRPr="005A3D79">
        <w:rPr>
          <w:i/>
          <w:lang w:val="en-GB"/>
        </w:rPr>
        <w:t xml:space="preserve">The portion of the </w:t>
      </w:r>
      <w:r w:rsidRPr="005A3D79">
        <w:rPr>
          <w:i/>
          <w:strike/>
          <w:lang w:val="en-GB"/>
        </w:rPr>
        <w:t>risk-corrected</w:t>
      </w:r>
      <w:r w:rsidRPr="005A3D79">
        <w:rPr>
          <w:i/>
          <w:lang w:val="en-GB"/>
        </w:rPr>
        <w:t xml:space="preserve"> </w:t>
      </w:r>
      <w:r w:rsidRPr="005A3D79">
        <w:rPr>
          <w:b/>
          <w:i/>
          <w:u w:val="single"/>
          <w:lang w:val="en-GB"/>
        </w:rPr>
        <w:t>average</w:t>
      </w:r>
      <w:r w:rsidRPr="005A3D79">
        <w:rPr>
          <w:i/>
          <w:lang w:val="en-GB"/>
        </w:rPr>
        <w:t xml:space="preserve"> currency spread […]</w:t>
      </w:r>
      <w:r w:rsidRPr="005A3D79">
        <w:rPr>
          <w:lang w:val="en-GB"/>
        </w:rPr>
        <w:t xml:space="preserve">” and the reference to Article 51 has been removed in Article 50. </w:t>
      </w:r>
    </w:p>
    <w:p w14:paraId="4C3CE65B" w14:textId="6F5875C5" w:rsidR="004B6617" w:rsidRPr="005A3D79" w:rsidRDefault="005A3D79" w:rsidP="0004735A">
      <w:pPr>
        <w:pStyle w:val="CEABullet-Level3"/>
        <w:numPr>
          <w:ilvl w:val="0"/>
          <w:numId w:val="0"/>
        </w:numPr>
        <w:ind w:left="1494"/>
        <w:rPr>
          <w:szCs w:val="17"/>
          <w:lang w:val="en-GB"/>
        </w:rPr>
      </w:pPr>
      <w:r w:rsidRPr="005A3D79">
        <w:rPr>
          <w:lang w:val="en-GB"/>
        </w:rPr>
        <w:t>The Secretariat believes the change of wording makes sense, but does not see the reason why the Commission removed the reference to Article 51.</w:t>
      </w:r>
    </w:p>
    <w:p w14:paraId="46DA9C4C" w14:textId="20ECA70C" w:rsidR="000C6DFE" w:rsidRPr="000C6DFE" w:rsidRDefault="000C6DFE" w:rsidP="00B540C1">
      <w:pPr>
        <w:pStyle w:val="CEABullet-Level3"/>
        <w:rPr>
          <w:szCs w:val="17"/>
          <w:lang w:val="en-GB"/>
        </w:rPr>
      </w:pPr>
      <w:r w:rsidRPr="000C6DFE">
        <w:rPr>
          <w:szCs w:val="17"/>
          <w:lang w:val="en-GB"/>
        </w:rPr>
        <w:t xml:space="preserve">No </w:t>
      </w:r>
      <w:r w:rsidR="004B6617">
        <w:rPr>
          <w:szCs w:val="17"/>
          <w:lang w:val="en-GB"/>
        </w:rPr>
        <w:t xml:space="preserve">other </w:t>
      </w:r>
      <w:r w:rsidRPr="000C6DFE">
        <w:rPr>
          <w:szCs w:val="17"/>
          <w:lang w:val="en-GB"/>
        </w:rPr>
        <w:t xml:space="preserve">change. </w:t>
      </w:r>
      <w:commentRangeStart w:id="1"/>
      <w:r w:rsidRPr="000C6DFE">
        <w:rPr>
          <w:szCs w:val="17"/>
          <w:lang w:val="en-GB"/>
        </w:rPr>
        <w:t>The Insurance Europe position on this issue remains the same</w:t>
      </w:r>
      <w:commentRangeEnd w:id="1"/>
      <w:r w:rsidR="00191ED0">
        <w:rPr>
          <w:rStyle w:val="CommentReference"/>
          <w:rFonts w:cs="Times New Roman"/>
          <w:color w:val="auto"/>
          <w:lang w:val="en-GB"/>
        </w:rPr>
        <w:commentReference w:id="1"/>
      </w:r>
      <w:r w:rsidRPr="000C6DFE">
        <w:rPr>
          <w:szCs w:val="17"/>
          <w:lang w:val="en-GB"/>
        </w:rPr>
        <w:t>.</w:t>
      </w:r>
    </w:p>
    <w:p w14:paraId="3759C01A" w14:textId="77777777" w:rsidR="00FD4964" w:rsidRPr="00654445" w:rsidRDefault="00FD4964" w:rsidP="00B540C1">
      <w:pPr>
        <w:pStyle w:val="CEABullet-Level3"/>
        <w:numPr>
          <w:ilvl w:val="0"/>
          <w:numId w:val="0"/>
        </w:numPr>
        <w:ind w:left="1494" w:hanging="360"/>
        <w:rPr>
          <w:lang w:val="en-GB"/>
        </w:rPr>
      </w:pPr>
    </w:p>
    <w:p w14:paraId="641DEC6F" w14:textId="4326B3A8" w:rsidR="0031195B" w:rsidRPr="00B540C1" w:rsidRDefault="00AC6110" w:rsidP="00B540C1">
      <w:pPr>
        <w:pStyle w:val="CEABullet-Level2"/>
        <w:rPr>
          <w:szCs w:val="17"/>
          <w:lang w:val="en-GB"/>
        </w:rPr>
      </w:pPr>
      <w:r w:rsidRPr="00C90332">
        <w:rPr>
          <w:b/>
          <w:szCs w:val="17"/>
          <w:lang w:val="en-GB"/>
        </w:rPr>
        <w:t xml:space="preserve">Matching Adjustment </w:t>
      </w:r>
    </w:p>
    <w:p w14:paraId="70DB51B3" w14:textId="77777777" w:rsidR="0031195B" w:rsidRPr="00C90332" w:rsidRDefault="0031195B" w:rsidP="00B540C1">
      <w:pPr>
        <w:pStyle w:val="CEABullet-Level3"/>
        <w:numPr>
          <w:ilvl w:val="0"/>
          <w:numId w:val="0"/>
        </w:numPr>
        <w:ind w:left="1494" w:hanging="360"/>
        <w:rPr>
          <w:szCs w:val="17"/>
          <w:lang w:val="en-GB"/>
        </w:rPr>
      </w:pPr>
    </w:p>
    <w:p w14:paraId="28DA3BA9" w14:textId="77777777" w:rsidR="0031195B" w:rsidRPr="00C90332" w:rsidRDefault="0031195B" w:rsidP="00B540C1">
      <w:pPr>
        <w:pStyle w:val="CEABullet-Level3"/>
        <w:numPr>
          <w:ilvl w:val="0"/>
          <w:numId w:val="0"/>
        </w:numPr>
        <w:ind w:left="1494" w:hanging="360"/>
        <w:rPr>
          <w:szCs w:val="17"/>
          <w:u w:val="single"/>
          <w:lang w:val="en-GB"/>
        </w:rPr>
      </w:pPr>
      <w:r w:rsidRPr="00C90332">
        <w:rPr>
          <w:szCs w:val="17"/>
          <w:u w:val="single"/>
          <w:lang w:val="en-GB"/>
        </w:rPr>
        <w:t>July 2014 Changes</w:t>
      </w:r>
    </w:p>
    <w:p w14:paraId="572F90FE" w14:textId="77777777" w:rsidR="0033325D" w:rsidRPr="00FF7AB3" w:rsidRDefault="0033325D" w:rsidP="00B540C1">
      <w:pPr>
        <w:pStyle w:val="CEABullet-Level3"/>
        <w:rPr>
          <w:lang w:val="en-GB"/>
        </w:rPr>
      </w:pPr>
      <w:r w:rsidRPr="00812F9B">
        <w:rPr>
          <w:lang w:val="en-GB"/>
        </w:rPr>
        <w:lastRenderedPageBreak/>
        <w:t>Recital 23</w:t>
      </w:r>
      <w:r w:rsidRPr="00BE4558">
        <w:rPr>
          <w:lang w:val="en-GB"/>
        </w:rPr>
        <w:t xml:space="preserve"> added, explicitly stating that the methodology, assumptions and identification of data used by EIOPA to calculate the </w:t>
      </w:r>
      <w:r>
        <w:rPr>
          <w:lang w:val="en-GB"/>
        </w:rPr>
        <w:t>matching</w:t>
      </w:r>
      <w:r w:rsidRPr="00A51D10">
        <w:rPr>
          <w:lang w:val="en-GB"/>
        </w:rPr>
        <w:t xml:space="preserve"> adjustment should be published quarterly </w:t>
      </w:r>
      <w:r w:rsidRPr="00FF7AB3">
        <w:rPr>
          <w:lang w:val="en-GB"/>
        </w:rPr>
        <w:t>(</w:t>
      </w:r>
      <w:r w:rsidRPr="00FF7AB3">
        <w:rPr>
          <w:highlight w:val="green"/>
          <w:lang w:val="en-GB"/>
        </w:rPr>
        <w:t>positive</w:t>
      </w:r>
      <w:r w:rsidRPr="00FF7AB3">
        <w:rPr>
          <w:lang w:val="en-GB"/>
        </w:rPr>
        <w:t>).</w:t>
      </w:r>
    </w:p>
    <w:p w14:paraId="56DA4EDE" w14:textId="0DE597AF" w:rsidR="0033325D" w:rsidRPr="004B6617" w:rsidRDefault="0033325D" w:rsidP="004B6617">
      <w:pPr>
        <w:pStyle w:val="CEABullet-Level3"/>
        <w:rPr>
          <w:lang w:val="en-GB"/>
        </w:rPr>
      </w:pPr>
      <w:r w:rsidRPr="00FF7AB3">
        <w:rPr>
          <w:lang w:val="en-GB"/>
        </w:rPr>
        <w:t>Recital 26 added, clarifying that several insurance products can be included together in a single matching adjustment portfolio, provided that the conditions for approval are met on a continuous basis and there are no legal impediments to that business being organised and managed separately from the rest of the business of the undertaking in one portfolio (</w:t>
      </w:r>
      <w:r w:rsidRPr="00FF7AB3">
        <w:rPr>
          <w:highlight w:val="green"/>
          <w:lang w:val="en-GB"/>
        </w:rPr>
        <w:t>positive</w:t>
      </w:r>
      <w:r w:rsidRPr="00FF7AB3">
        <w:rPr>
          <w:lang w:val="en-GB"/>
        </w:rPr>
        <w:t>).</w:t>
      </w:r>
      <w:r w:rsidR="000062E4">
        <w:rPr>
          <w:lang w:val="en-GB"/>
        </w:rPr>
        <w:t xml:space="preserve"> However, this new recital does not address the whole problem relating </w:t>
      </w:r>
      <w:r w:rsidR="00C22B88">
        <w:rPr>
          <w:lang w:val="en-GB"/>
        </w:rPr>
        <w:t xml:space="preserve">to </w:t>
      </w:r>
      <w:r w:rsidR="000062E4">
        <w:rPr>
          <w:lang w:val="en-GB"/>
        </w:rPr>
        <w:t xml:space="preserve">the matching adjustment business. The single matching adjustment portfolio should be considered not only for the purpose of the application </w:t>
      </w:r>
      <w:r w:rsidR="00C22B88">
        <w:rPr>
          <w:lang w:val="en-GB"/>
        </w:rPr>
        <w:t xml:space="preserve">process in view of the </w:t>
      </w:r>
      <w:r w:rsidR="000062E4">
        <w:rPr>
          <w:lang w:val="en-GB"/>
        </w:rPr>
        <w:t xml:space="preserve">approval, but also for the recognition of diversification effects in the SCR </w:t>
      </w:r>
      <w:r w:rsidR="00C22B88">
        <w:rPr>
          <w:lang w:val="en-GB"/>
        </w:rPr>
        <w:t xml:space="preserve">calculation: diversification should be recognised </w:t>
      </w:r>
      <w:r w:rsidR="000062E4">
        <w:rPr>
          <w:lang w:val="en-GB"/>
        </w:rPr>
        <w:t xml:space="preserve">within the whole single matching adjustment business. </w:t>
      </w:r>
      <w:r w:rsidR="000062E4" w:rsidRPr="00C90332">
        <w:rPr>
          <w:szCs w:val="17"/>
          <w:lang w:val="en-GB"/>
        </w:rPr>
        <w:t>(</w:t>
      </w:r>
      <w:r w:rsidR="000062E4" w:rsidRPr="00C22B88">
        <w:rPr>
          <w:szCs w:val="17"/>
          <w:highlight w:val="red"/>
          <w:lang w:val="en-GB"/>
        </w:rPr>
        <w:t>negative</w:t>
      </w:r>
      <w:r w:rsidR="000062E4">
        <w:rPr>
          <w:szCs w:val="17"/>
          <w:lang w:val="en-GB"/>
        </w:rPr>
        <w:t>)</w:t>
      </w:r>
    </w:p>
    <w:p w14:paraId="10107863" w14:textId="77777777" w:rsidR="00487E89" w:rsidRDefault="00487E89" w:rsidP="00B540C1">
      <w:pPr>
        <w:pStyle w:val="CEABullet-Level3"/>
        <w:numPr>
          <w:ilvl w:val="0"/>
          <w:numId w:val="0"/>
        </w:numPr>
        <w:ind w:left="1494"/>
        <w:rPr>
          <w:szCs w:val="17"/>
          <w:lang w:val="en-GB"/>
        </w:rPr>
      </w:pPr>
    </w:p>
    <w:p w14:paraId="32CFC0E6" w14:textId="77777777" w:rsidR="00E46E53" w:rsidRPr="00C90332" w:rsidRDefault="00E46E53" w:rsidP="00B540C1">
      <w:pPr>
        <w:pStyle w:val="CEABullet-Level3"/>
        <w:numPr>
          <w:ilvl w:val="0"/>
          <w:numId w:val="0"/>
        </w:numPr>
        <w:ind w:left="1494" w:hanging="360"/>
        <w:rPr>
          <w:szCs w:val="17"/>
          <w:u w:val="single"/>
          <w:lang w:val="en-GB"/>
        </w:rPr>
      </w:pPr>
      <w:r>
        <w:rPr>
          <w:szCs w:val="17"/>
          <w:u w:val="single"/>
          <w:lang w:val="en-GB"/>
        </w:rPr>
        <w:t>October</w:t>
      </w:r>
      <w:r w:rsidRPr="00C90332">
        <w:rPr>
          <w:szCs w:val="17"/>
          <w:u w:val="single"/>
          <w:lang w:val="en-GB"/>
        </w:rPr>
        <w:t xml:space="preserve"> 2014 Changes</w:t>
      </w:r>
    </w:p>
    <w:p w14:paraId="672804A7" w14:textId="74957C84" w:rsidR="00E46E53" w:rsidRPr="000C6DFE" w:rsidRDefault="00E46E53" w:rsidP="00B540C1">
      <w:pPr>
        <w:pStyle w:val="CEABullet-Level3"/>
        <w:rPr>
          <w:szCs w:val="17"/>
          <w:lang w:val="en-GB"/>
        </w:rPr>
      </w:pPr>
      <w:r w:rsidRPr="000C6DFE">
        <w:rPr>
          <w:szCs w:val="17"/>
          <w:lang w:val="en-GB"/>
        </w:rPr>
        <w:t>No change. The Insurance Europe position on this issue remains the same.</w:t>
      </w:r>
    </w:p>
    <w:p w14:paraId="7C134CD7" w14:textId="77777777" w:rsidR="00E46E53" w:rsidRPr="00C90332" w:rsidRDefault="00E46E53" w:rsidP="00B540C1">
      <w:pPr>
        <w:pStyle w:val="CEABullet-Level3"/>
        <w:numPr>
          <w:ilvl w:val="0"/>
          <w:numId w:val="0"/>
        </w:numPr>
        <w:ind w:left="1494"/>
        <w:rPr>
          <w:szCs w:val="17"/>
          <w:lang w:val="en-GB"/>
        </w:rPr>
      </w:pPr>
    </w:p>
    <w:p w14:paraId="62E72A5B" w14:textId="77777777" w:rsidR="00AC6110" w:rsidRPr="00C90332" w:rsidRDefault="00EB1F68" w:rsidP="00B540C1">
      <w:pPr>
        <w:pStyle w:val="CEABullet-Level2"/>
        <w:rPr>
          <w:b/>
          <w:szCs w:val="17"/>
          <w:lang w:val="en-GB"/>
        </w:rPr>
      </w:pPr>
      <w:r w:rsidRPr="00C90332">
        <w:rPr>
          <w:b/>
          <w:szCs w:val="17"/>
          <w:lang w:val="en-GB"/>
        </w:rPr>
        <w:t xml:space="preserve">Extrapolation </w:t>
      </w:r>
    </w:p>
    <w:p w14:paraId="3D3C007C" w14:textId="77777777" w:rsidR="00BC3778" w:rsidRPr="00C90332" w:rsidRDefault="00BC3778" w:rsidP="00B540C1">
      <w:pPr>
        <w:pStyle w:val="CEABullet-Level3"/>
        <w:numPr>
          <w:ilvl w:val="0"/>
          <w:numId w:val="0"/>
        </w:numPr>
        <w:ind w:left="1494" w:hanging="360"/>
        <w:rPr>
          <w:szCs w:val="17"/>
          <w:lang w:val="en-GB" w:eastAsia="en-GB"/>
        </w:rPr>
      </w:pPr>
    </w:p>
    <w:p w14:paraId="41EB6EBC" w14:textId="77777777" w:rsidR="00BC3778" w:rsidRPr="00C90332" w:rsidRDefault="00BC3778" w:rsidP="00B540C1">
      <w:pPr>
        <w:pStyle w:val="CEABullet-Level3"/>
        <w:numPr>
          <w:ilvl w:val="0"/>
          <w:numId w:val="0"/>
        </w:numPr>
        <w:ind w:left="1494" w:hanging="360"/>
        <w:rPr>
          <w:szCs w:val="17"/>
          <w:u w:val="single"/>
          <w:lang w:val="en-GB"/>
        </w:rPr>
      </w:pPr>
      <w:r w:rsidRPr="00C90332">
        <w:rPr>
          <w:szCs w:val="17"/>
          <w:u w:val="single"/>
          <w:lang w:val="en-GB"/>
        </w:rPr>
        <w:t>July 2014 Changes</w:t>
      </w:r>
    </w:p>
    <w:p w14:paraId="00040C66" w14:textId="1866E1A1" w:rsidR="00C104A3" w:rsidRDefault="00C104A3" w:rsidP="00B540C1">
      <w:pPr>
        <w:pStyle w:val="CEABullet-Level3"/>
        <w:rPr>
          <w:szCs w:val="17"/>
          <w:lang w:val="en-GB"/>
        </w:rPr>
      </w:pPr>
      <w:r w:rsidRPr="00C90332">
        <w:rPr>
          <w:szCs w:val="17"/>
          <w:lang w:val="en-GB"/>
        </w:rPr>
        <w:t>No change. The Insurance Europe position on this issue remains the same.</w:t>
      </w:r>
    </w:p>
    <w:p w14:paraId="68EA8D86" w14:textId="728FFD90" w:rsidR="00564F23" w:rsidRDefault="00564F23" w:rsidP="00B540C1">
      <w:pPr>
        <w:pStyle w:val="CEABullet-Level3"/>
        <w:numPr>
          <w:ilvl w:val="0"/>
          <w:numId w:val="0"/>
        </w:numPr>
        <w:ind w:left="1494" w:hanging="360"/>
        <w:rPr>
          <w:szCs w:val="17"/>
          <w:lang w:val="en-GB"/>
        </w:rPr>
      </w:pPr>
    </w:p>
    <w:p w14:paraId="0298868F" w14:textId="77777777" w:rsidR="00564F23" w:rsidRPr="00C90332" w:rsidRDefault="00564F23" w:rsidP="00B540C1">
      <w:pPr>
        <w:pStyle w:val="CEABullet-Level3"/>
        <w:numPr>
          <w:ilvl w:val="0"/>
          <w:numId w:val="0"/>
        </w:numPr>
        <w:ind w:left="1494" w:hanging="360"/>
        <w:rPr>
          <w:szCs w:val="17"/>
          <w:u w:val="single"/>
          <w:lang w:val="en-GB"/>
        </w:rPr>
      </w:pPr>
      <w:r>
        <w:rPr>
          <w:szCs w:val="17"/>
          <w:u w:val="single"/>
          <w:lang w:val="en-GB"/>
        </w:rPr>
        <w:t>October</w:t>
      </w:r>
      <w:r w:rsidRPr="00C90332">
        <w:rPr>
          <w:szCs w:val="17"/>
          <w:u w:val="single"/>
          <w:lang w:val="en-GB"/>
        </w:rPr>
        <w:t xml:space="preserve"> 2014 Changes</w:t>
      </w:r>
    </w:p>
    <w:p w14:paraId="306EC922" w14:textId="3E92C546" w:rsidR="00564F23" w:rsidRPr="000C6DFE" w:rsidRDefault="00564F23" w:rsidP="00B540C1">
      <w:pPr>
        <w:pStyle w:val="CEABullet-Level3"/>
        <w:rPr>
          <w:szCs w:val="17"/>
          <w:lang w:val="en-GB"/>
        </w:rPr>
      </w:pPr>
      <w:r w:rsidRPr="000C6DFE">
        <w:rPr>
          <w:szCs w:val="17"/>
          <w:lang w:val="en-GB"/>
        </w:rPr>
        <w:t>No change. The Insurance Europe position on this issue remains the same.</w:t>
      </w:r>
    </w:p>
    <w:p w14:paraId="365C6053" w14:textId="77777777" w:rsidR="00AC6110" w:rsidRPr="00654445" w:rsidRDefault="00AC6110" w:rsidP="00B540C1">
      <w:pPr>
        <w:pStyle w:val="CEABullet-Level3"/>
        <w:numPr>
          <w:ilvl w:val="0"/>
          <w:numId w:val="0"/>
        </w:numPr>
        <w:ind w:left="1494" w:hanging="360"/>
        <w:rPr>
          <w:lang w:val="en-GB"/>
        </w:rPr>
      </w:pPr>
    </w:p>
    <w:p w14:paraId="10E81DA2" w14:textId="77777777" w:rsidR="00AC6110" w:rsidRPr="00C90332" w:rsidRDefault="00AC6110" w:rsidP="00B540C1">
      <w:pPr>
        <w:pStyle w:val="CEABullet-Level2"/>
        <w:rPr>
          <w:b/>
          <w:szCs w:val="17"/>
          <w:lang w:val="en-GB"/>
        </w:rPr>
      </w:pPr>
      <w:r w:rsidRPr="00C90332">
        <w:rPr>
          <w:b/>
          <w:szCs w:val="17"/>
          <w:lang w:val="en-GB"/>
        </w:rPr>
        <w:t>Credit Risk Adjustment</w:t>
      </w:r>
      <w:r w:rsidRPr="00C90332" w:rsidDel="008C2434">
        <w:rPr>
          <w:b/>
          <w:szCs w:val="17"/>
          <w:lang w:val="en-GB"/>
        </w:rPr>
        <w:t xml:space="preserve"> </w:t>
      </w:r>
    </w:p>
    <w:p w14:paraId="1FD58082" w14:textId="77777777" w:rsidR="00B109CD" w:rsidRPr="00C90332" w:rsidRDefault="00B109CD" w:rsidP="00B540C1">
      <w:pPr>
        <w:pStyle w:val="CEABullet-Level3"/>
        <w:numPr>
          <w:ilvl w:val="0"/>
          <w:numId w:val="0"/>
        </w:numPr>
        <w:rPr>
          <w:szCs w:val="17"/>
          <w:lang w:val="en-GB"/>
        </w:rPr>
      </w:pPr>
    </w:p>
    <w:p w14:paraId="5CAFCF98" w14:textId="77777777" w:rsidR="00BC3778" w:rsidRPr="00C90332" w:rsidRDefault="00BC3778" w:rsidP="00B540C1">
      <w:pPr>
        <w:pStyle w:val="CEABullet-Level3"/>
        <w:numPr>
          <w:ilvl w:val="0"/>
          <w:numId w:val="0"/>
        </w:numPr>
        <w:ind w:left="1494" w:hanging="360"/>
        <w:rPr>
          <w:szCs w:val="17"/>
          <w:u w:val="single"/>
          <w:lang w:val="en-GB"/>
        </w:rPr>
      </w:pPr>
      <w:r w:rsidRPr="00C90332">
        <w:rPr>
          <w:szCs w:val="17"/>
          <w:u w:val="single"/>
          <w:lang w:val="en-GB"/>
        </w:rPr>
        <w:t>July 2014 Changes</w:t>
      </w:r>
    </w:p>
    <w:p w14:paraId="5FBBE849" w14:textId="77777777" w:rsidR="0033325D" w:rsidRDefault="0033325D" w:rsidP="00B540C1">
      <w:pPr>
        <w:pStyle w:val="CEABullet-Level3"/>
        <w:rPr>
          <w:lang w:val="en-GB"/>
        </w:rPr>
      </w:pPr>
      <w:r w:rsidRPr="00812F9B">
        <w:rPr>
          <w:lang w:val="en-GB"/>
        </w:rPr>
        <w:t xml:space="preserve">Recital 23 added, explicitly stating that the methodology, assumptions and identification of data used by EIOPA to calculate the </w:t>
      </w:r>
      <w:r>
        <w:rPr>
          <w:lang w:val="en-GB"/>
        </w:rPr>
        <w:t>credit risk</w:t>
      </w:r>
      <w:r w:rsidRPr="00A51D10">
        <w:rPr>
          <w:lang w:val="en-GB"/>
        </w:rPr>
        <w:t xml:space="preserve"> adjustment should be published quarterly </w:t>
      </w:r>
      <w:r w:rsidRPr="00FF7AB3">
        <w:rPr>
          <w:lang w:val="en-GB"/>
        </w:rPr>
        <w:t>(</w:t>
      </w:r>
      <w:r w:rsidRPr="00FF7AB3">
        <w:rPr>
          <w:highlight w:val="green"/>
          <w:lang w:val="en-GB"/>
        </w:rPr>
        <w:t>positive</w:t>
      </w:r>
      <w:r w:rsidRPr="00FF7AB3">
        <w:rPr>
          <w:lang w:val="en-GB"/>
        </w:rPr>
        <w:t>).</w:t>
      </w:r>
    </w:p>
    <w:p w14:paraId="49FAB088" w14:textId="77777777" w:rsidR="00CA4EFB" w:rsidRDefault="00CA4EFB" w:rsidP="00B540C1">
      <w:pPr>
        <w:pStyle w:val="CEABullet-Level3"/>
        <w:numPr>
          <w:ilvl w:val="0"/>
          <w:numId w:val="0"/>
        </w:numPr>
        <w:ind w:left="1494"/>
        <w:rPr>
          <w:lang w:val="en-GB"/>
        </w:rPr>
      </w:pPr>
    </w:p>
    <w:p w14:paraId="1EE21333" w14:textId="77777777" w:rsidR="00564F23" w:rsidRPr="00C90332" w:rsidRDefault="00564F23" w:rsidP="00B540C1">
      <w:pPr>
        <w:pStyle w:val="CEABullet-Level3"/>
        <w:numPr>
          <w:ilvl w:val="0"/>
          <w:numId w:val="0"/>
        </w:numPr>
        <w:ind w:left="1494" w:hanging="360"/>
        <w:rPr>
          <w:szCs w:val="17"/>
          <w:u w:val="single"/>
          <w:lang w:val="en-GB"/>
        </w:rPr>
      </w:pPr>
      <w:r>
        <w:rPr>
          <w:szCs w:val="17"/>
          <w:u w:val="single"/>
          <w:lang w:val="en-GB"/>
        </w:rPr>
        <w:t>October</w:t>
      </w:r>
      <w:r w:rsidRPr="00C90332">
        <w:rPr>
          <w:szCs w:val="17"/>
          <w:u w:val="single"/>
          <w:lang w:val="en-GB"/>
        </w:rPr>
        <w:t xml:space="preserve"> 2014 Changes</w:t>
      </w:r>
    </w:p>
    <w:p w14:paraId="5BA397FE" w14:textId="422F4591" w:rsidR="00564F23" w:rsidRPr="00564F23" w:rsidRDefault="00564F23" w:rsidP="00B540C1">
      <w:pPr>
        <w:pStyle w:val="CEABullet-Level3"/>
        <w:rPr>
          <w:szCs w:val="17"/>
          <w:lang w:val="en-GB"/>
        </w:rPr>
      </w:pPr>
      <w:r w:rsidRPr="000C6DFE">
        <w:rPr>
          <w:szCs w:val="17"/>
          <w:lang w:val="en-GB"/>
        </w:rPr>
        <w:t>No change. The Insurance Europe position on this issue remains the same.</w:t>
      </w:r>
    </w:p>
    <w:p w14:paraId="46CB3234" w14:textId="77777777" w:rsidR="00487E89" w:rsidRDefault="00487E89" w:rsidP="00B540C1">
      <w:pPr>
        <w:pStyle w:val="CEABullet-Level3"/>
        <w:numPr>
          <w:ilvl w:val="0"/>
          <w:numId w:val="0"/>
        </w:numPr>
        <w:ind w:left="1494"/>
        <w:rPr>
          <w:szCs w:val="17"/>
          <w:lang w:val="en-GB"/>
        </w:rPr>
      </w:pPr>
    </w:p>
    <w:p w14:paraId="2C2C7C9A" w14:textId="77777777" w:rsidR="004B6617" w:rsidRPr="00C90332" w:rsidRDefault="004B6617" w:rsidP="00B540C1">
      <w:pPr>
        <w:pStyle w:val="CEABullet-Level3"/>
        <w:numPr>
          <w:ilvl w:val="0"/>
          <w:numId w:val="0"/>
        </w:numPr>
        <w:ind w:left="1494"/>
        <w:rPr>
          <w:szCs w:val="17"/>
          <w:lang w:val="en-GB"/>
        </w:rPr>
      </w:pPr>
    </w:p>
    <w:p w14:paraId="7C51CE20" w14:textId="77777777" w:rsidR="00EA466A" w:rsidRPr="00C90332" w:rsidRDefault="00EA466A" w:rsidP="00B540C1">
      <w:pPr>
        <w:pStyle w:val="CEABullet-Level1"/>
        <w:rPr>
          <w:b/>
          <w:szCs w:val="17"/>
          <w:lang w:val="en-US"/>
        </w:rPr>
      </w:pPr>
      <w:r w:rsidRPr="00C90332">
        <w:rPr>
          <w:b/>
          <w:szCs w:val="17"/>
          <w:lang w:val="en-US"/>
        </w:rPr>
        <w:t>Equivalence</w:t>
      </w:r>
    </w:p>
    <w:p w14:paraId="695DAEA3" w14:textId="77777777" w:rsidR="00BC3778" w:rsidRPr="00C90332" w:rsidRDefault="00BC3778" w:rsidP="00B540C1">
      <w:pPr>
        <w:pStyle w:val="CEABullet-Level1"/>
        <w:numPr>
          <w:ilvl w:val="0"/>
          <w:numId w:val="0"/>
        </w:numPr>
        <w:ind w:left="360" w:hanging="360"/>
        <w:rPr>
          <w:szCs w:val="17"/>
          <w:lang w:val="en-US"/>
        </w:rPr>
      </w:pPr>
    </w:p>
    <w:p w14:paraId="5A492745" w14:textId="77777777" w:rsidR="00BC3778" w:rsidRPr="00C90332" w:rsidRDefault="00BC3778" w:rsidP="00B540C1">
      <w:pPr>
        <w:pStyle w:val="CEABullet-Level3"/>
        <w:numPr>
          <w:ilvl w:val="0"/>
          <w:numId w:val="0"/>
        </w:numPr>
        <w:ind w:left="1494" w:hanging="360"/>
        <w:rPr>
          <w:szCs w:val="17"/>
          <w:u w:val="single"/>
          <w:lang w:val="en-GB"/>
        </w:rPr>
      </w:pPr>
      <w:r w:rsidRPr="00C90332">
        <w:rPr>
          <w:szCs w:val="17"/>
          <w:u w:val="single"/>
          <w:lang w:val="en-GB"/>
        </w:rPr>
        <w:t>July 2014 Changes</w:t>
      </w:r>
    </w:p>
    <w:p w14:paraId="4374705C" w14:textId="77777777" w:rsidR="0033325D" w:rsidRDefault="0033325D" w:rsidP="00B540C1">
      <w:pPr>
        <w:pStyle w:val="CEABullet-Level3"/>
        <w:numPr>
          <w:ilvl w:val="0"/>
          <w:numId w:val="0"/>
        </w:numPr>
        <w:ind w:left="1494" w:hanging="360"/>
      </w:pPr>
    </w:p>
    <w:p w14:paraId="650761A5" w14:textId="77777777" w:rsidR="0033325D" w:rsidRDefault="0033325D" w:rsidP="00B540C1">
      <w:pPr>
        <w:pStyle w:val="CEABullet-Level3"/>
        <w:rPr>
          <w:lang w:val="en-GB"/>
        </w:rPr>
      </w:pPr>
      <w:r>
        <w:rPr>
          <w:lang w:val="en-GB"/>
        </w:rPr>
        <w:t>Recital 12</w:t>
      </w:r>
      <w:r w:rsidR="00272FF0">
        <w:rPr>
          <w:lang w:val="en-GB"/>
        </w:rPr>
        <w:t>3</w:t>
      </w:r>
      <w:r>
        <w:rPr>
          <w:lang w:val="en-GB"/>
        </w:rPr>
        <w:t xml:space="preserve"> added, indicating the need to consider whether relevant third countries are deemed equivalent when deciding on whether the deduction and aggregation method should be used for the calculation of group solvency </w:t>
      </w:r>
      <w:r w:rsidRPr="00FF7AB3">
        <w:rPr>
          <w:lang w:val="en-GB"/>
        </w:rPr>
        <w:t>(</w:t>
      </w:r>
      <w:r w:rsidRPr="00FF7AB3">
        <w:rPr>
          <w:highlight w:val="green"/>
          <w:lang w:val="en-GB"/>
        </w:rPr>
        <w:t>positive</w:t>
      </w:r>
      <w:r w:rsidRPr="00FF7AB3">
        <w:rPr>
          <w:lang w:val="en-GB"/>
        </w:rPr>
        <w:t>).</w:t>
      </w:r>
    </w:p>
    <w:p w14:paraId="49144236" w14:textId="77777777" w:rsidR="008E6FDD" w:rsidRDefault="008E6FDD" w:rsidP="00B540C1">
      <w:pPr>
        <w:pStyle w:val="CEABullet-Level3"/>
        <w:numPr>
          <w:ilvl w:val="0"/>
          <w:numId w:val="0"/>
        </w:numPr>
        <w:ind w:left="1134"/>
        <w:rPr>
          <w:lang w:val="en-GB"/>
        </w:rPr>
      </w:pPr>
    </w:p>
    <w:p w14:paraId="5E90141D" w14:textId="77777777" w:rsidR="008E6FDD" w:rsidRPr="0025408C" w:rsidRDefault="008E6FDD" w:rsidP="00B540C1">
      <w:pPr>
        <w:pStyle w:val="CEABullet-Level3"/>
        <w:numPr>
          <w:ilvl w:val="0"/>
          <w:numId w:val="0"/>
        </w:numPr>
        <w:ind w:left="1134"/>
        <w:rPr>
          <w:u w:val="single"/>
        </w:rPr>
      </w:pPr>
      <w:r w:rsidRPr="0025408C">
        <w:rPr>
          <w:u w:val="single"/>
        </w:rPr>
        <w:t>October 2014 Changes</w:t>
      </w:r>
    </w:p>
    <w:p w14:paraId="6760EA71" w14:textId="21F96066" w:rsidR="008E6FDD" w:rsidRPr="00654445" w:rsidRDefault="00E773C9" w:rsidP="00B540C1">
      <w:pPr>
        <w:pStyle w:val="CEABullet-Level3"/>
        <w:rPr>
          <w:lang w:val="en-GB"/>
        </w:rPr>
      </w:pPr>
      <w:r w:rsidRPr="00654445">
        <w:rPr>
          <w:lang w:val="en-GB"/>
        </w:rPr>
        <w:t>No change</w:t>
      </w:r>
      <w:r w:rsidR="008E6FDD" w:rsidRPr="00654445">
        <w:rPr>
          <w:lang w:val="en-GB"/>
        </w:rPr>
        <w:t>.</w:t>
      </w:r>
      <w:r w:rsidR="0025408C">
        <w:rPr>
          <w:lang w:val="en-GB"/>
        </w:rPr>
        <w:t xml:space="preserve"> </w:t>
      </w:r>
      <w:r w:rsidR="0025408C" w:rsidRPr="000C6DFE">
        <w:rPr>
          <w:szCs w:val="17"/>
          <w:lang w:val="en-GB"/>
        </w:rPr>
        <w:t>The Insurance Europe position on this issue remains the same.</w:t>
      </w:r>
      <w:r w:rsidR="008E6FDD" w:rsidRPr="00654445">
        <w:rPr>
          <w:lang w:val="en-GB"/>
        </w:rPr>
        <w:t xml:space="preserve"> </w:t>
      </w:r>
    </w:p>
    <w:p w14:paraId="6739EA2E" w14:textId="77777777" w:rsidR="00BC3778" w:rsidRDefault="00BC3778" w:rsidP="00B540C1">
      <w:pPr>
        <w:pStyle w:val="CEABullet-Level3"/>
        <w:numPr>
          <w:ilvl w:val="0"/>
          <w:numId w:val="0"/>
        </w:numPr>
        <w:ind w:left="1494"/>
        <w:rPr>
          <w:szCs w:val="17"/>
          <w:lang w:val="en-GB"/>
        </w:rPr>
      </w:pPr>
    </w:p>
    <w:p w14:paraId="63B15DB6" w14:textId="77777777" w:rsidR="004B6617" w:rsidRPr="00C90332" w:rsidRDefault="004B6617" w:rsidP="00B540C1">
      <w:pPr>
        <w:pStyle w:val="CEABullet-Level3"/>
        <w:numPr>
          <w:ilvl w:val="0"/>
          <w:numId w:val="0"/>
        </w:numPr>
        <w:ind w:left="1494"/>
        <w:rPr>
          <w:szCs w:val="17"/>
          <w:lang w:val="en-GB"/>
        </w:rPr>
      </w:pPr>
    </w:p>
    <w:p w14:paraId="33D9CE7D" w14:textId="77777777" w:rsidR="00AC6110" w:rsidRPr="00C90332" w:rsidRDefault="00AC6110" w:rsidP="00B540C1">
      <w:pPr>
        <w:pStyle w:val="CEABullet-Level1"/>
        <w:rPr>
          <w:b/>
          <w:szCs w:val="17"/>
          <w:lang w:val="en-US"/>
        </w:rPr>
      </w:pPr>
      <w:r w:rsidRPr="00C90332">
        <w:rPr>
          <w:b/>
          <w:szCs w:val="17"/>
        </w:rPr>
        <w:t xml:space="preserve">Long term investment issues </w:t>
      </w:r>
    </w:p>
    <w:p w14:paraId="45D35AD7" w14:textId="77777777" w:rsidR="0005353F" w:rsidRPr="00C90332" w:rsidRDefault="0005353F" w:rsidP="00B540C1">
      <w:pPr>
        <w:pStyle w:val="CEABullet-Level1"/>
        <w:numPr>
          <w:ilvl w:val="0"/>
          <w:numId w:val="0"/>
        </w:numPr>
        <w:ind w:left="360"/>
        <w:rPr>
          <w:szCs w:val="17"/>
          <w:lang w:val="en-US"/>
        </w:rPr>
      </w:pPr>
    </w:p>
    <w:p w14:paraId="5850C43E" w14:textId="77777777" w:rsidR="00487E89" w:rsidRPr="00C90332" w:rsidRDefault="005F7260" w:rsidP="00B540C1">
      <w:pPr>
        <w:pStyle w:val="CEABullet-Level2"/>
        <w:rPr>
          <w:b/>
          <w:szCs w:val="17"/>
        </w:rPr>
      </w:pPr>
      <w:r w:rsidRPr="00C90332">
        <w:rPr>
          <w:b/>
          <w:szCs w:val="17"/>
        </w:rPr>
        <w:t>Securitisations</w:t>
      </w:r>
    </w:p>
    <w:p w14:paraId="7BF7CB7E" w14:textId="77777777" w:rsidR="00BC3778" w:rsidRPr="00C90332" w:rsidRDefault="00BC3778" w:rsidP="00B540C1">
      <w:pPr>
        <w:pStyle w:val="CEABullet-Level3"/>
        <w:numPr>
          <w:ilvl w:val="0"/>
          <w:numId w:val="0"/>
        </w:numPr>
        <w:ind w:left="1494"/>
        <w:rPr>
          <w:szCs w:val="17"/>
          <w:lang w:val="en-GB"/>
        </w:rPr>
      </w:pPr>
    </w:p>
    <w:p w14:paraId="6C46A1F3" w14:textId="77777777" w:rsidR="00BC3778" w:rsidRPr="00C90332" w:rsidRDefault="00BC3778" w:rsidP="00B540C1">
      <w:pPr>
        <w:pStyle w:val="CEABullet-Level3"/>
        <w:numPr>
          <w:ilvl w:val="0"/>
          <w:numId w:val="0"/>
        </w:numPr>
        <w:ind w:left="1494" w:hanging="360"/>
        <w:rPr>
          <w:szCs w:val="17"/>
          <w:u w:val="single"/>
          <w:lang w:val="en-GB"/>
        </w:rPr>
      </w:pPr>
      <w:r w:rsidRPr="00C90332">
        <w:rPr>
          <w:szCs w:val="17"/>
          <w:u w:val="single"/>
          <w:lang w:val="en-GB"/>
        </w:rPr>
        <w:t>July 2014 Changes</w:t>
      </w:r>
    </w:p>
    <w:p w14:paraId="6CBFC6CF" w14:textId="416B6B25" w:rsidR="004A58F0" w:rsidRPr="00C90332" w:rsidRDefault="00177755" w:rsidP="00B540C1">
      <w:pPr>
        <w:pStyle w:val="CEABullet-Level3"/>
        <w:rPr>
          <w:szCs w:val="17"/>
          <w:lang w:val="en-GB"/>
        </w:rPr>
      </w:pPr>
      <w:r>
        <w:rPr>
          <w:szCs w:val="17"/>
          <w:lang w:val="en-GB"/>
        </w:rPr>
        <w:lastRenderedPageBreak/>
        <w:t xml:space="preserve">According to the Commission, following the interservice consultation, </w:t>
      </w:r>
      <w:r w:rsidRPr="0033325D">
        <w:rPr>
          <w:szCs w:val="17"/>
          <w:lang w:val="en-GB"/>
        </w:rPr>
        <w:t>taking into account macroeconomic considerations, it was felt that the gap in spread risk factors between type 1 securitisation positions and the underlying exposures (direct unrated loans referred to in Art</w:t>
      </w:r>
      <w:r>
        <w:rPr>
          <w:szCs w:val="17"/>
          <w:lang w:val="en-GB"/>
        </w:rPr>
        <w:t>icle</w:t>
      </w:r>
      <w:r w:rsidRPr="0033325D">
        <w:rPr>
          <w:szCs w:val="17"/>
          <w:lang w:val="en-GB"/>
        </w:rPr>
        <w:t xml:space="preserve"> 176(4)) was disproportionate, ignoring the significant credit enhancement brought by the most senior tranches compared to the pool of underlying exposures.</w:t>
      </w:r>
      <w:r>
        <w:rPr>
          <w:szCs w:val="17"/>
          <w:lang w:val="en-GB"/>
        </w:rPr>
        <w:t xml:space="preserve"> Thus,</w:t>
      </w:r>
      <w:r w:rsidRPr="0033325D">
        <w:rPr>
          <w:szCs w:val="17"/>
          <w:lang w:val="en-GB"/>
        </w:rPr>
        <w:t xml:space="preserve"> </w:t>
      </w:r>
      <w:r>
        <w:rPr>
          <w:szCs w:val="17"/>
          <w:lang w:val="en-GB"/>
        </w:rPr>
        <w:t>t</w:t>
      </w:r>
      <w:r w:rsidR="004A58F0" w:rsidRPr="00C90332">
        <w:rPr>
          <w:szCs w:val="17"/>
          <w:lang w:val="en-GB"/>
        </w:rPr>
        <w:t xml:space="preserve">he proposed capital charges of type 1 securitisations per year of duration have </w:t>
      </w:r>
      <w:r>
        <w:rPr>
          <w:szCs w:val="17"/>
          <w:lang w:val="en-GB"/>
        </w:rPr>
        <w:t xml:space="preserve">been </w:t>
      </w:r>
      <w:r w:rsidR="004A58F0" w:rsidRPr="00C90332">
        <w:rPr>
          <w:szCs w:val="17"/>
          <w:lang w:val="en-GB"/>
        </w:rPr>
        <w:t xml:space="preserve">reduced </w:t>
      </w:r>
      <w:r w:rsidR="00DA3B99">
        <w:rPr>
          <w:szCs w:val="17"/>
          <w:lang w:val="en-GB"/>
        </w:rPr>
        <w:t>compared to the</w:t>
      </w:r>
      <w:r w:rsidR="00DA3B99" w:rsidRPr="00C90332">
        <w:rPr>
          <w:szCs w:val="17"/>
          <w:lang w:val="en-GB"/>
        </w:rPr>
        <w:t xml:space="preserve"> </w:t>
      </w:r>
      <w:r w:rsidR="004A58F0" w:rsidRPr="00C90332">
        <w:rPr>
          <w:szCs w:val="17"/>
          <w:lang w:val="en-GB"/>
        </w:rPr>
        <w:t>March 2014</w:t>
      </w:r>
      <w:r w:rsidR="00DA3B99">
        <w:rPr>
          <w:szCs w:val="17"/>
          <w:lang w:val="en-GB"/>
        </w:rPr>
        <w:t xml:space="preserve"> version</w:t>
      </w:r>
      <w:r w:rsidR="004A58F0" w:rsidRPr="00C90332">
        <w:rPr>
          <w:szCs w:val="17"/>
          <w:lang w:val="en-GB"/>
        </w:rPr>
        <w:t>; refer to table below (</w:t>
      </w:r>
      <w:r w:rsidR="004A58F0" w:rsidRPr="00C90332">
        <w:rPr>
          <w:szCs w:val="17"/>
          <w:highlight w:val="green"/>
          <w:lang w:val="en-GB"/>
        </w:rPr>
        <w:t>positive</w:t>
      </w:r>
      <w:r w:rsidR="004A58F0" w:rsidRPr="00C90332">
        <w:rPr>
          <w:szCs w:val="17"/>
          <w:lang w:val="en-GB"/>
        </w:rPr>
        <w:t>).</w:t>
      </w:r>
    </w:p>
    <w:p w14:paraId="143AE3D2" w14:textId="77777777" w:rsidR="004A58F0" w:rsidRPr="00C90332" w:rsidRDefault="004A58F0" w:rsidP="00B540C1">
      <w:pPr>
        <w:rPr>
          <w:i/>
          <w:szCs w:val="17"/>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736"/>
        <w:gridCol w:w="567"/>
        <w:gridCol w:w="567"/>
        <w:gridCol w:w="709"/>
      </w:tblGrid>
      <w:tr w:rsidR="004A58F0" w:rsidRPr="00C90332" w14:paraId="5B65A015" w14:textId="77777777" w:rsidTr="002527EB">
        <w:trPr>
          <w:jc w:val="center"/>
        </w:trPr>
        <w:tc>
          <w:tcPr>
            <w:tcW w:w="1021" w:type="dxa"/>
            <w:shd w:val="clear" w:color="auto" w:fill="auto"/>
          </w:tcPr>
          <w:p w14:paraId="3242A311" w14:textId="77777777" w:rsidR="004A58F0" w:rsidRPr="00C90332" w:rsidRDefault="004A58F0" w:rsidP="00B540C1">
            <w:pPr>
              <w:rPr>
                <w:b/>
                <w:szCs w:val="17"/>
              </w:rPr>
            </w:pPr>
            <w:r w:rsidRPr="00C90332">
              <w:rPr>
                <w:b/>
                <w:szCs w:val="17"/>
              </w:rPr>
              <w:t xml:space="preserve">Draft DA </w:t>
            </w:r>
          </w:p>
        </w:tc>
        <w:tc>
          <w:tcPr>
            <w:tcW w:w="736" w:type="dxa"/>
            <w:shd w:val="clear" w:color="auto" w:fill="auto"/>
          </w:tcPr>
          <w:p w14:paraId="41768A5C" w14:textId="77777777" w:rsidR="004A58F0" w:rsidRPr="00C90332" w:rsidRDefault="004A58F0" w:rsidP="00B540C1">
            <w:pPr>
              <w:rPr>
                <w:b/>
                <w:szCs w:val="17"/>
              </w:rPr>
            </w:pPr>
            <w:r w:rsidRPr="00C90332">
              <w:rPr>
                <w:b/>
                <w:szCs w:val="17"/>
              </w:rPr>
              <w:t>AAA</w:t>
            </w:r>
          </w:p>
        </w:tc>
        <w:tc>
          <w:tcPr>
            <w:tcW w:w="567" w:type="dxa"/>
            <w:shd w:val="clear" w:color="auto" w:fill="auto"/>
          </w:tcPr>
          <w:p w14:paraId="7BA6B453" w14:textId="77777777" w:rsidR="004A58F0" w:rsidRPr="00C90332" w:rsidRDefault="004A58F0" w:rsidP="00B540C1">
            <w:pPr>
              <w:rPr>
                <w:b/>
                <w:szCs w:val="17"/>
              </w:rPr>
            </w:pPr>
            <w:r w:rsidRPr="00C90332">
              <w:rPr>
                <w:b/>
                <w:szCs w:val="17"/>
              </w:rPr>
              <w:t>AA</w:t>
            </w:r>
          </w:p>
        </w:tc>
        <w:tc>
          <w:tcPr>
            <w:tcW w:w="567" w:type="dxa"/>
            <w:shd w:val="clear" w:color="auto" w:fill="auto"/>
          </w:tcPr>
          <w:p w14:paraId="4560CA3D" w14:textId="77777777" w:rsidR="004A58F0" w:rsidRPr="00C90332" w:rsidRDefault="004A58F0" w:rsidP="00B540C1">
            <w:pPr>
              <w:rPr>
                <w:b/>
                <w:szCs w:val="17"/>
              </w:rPr>
            </w:pPr>
            <w:r w:rsidRPr="00C90332">
              <w:rPr>
                <w:b/>
                <w:szCs w:val="17"/>
              </w:rPr>
              <w:t>A</w:t>
            </w:r>
          </w:p>
        </w:tc>
        <w:tc>
          <w:tcPr>
            <w:tcW w:w="709" w:type="dxa"/>
            <w:shd w:val="clear" w:color="auto" w:fill="auto"/>
          </w:tcPr>
          <w:p w14:paraId="2D3B6A31" w14:textId="77777777" w:rsidR="004A58F0" w:rsidRPr="00C90332" w:rsidRDefault="004A58F0" w:rsidP="00B540C1">
            <w:pPr>
              <w:rPr>
                <w:b/>
                <w:szCs w:val="17"/>
              </w:rPr>
            </w:pPr>
            <w:r w:rsidRPr="00C90332">
              <w:rPr>
                <w:b/>
                <w:szCs w:val="17"/>
              </w:rPr>
              <w:t>BBB</w:t>
            </w:r>
          </w:p>
        </w:tc>
      </w:tr>
      <w:tr w:rsidR="004A58F0" w:rsidRPr="00C90332" w14:paraId="310C34B6" w14:textId="77777777" w:rsidTr="002527EB">
        <w:trPr>
          <w:jc w:val="center"/>
        </w:trPr>
        <w:tc>
          <w:tcPr>
            <w:tcW w:w="1021" w:type="dxa"/>
            <w:shd w:val="clear" w:color="auto" w:fill="auto"/>
          </w:tcPr>
          <w:p w14:paraId="64BB2E01" w14:textId="77777777" w:rsidR="004A58F0" w:rsidRPr="00C90332" w:rsidRDefault="004A58F0" w:rsidP="00B540C1">
            <w:pPr>
              <w:rPr>
                <w:b/>
                <w:szCs w:val="17"/>
              </w:rPr>
            </w:pPr>
            <w:r w:rsidRPr="00C90332">
              <w:rPr>
                <w:b/>
                <w:szCs w:val="17"/>
              </w:rPr>
              <w:t>Mar-14</w:t>
            </w:r>
          </w:p>
        </w:tc>
        <w:tc>
          <w:tcPr>
            <w:tcW w:w="736" w:type="dxa"/>
            <w:shd w:val="clear" w:color="auto" w:fill="auto"/>
          </w:tcPr>
          <w:p w14:paraId="7BE0B72C" w14:textId="77777777" w:rsidR="004A58F0" w:rsidRPr="00C90332" w:rsidRDefault="004A58F0" w:rsidP="00B540C1">
            <w:pPr>
              <w:rPr>
                <w:szCs w:val="17"/>
              </w:rPr>
            </w:pPr>
            <w:r w:rsidRPr="00C90332">
              <w:rPr>
                <w:szCs w:val="17"/>
              </w:rPr>
              <w:t>2.1</w:t>
            </w:r>
          </w:p>
        </w:tc>
        <w:tc>
          <w:tcPr>
            <w:tcW w:w="567" w:type="dxa"/>
            <w:shd w:val="clear" w:color="auto" w:fill="auto"/>
          </w:tcPr>
          <w:p w14:paraId="76E018E1" w14:textId="77777777" w:rsidR="004A58F0" w:rsidRPr="00C90332" w:rsidRDefault="004A58F0" w:rsidP="00B540C1">
            <w:pPr>
              <w:rPr>
                <w:szCs w:val="17"/>
              </w:rPr>
            </w:pPr>
            <w:r w:rsidRPr="00C90332">
              <w:rPr>
                <w:szCs w:val="17"/>
              </w:rPr>
              <w:t>4.2</w:t>
            </w:r>
          </w:p>
        </w:tc>
        <w:tc>
          <w:tcPr>
            <w:tcW w:w="567" w:type="dxa"/>
            <w:shd w:val="clear" w:color="auto" w:fill="auto"/>
          </w:tcPr>
          <w:p w14:paraId="0E27605C" w14:textId="77777777" w:rsidR="004A58F0" w:rsidRPr="00C90332" w:rsidRDefault="004A58F0" w:rsidP="00B540C1">
            <w:pPr>
              <w:rPr>
                <w:szCs w:val="17"/>
              </w:rPr>
            </w:pPr>
            <w:r w:rsidRPr="00C90332">
              <w:rPr>
                <w:szCs w:val="17"/>
              </w:rPr>
              <w:t>7.4</w:t>
            </w:r>
          </w:p>
        </w:tc>
        <w:tc>
          <w:tcPr>
            <w:tcW w:w="709" w:type="dxa"/>
            <w:shd w:val="clear" w:color="auto" w:fill="auto"/>
          </w:tcPr>
          <w:p w14:paraId="17A85D33" w14:textId="77777777" w:rsidR="004A58F0" w:rsidRPr="00C90332" w:rsidRDefault="004A58F0" w:rsidP="00B540C1">
            <w:pPr>
              <w:rPr>
                <w:szCs w:val="17"/>
              </w:rPr>
            </w:pPr>
            <w:r w:rsidRPr="00C90332">
              <w:rPr>
                <w:szCs w:val="17"/>
              </w:rPr>
              <w:t>8.5</w:t>
            </w:r>
          </w:p>
        </w:tc>
      </w:tr>
      <w:tr w:rsidR="004A58F0" w:rsidRPr="00C90332" w14:paraId="34A979F7" w14:textId="77777777" w:rsidTr="002527EB">
        <w:trPr>
          <w:jc w:val="center"/>
        </w:trPr>
        <w:tc>
          <w:tcPr>
            <w:tcW w:w="1021" w:type="dxa"/>
            <w:shd w:val="clear" w:color="auto" w:fill="auto"/>
          </w:tcPr>
          <w:p w14:paraId="3C4EF306" w14:textId="77777777" w:rsidR="004A58F0" w:rsidRPr="00C90332" w:rsidRDefault="004A58F0" w:rsidP="00B540C1">
            <w:pPr>
              <w:rPr>
                <w:b/>
                <w:szCs w:val="17"/>
              </w:rPr>
            </w:pPr>
            <w:r w:rsidRPr="00C90332">
              <w:rPr>
                <w:b/>
                <w:szCs w:val="17"/>
              </w:rPr>
              <w:t>Jul-14</w:t>
            </w:r>
          </w:p>
        </w:tc>
        <w:tc>
          <w:tcPr>
            <w:tcW w:w="736" w:type="dxa"/>
            <w:shd w:val="clear" w:color="auto" w:fill="auto"/>
          </w:tcPr>
          <w:p w14:paraId="3BCDFCE7" w14:textId="77777777" w:rsidR="004A58F0" w:rsidRPr="00C90332" w:rsidRDefault="004A58F0" w:rsidP="00B540C1">
            <w:pPr>
              <w:rPr>
                <w:szCs w:val="17"/>
              </w:rPr>
            </w:pPr>
            <w:r w:rsidRPr="00C90332">
              <w:rPr>
                <w:szCs w:val="17"/>
              </w:rPr>
              <w:t>2.1</w:t>
            </w:r>
          </w:p>
        </w:tc>
        <w:tc>
          <w:tcPr>
            <w:tcW w:w="567" w:type="dxa"/>
            <w:shd w:val="clear" w:color="auto" w:fill="auto"/>
          </w:tcPr>
          <w:p w14:paraId="686C0DF2" w14:textId="77777777" w:rsidR="004A58F0" w:rsidRPr="00092C00" w:rsidRDefault="004A58F0" w:rsidP="00B540C1">
            <w:pPr>
              <w:rPr>
                <w:i/>
              </w:rPr>
            </w:pPr>
            <w:r w:rsidRPr="00092C00">
              <w:rPr>
                <w:i/>
              </w:rPr>
              <w:t>3</w:t>
            </w:r>
          </w:p>
        </w:tc>
        <w:tc>
          <w:tcPr>
            <w:tcW w:w="567" w:type="dxa"/>
            <w:shd w:val="clear" w:color="auto" w:fill="auto"/>
          </w:tcPr>
          <w:p w14:paraId="145FE990" w14:textId="77777777" w:rsidR="004A58F0" w:rsidRPr="00092C00" w:rsidRDefault="004A58F0" w:rsidP="00B540C1">
            <w:pPr>
              <w:rPr>
                <w:i/>
              </w:rPr>
            </w:pPr>
            <w:r w:rsidRPr="00092C00">
              <w:rPr>
                <w:i/>
              </w:rPr>
              <w:t>4</w:t>
            </w:r>
          </w:p>
        </w:tc>
        <w:tc>
          <w:tcPr>
            <w:tcW w:w="709" w:type="dxa"/>
            <w:shd w:val="clear" w:color="auto" w:fill="auto"/>
          </w:tcPr>
          <w:p w14:paraId="3E8FFB53" w14:textId="77777777" w:rsidR="004A58F0" w:rsidRPr="00092C00" w:rsidRDefault="004A58F0" w:rsidP="00B540C1">
            <w:pPr>
              <w:rPr>
                <w:i/>
              </w:rPr>
            </w:pPr>
            <w:r w:rsidRPr="00092C00">
              <w:rPr>
                <w:i/>
              </w:rPr>
              <w:t>5</w:t>
            </w:r>
          </w:p>
        </w:tc>
      </w:tr>
    </w:tbl>
    <w:p w14:paraId="64B8D843" w14:textId="77777777" w:rsidR="004A58F0" w:rsidRPr="00C90332" w:rsidRDefault="004A58F0" w:rsidP="00B540C1">
      <w:pPr>
        <w:rPr>
          <w:i/>
          <w:szCs w:val="17"/>
          <w:u w:val="single"/>
        </w:rPr>
      </w:pPr>
    </w:p>
    <w:p w14:paraId="224D72E2" w14:textId="67849AC8" w:rsidR="00CB5DF6" w:rsidRDefault="00CB5DF6" w:rsidP="00B540C1">
      <w:pPr>
        <w:pStyle w:val="CEABullet-Level3"/>
        <w:rPr>
          <w:szCs w:val="17"/>
          <w:lang w:val="en-GB"/>
        </w:rPr>
      </w:pPr>
      <w:r>
        <w:rPr>
          <w:szCs w:val="17"/>
          <w:lang w:val="en-GB"/>
        </w:rPr>
        <w:t>However, for AAA securitisations for instance, th</w:t>
      </w:r>
      <w:r w:rsidR="00DA3B99">
        <w:rPr>
          <w:szCs w:val="17"/>
          <w:lang w:val="en-GB"/>
        </w:rPr>
        <w:t>e 2.1%</w:t>
      </w:r>
      <w:r>
        <w:rPr>
          <w:szCs w:val="17"/>
          <w:lang w:val="en-GB"/>
        </w:rPr>
        <w:t xml:space="preserve"> capital charge is still deemed </w:t>
      </w:r>
      <w:r w:rsidR="00DA3B99">
        <w:rPr>
          <w:szCs w:val="17"/>
          <w:lang w:val="en-GB"/>
        </w:rPr>
        <w:t xml:space="preserve">too </w:t>
      </w:r>
      <w:r>
        <w:rPr>
          <w:szCs w:val="17"/>
          <w:lang w:val="en-GB"/>
        </w:rPr>
        <w:t xml:space="preserve">high and </w:t>
      </w:r>
      <w:r w:rsidR="00DA3B99">
        <w:rPr>
          <w:szCs w:val="17"/>
          <w:lang w:val="en-GB"/>
        </w:rPr>
        <w:t xml:space="preserve">risks making triple-A securitisations </w:t>
      </w:r>
      <w:r>
        <w:rPr>
          <w:szCs w:val="17"/>
          <w:lang w:val="en-GB"/>
        </w:rPr>
        <w:t>unattractive from a return/SCR perspective.</w:t>
      </w:r>
    </w:p>
    <w:p w14:paraId="103D1B33" w14:textId="3EFA0241" w:rsidR="004A58F0" w:rsidRDefault="00CB5DF6" w:rsidP="00B540C1">
      <w:pPr>
        <w:pStyle w:val="CEABullet-Level3"/>
        <w:rPr>
          <w:szCs w:val="17"/>
          <w:lang w:val="en-GB"/>
        </w:rPr>
      </w:pPr>
      <w:r>
        <w:rPr>
          <w:szCs w:val="17"/>
          <w:lang w:val="en-GB"/>
        </w:rPr>
        <w:t>Besides, junior tranches, non-SME ABS and c</w:t>
      </w:r>
      <w:r w:rsidR="004A58F0" w:rsidRPr="00C90332">
        <w:rPr>
          <w:szCs w:val="17"/>
          <w:lang w:val="en-GB"/>
        </w:rPr>
        <w:t xml:space="preserve">ommercial Mortgage Backed Securities (CMBS) are </w:t>
      </w:r>
      <w:r>
        <w:rPr>
          <w:szCs w:val="17"/>
          <w:lang w:val="en-GB"/>
        </w:rPr>
        <w:t xml:space="preserve">still </w:t>
      </w:r>
      <w:r w:rsidR="004A58F0" w:rsidRPr="00C90332">
        <w:rPr>
          <w:szCs w:val="17"/>
          <w:lang w:val="en-GB"/>
        </w:rPr>
        <w:t>no</w:t>
      </w:r>
      <w:r>
        <w:rPr>
          <w:szCs w:val="17"/>
          <w:lang w:val="en-GB"/>
        </w:rPr>
        <w:t>t</w:t>
      </w:r>
      <w:r w:rsidR="004A58F0" w:rsidRPr="00C90332">
        <w:rPr>
          <w:szCs w:val="17"/>
          <w:lang w:val="en-GB"/>
        </w:rPr>
        <w:t xml:space="preserve"> included as part of type 1. (</w:t>
      </w:r>
      <w:r w:rsidRPr="00E06E0F">
        <w:rPr>
          <w:szCs w:val="17"/>
          <w:highlight w:val="red"/>
          <w:lang w:val="en-GB"/>
        </w:rPr>
        <w:t>nega</w:t>
      </w:r>
      <w:r w:rsidR="004A58F0" w:rsidRPr="00E06E0F">
        <w:rPr>
          <w:szCs w:val="17"/>
          <w:highlight w:val="red"/>
          <w:lang w:val="en-GB"/>
        </w:rPr>
        <w:t>tive</w:t>
      </w:r>
      <w:r w:rsidR="004A58F0" w:rsidRPr="00C90332">
        <w:rPr>
          <w:szCs w:val="17"/>
          <w:lang w:val="en-GB"/>
        </w:rPr>
        <w:t>).</w:t>
      </w:r>
    </w:p>
    <w:p w14:paraId="33507686" w14:textId="3E292E0F" w:rsidR="00DA3B99" w:rsidRDefault="00633EC6" w:rsidP="00B540C1">
      <w:pPr>
        <w:pStyle w:val="CEABullet-Level3"/>
        <w:rPr>
          <w:szCs w:val="17"/>
          <w:lang w:val="en-GB"/>
        </w:rPr>
      </w:pPr>
      <w:r w:rsidRPr="000B2CCA">
        <w:rPr>
          <w:b/>
          <w:szCs w:val="17"/>
          <w:lang w:val="en-GB"/>
        </w:rPr>
        <w:t>Article 177(2)(h)(i)</w:t>
      </w:r>
      <w:r w:rsidRPr="000B2CCA">
        <w:rPr>
          <w:szCs w:val="17"/>
          <w:lang w:val="en-GB"/>
        </w:rPr>
        <w:t xml:space="preserve">: </w:t>
      </w:r>
      <w:r w:rsidR="00DA3B99" w:rsidRPr="000B2CCA">
        <w:rPr>
          <w:szCs w:val="17"/>
          <w:lang w:val="en-GB"/>
        </w:rPr>
        <w:t>The</w:t>
      </w:r>
      <w:r w:rsidR="00DA3B99">
        <w:rPr>
          <w:szCs w:val="17"/>
          <w:lang w:val="en-GB"/>
        </w:rPr>
        <w:t xml:space="preserve"> introduction of a 80% </w:t>
      </w:r>
      <w:r w:rsidR="000B2CCA">
        <w:rPr>
          <w:szCs w:val="17"/>
          <w:lang w:val="en-GB"/>
        </w:rPr>
        <w:t>loan-to-value</w:t>
      </w:r>
      <w:r w:rsidR="00DA3B99">
        <w:rPr>
          <w:szCs w:val="17"/>
          <w:lang w:val="en-GB"/>
        </w:rPr>
        <w:t xml:space="preserve"> threshold for securitised residential loans risks forcing a large number of RMBS out of the type 1 category into the type 2 category, with extremely high capital charges (</w:t>
      </w:r>
      <w:r w:rsidR="00DA3B99" w:rsidRPr="00E06E0F">
        <w:rPr>
          <w:szCs w:val="17"/>
          <w:highlight w:val="red"/>
          <w:lang w:val="en-GB"/>
        </w:rPr>
        <w:t>negative</w:t>
      </w:r>
      <w:r w:rsidR="00DA3B99">
        <w:rPr>
          <w:szCs w:val="17"/>
          <w:lang w:val="en-GB"/>
        </w:rPr>
        <w:t>).</w:t>
      </w:r>
    </w:p>
    <w:p w14:paraId="109F3E05" w14:textId="43B34656" w:rsidR="000F3869" w:rsidRPr="000F3869" w:rsidRDefault="000F3869" w:rsidP="00B540C1">
      <w:pPr>
        <w:pStyle w:val="CEABullet-Level3"/>
        <w:rPr>
          <w:lang w:val="en-GB"/>
        </w:rPr>
      </w:pPr>
      <w:r w:rsidRPr="000F3869">
        <w:rPr>
          <w:b/>
          <w:lang w:val="en-GB"/>
        </w:rPr>
        <w:t>Article 180(10)</w:t>
      </w:r>
      <w:r>
        <w:rPr>
          <w:b/>
          <w:lang w:val="en-GB"/>
        </w:rPr>
        <w:t>:</w:t>
      </w:r>
      <w:r w:rsidRPr="000F3869">
        <w:rPr>
          <w:lang w:val="en-GB"/>
        </w:rPr>
        <w:t xml:space="preserve"> there is now a risk factor stress of 0% for type 1 securitisations which are fully guaranteed by the EIF or the EIB. (</w:t>
      </w:r>
      <w:r w:rsidRPr="000F3869">
        <w:rPr>
          <w:highlight w:val="green"/>
          <w:lang w:val="en-GB"/>
        </w:rPr>
        <w:t>positive</w:t>
      </w:r>
      <w:r w:rsidRPr="000F3869">
        <w:rPr>
          <w:lang w:val="en-GB"/>
        </w:rPr>
        <w:t>)</w:t>
      </w:r>
    </w:p>
    <w:p w14:paraId="134937DD" w14:textId="77777777" w:rsidR="004A58F0" w:rsidRDefault="004A58F0" w:rsidP="00B540C1">
      <w:pPr>
        <w:rPr>
          <w:szCs w:val="17"/>
        </w:rPr>
      </w:pPr>
    </w:p>
    <w:p w14:paraId="459EA2C5" w14:textId="006D8D43" w:rsidR="00FD4785" w:rsidRPr="00FD4785" w:rsidRDefault="00FD4785" w:rsidP="00B540C1">
      <w:pPr>
        <w:pStyle w:val="CEABullet-Level1"/>
        <w:numPr>
          <w:ilvl w:val="0"/>
          <w:numId w:val="0"/>
        </w:numPr>
        <w:ind w:left="360" w:firstLine="774"/>
        <w:rPr>
          <w:szCs w:val="17"/>
          <w:u w:val="single"/>
          <w:lang w:val="en-GB"/>
        </w:rPr>
      </w:pPr>
      <w:r w:rsidRPr="00FD4785">
        <w:rPr>
          <w:szCs w:val="17"/>
          <w:u w:val="single"/>
          <w:lang w:val="en-GB"/>
        </w:rPr>
        <w:t>October 2014</w:t>
      </w:r>
      <w:r w:rsidR="00092C00">
        <w:rPr>
          <w:szCs w:val="17"/>
          <w:u w:val="single"/>
          <w:lang w:val="en-GB"/>
        </w:rPr>
        <w:t xml:space="preserve"> Changes</w:t>
      </w:r>
    </w:p>
    <w:p w14:paraId="24586E4A" w14:textId="615A48E7" w:rsidR="009C1232" w:rsidRPr="00320842" w:rsidRDefault="009C1232" w:rsidP="00B540C1">
      <w:pPr>
        <w:rPr>
          <w:szCs w:val="17"/>
        </w:rPr>
      </w:pPr>
    </w:p>
    <w:p w14:paraId="6F8BD5A3" w14:textId="77777777" w:rsidR="009C1232" w:rsidRPr="001B343D" w:rsidRDefault="009C1232" w:rsidP="00B540C1">
      <w:pPr>
        <w:pStyle w:val="CEABullet-Level3"/>
      </w:pPr>
      <w:r w:rsidRPr="0023297A">
        <w:rPr>
          <w:lang w:val="en-GB"/>
        </w:rPr>
        <w:t xml:space="preserve">Type 1 securitisations now also include those admitted to trading in an organised trading venue providing for an active and sizeable market for outright sales, not just those listed in an EEA or OECD country. </w:t>
      </w:r>
      <w:r w:rsidRPr="001B343D">
        <w:t>(</w:t>
      </w:r>
      <w:r w:rsidRPr="001B343D">
        <w:rPr>
          <w:highlight w:val="green"/>
        </w:rPr>
        <w:t>positive</w:t>
      </w:r>
      <w:r w:rsidRPr="001B343D">
        <w:t>)</w:t>
      </w:r>
    </w:p>
    <w:p w14:paraId="3E53FA35" w14:textId="74BBBD4E" w:rsidR="009C1232" w:rsidRPr="0023297A" w:rsidRDefault="009C1232" w:rsidP="00B540C1">
      <w:pPr>
        <w:pStyle w:val="CEABullet-Level3"/>
        <w:rPr>
          <w:lang w:val="en-GB"/>
        </w:rPr>
      </w:pPr>
      <w:r w:rsidRPr="0023297A">
        <w:rPr>
          <w:lang w:val="en-GB"/>
        </w:rPr>
        <w:t>The charges for Type 1 securitisations have been capped at 3% per year of duration for A and BBB.  T</w:t>
      </w:r>
      <w:r w:rsidRPr="0023297A">
        <w:rPr>
          <w:szCs w:val="17"/>
          <w:lang w:val="en-GB"/>
        </w:rPr>
        <w:t>here are no distinctions between AA, A and BBB securitisations from a capital charge perspective</w:t>
      </w:r>
      <w:r w:rsidRPr="0023297A">
        <w:rPr>
          <w:lang w:val="en-GB"/>
        </w:rPr>
        <w:t xml:space="preserve"> (</w:t>
      </w:r>
      <w:r w:rsidRPr="0023297A">
        <w:rPr>
          <w:highlight w:val="green"/>
          <w:lang w:val="en-GB"/>
        </w:rPr>
        <w:t>positive</w:t>
      </w:r>
      <w:r w:rsidRPr="0023297A">
        <w:rPr>
          <w:lang w:val="en-GB"/>
        </w:rPr>
        <w:t>)</w:t>
      </w:r>
    </w:p>
    <w:tbl>
      <w:tblPr>
        <w:tblpPr w:leftFromText="180" w:rightFromText="180" w:vertAnchor="text" w:horzAnchor="page" w:tblpXSpec="center" w:tblpY="99"/>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736"/>
        <w:gridCol w:w="567"/>
        <w:gridCol w:w="567"/>
        <w:gridCol w:w="709"/>
      </w:tblGrid>
      <w:tr w:rsidR="009C1232" w:rsidRPr="00320842" w14:paraId="0070CD54" w14:textId="77777777" w:rsidTr="009C1232">
        <w:trPr>
          <w:jc w:val="center"/>
        </w:trPr>
        <w:tc>
          <w:tcPr>
            <w:tcW w:w="1021" w:type="dxa"/>
            <w:shd w:val="clear" w:color="auto" w:fill="auto"/>
          </w:tcPr>
          <w:p w14:paraId="36B296BA" w14:textId="77777777" w:rsidR="009C1232" w:rsidRPr="00320842" w:rsidRDefault="009C1232" w:rsidP="00B540C1">
            <w:pPr>
              <w:rPr>
                <w:b/>
                <w:szCs w:val="17"/>
              </w:rPr>
            </w:pPr>
            <w:r w:rsidRPr="00320842">
              <w:rPr>
                <w:b/>
                <w:szCs w:val="17"/>
              </w:rPr>
              <w:t>Draft DA</w:t>
            </w:r>
          </w:p>
        </w:tc>
        <w:tc>
          <w:tcPr>
            <w:tcW w:w="736" w:type="dxa"/>
            <w:shd w:val="clear" w:color="auto" w:fill="auto"/>
          </w:tcPr>
          <w:p w14:paraId="7C4D1E61" w14:textId="77777777" w:rsidR="009C1232" w:rsidRPr="00320842" w:rsidRDefault="009C1232" w:rsidP="00B540C1">
            <w:pPr>
              <w:rPr>
                <w:b/>
                <w:szCs w:val="17"/>
              </w:rPr>
            </w:pPr>
            <w:r w:rsidRPr="00320842">
              <w:rPr>
                <w:b/>
                <w:szCs w:val="17"/>
              </w:rPr>
              <w:t>AAA</w:t>
            </w:r>
          </w:p>
        </w:tc>
        <w:tc>
          <w:tcPr>
            <w:tcW w:w="567" w:type="dxa"/>
            <w:shd w:val="clear" w:color="auto" w:fill="auto"/>
          </w:tcPr>
          <w:p w14:paraId="35937403" w14:textId="77777777" w:rsidR="009C1232" w:rsidRPr="00320842" w:rsidRDefault="009C1232" w:rsidP="00B540C1">
            <w:pPr>
              <w:rPr>
                <w:b/>
                <w:szCs w:val="17"/>
              </w:rPr>
            </w:pPr>
            <w:r w:rsidRPr="00320842">
              <w:rPr>
                <w:b/>
                <w:szCs w:val="17"/>
              </w:rPr>
              <w:t>AA</w:t>
            </w:r>
          </w:p>
        </w:tc>
        <w:tc>
          <w:tcPr>
            <w:tcW w:w="567" w:type="dxa"/>
            <w:shd w:val="clear" w:color="auto" w:fill="auto"/>
          </w:tcPr>
          <w:p w14:paraId="74D66BD5" w14:textId="77777777" w:rsidR="009C1232" w:rsidRPr="00320842" w:rsidRDefault="009C1232" w:rsidP="00B540C1">
            <w:pPr>
              <w:rPr>
                <w:b/>
                <w:szCs w:val="17"/>
              </w:rPr>
            </w:pPr>
            <w:r w:rsidRPr="00320842">
              <w:rPr>
                <w:b/>
                <w:szCs w:val="17"/>
              </w:rPr>
              <w:t>A</w:t>
            </w:r>
          </w:p>
        </w:tc>
        <w:tc>
          <w:tcPr>
            <w:tcW w:w="709" w:type="dxa"/>
            <w:shd w:val="clear" w:color="auto" w:fill="auto"/>
          </w:tcPr>
          <w:p w14:paraId="60F3B4ED" w14:textId="77777777" w:rsidR="009C1232" w:rsidRPr="00320842" w:rsidRDefault="009C1232" w:rsidP="00B540C1">
            <w:pPr>
              <w:rPr>
                <w:b/>
                <w:szCs w:val="17"/>
              </w:rPr>
            </w:pPr>
            <w:r w:rsidRPr="00320842">
              <w:rPr>
                <w:b/>
                <w:szCs w:val="17"/>
              </w:rPr>
              <w:t>BBB</w:t>
            </w:r>
          </w:p>
        </w:tc>
      </w:tr>
      <w:tr w:rsidR="009C1232" w:rsidRPr="00320842" w14:paraId="1D5F5FCD" w14:textId="77777777" w:rsidTr="009C1232">
        <w:trPr>
          <w:jc w:val="center"/>
        </w:trPr>
        <w:tc>
          <w:tcPr>
            <w:tcW w:w="1021" w:type="dxa"/>
            <w:shd w:val="clear" w:color="auto" w:fill="auto"/>
          </w:tcPr>
          <w:p w14:paraId="0281D235" w14:textId="77777777" w:rsidR="009C1232" w:rsidRPr="00320842" w:rsidRDefault="009C1232" w:rsidP="00B540C1">
            <w:pPr>
              <w:rPr>
                <w:b/>
                <w:szCs w:val="17"/>
              </w:rPr>
            </w:pPr>
            <w:r w:rsidRPr="00320842">
              <w:rPr>
                <w:b/>
                <w:szCs w:val="17"/>
              </w:rPr>
              <w:t>Mar-14</w:t>
            </w:r>
          </w:p>
        </w:tc>
        <w:tc>
          <w:tcPr>
            <w:tcW w:w="736" w:type="dxa"/>
            <w:shd w:val="clear" w:color="auto" w:fill="auto"/>
          </w:tcPr>
          <w:p w14:paraId="4969E1B1" w14:textId="77777777" w:rsidR="009C1232" w:rsidRPr="00320842" w:rsidRDefault="009C1232" w:rsidP="00B540C1">
            <w:pPr>
              <w:rPr>
                <w:szCs w:val="17"/>
              </w:rPr>
            </w:pPr>
            <w:r w:rsidRPr="00320842">
              <w:rPr>
                <w:szCs w:val="17"/>
              </w:rPr>
              <w:t>2.1</w:t>
            </w:r>
          </w:p>
        </w:tc>
        <w:tc>
          <w:tcPr>
            <w:tcW w:w="567" w:type="dxa"/>
            <w:shd w:val="clear" w:color="auto" w:fill="auto"/>
          </w:tcPr>
          <w:p w14:paraId="7E042F9B" w14:textId="77777777" w:rsidR="009C1232" w:rsidRPr="00320842" w:rsidRDefault="009C1232" w:rsidP="00B540C1">
            <w:pPr>
              <w:rPr>
                <w:szCs w:val="17"/>
              </w:rPr>
            </w:pPr>
            <w:r w:rsidRPr="00320842">
              <w:rPr>
                <w:szCs w:val="17"/>
              </w:rPr>
              <w:t>4.2</w:t>
            </w:r>
          </w:p>
        </w:tc>
        <w:tc>
          <w:tcPr>
            <w:tcW w:w="567" w:type="dxa"/>
            <w:shd w:val="clear" w:color="auto" w:fill="auto"/>
          </w:tcPr>
          <w:p w14:paraId="01A338E9" w14:textId="77777777" w:rsidR="009C1232" w:rsidRPr="00320842" w:rsidRDefault="009C1232" w:rsidP="00B540C1">
            <w:pPr>
              <w:rPr>
                <w:szCs w:val="17"/>
              </w:rPr>
            </w:pPr>
            <w:r w:rsidRPr="00320842">
              <w:rPr>
                <w:szCs w:val="17"/>
              </w:rPr>
              <w:t>7.4</w:t>
            </w:r>
          </w:p>
        </w:tc>
        <w:tc>
          <w:tcPr>
            <w:tcW w:w="709" w:type="dxa"/>
            <w:shd w:val="clear" w:color="auto" w:fill="auto"/>
          </w:tcPr>
          <w:p w14:paraId="6DCAEFD3" w14:textId="77777777" w:rsidR="009C1232" w:rsidRPr="00320842" w:rsidRDefault="009C1232" w:rsidP="00B540C1">
            <w:pPr>
              <w:rPr>
                <w:szCs w:val="17"/>
              </w:rPr>
            </w:pPr>
            <w:r w:rsidRPr="00320842">
              <w:rPr>
                <w:szCs w:val="17"/>
              </w:rPr>
              <w:t>8.5</w:t>
            </w:r>
          </w:p>
        </w:tc>
      </w:tr>
      <w:tr w:rsidR="009C1232" w:rsidRPr="00320842" w14:paraId="7702117A" w14:textId="77777777" w:rsidTr="009C1232">
        <w:trPr>
          <w:jc w:val="center"/>
        </w:trPr>
        <w:tc>
          <w:tcPr>
            <w:tcW w:w="1021" w:type="dxa"/>
            <w:shd w:val="clear" w:color="auto" w:fill="auto"/>
          </w:tcPr>
          <w:p w14:paraId="6EEAFAEF" w14:textId="77777777" w:rsidR="009C1232" w:rsidRPr="00320842" w:rsidRDefault="009C1232" w:rsidP="00B540C1">
            <w:pPr>
              <w:rPr>
                <w:b/>
                <w:szCs w:val="17"/>
              </w:rPr>
            </w:pPr>
            <w:r w:rsidRPr="00320842">
              <w:rPr>
                <w:b/>
                <w:szCs w:val="17"/>
              </w:rPr>
              <w:t>Jul-14</w:t>
            </w:r>
          </w:p>
        </w:tc>
        <w:tc>
          <w:tcPr>
            <w:tcW w:w="736" w:type="dxa"/>
            <w:shd w:val="clear" w:color="auto" w:fill="auto"/>
          </w:tcPr>
          <w:p w14:paraId="47A99D42" w14:textId="77777777" w:rsidR="009C1232" w:rsidRPr="00320842" w:rsidRDefault="009C1232" w:rsidP="00B540C1">
            <w:pPr>
              <w:rPr>
                <w:szCs w:val="17"/>
              </w:rPr>
            </w:pPr>
            <w:r w:rsidRPr="00320842">
              <w:rPr>
                <w:szCs w:val="17"/>
              </w:rPr>
              <w:t>2.1</w:t>
            </w:r>
          </w:p>
        </w:tc>
        <w:tc>
          <w:tcPr>
            <w:tcW w:w="567" w:type="dxa"/>
            <w:shd w:val="clear" w:color="auto" w:fill="auto"/>
          </w:tcPr>
          <w:p w14:paraId="5102BF52" w14:textId="77777777" w:rsidR="009C1232" w:rsidRPr="00320842" w:rsidRDefault="009C1232" w:rsidP="00B540C1">
            <w:pPr>
              <w:rPr>
                <w:szCs w:val="17"/>
              </w:rPr>
            </w:pPr>
            <w:r w:rsidRPr="00320842">
              <w:rPr>
                <w:szCs w:val="17"/>
              </w:rPr>
              <w:t>3</w:t>
            </w:r>
          </w:p>
        </w:tc>
        <w:tc>
          <w:tcPr>
            <w:tcW w:w="567" w:type="dxa"/>
            <w:shd w:val="clear" w:color="auto" w:fill="auto"/>
          </w:tcPr>
          <w:p w14:paraId="71729E87" w14:textId="77777777" w:rsidR="009C1232" w:rsidRPr="00320842" w:rsidRDefault="009C1232" w:rsidP="00B540C1">
            <w:pPr>
              <w:rPr>
                <w:szCs w:val="17"/>
              </w:rPr>
            </w:pPr>
            <w:r w:rsidRPr="00320842">
              <w:rPr>
                <w:szCs w:val="17"/>
              </w:rPr>
              <w:t>4</w:t>
            </w:r>
          </w:p>
        </w:tc>
        <w:tc>
          <w:tcPr>
            <w:tcW w:w="709" w:type="dxa"/>
            <w:shd w:val="clear" w:color="auto" w:fill="auto"/>
          </w:tcPr>
          <w:p w14:paraId="553896E7" w14:textId="77777777" w:rsidR="009C1232" w:rsidRPr="00320842" w:rsidRDefault="009C1232" w:rsidP="00B540C1">
            <w:pPr>
              <w:rPr>
                <w:szCs w:val="17"/>
              </w:rPr>
            </w:pPr>
            <w:r w:rsidRPr="00320842">
              <w:rPr>
                <w:szCs w:val="17"/>
              </w:rPr>
              <w:t>5</w:t>
            </w:r>
          </w:p>
        </w:tc>
      </w:tr>
      <w:tr w:rsidR="009C1232" w:rsidRPr="00320842" w14:paraId="0C796158" w14:textId="77777777" w:rsidTr="009C1232">
        <w:trPr>
          <w:jc w:val="center"/>
        </w:trPr>
        <w:tc>
          <w:tcPr>
            <w:tcW w:w="1021" w:type="dxa"/>
            <w:shd w:val="clear" w:color="auto" w:fill="auto"/>
          </w:tcPr>
          <w:p w14:paraId="2565754D" w14:textId="77777777" w:rsidR="009C1232" w:rsidRPr="00320842" w:rsidRDefault="009C1232" w:rsidP="00B540C1">
            <w:pPr>
              <w:rPr>
                <w:b/>
                <w:szCs w:val="17"/>
              </w:rPr>
            </w:pPr>
            <w:r w:rsidRPr="00320842">
              <w:rPr>
                <w:b/>
                <w:szCs w:val="17"/>
              </w:rPr>
              <w:t>Oct-14</w:t>
            </w:r>
          </w:p>
        </w:tc>
        <w:tc>
          <w:tcPr>
            <w:tcW w:w="736" w:type="dxa"/>
            <w:shd w:val="clear" w:color="auto" w:fill="auto"/>
          </w:tcPr>
          <w:p w14:paraId="4051C7BD" w14:textId="77777777" w:rsidR="009C1232" w:rsidRPr="00320842" w:rsidRDefault="009C1232" w:rsidP="00B540C1">
            <w:pPr>
              <w:rPr>
                <w:szCs w:val="17"/>
              </w:rPr>
            </w:pPr>
            <w:r w:rsidRPr="00320842">
              <w:rPr>
                <w:szCs w:val="17"/>
              </w:rPr>
              <w:t>2.1</w:t>
            </w:r>
          </w:p>
        </w:tc>
        <w:tc>
          <w:tcPr>
            <w:tcW w:w="567" w:type="dxa"/>
            <w:shd w:val="clear" w:color="auto" w:fill="auto"/>
          </w:tcPr>
          <w:p w14:paraId="1C68836A" w14:textId="77777777" w:rsidR="009C1232" w:rsidRPr="00320842" w:rsidRDefault="009C1232" w:rsidP="00B540C1">
            <w:pPr>
              <w:rPr>
                <w:szCs w:val="17"/>
              </w:rPr>
            </w:pPr>
            <w:r w:rsidRPr="00320842">
              <w:rPr>
                <w:szCs w:val="17"/>
              </w:rPr>
              <w:t>3</w:t>
            </w:r>
          </w:p>
        </w:tc>
        <w:tc>
          <w:tcPr>
            <w:tcW w:w="567" w:type="dxa"/>
            <w:shd w:val="clear" w:color="auto" w:fill="auto"/>
          </w:tcPr>
          <w:p w14:paraId="7086469B" w14:textId="77777777" w:rsidR="009C1232" w:rsidRPr="00320842" w:rsidRDefault="009C1232" w:rsidP="00B540C1">
            <w:pPr>
              <w:rPr>
                <w:i/>
                <w:szCs w:val="17"/>
              </w:rPr>
            </w:pPr>
            <w:r w:rsidRPr="00320842">
              <w:rPr>
                <w:i/>
                <w:szCs w:val="17"/>
              </w:rPr>
              <w:t>3</w:t>
            </w:r>
          </w:p>
        </w:tc>
        <w:tc>
          <w:tcPr>
            <w:tcW w:w="709" w:type="dxa"/>
            <w:shd w:val="clear" w:color="auto" w:fill="auto"/>
          </w:tcPr>
          <w:p w14:paraId="6A4FA4FD" w14:textId="77777777" w:rsidR="009C1232" w:rsidRPr="00320842" w:rsidRDefault="009C1232" w:rsidP="00B540C1">
            <w:pPr>
              <w:rPr>
                <w:i/>
                <w:szCs w:val="17"/>
              </w:rPr>
            </w:pPr>
            <w:r w:rsidRPr="00320842">
              <w:rPr>
                <w:i/>
                <w:szCs w:val="17"/>
              </w:rPr>
              <w:t>3</w:t>
            </w:r>
          </w:p>
        </w:tc>
      </w:tr>
    </w:tbl>
    <w:p w14:paraId="1C18ADC5" w14:textId="77777777" w:rsidR="009C1232" w:rsidRDefault="009C1232" w:rsidP="00B540C1">
      <w:pPr>
        <w:pStyle w:val="CEABullet-Level3"/>
        <w:numPr>
          <w:ilvl w:val="0"/>
          <w:numId w:val="0"/>
        </w:numPr>
        <w:ind w:left="1494"/>
        <w:rPr>
          <w:lang w:val="en-GB"/>
        </w:rPr>
      </w:pPr>
    </w:p>
    <w:p w14:paraId="3BF7E42D" w14:textId="77777777" w:rsidR="009C1232" w:rsidRDefault="009C1232" w:rsidP="00B540C1">
      <w:pPr>
        <w:pStyle w:val="CEABullet-Level3"/>
        <w:numPr>
          <w:ilvl w:val="0"/>
          <w:numId w:val="0"/>
        </w:numPr>
        <w:ind w:left="1494"/>
        <w:rPr>
          <w:lang w:val="en-GB"/>
        </w:rPr>
      </w:pPr>
    </w:p>
    <w:p w14:paraId="2FF976AE" w14:textId="77777777" w:rsidR="009C1232" w:rsidRDefault="009C1232" w:rsidP="00B540C1">
      <w:pPr>
        <w:pStyle w:val="CEABullet-Level3"/>
        <w:numPr>
          <w:ilvl w:val="0"/>
          <w:numId w:val="0"/>
        </w:numPr>
        <w:ind w:left="1494"/>
        <w:rPr>
          <w:lang w:val="en-GB"/>
        </w:rPr>
      </w:pPr>
    </w:p>
    <w:p w14:paraId="104AAD02" w14:textId="77777777" w:rsidR="009C1232" w:rsidRDefault="009C1232" w:rsidP="00B540C1">
      <w:pPr>
        <w:pStyle w:val="CEABullet-Level3"/>
        <w:numPr>
          <w:ilvl w:val="0"/>
          <w:numId w:val="0"/>
        </w:numPr>
        <w:ind w:left="1494"/>
        <w:rPr>
          <w:lang w:val="en-GB"/>
        </w:rPr>
      </w:pPr>
    </w:p>
    <w:p w14:paraId="1BDBD742" w14:textId="77777777" w:rsidR="009C1232" w:rsidRPr="00320842" w:rsidRDefault="009C1232" w:rsidP="00B540C1">
      <w:pPr>
        <w:pStyle w:val="CEABullet-Level3"/>
        <w:numPr>
          <w:ilvl w:val="0"/>
          <w:numId w:val="0"/>
        </w:numPr>
        <w:ind w:left="1494"/>
        <w:rPr>
          <w:lang w:val="en-GB"/>
        </w:rPr>
      </w:pPr>
    </w:p>
    <w:p w14:paraId="79CF164F" w14:textId="77777777" w:rsidR="009C1232" w:rsidRPr="00320842" w:rsidRDefault="009C1232" w:rsidP="00B540C1">
      <w:pPr>
        <w:pStyle w:val="CEABullet-Level3"/>
        <w:numPr>
          <w:ilvl w:val="0"/>
          <w:numId w:val="0"/>
        </w:numPr>
        <w:ind w:left="1494"/>
        <w:rPr>
          <w:lang w:val="en-GB"/>
        </w:rPr>
      </w:pPr>
    </w:p>
    <w:p w14:paraId="1897DA4D" w14:textId="77777777" w:rsidR="009C1232" w:rsidRPr="001B343D" w:rsidRDefault="009C1232" w:rsidP="00B540C1">
      <w:pPr>
        <w:pStyle w:val="CEABullet-Level3"/>
      </w:pPr>
      <w:r w:rsidRPr="0023297A">
        <w:rPr>
          <w:lang w:val="en-GB"/>
        </w:rPr>
        <w:t xml:space="preserve">The inconsistency between underlying mortgage loans and securitisations (RMBS) remains in place. A mortgage loan with a LTV lower than 80% would be charged at 0%, while a securitisation would get a minimum 2.1% charge per year of duration. </w:t>
      </w:r>
      <w:r w:rsidRPr="001B343D">
        <w:rPr>
          <w:szCs w:val="17"/>
        </w:rPr>
        <w:t>(</w:t>
      </w:r>
      <w:r w:rsidRPr="001B343D">
        <w:rPr>
          <w:szCs w:val="17"/>
          <w:highlight w:val="red"/>
        </w:rPr>
        <w:t>negative</w:t>
      </w:r>
      <w:r w:rsidRPr="001B343D">
        <w:rPr>
          <w:szCs w:val="17"/>
        </w:rPr>
        <w:t>).</w:t>
      </w:r>
    </w:p>
    <w:p w14:paraId="149E6A5B" w14:textId="77777777" w:rsidR="009C1232" w:rsidRDefault="009C1232" w:rsidP="00B540C1">
      <w:pPr>
        <w:pStyle w:val="CEABullet-Level3"/>
      </w:pPr>
      <w:r w:rsidRPr="0023297A">
        <w:rPr>
          <w:lang w:val="en-GB"/>
        </w:rPr>
        <w:t xml:space="preserve">CMBS and junior tranches remain in the Type 2 category. </w:t>
      </w:r>
      <w:r w:rsidRPr="001B343D">
        <w:t>(</w:t>
      </w:r>
      <w:r w:rsidRPr="001B343D">
        <w:rPr>
          <w:color w:val="auto"/>
          <w:highlight w:val="red"/>
        </w:rPr>
        <w:t>negative</w:t>
      </w:r>
      <w:r w:rsidRPr="001B343D">
        <w:t>).</w:t>
      </w:r>
    </w:p>
    <w:p w14:paraId="6AD79E35" w14:textId="00B7CE94" w:rsidR="00C5174B" w:rsidRPr="00C5174B" w:rsidRDefault="00C5174B" w:rsidP="00B540C1">
      <w:pPr>
        <w:pStyle w:val="CEABullet-Level3"/>
        <w:rPr>
          <w:lang w:val="en-GB"/>
        </w:rPr>
      </w:pPr>
      <w:r w:rsidRPr="00C5174B">
        <w:rPr>
          <w:b/>
          <w:lang w:val="en-GB"/>
        </w:rPr>
        <w:t xml:space="preserve">Recital 93 </w:t>
      </w:r>
      <w:r w:rsidRPr="00C5174B">
        <w:rPr>
          <w:lang w:val="en-GB"/>
        </w:rPr>
        <w:t>– new addition introducing a</w:t>
      </w:r>
      <w:r w:rsidRPr="00C5174B">
        <w:rPr>
          <w:lang w:val="en-GB" w:eastAsia="en-GB"/>
        </w:rPr>
        <w:t xml:space="preserve"> cap of 3% on the spread risk factors for Type A securitisations, at a level of the spread risk factor that would be applicable to unrated loans in the spread risk module. While the change is </w:t>
      </w:r>
      <w:r w:rsidRPr="00C5174B">
        <w:rPr>
          <w:highlight w:val="green"/>
          <w:lang w:val="en-GB"/>
        </w:rPr>
        <w:t>positive</w:t>
      </w:r>
      <w:r w:rsidRPr="00C5174B">
        <w:rPr>
          <w:lang w:val="en-GB" w:eastAsia="en-GB"/>
        </w:rPr>
        <w:t xml:space="preserve">, it still doesn’t fully address the inconsistency between securitisations and underlying loans (see point above on RMBS). </w:t>
      </w:r>
    </w:p>
    <w:p w14:paraId="20A4B302" w14:textId="77777777" w:rsidR="009C1232" w:rsidRDefault="009C1232" w:rsidP="00B540C1">
      <w:pPr>
        <w:pStyle w:val="CEABullet-Level1"/>
        <w:numPr>
          <w:ilvl w:val="0"/>
          <w:numId w:val="0"/>
        </w:numPr>
        <w:rPr>
          <w:lang w:val="en-GB"/>
        </w:rPr>
      </w:pPr>
    </w:p>
    <w:p w14:paraId="199AD49B" w14:textId="469CF9B5" w:rsidR="009C1232" w:rsidRDefault="009C1232" w:rsidP="00B540C1">
      <w:pPr>
        <w:pStyle w:val="CEABullet-Level1"/>
        <w:numPr>
          <w:ilvl w:val="0"/>
          <w:numId w:val="0"/>
        </w:numPr>
        <w:ind w:firstLine="1134"/>
        <w:rPr>
          <w:lang w:val="en-GB"/>
        </w:rPr>
      </w:pPr>
      <w:r w:rsidRPr="006E5466">
        <w:rPr>
          <w:lang w:val="en-GB"/>
        </w:rPr>
        <w:t xml:space="preserve">New provisions for RMBS have been introduced in </w:t>
      </w:r>
      <w:r w:rsidRPr="0025408C">
        <w:rPr>
          <w:b/>
          <w:lang w:val="en-GB"/>
        </w:rPr>
        <w:t>Article 177(2)</w:t>
      </w:r>
      <w:r w:rsidR="00092C00">
        <w:rPr>
          <w:b/>
          <w:lang w:val="en-GB"/>
        </w:rPr>
        <w:t xml:space="preserve">, </w:t>
      </w:r>
      <w:r w:rsidRPr="0025408C">
        <w:rPr>
          <w:b/>
          <w:lang w:val="en-GB"/>
        </w:rPr>
        <w:t>(4)</w:t>
      </w:r>
      <w:r w:rsidRPr="006E5466">
        <w:rPr>
          <w:lang w:val="en-GB"/>
        </w:rPr>
        <w:t xml:space="preserve"> and </w:t>
      </w:r>
      <w:r w:rsidRPr="0025408C">
        <w:rPr>
          <w:b/>
          <w:lang w:val="en-GB"/>
        </w:rPr>
        <w:t>(5)</w:t>
      </w:r>
      <w:r w:rsidRPr="006E5466">
        <w:rPr>
          <w:lang w:val="en-GB"/>
        </w:rPr>
        <w:t>:</w:t>
      </w:r>
    </w:p>
    <w:p w14:paraId="5CD476E0" w14:textId="77777777" w:rsidR="006E5466" w:rsidRPr="006E5466" w:rsidRDefault="006E5466" w:rsidP="00B540C1">
      <w:pPr>
        <w:pStyle w:val="CEABullet-Level1"/>
        <w:numPr>
          <w:ilvl w:val="0"/>
          <w:numId w:val="0"/>
        </w:numPr>
        <w:ind w:firstLine="1134"/>
        <w:rPr>
          <w:lang w:val="en-GB"/>
        </w:rPr>
      </w:pPr>
    </w:p>
    <w:p w14:paraId="61AB5B7E" w14:textId="7A77E6F3" w:rsidR="009C1232" w:rsidRPr="0023297A" w:rsidRDefault="009C1232" w:rsidP="00B540C1">
      <w:pPr>
        <w:pStyle w:val="CEABullet-Level3"/>
        <w:rPr>
          <w:lang w:val="en-GB"/>
        </w:rPr>
      </w:pPr>
      <w:r w:rsidRPr="0023297A">
        <w:rPr>
          <w:lang w:val="en-GB"/>
        </w:rPr>
        <w:t>The 80% LTV limit remains in place and a new limit has been introduced, referring to a maximum 45% loan to income limit (defined in national laws of member states). In order for a RMBS to qualify as a Type 1 securitisation at least one of the 2 conditions above would have to be met (ie loan to value or loan to income).  The 2 tests would not apply to securitisations issued before entry into force of this Regulation.</w:t>
      </w:r>
    </w:p>
    <w:p w14:paraId="05E1D0D6" w14:textId="77777777" w:rsidR="009C1232" w:rsidRPr="001B343D" w:rsidRDefault="009C1232" w:rsidP="00B540C1">
      <w:pPr>
        <w:pStyle w:val="CEABullet-Level3"/>
      </w:pPr>
      <w:r w:rsidRPr="0023297A">
        <w:rPr>
          <w:lang w:val="en-GB"/>
        </w:rPr>
        <w:t xml:space="preserve">Securitisations issued after the entry into force of this regulation comprising of residential loans granted before application of a national law prescribing a loan to income ratio will qualify as Type 1 until 31 December 2025, even in cases where the test for the two ratios would not be passed by the loans in the pool. </w:t>
      </w:r>
      <w:r w:rsidRPr="001B343D">
        <w:t>(</w:t>
      </w:r>
      <w:r w:rsidRPr="001B343D">
        <w:rPr>
          <w:highlight w:val="green"/>
        </w:rPr>
        <w:t>positive</w:t>
      </w:r>
      <w:r w:rsidRPr="001B343D">
        <w:t>)</w:t>
      </w:r>
    </w:p>
    <w:p w14:paraId="78CEC2BF" w14:textId="77777777" w:rsidR="001C3010" w:rsidRPr="00C90332" w:rsidRDefault="001C3010" w:rsidP="00B540C1">
      <w:pPr>
        <w:rPr>
          <w:szCs w:val="17"/>
        </w:rPr>
      </w:pPr>
    </w:p>
    <w:p w14:paraId="7AF0E5EF" w14:textId="43277A86" w:rsidR="00487E89" w:rsidRPr="00C90332" w:rsidRDefault="00B33521" w:rsidP="00B540C1">
      <w:pPr>
        <w:pStyle w:val="CEABullet-Level2"/>
        <w:rPr>
          <w:b/>
          <w:szCs w:val="17"/>
        </w:rPr>
      </w:pPr>
      <w:r w:rsidRPr="00C90332">
        <w:rPr>
          <w:b/>
          <w:szCs w:val="17"/>
        </w:rPr>
        <w:t xml:space="preserve">SME </w:t>
      </w:r>
      <w:r w:rsidR="000E52E0">
        <w:rPr>
          <w:b/>
          <w:szCs w:val="17"/>
        </w:rPr>
        <w:t>l</w:t>
      </w:r>
      <w:r w:rsidRPr="00C90332">
        <w:rPr>
          <w:b/>
          <w:szCs w:val="17"/>
        </w:rPr>
        <w:t>oans</w:t>
      </w:r>
    </w:p>
    <w:p w14:paraId="2440AB30" w14:textId="77777777" w:rsidR="001F5602" w:rsidRPr="00C90332" w:rsidRDefault="001F5602" w:rsidP="00B540C1">
      <w:pPr>
        <w:pStyle w:val="CEABullet-Level3"/>
        <w:numPr>
          <w:ilvl w:val="0"/>
          <w:numId w:val="0"/>
        </w:numPr>
        <w:ind w:left="1494" w:hanging="360"/>
        <w:rPr>
          <w:szCs w:val="17"/>
          <w:lang w:val="en-GB"/>
        </w:rPr>
      </w:pPr>
    </w:p>
    <w:p w14:paraId="5FF41C90" w14:textId="77777777" w:rsidR="00BC3778" w:rsidRPr="00C90332" w:rsidRDefault="00BC3778" w:rsidP="00B540C1">
      <w:pPr>
        <w:pStyle w:val="CEABullet-Level3"/>
        <w:numPr>
          <w:ilvl w:val="0"/>
          <w:numId w:val="0"/>
        </w:numPr>
        <w:ind w:left="1494" w:hanging="360"/>
        <w:rPr>
          <w:szCs w:val="17"/>
          <w:u w:val="single"/>
          <w:lang w:val="en-GB"/>
        </w:rPr>
      </w:pPr>
      <w:r w:rsidRPr="00C90332">
        <w:rPr>
          <w:szCs w:val="17"/>
          <w:u w:val="single"/>
          <w:lang w:val="en-GB"/>
        </w:rPr>
        <w:t>July 2014 Changes</w:t>
      </w:r>
    </w:p>
    <w:p w14:paraId="32F8AF22" w14:textId="709FB253" w:rsidR="008C5112" w:rsidRPr="00C90332" w:rsidRDefault="008C5112" w:rsidP="00B540C1">
      <w:pPr>
        <w:pStyle w:val="CEABullet-Level3"/>
        <w:rPr>
          <w:szCs w:val="17"/>
          <w:lang w:val="en-GB"/>
        </w:rPr>
      </w:pPr>
      <w:r w:rsidRPr="00C90332">
        <w:rPr>
          <w:szCs w:val="17"/>
          <w:lang w:val="en-GB"/>
        </w:rPr>
        <w:t>No change. The Insurance Europe position on this issue remains the same.</w:t>
      </w:r>
    </w:p>
    <w:p w14:paraId="7C6E8E46" w14:textId="64AF4A0F" w:rsidR="00BA071B" w:rsidRDefault="00BA071B" w:rsidP="00B540C1">
      <w:pPr>
        <w:pStyle w:val="CEABullet-Level3"/>
        <w:numPr>
          <w:ilvl w:val="0"/>
          <w:numId w:val="0"/>
        </w:numPr>
        <w:ind w:left="1134"/>
        <w:rPr>
          <w:szCs w:val="17"/>
          <w:lang w:val="en-GB"/>
        </w:rPr>
      </w:pPr>
    </w:p>
    <w:p w14:paraId="1ED94D6C" w14:textId="41BAB286" w:rsidR="00BA071B" w:rsidRPr="00FD4785" w:rsidRDefault="00BA071B" w:rsidP="00B540C1">
      <w:pPr>
        <w:pStyle w:val="CEABullet-Level1"/>
        <w:numPr>
          <w:ilvl w:val="0"/>
          <w:numId w:val="0"/>
        </w:numPr>
        <w:ind w:left="360" w:firstLine="774"/>
        <w:rPr>
          <w:szCs w:val="17"/>
          <w:u w:val="single"/>
          <w:lang w:val="en-GB"/>
        </w:rPr>
      </w:pPr>
      <w:r w:rsidRPr="00FD4785">
        <w:rPr>
          <w:szCs w:val="17"/>
          <w:u w:val="single"/>
          <w:lang w:val="en-GB"/>
        </w:rPr>
        <w:t>October 2014</w:t>
      </w:r>
      <w:r w:rsidR="00092C00">
        <w:rPr>
          <w:szCs w:val="17"/>
          <w:u w:val="single"/>
          <w:lang w:val="en-GB"/>
        </w:rPr>
        <w:t xml:space="preserve"> Changes</w:t>
      </w:r>
    </w:p>
    <w:p w14:paraId="117BDF9C" w14:textId="58554E61" w:rsidR="00BA071B" w:rsidRDefault="00BA071B" w:rsidP="00B540C1">
      <w:pPr>
        <w:pStyle w:val="CEABullet-Level3"/>
        <w:rPr>
          <w:lang w:val="en-GB"/>
        </w:rPr>
      </w:pPr>
      <w:r>
        <w:rPr>
          <w:lang w:val="en-GB"/>
        </w:rPr>
        <w:t>No change.</w:t>
      </w:r>
      <w:r w:rsidR="00C17C54">
        <w:rPr>
          <w:lang w:val="en-GB"/>
        </w:rPr>
        <w:t xml:space="preserve"> </w:t>
      </w:r>
      <w:r w:rsidR="00C17C54" w:rsidRPr="00C90332">
        <w:rPr>
          <w:szCs w:val="17"/>
          <w:lang w:val="en-GB"/>
        </w:rPr>
        <w:t>The Insurance Europe position on this issue remains the same.</w:t>
      </w:r>
    </w:p>
    <w:p w14:paraId="096377A2" w14:textId="77777777" w:rsidR="00487E89" w:rsidRPr="00C90332" w:rsidRDefault="00487E89" w:rsidP="00B540C1">
      <w:pPr>
        <w:rPr>
          <w:szCs w:val="17"/>
        </w:rPr>
      </w:pPr>
      <w:r w:rsidRPr="00C90332">
        <w:rPr>
          <w:szCs w:val="17"/>
        </w:rPr>
        <w:t> </w:t>
      </w:r>
    </w:p>
    <w:p w14:paraId="47F131E1" w14:textId="77777777" w:rsidR="00487E89" w:rsidRPr="00C90332" w:rsidRDefault="00487E89" w:rsidP="00B540C1">
      <w:pPr>
        <w:pStyle w:val="CEABullet-Level2"/>
        <w:rPr>
          <w:szCs w:val="17"/>
        </w:rPr>
      </w:pPr>
      <w:r w:rsidRPr="00C90332">
        <w:rPr>
          <w:b/>
          <w:szCs w:val="17"/>
        </w:rPr>
        <w:t>Infrastructure</w:t>
      </w:r>
    </w:p>
    <w:p w14:paraId="6C4EF14D" w14:textId="77777777" w:rsidR="006C2828" w:rsidRPr="00C90332" w:rsidRDefault="006C2828" w:rsidP="00B540C1">
      <w:pPr>
        <w:pStyle w:val="CEABullet-Level3"/>
        <w:numPr>
          <w:ilvl w:val="0"/>
          <w:numId w:val="0"/>
        </w:numPr>
        <w:ind w:left="1494" w:hanging="360"/>
        <w:rPr>
          <w:b/>
          <w:szCs w:val="17"/>
          <w:lang w:val="en-GB"/>
        </w:rPr>
      </w:pPr>
    </w:p>
    <w:p w14:paraId="2B8BFE27" w14:textId="77777777" w:rsidR="006C2828" w:rsidRPr="00C90332" w:rsidRDefault="006C2828" w:rsidP="00B540C1">
      <w:pPr>
        <w:pStyle w:val="CEABullet-Level3"/>
        <w:numPr>
          <w:ilvl w:val="0"/>
          <w:numId w:val="0"/>
        </w:numPr>
        <w:ind w:left="1494" w:hanging="360"/>
        <w:rPr>
          <w:szCs w:val="17"/>
          <w:u w:val="single"/>
          <w:lang w:val="en-GB"/>
        </w:rPr>
      </w:pPr>
      <w:r w:rsidRPr="00C90332">
        <w:rPr>
          <w:szCs w:val="17"/>
          <w:u w:val="single"/>
          <w:lang w:val="en-GB"/>
        </w:rPr>
        <w:t>July 2014 Changes</w:t>
      </w:r>
    </w:p>
    <w:p w14:paraId="2D64943F" w14:textId="1B90942C" w:rsidR="00DA3B99" w:rsidRPr="00DA3B99" w:rsidRDefault="00DA3B99" w:rsidP="00B540C1">
      <w:pPr>
        <w:pStyle w:val="CEABullet-Level3"/>
        <w:rPr>
          <w:szCs w:val="17"/>
          <w:lang w:val="en-GB"/>
        </w:rPr>
      </w:pPr>
      <w:r>
        <w:rPr>
          <w:szCs w:val="17"/>
          <w:lang w:val="en-GB"/>
        </w:rPr>
        <w:t xml:space="preserve">There is now an explicit reference being made to infrastructure, as part of </w:t>
      </w:r>
      <w:r w:rsidR="000F3869">
        <w:rPr>
          <w:szCs w:val="17"/>
          <w:lang w:val="en-GB"/>
        </w:rPr>
        <w:t>R</w:t>
      </w:r>
      <w:r>
        <w:rPr>
          <w:szCs w:val="17"/>
          <w:lang w:val="en-GB"/>
        </w:rPr>
        <w:t xml:space="preserve">ecital 49 which regards the review of the standard formula, namely: </w:t>
      </w:r>
      <w:r w:rsidRPr="00DA3B99">
        <w:rPr>
          <w:i/>
          <w:szCs w:val="17"/>
          <w:lang w:val="en-GB"/>
        </w:rPr>
        <w:t>“…including a review of the standard parameters for fixed income securities and long-term infrastructure”</w:t>
      </w:r>
      <w:r>
        <w:rPr>
          <w:i/>
          <w:szCs w:val="17"/>
          <w:lang w:val="en-GB"/>
        </w:rPr>
        <w:t>.</w:t>
      </w:r>
      <w:r w:rsidRPr="00DA3B99">
        <w:rPr>
          <w:szCs w:val="17"/>
          <w:lang w:val="en-GB"/>
        </w:rPr>
        <w:t xml:space="preserve"> </w:t>
      </w:r>
      <w:r w:rsidRPr="00C90332">
        <w:rPr>
          <w:szCs w:val="17"/>
          <w:lang w:val="en-GB"/>
        </w:rPr>
        <w:t>(</w:t>
      </w:r>
      <w:r w:rsidRPr="00C90332">
        <w:rPr>
          <w:szCs w:val="17"/>
          <w:highlight w:val="green"/>
          <w:lang w:val="en-GB"/>
        </w:rPr>
        <w:t>positive</w:t>
      </w:r>
      <w:r w:rsidRPr="00C90332">
        <w:rPr>
          <w:szCs w:val="17"/>
          <w:lang w:val="en-GB"/>
        </w:rPr>
        <w:t>)</w:t>
      </w:r>
    </w:p>
    <w:p w14:paraId="0A5282EE" w14:textId="47E64640" w:rsidR="000F3869" w:rsidRPr="000F3869" w:rsidRDefault="008C5112" w:rsidP="00B540C1">
      <w:pPr>
        <w:pStyle w:val="CEABullet-Level3"/>
        <w:rPr>
          <w:szCs w:val="17"/>
          <w:lang w:val="en-GB"/>
        </w:rPr>
      </w:pPr>
      <w:r w:rsidRPr="00C90332">
        <w:rPr>
          <w:szCs w:val="17"/>
          <w:lang w:val="en-GB"/>
        </w:rPr>
        <w:t xml:space="preserve">No change </w:t>
      </w:r>
      <w:r w:rsidR="00DA3B99">
        <w:rPr>
          <w:szCs w:val="17"/>
          <w:lang w:val="en-GB"/>
        </w:rPr>
        <w:t>however on the current capital treatment of infrastructure investments and therefore t</w:t>
      </w:r>
      <w:r w:rsidRPr="00C90332">
        <w:rPr>
          <w:szCs w:val="17"/>
          <w:lang w:val="en-GB"/>
        </w:rPr>
        <w:t>he Insurance Europe position on this issue remains the same.</w:t>
      </w:r>
    </w:p>
    <w:p w14:paraId="5A360D48" w14:textId="77777777" w:rsidR="00BA071B" w:rsidRDefault="00BA071B" w:rsidP="00B540C1">
      <w:pPr>
        <w:pStyle w:val="CEABullet-Level3"/>
        <w:numPr>
          <w:ilvl w:val="0"/>
          <w:numId w:val="0"/>
        </w:numPr>
        <w:ind w:left="1494"/>
        <w:rPr>
          <w:szCs w:val="17"/>
          <w:lang w:val="en-GB"/>
        </w:rPr>
      </w:pPr>
    </w:p>
    <w:p w14:paraId="54FF0DEB" w14:textId="6B2446A3" w:rsidR="00BA071B" w:rsidRPr="00FD4785" w:rsidRDefault="00BA071B" w:rsidP="00B540C1">
      <w:pPr>
        <w:pStyle w:val="CEABullet-Level1"/>
        <w:numPr>
          <w:ilvl w:val="0"/>
          <w:numId w:val="0"/>
        </w:numPr>
        <w:ind w:left="360" w:firstLine="774"/>
        <w:rPr>
          <w:szCs w:val="17"/>
          <w:u w:val="single"/>
          <w:lang w:val="en-GB"/>
        </w:rPr>
      </w:pPr>
      <w:r w:rsidRPr="00FD4785">
        <w:rPr>
          <w:szCs w:val="17"/>
          <w:u w:val="single"/>
          <w:lang w:val="en-GB"/>
        </w:rPr>
        <w:t>October 2014</w:t>
      </w:r>
      <w:r w:rsidR="00092C00">
        <w:rPr>
          <w:szCs w:val="17"/>
          <w:u w:val="single"/>
          <w:lang w:val="en-GB"/>
        </w:rPr>
        <w:t xml:space="preserve"> Changes</w:t>
      </w:r>
    </w:p>
    <w:p w14:paraId="28DD2B00" w14:textId="6F4C053F" w:rsidR="00BA071B" w:rsidRPr="00EB424C" w:rsidRDefault="00BA071B" w:rsidP="00B540C1">
      <w:pPr>
        <w:pStyle w:val="CEABullet-Level3"/>
        <w:rPr>
          <w:lang w:val="en-GB"/>
        </w:rPr>
      </w:pPr>
      <w:r>
        <w:rPr>
          <w:lang w:val="en-GB"/>
        </w:rPr>
        <w:t>No change.</w:t>
      </w:r>
      <w:r w:rsidR="00EB424C">
        <w:rPr>
          <w:lang w:val="en-GB"/>
        </w:rPr>
        <w:t xml:space="preserve"> </w:t>
      </w:r>
      <w:r w:rsidR="00EB424C" w:rsidRPr="00C90332">
        <w:rPr>
          <w:szCs w:val="17"/>
          <w:lang w:val="en-GB"/>
        </w:rPr>
        <w:t>The Insurance Europe position on this issue remains the same.</w:t>
      </w:r>
    </w:p>
    <w:p w14:paraId="3FA6B098" w14:textId="77777777" w:rsidR="00487E89" w:rsidRPr="00C90332" w:rsidRDefault="00487E89" w:rsidP="00B540C1">
      <w:pPr>
        <w:pStyle w:val="CEABullet-Level3"/>
        <w:numPr>
          <w:ilvl w:val="0"/>
          <w:numId w:val="0"/>
        </w:numPr>
        <w:rPr>
          <w:szCs w:val="17"/>
          <w:lang w:val="en-GB"/>
        </w:rPr>
      </w:pPr>
    </w:p>
    <w:p w14:paraId="78D19DA5" w14:textId="77777777" w:rsidR="00487E89" w:rsidRPr="00DA3B99" w:rsidRDefault="005F7260" w:rsidP="00B540C1">
      <w:pPr>
        <w:pStyle w:val="CEABullet-Level2"/>
        <w:rPr>
          <w:b/>
          <w:szCs w:val="17"/>
          <w:lang w:val="en-GB"/>
        </w:rPr>
      </w:pPr>
      <w:r w:rsidRPr="00DA3B99">
        <w:rPr>
          <w:b/>
          <w:szCs w:val="17"/>
          <w:lang w:val="en-GB"/>
        </w:rPr>
        <w:t>SME equity</w:t>
      </w:r>
    </w:p>
    <w:p w14:paraId="548F7CA9" w14:textId="77777777" w:rsidR="006C2828" w:rsidRPr="00C90332" w:rsidRDefault="006C2828" w:rsidP="00B540C1">
      <w:pPr>
        <w:pStyle w:val="CEABullet-Level3"/>
        <w:numPr>
          <w:ilvl w:val="0"/>
          <w:numId w:val="0"/>
        </w:numPr>
        <w:ind w:left="1494" w:hanging="360"/>
        <w:rPr>
          <w:szCs w:val="17"/>
          <w:lang w:val="en-GB"/>
        </w:rPr>
      </w:pPr>
    </w:p>
    <w:p w14:paraId="1FAE2FB8" w14:textId="77777777" w:rsidR="006C2828" w:rsidRPr="00C90332" w:rsidRDefault="006C2828" w:rsidP="00B540C1">
      <w:pPr>
        <w:pStyle w:val="CEABullet-Level3"/>
        <w:numPr>
          <w:ilvl w:val="0"/>
          <w:numId w:val="0"/>
        </w:numPr>
        <w:ind w:left="1494" w:hanging="360"/>
        <w:rPr>
          <w:szCs w:val="17"/>
          <w:u w:val="single"/>
          <w:lang w:val="en-GB"/>
        </w:rPr>
      </w:pPr>
      <w:r w:rsidRPr="00C90332">
        <w:rPr>
          <w:szCs w:val="17"/>
          <w:u w:val="single"/>
          <w:lang w:val="en-GB"/>
        </w:rPr>
        <w:t>July 2014 Changes</w:t>
      </w:r>
    </w:p>
    <w:p w14:paraId="56FAE0C1" w14:textId="631F424D" w:rsidR="00E06E0F" w:rsidRPr="00E06E0F" w:rsidRDefault="00E06E0F" w:rsidP="00B540C1">
      <w:pPr>
        <w:pStyle w:val="CEABullet-Level3"/>
        <w:rPr>
          <w:szCs w:val="17"/>
          <w:lang w:val="en-GB"/>
        </w:rPr>
      </w:pPr>
      <w:r w:rsidRPr="00E06E0F">
        <w:rPr>
          <w:szCs w:val="17"/>
          <w:lang w:val="en-GB"/>
        </w:rPr>
        <w:t>For some funds related to AIFM the previous inclusion in type 1 equities could</w:t>
      </w:r>
      <w:r w:rsidR="00DA3B99">
        <w:rPr>
          <w:szCs w:val="17"/>
          <w:lang w:val="en-GB"/>
        </w:rPr>
        <w:t xml:space="preserve"> have</w:t>
      </w:r>
      <w:r w:rsidRPr="00E06E0F">
        <w:rPr>
          <w:szCs w:val="17"/>
          <w:lang w:val="en-GB"/>
        </w:rPr>
        <w:t xml:space="preserve"> led to higher shocks </w:t>
      </w:r>
      <w:r w:rsidR="00615714">
        <w:rPr>
          <w:szCs w:val="17"/>
          <w:lang w:val="en-GB"/>
        </w:rPr>
        <w:t>compared to shocks derived by using</w:t>
      </w:r>
      <w:r w:rsidRPr="00E06E0F">
        <w:rPr>
          <w:szCs w:val="17"/>
          <w:lang w:val="en-GB"/>
        </w:rPr>
        <w:t xml:space="preserve"> a look-through approach (e</w:t>
      </w:r>
      <w:r>
        <w:rPr>
          <w:szCs w:val="17"/>
          <w:lang w:val="en-GB"/>
        </w:rPr>
        <w:t>.</w:t>
      </w:r>
      <w:r w:rsidRPr="00E06E0F">
        <w:rPr>
          <w:szCs w:val="17"/>
          <w:lang w:val="en-GB"/>
        </w:rPr>
        <w:t>g</w:t>
      </w:r>
      <w:r>
        <w:rPr>
          <w:szCs w:val="17"/>
          <w:lang w:val="en-GB"/>
        </w:rPr>
        <w:t>.</w:t>
      </w:r>
      <w:r w:rsidRPr="00E06E0F">
        <w:rPr>
          <w:szCs w:val="17"/>
          <w:lang w:val="en-GB"/>
        </w:rPr>
        <w:t xml:space="preserve"> if underlying exposure is property). This </w:t>
      </w:r>
      <w:r w:rsidR="007B77B3">
        <w:rPr>
          <w:szCs w:val="17"/>
          <w:lang w:val="en-GB"/>
        </w:rPr>
        <w:t xml:space="preserve">seems to </w:t>
      </w:r>
      <w:r w:rsidR="00615714">
        <w:rPr>
          <w:szCs w:val="17"/>
          <w:lang w:val="en-GB"/>
        </w:rPr>
        <w:t xml:space="preserve">have now been addressed </w:t>
      </w:r>
      <w:r w:rsidR="007B77B3">
        <w:rPr>
          <w:szCs w:val="17"/>
          <w:lang w:val="en-GB"/>
        </w:rPr>
        <w:t>in Article 168(3)</w:t>
      </w:r>
      <w:r w:rsidR="00E965FA">
        <w:rPr>
          <w:szCs w:val="17"/>
          <w:lang w:val="en-GB"/>
        </w:rPr>
        <w:t xml:space="preserve"> and (6)</w:t>
      </w:r>
      <w:r w:rsidR="007B77B3">
        <w:rPr>
          <w:szCs w:val="17"/>
          <w:lang w:val="en-GB"/>
        </w:rPr>
        <w:t xml:space="preserve"> </w:t>
      </w:r>
      <w:r w:rsidRPr="00E06E0F">
        <w:rPr>
          <w:szCs w:val="17"/>
          <w:lang w:val="en-GB"/>
        </w:rPr>
        <w:t>(</w:t>
      </w:r>
      <w:r w:rsidRPr="00E06E0F">
        <w:rPr>
          <w:szCs w:val="17"/>
          <w:highlight w:val="green"/>
          <w:lang w:val="en-GB"/>
        </w:rPr>
        <w:t>positive</w:t>
      </w:r>
      <w:r w:rsidRPr="00E06E0F">
        <w:rPr>
          <w:szCs w:val="17"/>
          <w:lang w:val="en-GB"/>
        </w:rPr>
        <w:t>).</w:t>
      </w:r>
    </w:p>
    <w:p w14:paraId="34C0DCFC" w14:textId="77777777" w:rsidR="00615714" w:rsidRDefault="00BE58ED" w:rsidP="00B540C1">
      <w:pPr>
        <w:pStyle w:val="CEABullet-Level3"/>
        <w:rPr>
          <w:lang w:val="en-GB"/>
        </w:rPr>
      </w:pPr>
      <w:r w:rsidRPr="00E06E0F">
        <w:rPr>
          <w:lang w:val="en-GB"/>
        </w:rPr>
        <w:t xml:space="preserve">No </w:t>
      </w:r>
      <w:r w:rsidR="00E06E0F" w:rsidRPr="00E06E0F">
        <w:rPr>
          <w:lang w:val="en-GB"/>
        </w:rPr>
        <w:t xml:space="preserve">other </w:t>
      </w:r>
      <w:r w:rsidRPr="00E06E0F">
        <w:rPr>
          <w:lang w:val="en-GB"/>
        </w:rPr>
        <w:t>change since March 2014.</w:t>
      </w:r>
    </w:p>
    <w:p w14:paraId="2771591F" w14:textId="77777777" w:rsidR="00BA071B" w:rsidRDefault="00BA071B" w:rsidP="00B540C1">
      <w:pPr>
        <w:pStyle w:val="CEABullet-Level3"/>
        <w:numPr>
          <w:ilvl w:val="0"/>
          <w:numId w:val="0"/>
        </w:numPr>
        <w:ind w:left="1494"/>
        <w:rPr>
          <w:lang w:val="en-GB"/>
        </w:rPr>
      </w:pPr>
    </w:p>
    <w:p w14:paraId="0FD63BD7" w14:textId="52723341" w:rsidR="00BA071B" w:rsidRPr="00FD4785" w:rsidRDefault="00BA071B" w:rsidP="00B540C1">
      <w:pPr>
        <w:pStyle w:val="CEABullet-Level1"/>
        <w:numPr>
          <w:ilvl w:val="0"/>
          <w:numId w:val="0"/>
        </w:numPr>
        <w:ind w:left="360" w:firstLine="774"/>
        <w:rPr>
          <w:szCs w:val="17"/>
          <w:u w:val="single"/>
          <w:lang w:val="en-GB"/>
        </w:rPr>
      </w:pPr>
      <w:r w:rsidRPr="00FD4785">
        <w:rPr>
          <w:szCs w:val="17"/>
          <w:u w:val="single"/>
          <w:lang w:val="en-GB"/>
        </w:rPr>
        <w:t>October 2014</w:t>
      </w:r>
      <w:r w:rsidR="00092C00">
        <w:rPr>
          <w:szCs w:val="17"/>
          <w:u w:val="single"/>
          <w:lang w:val="en-GB"/>
        </w:rPr>
        <w:t xml:space="preserve"> Changes</w:t>
      </w:r>
    </w:p>
    <w:p w14:paraId="454F88A6" w14:textId="32012D6C" w:rsidR="00C5174B" w:rsidRPr="00C5174B" w:rsidRDefault="00C5174B" w:rsidP="00B540C1">
      <w:pPr>
        <w:pStyle w:val="CEABullet-Level3"/>
        <w:rPr>
          <w:lang w:val="en-GB"/>
        </w:rPr>
      </w:pPr>
      <w:r w:rsidRPr="00C5174B">
        <w:rPr>
          <w:b/>
          <w:lang w:val="en-GB"/>
        </w:rPr>
        <w:t xml:space="preserve">Article </w:t>
      </w:r>
      <w:r>
        <w:rPr>
          <w:b/>
          <w:lang w:val="en-GB"/>
        </w:rPr>
        <w:t xml:space="preserve">168: </w:t>
      </w:r>
      <w:r w:rsidRPr="00C5174B">
        <w:rPr>
          <w:lang w:val="en-GB"/>
        </w:rPr>
        <w:t>the removal of European Long-term Investment Funds (ELTIF) from Type 1 equities, due to ELTIFs still being developed</w:t>
      </w:r>
      <w:r>
        <w:rPr>
          <w:lang w:val="en-GB"/>
        </w:rPr>
        <w:t xml:space="preserve"> (not adopted yet by the European Parliament)</w:t>
      </w:r>
      <w:r w:rsidRPr="00C5174B">
        <w:rPr>
          <w:lang w:val="en-GB"/>
        </w:rPr>
        <w:t xml:space="preserve">. </w:t>
      </w:r>
      <w:r w:rsidRPr="00C5174B">
        <w:rPr>
          <w:szCs w:val="17"/>
          <w:lang w:val="en-GB"/>
        </w:rPr>
        <w:t>(</w:t>
      </w:r>
      <w:r w:rsidRPr="00C5174B">
        <w:rPr>
          <w:szCs w:val="17"/>
          <w:highlight w:val="red"/>
          <w:lang w:val="en-GB"/>
        </w:rPr>
        <w:t>negative</w:t>
      </w:r>
      <w:r w:rsidRPr="00C5174B">
        <w:rPr>
          <w:szCs w:val="17"/>
          <w:lang w:val="en-GB"/>
        </w:rPr>
        <w:t>)</w:t>
      </w:r>
    </w:p>
    <w:p w14:paraId="28D9438C" w14:textId="4589FF86" w:rsidR="00C5174B" w:rsidRPr="00C5174B" w:rsidRDefault="00C5174B" w:rsidP="00B540C1">
      <w:pPr>
        <w:pStyle w:val="CEABullet-Level3"/>
        <w:rPr>
          <w:lang w:val="en-GB"/>
        </w:rPr>
      </w:pPr>
      <w:r w:rsidRPr="00C5174B">
        <w:rPr>
          <w:lang w:val="en-GB"/>
        </w:rPr>
        <w:t>No other change</w:t>
      </w:r>
      <w:r w:rsidR="000E52E0">
        <w:rPr>
          <w:lang w:val="en-GB"/>
        </w:rPr>
        <w:t>.</w:t>
      </w:r>
    </w:p>
    <w:p w14:paraId="7FDCA6C2" w14:textId="77777777" w:rsidR="00EB424C" w:rsidRPr="00E06E0F" w:rsidRDefault="00EB424C" w:rsidP="00B540C1">
      <w:pPr>
        <w:pStyle w:val="CEABullet-Level3"/>
        <w:numPr>
          <w:ilvl w:val="0"/>
          <w:numId w:val="0"/>
        </w:numPr>
        <w:ind w:left="1494"/>
        <w:rPr>
          <w:szCs w:val="17"/>
          <w:lang w:val="en-GB"/>
        </w:rPr>
      </w:pPr>
    </w:p>
    <w:p w14:paraId="6AE37005" w14:textId="77777777" w:rsidR="00487E89" w:rsidRPr="00C90332" w:rsidRDefault="00EA466A" w:rsidP="00B540C1">
      <w:pPr>
        <w:pStyle w:val="CEABullet-Level2"/>
        <w:rPr>
          <w:b/>
          <w:color w:val="auto"/>
          <w:szCs w:val="17"/>
        </w:rPr>
      </w:pPr>
      <w:r w:rsidRPr="00E06E0F">
        <w:rPr>
          <w:b/>
          <w:color w:val="auto"/>
          <w:szCs w:val="17"/>
          <w:lang w:val="en-GB"/>
        </w:rPr>
        <w:t>Transitionals for equity</w:t>
      </w:r>
      <w:r w:rsidR="00F830EF" w:rsidRPr="00E06E0F">
        <w:rPr>
          <w:b/>
          <w:color w:val="auto"/>
          <w:szCs w:val="17"/>
          <w:lang w:val="en-GB"/>
        </w:rPr>
        <w:t xml:space="preserve"> </w:t>
      </w:r>
      <w:r w:rsidRPr="00E06E0F">
        <w:rPr>
          <w:b/>
          <w:color w:val="auto"/>
          <w:szCs w:val="17"/>
          <w:lang w:val="en-GB"/>
        </w:rPr>
        <w:t>ri</w:t>
      </w:r>
      <w:r w:rsidRPr="00C90332">
        <w:rPr>
          <w:b/>
          <w:color w:val="auto"/>
          <w:szCs w:val="17"/>
        </w:rPr>
        <w:t>sk</w:t>
      </w:r>
    </w:p>
    <w:p w14:paraId="324D54D2" w14:textId="77777777" w:rsidR="006C2828" w:rsidRPr="00C90332" w:rsidRDefault="006C2828" w:rsidP="00B540C1">
      <w:pPr>
        <w:pStyle w:val="CEABullet-Level3"/>
        <w:numPr>
          <w:ilvl w:val="0"/>
          <w:numId w:val="0"/>
        </w:numPr>
        <w:ind w:left="1494" w:hanging="360"/>
        <w:rPr>
          <w:szCs w:val="17"/>
        </w:rPr>
      </w:pPr>
    </w:p>
    <w:p w14:paraId="6A95A20F" w14:textId="77777777" w:rsidR="006C2828" w:rsidRPr="00C90332" w:rsidRDefault="006C2828" w:rsidP="00B540C1">
      <w:pPr>
        <w:pStyle w:val="CEABullet-Level3"/>
        <w:numPr>
          <w:ilvl w:val="0"/>
          <w:numId w:val="0"/>
        </w:numPr>
        <w:ind w:left="1494" w:hanging="360"/>
        <w:rPr>
          <w:szCs w:val="17"/>
          <w:u w:val="single"/>
          <w:lang w:val="en-GB"/>
        </w:rPr>
      </w:pPr>
      <w:r w:rsidRPr="00C90332">
        <w:rPr>
          <w:szCs w:val="17"/>
          <w:u w:val="single"/>
          <w:lang w:val="en-GB"/>
        </w:rPr>
        <w:t>July 2014 Changes</w:t>
      </w:r>
    </w:p>
    <w:p w14:paraId="0977056D" w14:textId="640B6573" w:rsidR="00BC3778" w:rsidRDefault="00BE58ED" w:rsidP="00B540C1">
      <w:pPr>
        <w:pStyle w:val="CEABullet-Level3"/>
        <w:rPr>
          <w:szCs w:val="17"/>
          <w:lang w:val="en-GB"/>
        </w:rPr>
      </w:pPr>
      <w:r w:rsidRPr="00C90332">
        <w:rPr>
          <w:szCs w:val="17"/>
          <w:lang w:val="en-GB"/>
        </w:rPr>
        <w:t>No change. The Insurance Europe position on this issue remains the same.</w:t>
      </w:r>
    </w:p>
    <w:p w14:paraId="00C7BE9E" w14:textId="010914CD" w:rsidR="00B41789" w:rsidRDefault="00B41789" w:rsidP="00B540C1">
      <w:pPr>
        <w:pStyle w:val="CEABullet-Level3"/>
        <w:numPr>
          <w:ilvl w:val="0"/>
          <w:numId w:val="0"/>
        </w:numPr>
        <w:ind w:left="1494" w:hanging="360"/>
        <w:rPr>
          <w:szCs w:val="17"/>
          <w:lang w:val="en-GB"/>
        </w:rPr>
      </w:pPr>
    </w:p>
    <w:p w14:paraId="1AA6C5EB" w14:textId="4F619934" w:rsidR="00B41789" w:rsidRPr="00C90332" w:rsidRDefault="00B41789" w:rsidP="00B540C1">
      <w:pPr>
        <w:pStyle w:val="CEABullet-Level3"/>
        <w:numPr>
          <w:ilvl w:val="0"/>
          <w:numId w:val="0"/>
        </w:numPr>
        <w:ind w:left="1494" w:hanging="360"/>
        <w:rPr>
          <w:szCs w:val="17"/>
          <w:u w:val="single"/>
          <w:lang w:val="en-GB"/>
        </w:rPr>
      </w:pPr>
      <w:r>
        <w:rPr>
          <w:szCs w:val="17"/>
          <w:u w:val="single"/>
          <w:lang w:val="en-GB"/>
        </w:rPr>
        <w:t>October</w:t>
      </w:r>
      <w:r w:rsidRPr="00C90332">
        <w:rPr>
          <w:szCs w:val="17"/>
          <w:u w:val="single"/>
          <w:lang w:val="en-GB"/>
        </w:rPr>
        <w:t xml:space="preserve"> 2014 Changes</w:t>
      </w:r>
    </w:p>
    <w:p w14:paraId="0B037914" w14:textId="7BADE1EB" w:rsidR="00B41789" w:rsidRPr="00C90332" w:rsidRDefault="00B41789" w:rsidP="00B540C1">
      <w:pPr>
        <w:pStyle w:val="CEABullet-Level3"/>
        <w:rPr>
          <w:szCs w:val="17"/>
          <w:lang w:val="en-GB"/>
        </w:rPr>
      </w:pPr>
      <w:r w:rsidRPr="00C90332">
        <w:rPr>
          <w:szCs w:val="17"/>
          <w:lang w:val="en-GB"/>
        </w:rPr>
        <w:t>No change. The Insurance Europe position on this issue remains the same.</w:t>
      </w:r>
    </w:p>
    <w:p w14:paraId="3617D042" w14:textId="77777777" w:rsidR="00BE58ED" w:rsidRDefault="00BE58ED" w:rsidP="00B540C1">
      <w:pPr>
        <w:pStyle w:val="CEABullet-Level3"/>
        <w:numPr>
          <w:ilvl w:val="0"/>
          <w:numId w:val="0"/>
        </w:numPr>
        <w:rPr>
          <w:color w:val="auto"/>
          <w:szCs w:val="17"/>
          <w:lang w:val="en-GB"/>
        </w:rPr>
      </w:pPr>
    </w:p>
    <w:p w14:paraId="57D02DC8" w14:textId="77777777" w:rsidR="00E2691A" w:rsidRPr="00C90332" w:rsidRDefault="00E2691A" w:rsidP="00B540C1">
      <w:pPr>
        <w:pStyle w:val="CEABullet-Level3"/>
        <w:numPr>
          <w:ilvl w:val="0"/>
          <w:numId w:val="0"/>
        </w:numPr>
        <w:rPr>
          <w:color w:val="auto"/>
          <w:szCs w:val="17"/>
          <w:lang w:val="en-GB"/>
        </w:rPr>
      </w:pPr>
    </w:p>
    <w:p w14:paraId="4A9D4D84" w14:textId="77777777" w:rsidR="00487E89" w:rsidRPr="00C90332" w:rsidRDefault="005F7260" w:rsidP="00B540C1">
      <w:pPr>
        <w:pStyle w:val="CEABullet-Level1"/>
        <w:rPr>
          <w:b/>
          <w:szCs w:val="17"/>
        </w:rPr>
      </w:pPr>
      <w:r w:rsidRPr="00C90332">
        <w:rPr>
          <w:b/>
          <w:szCs w:val="17"/>
        </w:rPr>
        <w:t>Other SCR related issues</w:t>
      </w:r>
    </w:p>
    <w:p w14:paraId="0FB39D1E" w14:textId="77777777" w:rsidR="006C2828" w:rsidRPr="00C90332" w:rsidRDefault="006C2828" w:rsidP="00B540C1">
      <w:pPr>
        <w:pStyle w:val="CEABullet-Level1"/>
        <w:numPr>
          <w:ilvl w:val="0"/>
          <w:numId w:val="0"/>
        </w:numPr>
        <w:ind w:left="360" w:hanging="360"/>
        <w:rPr>
          <w:szCs w:val="17"/>
        </w:rPr>
      </w:pPr>
    </w:p>
    <w:p w14:paraId="789F4B68" w14:textId="77777777" w:rsidR="00EB1F68" w:rsidRPr="00C90332" w:rsidRDefault="00EA466A" w:rsidP="00B540C1">
      <w:pPr>
        <w:pStyle w:val="CEABullet-Level2"/>
        <w:rPr>
          <w:b/>
          <w:szCs w:val="17"/>
        </w:rPr>
      </w:pPr>
      <w:r w:rsidRPr="00C90332">
        <w:rPr>
          <w:b/>
          <w:szCs w:val="17"/>
        </w:rPr>
        <w:t>Interest r</w:t>
      </w:r>
      <w:r w:rsidR="00EB1F68" w:rsidRPr="00C90332">
        <w:rPr>
          <w:b/>
          <w:szCs w:val="17"/>
        </w:rPr>
        <w:t>ate risk</w:t>
      </w:r>
    </w:p>
    <w:p w14:paraId="391C5ADC" w14:textId="77777777" w:rsidR="00D12934" w:rsidRPr="00C90332" w:rsidRDefault="00D12934" w:rsidP="00B540C1">
      <w:pPr>
        <w:pStyle w:val="CEABullet-Level3"/>
        <w:numPr>
          <w:ilvl w:val="0"/>
          <w:numId w:val="0"/>
        </w:numPr>
        <w:ind w:left="1494"/>
        <w:rPr>
          <w:szCs w:val="17"/>
          <w:lang w:val="en-GB"/>
        </w:rPr>
      </w:pPr>
    </w:p>
    <w:p w14:paraId="0FD675AD" w14:textId="77777777" w:rsidR="006C2828" w:rsidRPr="00C90332" w:rsidRDefault="006C2828" w:rsidP="00B540C1">
      <w:pPr>
        <w:pStyle w:val="CEABullet-Level3"/>
        <w:numPr>
          <w:ilvl w:val="0"/>
          <w:numId w:val="0"/>
        </w:numPr>
        <w:ind w:left="1494" w:hanging="360"/>
        <w:rPr>
          <w:szCs w:val="17"/>
          <w:u w:val="single"/>
          <w:lang w:val="en-GB"/>
        </w:rPr>
      </w:pPr>
      <w:r w:rsidRPr="00C90332">
        <w:rPr>
          <w:szCs w:val="17"/>
          <w:u w:val="single"/>
          <w:lang w:val="en-GB"/>
        </w:rPr>
        <w:t>July 2014 Changes</w:t>
      </w:r>
    </w:p>
    <w:p w14:paraId="316D39D3" w14:textId="77777777" w:rsidR="00487E89" w:rsidRDefault="00337B85" w:rsidP="00B540C1">
      <w:pPr>
        <w:pStyle w:val="CEABullet-Level3"/>
        <w:rPr>
          <w:szCs w:val="17"/>
          <w:lang w:val="en-GB"/>
        </w:rPr>
      </w:pPr>
      <w:r w:rsidRPr="00C90332">
        <w:rPr>
          <w:szCs w:val="17"/>
          <w:lang w:val="en-GB"/>
        </w:rPr>
        <w:t>Article 167(2) now states that for negative basic risk-free interest rates, the decrease shall be nil (</w:t>
      </w:r>
      <w:r w:rsidRPr="00C90332">
        <w:rPr>
          <w:szCs w:val="17"/>
          <w:highlight w:val="green"/>
          <w:lang w:val="en-GB"/>
        </w:rPr>
        <w:t>positive</w:t>
      </w:r>
      <w:r w:rsidRPr="00C90332">
        <w:rPr>
          <w:szCs w:val="17"/>
          <w:lang w:val="en-GB"/>
        </w:rPr>
        <w:t>).</w:t>
      </w:r>
    </w:p>
    <w:p w14:paraId="6041EF35" w14:textId="77777777" w:rsidR="00302085" w:rsidRDefault="00302085" w:rsidP="00B540C1">
      <w:pPr>
        <w:pStyle w:val="CEABullet-Level3"/>
        <w:numPr>
          <w:ilvl w:val="0"/>
          <w:numId w:val="0"/>
        </w:numPr>
        <w:ind w:left="1494" w:hanging="360"/>
        <w:rPr>
          <w:szCs w:val="17"/>
          <w:lang w:val="en-GB"/>
        </w:rPr>
      </w:pPr>
    </w:p>
    <w:p w14:paraId="554B3C5F" w14:textId="5C82B4CB" w:rsidR="00302085" w:rsidRPr="00C90332" w:rsidRDefault="00302085" w:rsidP="00B540C1">
      <w:pPr>
        <w:pStyle w:val="CEABullet-Level3"/>
        <w:numPr>
          <w:ilvl w:val="0"/>
          <w:numId w:val="0"/>
        </w:numPr>
        <w:ind w:left="1494" w:hanging="360"/>
        <w:rPr>
          <w:szCs w:val="17"/>
          <w:u w:val="single"/>
          <w:lang w:val="en-GB"/>
        </w:rPr>
      </w:pPr>
      <w:r>
        <w:rPr>
          <w:szCs w:val="17"/>
          <w:u w:val="single"/>
          <w:lang w:val="en-GB"/>
        </w:rPr>
        <w:t>October</w:t>
      </w:r>
      <w:r w:rsidRPr="00C90332">
        <w:rPr>
          <w:szCs w:val="17"/>
          <w:u w:val="single"/>
          <w:lang w:val="en-GB"/>
        </w:rPr>
        <w:t xml:space="preserve"> 2014 Changes</w:t>
      </w:r>
    </w:p>
    <w:p w14:paraId="6C8B54F2" w14:textId="080239B3" w:rsidR="00302085" w:rsidRPr="00302085" w:rsidRDefault="00302085" w:rsidP="00B540C1">
      <w:pPr>
        <w:pStyle w:val="CEABullet-Level3"/>
        <w:rPr>
          <w:szCs w:val="17"/>
          <w:lang w:val="en-GB"/>
        </w:rPr>
      </w:pPr>
      <w:r w:rsidRPr="00C90332">
        <w:rPr>
          <w:szCs w:val="17"/>
          <w:lang w:val="en-GB"/>
        </w:rPr>
        <w:t>No change. The Insurance Europe position on this issue remains the same.</w:t>
      </w:r>
    </w:p>
    <w:p w14:paraId="46503489" w14:textId="77777777" w:rsidR="00B33521" w:rsidRPr="00C90332" w:rsidRDefault="00B33521" w:rsidP="00B540C1">
      <w:pPr>
        <w:pStyle w:val="CEABullet-Level3"/>
        <w:numPr>
          <w:ilvl w:val="0"/>
          <w:numId w:val="0"/>
        </w:numPr>
        <w:ind w:left="1494"/>
        <w:rPr>
          <w:szCs w:val="17"/>
          <w:lang w:val="en-GB"/>
        </w:rPr>
      </w:pPr>
    </w:p>
    <w:p w14:paraId="0DFC404B" w14:textId="77777777" w:rsidR="00EA466A" w:rsidRPr="00C90332" w:rsidRDefault="00EA466A" w:rsidP="00B540C1">
      <w:pPr>
        <w:pStyle w:val="CEABullet-Level2"/>
        <w:rPr>
          <w:b/>
          <w:szCs w:val="17"/>
        </w:rPr>
      </w:pPr>
      <w:r w:rsidRPr="00C90332">
        <w:rPr>
          <w:b/>
          <w:szCs w:val="17"/>
        </w:rPr>
        <w:t>Currency risk</w:t>
      </w:r>
    </w:p>
    <w:p w14:paraId="213B2C87" w14:textId="77777777" w:rsidR="006C2828" w:rsidRPr="00C90332" w:rsidRDefault="006C2828" w:rsidP="00B540C1">
      <w:pPr>
        <w:pStyle w:val="CEABullet-Level3"/>
        <w:numPr>
          <w:ilvl w:val="0"/>
          <w:numId w:val="0"/>
        </w:numPr>
        <w:ind w:left="1494" w:hanging="360"/>
        <w:rPr>
          <w:szCs w:val="17"/>
        </w:rPr>
      </w:pPr>
    </w:p>
    <w:p w14:paraId="6AB54803" w14:textId="77777777" w:rsidR="006C2828" w:rsidRPr="00C90332" w:rsidRDefault="006C2828" w:rsidP="00B540C1">
      <w:pPr>
        <w:pStyle w:val="CEABullet-Level3"/>
        <w:numPr>
          <w:ilvl w:val="0"/>
          <w:numId w:val="0"/>
        </w:numPr>
        <w:ind w:left="1494" w:hanging="360"/>
        <w:rPr>
          <w:szCs w:val="17"/>
          <w:u w:val="single"/>
          <w:lang w:val="en-GB"/>
        </w:rPr>
      </w:pPr>
      <w:r w:rsidRPr="00C90332">
        <w:rPr>
          <w:szCs w:val="17"/>
          <w:u w:val="single"/>
          <w:lang w:val="en-GB"/>
        </w:rPr>
        <w:t>July 2014 Changes</w:t>
      </w:r>
    </w:p>
    <w:p w14:paraId="47989346" w14:textId="51095C8E" w:rsidR="00B109CD" w:rsidRDefault="00B109CD" w:rsidP="00B540C1">
      <w:pPr>
        <w:pStyle w:val="CEABullet-Level3"/>
        <w:rPr>
          <w:szCs w:val="17"/>
          <w:lang w:val="en-GB"/>
        </w:rPr>
      </w:pPr>
      <w:r w:rsidRPr="00C90332">
        <w:rPr>
          <w:szCs w:val="17"/>
          <w:lang w:val="en-GB"/>
        </w:rPr>
        <w:t xml:space="preserve">No change. The Insurance Europe position on this </w:t>
      </w:r>
      <w:r w:rsidR="00C104A3" w:rsidRPr="00C90332">
        <w:rPr>
          <w:szCs w:val="17"/>
          <w:lang w:val="en-GB"/>
        </w:rPr>
        <w:t>issue</w:t>
      </w:r>
      <w:r w:rsidRPr="00C90332">
        <w:rPr>
          <w:szCs w:val="17"/>
          <w:lang w:val="en-GB"/>
        </w:rPr>
        <w:t xml:space="preserve"> remains the same.</w:t>
      </w:r>
    </w:p>
    <w:p w14:paraId="24484453" w14:textId="6873C52C" w:rsidR="00302085" w:rsidRDefault="00302085" w:rsidP="00B540C1">
      <w:pPr>
        <w:pStyle w:val="CEABullet-Level3"/>
        <w:numPr>
          <w:ilvl w:val="0"/>
          <w:numId w:val="0"/>
        </w:numPr>
        <w:ind w:left="1494" w:hanging="360"/>
        <w:rPr>
          <w:szCs w:val="17"/>
          <w:lang w:val="en-GB"/>
        </w:rPr>
      </w:pPr>
    </w:p>
    <w:p w14:paraId="65CC5737" w14:textId="77777777" w:rsidR="00302085" w:rsidRPr="00C90332" w:rsidRDefault="00302085" w:rsidP="00B540C1">
      <w:pPr>
        <w:pStyle w:val="CEABullet-Level3"/>
        <w:numPr>
          <w:ilvl w:val="0"/>
          <w:numId w:val="0"/>
        </w:numPr>
        <w:ind w:left="1494" w:hanging="360"/>
        <w:rPr>
          <w:szCs w:val="17"/>
          <w:u w:val="single"/>
          <w:lang w:val="en-GB"/>
        </w:rPr>
      </w:pPr>
      <w:r>
        <w:rPr>
          <w:szCs w:val="17"/>
          <w:u w:val="single"/>
          <w:lang w:val="en-GB"/>
        </w:rPr>
        <w:t>October</w:t>
      </w:r>
      <w:r w:rsidRPr="00C90332">
        <w:rPr>
          <w:szCs w:val="17"/>
          <w:u w:val="single"/>
          <w:lang w:val="en-GB"/>
        </w:rPr>
        <w:t xml:space="preserve"> 2014 Changes</w:t>
      </w:r>
    </w:p>
    <w:p w14:paraId="6B3AC506" w14:textId="728EB107" w:rsidR="00302085" w:rsidRPr="00C90332" w:rsidRDefault="00302085" w:rsidP="00B540C1">
      <w:pPr>
        <w:pStyle w:val="CEABullet-Level3"/>
        <w:rPr>
          <w:szCs w:val="17"/>
          <w:lang w:val="en-GB"/>
        </w:rPr>
      </w:pPr>
      <w:r w:rsidRPr="00C90332">
        <w:rPr>
          <w:szCs w:val="17"/>
          <w:lang w:val="en-GB"/>
        </w:rPr>
        <w:t>No change. The Insurance Europe position on this issue remains the same.</w:t>
      </w:r>
    </w:p>
    <w:p w14:paraId="651868B5" w14:textId="77777777" w:rsidR="00E2691A" w:rsidRPr="00C90332" w:rsidRDefault="00E2691A" w:rsidP="00B540C1">
      <w:pPr>
        <w:pStyle w:val="CEABullet-Level3"/>
        <w:numPr>
          <w:ilvl w:val="0"/>
          <w:numId w:val="0"/>
        </w:numPr>
        <w:rPr>
          <w:szCs w:val="17"/>
          <w:lang w:val="en-GB"/>
        </w:rPr>
      </w:pPr>
    </w:p>
    <w:p w14:paraId="4356CBC2" w14:textId="77777777" w:rsidR="00487E89" w:rsidRPr="00C90332" w:rsidRDefault="00487E89" w:rsidP="00B540C1">
      <w:pPr>
        <w:pStyle w:val="CEABullet-Level3"/>
        <w:numPr>
          <w:ilvl w:val="0"/>
          <w:numId w:val="0"/>
        </w:numPr>
        <w:ind w:left="1494" w:hanging="360"/>
        <w:rPr>
          <w:szCs w:val="17"/>
          <w:lang w:val="en-GB"/>
        </w:rPr>
      </w:pPr>
    </w:p>
    <w:p w14:paraId="73D39775" w14:textId="77777777" w:rsidR="00487E89" w:rsidRPr="00C90332" w:rsidRDefault="00487E89" w:rsidP="00B540C1">
      <w:pPr>
        <w:pStyle w:val="CEABullet-Level1"/>
        <w:rPr>
          <w:b/>
          <w:szCs w:val="17"/>
        </w:rPr>
      </w:pPr>
      <w:r w:rsidRPr="00C90332">
        <w:rPr>
          <w:b/>
          <w:szCs w:val="17"/>
        </w:rPr>
        <w:t>Own funds</w:t>
      </w:r>
    </w:p>
    <w:p w14:paraId="1766565F" w14:textId="77777777" w:rsidR="006C2828" w:rsidRPr="00C90332" w:rsidRDefault="006C2828" w:rsidP="00B540C1">
      <w:pPr>
        <w:pStyle w:val="CEABullet-Level1"/>
        <w:numPr>
          <w:ilvl w:val="0"/>
          <w:numId w:val="0"/>
        </w:numPr>
        <w:ind w:left="360" w:hanging="360"/>
        <w:rPr>
          <w:szCs w:val="17"/>
        </w:rPr>
      </w:pPr>
    </w:p>
    <w:p w14:paraId="1DA018FE" w14:textId="77777777" w:rsidR="006C2828" w:rsidRPr="00C90332" w:rsidRDefault="006C2828" w:rsidP="00B540C1">
      <w:pPr>
        <w:pStyle w:val="CEABullet-Level3"/>
        <w:numPr>
          <w:ilvl w:val="0"/>
          <w:numId w:val="0"/>
        </w:numPr>
        <w:ind w:left="1494" w:hanging="360"/>
        <w:rPr>
          <w:szCs w:val="17"/>
          <w:u w:val="single"/>
          <w:lang w:val="en-GB"/>
        </w:rPr>
      </w:pPr>
      <w:r w:rsidRPr="00C90332">
        <w:rPr>
          <w:szCs w:val="17"/>
          <w:u w:val="single"/>
          <w:lang w:val="en-GB"/>
        </w:rPr>
        <w:t>July 2014 Changes</w:t>
      </w:r>
    </w:p>
    <w:p w14:paraId="21EB8199" w14:textId="0C8BADF9" w:rsidR="00A477B8" w:rsidRDefault="00A477B8" w:rsidP="00B540C1">
      <w:pPr>
        <w:pStyle w:val="CEABullet-Level3"/>
        <w:rPr>
          <w:szCs w:val="17"/>
          <w:lang w:val="en-GB"/>
        </w:rPr>
      </w:pPr>
      <w:r w:rsidRPr="00C90332">
        <w:rPr>
          <w:szCs w:val="17"/>
          <w:lang w:val="en-GB"/>
        </w:rPr>
        <w:t>Art</w:t>
      </w:r>
      <w:r w:rsidR="00CB5DF6">
        <w:rPr>
          <w:szCs w:val="17"/>
          <w:lang w:val="en-GB"/>
        </w:rPr>
        <w:t>icle</w:t>
      </w:r>
      <w:r w:rsidRPr="00C90332">
        <w:rPr>
          <w:szCs w:val="17"/>
          <w:lang w:val="en-GB"/>
        </w:rPr>
        <w:t xml:space="preserve"> 98(2) and (4) of </w:t>
      </w:r>
      <w:r w:rsidR="00CB5DF6">
        <w:rPr>
          <w:szCs w:val="17"/>
          <w:lang w:val="en-GB"/>
        </w:rPr>
        <w:t>the Directive</w:t>
      </w:r>
      <w:r w:rsidRPr="00C90332">
        <w:rPr>
          <w:szCs w:val="17"/>
          <w:lang w:val="en-GB"/>
        </w:rPr>
        <w:t xml:space="preserve"> spelled out that the MCR could be covered only by Tier 1 and Tier 2 Basic Own Funds meanwhile the </w:t>
      </w:r>
      <w:r w:rsidR="00CB5DF6">
        <w:rPr>
          <w:szCs w:val="17"/>
          <w:lang w:val="en-GB"/>
        </w:rPr>
        <w:t xml:space="preserve">July </w:t>
      </w:r>
      <w:r w:rsidRPr="00C90332">
        <w:rPr>
          <w:szCs w:val="17"/>
          <w:lang w:val="en-GB"/>
        </w:rPr>
        <w:t xml:space="preserve">version of </w:t>
      </w:r>
      <w:r w:rsidR="00CB5DF6">
        <w:rPr>
          <w:szCs w:val="17"/>
          <w:lang w:val="en-GB"/>
        </w:rPr>
        <w:t xml:space="preserve">the </w:t>
      </w:r>
      <w:r w:rsidRPr="00C90332">
        <w:rPr>
          <w:szCs w:val="17"/>
          <w:lang w:val="en-GB"/>
        </w:rPr>
        <w:t>DAs allow</w:t>
      </w:r>
      <w:r w:rsidR="003C23B2" w:rsidRPr="00C90332">
        <w:rPr>
          <w:szCs w:val="17"/>
          <w:lang w:val="en-GB"/>
        </w:rPr>
        <w:t>s</w:t>
      </w:r>
      <w:r w:rsidRPr="00C90332">
        <w:rPr>
          <w:szCs w:val="17"/>
          <w:lang w:val="en-GB"/>
        </w:rPr>
        <w:t xml:space="preserve"> the MCR to be cover</w:t>
      </w:r>
      <w:r w:rsidR="00C60C27" w:rsidRPr="00C90332">
        <w:rPr>
          <w:szCs w:val="17"/>
          <w:lang w:val="en-GB"/>
        </w:rPr>
        <w:t>ed</w:t>
      </w:r>
      <w:r w:rsidRPr="00C90332">
        <w:rPr>
          <w:szCs w:val="17"/>
          <w:lang w:val="en-GB"/>
        </w:rPr>
        <w:t xml:space="preserve"> by Tier 3. Although positive this statement contradicts</w:t>
      </w:r>
      <w:r w:rsidR="0077190F" w:rsidRPr="00C90332">
        <w:rPr>
          <w:szCs w:val="17"/>
          <w:lang w:val="en-GB"/>
        </w:rPr>
        <w:t xml:space="preserve"> the</w:t>
      </w:r>
      <w:r w:rsidRPr="00C90332">
        <w:rPr>
          <w:szCs w:val="17"/>
          <w:lang w:val="en-GB"/>
        </w:rPr>
        <w:t xml:space="preserve"> </w:t>
      </w:r>
      <w:r w:rsidR="00CB5DF6">
        <w:rPr>
          <w:szCs w:val="17"/>
          <w:lang w:val="en-GB"/>
        </w:rPr>
        <w:t>L</w:t>
      </w:r>
      <w:r w:rsidRPr="00C90332">
        <w:rPr>
          <w:szCs w:val="17"/>
          <w:lang w:val="en-GB"/>
        </w:rPr>
        <w:t>evel 1 text.</w:t>
      </w:r>
    </w:p>
    <w:p w14:paraId="05F3B7A4" w14:textId="550EE338" w:rsidR="009A7FC5" w:rsidRPr="007B0003" w:rsidRDefault="009A7FC5" w:rsidP="00B540C1">
      <w:pPr>
        <w:pStyle w:val="CEABullet-Level3"/>
        <w:rPr>
          <w:lang w:val="en-GB"/>
        </w:rPr>
      </w:pPr>
      <w:r w:rsidRPr="007B0003">
        <w:rPr>
          <w:rFonts w:cs="Times New Roman"/>
          <w:bCs/>
          <w:lang w:val="en-GB"/>
        </w:rPr>
        <w:t>Article 73(4)</w:t>
      </w:r>
      <w:r w:rsidRPr="007B0003">
        <w:rPr>
          <w:rFonts w:cs="Times New Roman"/>
          <w:b/>
          <w:bCs/>
          <w:lang w:val="en-GB"/>
        </w:rPr>
        <w:t xml:space="preserve"> </w:t>
      </w:r>
      <w:r w:rsidRPr="007B0003">
        <w:rPr>
          <w:rFonts w:cs="Times New Roman"/>
          <w:bCs/>
          <w:lang w:val="en-GB"/>
        </w:rPr>
        <w:t>is new</w:t>
      </w:r>
      <w:r w:rsidRPr="007B0003">
        <w:rPr>
          <w:rFonts w:cs="Times New Roman"/>
          <w:b/>
          <w:bCs/>
          <w:lang w:val="en-GB"/>
        </w:rPr>
        <w:t xml:space="preserve"> </w:t>
      </w:r>
      <w:r w:rsidRPr="007B0003">
        <w:rPr>
          <w:lang w:val="en-GB"/>
        </w:rPr>
        <w:t>and creates additional requirements for the incentives to redeem for Tier 2 items (</w:t>
      </w:r>
      <w:r w:rsidRPr="007B0003">
        <w:rPr>
          <w:highlight w:val="red"/>
          <w:lang w:val="en-GB"/>
        </w:rPr>
        <w:t>negative</w:t>
      </w:r>
      <w:r w:rsidRPr="007B0003">
        <w:rPr>
          <w:lang w:val="en-GB"/>
        </w:rPr>
        <w:t xml:space="preserve">) </w:t>
      </w:r>
    </w:p>
    <w:p w14:paraId="71D8B04B" w14:textId="77777777" w:rsidR="009A7FC5" w:rsidRPr="009A7FC5" w:rsidRDefault="009A7FC5" w:rsidP="00B540C1">
      <w:pPr>
        <w:pStyle w:val="CEABullet-Level3"/>
        <w:numPr>
          <w:ilvl w:val="0"/>
          <w:numId w:val="0"/>
        </w:numPr>
        <w:ind w:left="1854"/>
        <w:rPr>
          <w:lang w:val="en-GB"/>
        </w:rPr>
      </w:pPr>
      <w:r w:rsidRPr="009A7FC5">
        <w:rPr>
          <w:lang w:val="en-GB"/>
        </w:rPr>
        <w:t xml:space="preserve">Step-up should be lower than the max of </w:t>
      </w:r>
    </w:p>
    <w:p w14:paraId="20F02369" w14:textId="72BB75B1" w:rsidR="009A7FC5" w:rsidRPr="009A7FC5" w:rsidRDefault="009A7FC5" w:rsidP="00B540C1">
      <w:pPr>
        <w:pStyle w:val="CEABullet-Level3"/>
        <w:numPr>
          <w:ilvl w:val="0"/>
          <w:numId w:val="43"/>
        </w:numPr>
        <w:rPr>
          <w:lang w:val="en-GB"/>
        </w:rPr>
      </w:pPr>
      <w:r w:rsidRPr="009A7FC5">
        <w:rPr>
          <w:lang w:val="en-GB"/>
        </w:rPr>
        <w:t xml:space="preserve">100 basis points, less the swap spread between the initial index basis and the stepped-up index basis; </w:t>
      </w:r>
    </w:p>
    <w:p w14:paraId="378B37DB" w14:textId="14A32677" w:rsidR="009A7FC5" w:rsidRPr="009A7FC5" w:rsidRDefault="009A7FC5" w:rsidP="00B540C1">
      <w:pPr>
        <w:pStyle w:val="CEABullet-Level3"/>
        <w:numPr>
          <w:ilvl w:val="0"/>
          <w:numId w:val="43"/>
        </w:numPr>
        <w:rPr>
          <w:lang w:val="en-GB"/>
        </w:rPr>
      </w:pPr>
      <w:r w:rsidRPr="009A7FC5">
        <w:rPr>
          <w:lang w:val="en-GB"/>
        </w:rPr>
        <w:t xml:space="preserve">50% of the initial credit spread, less the swap spread between the initial index basis and the stepped-up index basis. </w:t>
      </w:r>
    </w:p>
    <w:p w14:paraId="2C7D6591" w14:textId="242BBA9C" w:rsidR="009A7FC5" w:rsidRPr="007B0003" w:rsidRDefault="009A7FC5" w:rsidP="00B540C1">
      <w:pPr>
        <w:pStyle w:val="CEABullet-Level3"/>
        <w:numPr>
          <w:ilvl w:val="0"/>
          <w:numId w:val="0"/>
        </w:numPr>
        <w:ind w:left="1494"/>
        <w:rPr>
          <w:lang w:val="en-GB"/>
        </w:rPr>
      </w:pPr>
      <w:r w:rsidRPr="007B0003">
        <w:rPr>
          <w:lang w:val="en-GB"/>
        </w:rPr>
        <w:t xml:space="preserve">It is new to subtract the swap spread </w:t>
      </w:r>
      <w:r w:rsidR="007B0003" w:rsidRPr="007B0003">
        <w:rPr>
          <w:lang w:val="en-GB"/>
        </w:rPr>
        <w:t>and</w:t>
      </w:r>
      <w:r w:rsidR="007B0003">
        <w:rPr>
          <w:lang w:val="en-GB"/>
        </w:rPr>
        <w:t xml:space="preserve"> it</w:t>
      </w:r>
      <w:r w:rsidR="007B0003" w:rsidRPr="007B0003">
        <w:rPr>
          <w:lang w:val="en-GB"/>
        </w:rPr>
        <w:t xml:space="preserve"> has</w:t>
      </w:r>
      <w:r w:rsidR="007B0003">
        <w:rPr>
          <w:lang w:val="en-GB"/>
        </w:rPr>
        <w:t xml:space="preserve"> n</w:t>
      </w:r>
      <w:r w:rsidRPr="007B0003">
        <w:rPr>
          <w:lang w:val="en-GB"/>
        </w:rPr>
        <w:t>ever been tested in previous I</w:t>
      </w:r>
      <w:r w:rsidR="007B0003">
        <w:rPr>
          <w:lang w:val="en-GB"/>
        </w:rPr>
        <w:t xml:space="preserve">mpact </w:t>
      </w:r>
      <w:r w:rsidRPr="007B0003">
        <w:rPr>
          <w:lang w:val="en-GB"/>
        </w:rPr>
        <w:t>A</w:t>
      </w:r>
      <w:r w:rsidR="007B0003">
        <w:rPr>
          <w:lang w:val="en-GB"/>
        </w:rPr>
        <w:t>ssessments (It f</w:t>
      </w:r>
      <w:r w:rsidR="007B0003" w:rsidRPr="009A7FC5">
        <w:rPr>
          <w:lang w:val="en-GB"/>
        </w:rPr>
        <w:t>irst appeared in the Technical Specifications for the Prep</w:t>
      </w:r>
      <w:r w:rsidR="007B0003">
        <w:rPr>
          <w:lang w:val="en-GB"/>
        </w:rPr>
        <w:t>aratory Phase)</w:t>
      </w:r>
      <w:r w:rsidR="007B0003" w:rsidRPr="007B0003">
        <w:rPr>
          <w:lang w:val="en-GB"/>
        </w:rPr>
        <w:t>.</w:t>
      </w:r>
      <w:r w:rsidRPr="007B0003">
        <w:rPr>
          <w:lang w:val="en-GB"/>
        </w:rPr>
        <w:t xml:space="preserve"> </w:t>
      </w:r>
    </w:p>
    <w:p w14:paraId="7FC9BA18" w14:textId="3D722AED" w:rsidR="0033325D" w:rsidRDefault="0033325D" w:rsidP="00B540C1">
      <w:pPr>
        <w:pStyle w:val="CEABullet-Level3"/>
        <w:numPr>
          <w:ilvl w:val="0"/>
          <w:numId w:val="0"/>
        </w:numPr>
        <w:ind w:left="1494" w:hanging="360"/>
        <w:rPr>
          <w:szCs w:val="17"/>
          <w:lang w:val="en-GB"/>
        </w:rPr>
      </w:pPr>
    </w:p>
    <w:p w14:paraId="0B228ECB" w14:textId="77777777" w:rsidR="00CA483F" w:rsidRPr="00C90332" w:rsidRDefault="00CA483F" w:rsidP="00B540C1">
      <w:pPr>
        <w:pStyle w:val="CEABullet-Level3"/>
        <w:numPr>
          <w:ilvl w:val="0"/>
          <w:numId w:val="0"/>
        </w:numPr>
        <w:ind w:left="1494" w:hanging="360"/>
        <w:rPr>
          <w:szCs w:val="17"/>
          <w:u w:val="single"/>
          <w:lang w:val="en-GB"/>
        </w:rPr>
      </w:pPr>
      <w:r>
        <w:rPr>
          <w:szCs w:val="17"/>
          <w:u w:val="single"/>
          <w:lang w:val="en-GB"/>
        </w:rPr>
        <w:t>October</w:t>
      </w:r>
      <w:r w:rsidRPr="00C90332">
        <w:rPr>
          <w:szCs w:val="17"/>
          <w:u w:val="single"/>
          <w:lang w:val="en-GB"/>
        </w:rPr>
        <w:t xml:space="preserve"> 2014 Changes</w:t>
      </w:r>
    </w:p>
    <w:p w14:paraId="47CCB97E" w14:textId="4F57C3B3" w:rsidR="00CA483F" w:rsidRPr="00C90332" w:rsidRDefault="00CA483F" w:rsidP="00B540C1">
      <w:pPr>
        <w:pStyle w:val="CEABullet-Level3"/>
        <w:rPr>
          <w:szCs w:val="17"/>
          <w:lang w:val="en-GB"/>
        </w:rPr>
      </w:pPr>
      <w:r w:rsidRPr="00C90332">
        <w:rPr>
          <w:szCs w:val="17"/>
          <w:lang w:val="en-GB"/>
        </w:rPr>
        <w:t xml:space="preserve">No change. The Insurance Europe position on this </w:t>
      </w:r>
      <w:r w:rsidR="00031845">
        <w:rPr>
          <w:szCs w:val="17"/>
          <w:lang w:val="en-GB"/>
        </w:rPr>
        <w:t xml:space="preserve">range of </w:t>
      </w:r>
      <w:r w:rsidRPr="00C90332">
        <w:rPr>
          <w:szCs w:val="17"/>
          <w:lang w:val="en-GB"/>
        </w:rPr>
        <w:t>issue</w:t>
      </w:r>
      <w:r w:rsidR="00031845">
        <w:rPr>
          <w:szCs w:val="17"/>
          <w:lang w:val="en-GB"/>
        </w:rPr>
        <w:t>s</w:t>
      </w:r>
      <w:r w:rsidRPr="00C90332">
        <w:rPr>
          <w:szCs w:val="17"/>
          <w:lang w:val="en-GB"/>
        </w:rPr>
        <w:t xml:space="preserve"> remains the same.</w:t>
      </w:r>
    </w:p>
    <w:p w14:paraId="0141E7C2" w14:textId="77777777" w:rsidR="00CA483F" w:rsidRDefault="00CA483F" w:rsidP="00B540C1">
      <w:pPr>
        <w:pStyle w:val="CEABullet-Level3"/>
        <w:numPr>
          <w:ilvl w:val="0"/>
          <w:numId w:val="0"/>
        </w:numPr>
        <w:rPr>
          <w:szCs w:val="17"/>
          <w:lang w:val="en-GB"/>
        </w:rPr>
      </w:pPr>
    </w:p>
    <w:p w14:paraId="0C68BAC2" w14:textId="77777777" w:rsidR="00E2691A" w:rsidRPr="00C90332" w:rsidRDefault="00E2691A" w:rsidP="00B540C1">
      <w:pPr>
        <w:pStyle w:val="CEABullet-Level3"/>
        <w:numPr>
          <w:ilvl w:val="0"/>
          <w:numId w:val="0"/>
        </w:numPr>
        <w:rPr>
          <w:szCs w:val="17"/>
          <w:lang w:val="en-GB"/>
        </w:rPr>
      </w:pPr>
    </w:p>
    <w:p w14:paraId="6D60353A" w14:textId="64C80351" w:rsidR="0033325D" w:rsidRPr="00126C8C" w:rsidRDefault="00A145A2" w:rsidP="00B540C1">
      <w:pPr>
        <w:pStyle w:val="ListParagraph"/>
        <w:numPr>
          <w:ilvl w:val="0"/>
          <w:numId w:val="18"/>
        </w:numPr>
        <w:spacing w:line="240" w:lineRule="auto"/>
        <w:rPr>
          <w:rFonts w:cs="Arial"/>
          <w:b/>
          <w:szCs w:val="17"/>
        </w:rPr>
      </w:pPr>
      <w:r>
        <w:rPr>
          <w:rFonts w:cs="Arial"/>
          <w:b/>
          <w:szCs w:val="17"/>
        </w:rPr>
        <w:t xml:space="preserve">July </w:t>
      </w:r>
      <w:r w:rsidR="008B421B">
        <w:rPr>
          <w:rFonts w:cs="Arial"/>
          <w:b/>
          <w:szCs w:val="17"/>
        </w:rPr>
        <w:t xml:space="preserve">and October </w:t>
      </w:r>
      <w:r>
        <w:rPr>
          <w:rFonts w:cs="Arial"/>
          <w:b/>
          <w:szCs w:val="17"/>
        </w:rPr>
        <w:t>Version</w:t>
      </w:r>
      <w:r w:rsidR="008B421B">
        <w:rPr>
          <w:rFonts w:cs="Arial"/>
          <w:b/>
          <w:szCs w:val="17"/>
        </w:rPr>
        <w:t>s</w:t>
      </w:r>
      <w:r>
        <w:rPr>
          <w:rFonts w:cs="Arial"/>
          <w:b/>
          <w:szCs w:val="17"/>
        </w:rPr>
        <w:t>: ot</w:t>
      </w:r>
      <w:r w:rsidR="00D7008B">
        <w:rPr>
          <w:rFonts w:cs="Arial"/>
          <w:b/>
          <w:szCs w:val="17"/>
        </w:rPr>
        <w:t>her</w:t>
      </w:r>
      <w:r>
        <w:rPr>
          <w:rFonts w:cs="Arial"/>
          <w:b/>
          <w:szCs w:val="17"/>
        </w:rPr>
        <w:t xml:space="preserve"> new issues or positive changes</w:t>
      </w:r>
    </w:p>
    <w:p w14:paraId="1EE6E889" w14:textId="77777777" w:rsidR="0033325D" w:rsidRPr="00FF7AB3" w:rsidRDefault="0033325D" w:rsidP="00B540C1">
      <w:pPr>
        <w:pStyle w:val="NormalWeb"/>
        <w:rPr>
          <w:rFonts w:cs="Calibri"/>
          <w:szCs w:val="17"/>
        </w:rPr>
      </w:pPr>
    </w:p>
    <w:p w14:paraId="1B7389FE" w14:textId="0D59D700" w:rsidR="0033325D" w:rsidRPr="00FF7AB3" w:rsidRDefault="0033325D" w:rsidP="00B540C1">
      <w:pPr>
        <w:pStyle w:val="NormalWeb"/>
        <w:rPr>
          <w:rFonts w:cs="Calibri"/>
          <w:szCs w:val="17"/>
        </w:rPr>
      </w:pPr>
      <w:r w:rsidRPr="00FF7AB3">
        <w:rPr>
          <w:rFonts w:cs="Calibri"/>
          <w:szCs w:val="17"/>
        </w:rPr>
        <w:t xml:space="preserve">The below </w:t>
      </w:r>
      <w:r w:rsidR="00F471DD">
        <w:rPr>
          <w:rFonts w:cs="Calibri"/>
          <w:szCs w:val="17"/>
        </w:rPr>
        <w:t xml:space="preserve">additional </w:t>
      </w:r>
      <w:r w:rsidRPr="00FF7AB3">
        <w:rPr>
          <w:rFonts w:cs="Calibri"/>
          <w:szCs w:val="17"/>
        </w:rPr>
        <w:t xml:space="preserve">amendments </w:t>
      </w:r>
      <w:r w:rsidR="00D7008B">
        <w:rPr>
          <w:rFonts w:cs="Calibri"/>
          <w:szCs w:val="17"/>
        </w:rPr>
        <w:t xml:space="preserve">are </w:t>
      </w:r>
      <w:r w:rsidR="00F471DD">
        <w:rPr>
          <w:rFonts w:cs="Calibri"/>
          <w:szCs w:val="17"/>
        </w:rPr>
        <w:t>taken from those</w:t>
      </w:r>
      <w:r w:rsidR="00D7008B" w:rsidRPr="00FF7AB3">
        <w:rPr>
          <w:rFonts w:cs="Calibri"/>
          <w:szCs w:val="17"/>
        </w:rPr>
        <w:t xml:space="preserve"> </w:t>
      </w:r>
      <w:r w:rsidRPr="00FF7AB3">
        <w:rPr>
          <w:rFonts w:cs="Calibri"/>
          <w:szCs w:val="17"/>
        </w:rPr>
        <w:t xml:space="preserve">highlighted by the </w:t>
      </w:r>
      <w:r>
        <w:rPr>
          <w:rFonts w:cs="Calibri"/>
          <w:szCs w:val="17"/>
        </w:rPr>
        <w:t xml:space="preserve">European </w:t>
      </w:r>
      <w:r w:rsidRPr="00FF7AB3">
        <w:rPr>
          <w:rFonts w:cs="Calibri"/>
          <w:szCs w:val="17"/>
        </w:rPr>
        <w:t>Commission</w:t>
      </w:r>
      <w:r>
        <w:rPr>
          <w:rFonts w:cs="Calibri"/>
          <w:szCs w:val="17"/>
        </w:rPr>
        <w:t xml:space="preserve"> (Klaus Wiedner)</w:t>
      </w:r>
      <w:r w:rsidRPr="00FF7AB3">
        <w:rPr>
          <w:rFonts w:cs="Calibri"/>
          <w:szCs w:val="17"/>
        </w:rPr>
        <w:t xml:space="preserve"> to the Permanent Representatives, following the </w:t>
      </w:r>
      <w:r>
        <w:rPr>
          <w:rFonts w:cs="Calibri"/>
          <w:szCs w:val="17"/>
        </w:rPr>
        <w:t>circulation</w:t>
      </w:r>
      <w:r w:rsidRPr="00FF7AB3">
        <w:rPr>
          <w:rFonts w:cs="Calibri"/>
          <w:szCs w:val="17"/>
        </w:rPr>
        <w:t xml:space="preserve"> of the draft Delegated Acts in July 2014</w:t>
      </w:r>
      <w:r w:rsidR="00D7008B">
        <w:t>, as well as other issues or positive changes which members or the Secretariat have identified</w:t>
      </w:r>
      <w:r w:rsidRPr="00FF7AB3">
        <w:rPr>
          <w:rFonts w:cs="Calibri"/>
          <w:szCs w:val="17"/>
        </w:rPr>
        <w:t>.</w:t>
      </w:r>
    </w:p>
    <w:p w14:paraId="43039B8D" w14:textId="48397100" w:rsidR="00092C00" w:rsidRPr="00FF7AB3" w:rsidRDefault="00092C00" w:rsidP="00B540C1">
      <w:pPr>
        <w:pStyle w:val="NormalWeb"/>
        <w:rPr>
          <w:rFonts w:cs="Calibri"/>
          <w:szCs w:val="17"/>
        </w:rPr>
      </w:pPr>
      <w:r>
        <w:rPr>
          <w:rFonts w:cs="Calibri"/>
          <w:szCs w:val="17"/>
        </w:rPr>
        <w:t>Where applicable, we have also updated the issues following the October version of the DAs. Where no change has occurred, we do not include additional comments.</w:t>
      </w:r>
    </w:p>
    <w:p w14:paraId="3A818DEB" w14:textId="77777777" w:rsidR="0033325D" w:rsidRPr="00126C8C" w:rsidRDefault="0033325D" w:rsidP="00B540C1">
      <w:pPr>
        <w:rPr>
          <w:szCs w:val="17"/>
        </w:rPr>
      </w:pPr>
    </w:p>
    <w:p w14:paraId="5DC4974C" w14:textId="10D435BF" w:rsidR="0033325D" w:rsidRPr="006C32F5" w:rsidRDefault="0033325D" w:rsidP="00B540C1">
      <w:pPr>
        <w:pStyle w:val="CEABullet-Level1"/>
        <w:rPr>
          <w:lang w:val="en-GB"/>
        </w:rPr>
      </w:pPr>
      <w:r w:rsidRPr="004129E0">
        <w:rPr>
          <w:lang w:val="en-GB"/>
        </w:rPr>
        <w:t>A</w:t>
      </w:r>
      <w:r w:rsidR="00F471DD" w:rsidRPr="004129E0">
        <w:rPr>
          <w:lang w:val="en-GB"/>
        </w:rPr>
        <w:t>dditional</w:t>
      </w:r>
      <w:r w:rsidR="00F471DD" w:rsidRPr="00F471DD">
        <w:rPr>
          <w:lang w:val="en-GB"/>
        </w:rPr>
        <w:t xml:space="preserve"> a</w:t>
      </w:r>
      <w:r w:rsidRPr="00F471DD">
        <w:rPr>
          <w:lang w:val="en-GB"/>
        </w:rPr>
        <w:t>mendments following comments at the meeting of the Expert Group on Banking, Payments and Insurance:</w:t>
      </w:r>
    </w:p>
    <w:p w14:paraId="59ED2DA7" w14:textId="77777777" w:rsidR="0033325D" w:rsidRPr="0033325D" w:rsidRDefault="0033325D" w:rsidP="00B540C1">
      <w:pPr>
        <w:pStyle w:val="CEABullet-Level2"/>
        <w:numPr>
          <w:ilvl w:val="0"/>
          <w:numId w:val="0"/>
        </w:numPr>
        <w:rPr>
          <w:szCs w:val="17"/>
          <w:lang w:val="en-GB"/>
        </w:rPr>
      </w:pPr>
    </w:p>
    <w:p w14:paraId="7AFD40D9" w14:textId="77777777" w:rsidR="0033325D" w:rsidRDefault="0033325D" w:rsidP="00B540C1">
      <w:pPr>
        <w:pStyle w:val="CEABullet-Level2"/>
        <w:rPr>
          <w:szCs w:val="17"/>
          <w:lang w:val="en-GB"/>
        </w:rPr>
      </w:pPr>
      <w:r w:rsidRPr="0033325D">
        <w:rPr>
          <w:b/>
          <w:szCs w:val="17"/>
          <w:lang w:val="en-GB"/>
        </w:rPr>
        <w:t>Articles 9(4), 271(2)</w:t>
      </w:r>
      <w:r w:rsidRPr="0033325D">
        <w:rPr>
          <w:szCs w:val="17"/>
          <w:lang w:val="en-GB"/>
        </w:rPr>
        <w:t xml:space="preserve">: proportionate application of requirements relating to valuation and the internal audit function. </w:t>
      </w:r>
      <w:r w:rsidRPr="00E06E0F">
        <w:rPr>
          <w:szCs w:val="17"/>
          <w:lang w:val="en-GB"/>
        </w:rPr>
        <w:t>The use of accounting methods other than IFRS would only be possible where those methods are based on standards used by undertakings to draw their own financial statements. The persons carrying out the internal audit function may only carry out other key functions if this does not give rise to conflicts of interests. In both cases, the undertaking would have to demonstrate that the use of IFRS or the strict separation of the internal audit function would impose costs that would be disproportionate to the undertaking's total administrative expenses, as part of the regular supervisory report (see articles 308(6)(d) and 310(4)).</w:t>
      </w:r>
    </w:p>
    <w:p w14:paraId="60ADB539" w14:textId="77777777" w:rsidR="0033325D" w:rsidRPr="00E06E0F" w:rsidRDefault="0033325D" w:rsidP="00B540C1">
      <w:pPr>
        <w:pStyle w:val="CEABullet-Level2"/>
        <w:numPr>
          <w:ilvl w:val="0"/>
          <w:numId w:val="0"/>
        </w:numPr>
        <w:ind w:left="720"/>
        <w:rPr>
          <w:szCs w:val="17"/>
          <w:lang w:val="en-GB"/>
        </w:rPr>
      </w:pPr>
    </w:p>
    <w:p w14:paraId="030E373C" w14:textId="1AFF0CF4" w:rsidR="0033325D" w:rsidRPr="0033325D" w:rsidRDefault="0033325D" w:rsidP="00B540C1">
      <w:pPr>
        <w:pStyle w:val="CEABullet-Level2"/>
        <w:rPr>
          <w:szCs w:val="17"/>
          <w:lang w:val="en-GB"/>
        </w:rPr>
      </w:pPr>
      <w:r w:rsidRPr="0033325D">
        <w:rPr>
          <w:b/>
          <w:szCs w:val="17"/>
          <w:lang w:val="en-GB"/>
        </w:rPr>
        <w:t>Articles 180(2) and 187(3)</w:t>
      </w:r>
      <w:r w:rsidRPr="0033325D">
        <w:rPr>
          <w:szCs w:val="17"/>
          <w:lang w:val="en-GB"/>
        </w:rPr>
        <w:t>: explicit recognition of guarantees provided by the ECB, Member States central governments and central banks, multilateral development banks and international organisation (for the purpose of spread risk on bonds and loans, and concentration risk)</w:t>
      </w:r>
      <w:r w:rsidR="00E06E0F">
        <w:rPr>
          <w:szCs w:val="17"/>
          <w:lang w:val="en-GB"/>
        </w:rPr>
        <w:t xml:space="preserve"> (</w:t>
      </w:r>
      <w:r w:rsidR="00E06E0F" w:rsidRPr="00E06E0F">
        <w:rPr>
          <w:szCs w:val="17"/>
          <w:highlight w:val="green"/>
          <w:lang w:val="en-GB"/>
        </w:rPr>
        <w:t>positive</w:t>
      </w:r>
      <w:r w:rsidR="00E06E0F">
        <w:rPr>
          <w:szCs w:val="17"/>
          <w:lang w:val="en-GB"/>
        </w:rPr>
        <w:t>)</w:t>
      </w:r>
      <w:r w:rsidRPr="0033325D">
        <w:rPr>
          <w:szCs w:val="17"/>
          <w:lang w:val="en-GB"/>
        </w:rPr>
        <w:t>.</w:t>
      </w:r>
    </w:p>
    <w:p w14:paraId="53699F02" w14:textId="77777777" w:rsidR="0033325D" w:rsidRPr="0033325D" w:rsidRDefault="0033325D" w:rsidP="00B540C1">
      <w:pPr>
        <w:pStyle w:val="CEABullet-Level2"/>
        <w:numPr>
          <w:ilvl w:val="0"/>
          <w:numId w:val="0"/>
        </w:numPr>
        <w:ind w:left="720"/>
        <w:rPr>
          <w:szCs w:val="17"/>
          <w:lang w:val="en-GB"/>
        </w:rPr>
      </w:pPr>
    </w:p>
    <w:p w14:paraId="160601FF" w14:textId="499FF939" w:rsidR="0033325D" w:rsidRPr="0033325D" w:rsidRDefault="0033325D" w:rsidP="00B540C1">
      <w:pPr>
        <w:pStyle w:val="CEABullet-Level2"/>
        <w:rPr>
          <w:szCs w:val="17"/>
          <w:lang w:val="en-GB"/>
        </w:rPr>
      </w:pPr>
      <w:r w:rsidRPr="0033325D">
        <w:rPr>
          <w:b/>
          <w:szCs w:val="17"/>
          <w:lang w:val="en-GB"/>
        </w:rPr>
        <w:t>Article 253(2) and (3)</w:t>
      </w:r>
      <w:r w:rsidRPr="0033325D">
        <w:rPr>
          <w:szCs w:val="17"/>
          <w:lang w:val="en-GB"/>
        </w:rPr>
        <w:t xml:space="preserve">: </w:t>
      </w:r>
      <w:commentRangeStart w:id="2"/>
      <w:r w:rsidRPr="0033325D">
        <w:rPr>
          <w:szCs w:val="17"/>
          <w:lang w:val="en-GB"/>
        </w:rPr>
        <w:t>proportionate calculation of the absolute floor of the MCR for composite undertakings, e</w:t>
      </w:r>
      <w:r w:rsidR="006C32F5">
        <w:rPr>
          <w:szCs w:val="17"/>
          <w:lang w:val="en-GB"/>
        </w:rPr>
        <w:t>.</w:t>
      </w:r>
      <w:r w:rsidRPr="0033325D">
        <w:rPr>
          <w:szCs w:val="17"/>
          <w:lang w:val="en-GB"/>
        </w:rPr>
        <w:t>g. life (resp. non-life) undertakings carrying out only a minor part of their business in the non-life (resp. life) segment</w:t>
      </w:r>
      <w:r w:rsidR="00E06E0F">
        <w:rPr>
          <w:szCs w:val="17"/>
          <w:lang w:val="en-GB"/>
        </w:rPr>
        <w:t xml:space="preserve"> (</w:t>
      </w:r>
      <w:r w:rsidR="00E06E0F" w:rsidRPr="006E1494">
        <w:rPr>
          <w:szCs w:val="17"/>
          <w:lang w:val="en-GB"/>
        </w:rPr>
        <w:t>positive</w:t>
      </w:r>
      <w:r w:rsidR="00E06E0F">
        <w:rPr>
          <w:szCs w:val="17"/>
          <w:lang w:val="en-GB"/>
        </w:rPr>
        <w:t>)</w:t>
      </w:r>
      <w:r w:rsidRPr="0033325D">
        <w:rPr>
          <w:szCs w:val="17"/>
          <w:lang w:val="en-GB"/>
        </w:rPr>
        <w:t>.</w:t>
      </w:r>
      <w:commentRangeEnd w:id="2"/>
      <w:r w:rsidR="00CC1D61">
        <w:rPr>
          <w:rStyle w:val="CommentReference"/>
          <w:rFonts w:cs="Times New Roman"/>
          <w:color w:val="auto"/>
          <w:lang w:val="en-GB"/>
        </w:rPr>
        <w:commentReference w:id="2"/>
      </w:r>
    </w:p>
    <w:p w14:paraId="7F875E30" w14:textId="77777777" w:rsidR="0033325D" w:rsidRDefault="0033325D" w:rsidP="00B540C1">
      <w:pPr>
        <w:rPr>
          <w:szCs w:val="17"/>
        </w:rPr>
      </w:pPr>
    </w:p>
    <w:p w14:paraId="07354D61" w14:textId="1928D7C0" w:rsidR="0033325D" w:rsidRPr="00E06E0F" w:rsidRDefault="0033325D" w:rsidP="00B540C1">
      <w:pPr>
        <w:pStyle w:val="CEABullet-Level1"/>
        <w:rPr>
          <w:szCs w:val="17"/>
          <w:lang w:val="en-GB"/>
        </w:rPr>
      </w:pPr>
      <w:r w:rsidRPr="00E06E0F">
        <w:rPr>
          <w:szCs w:val="17"/>
          <w:lang w:val="en-GB"/>
        </w:rPr>
        <w:t xml:space="preserve">Amendments </w:t>
      </w:r>
      <w:r w:rsidR="00C15E1A">
        <w:rPr>
          <w:szCs w:val="17"/>
          <w:lang w:val="en-GB"/>
        </w:rPr>
        <w:t>targeting</w:t>
      </w:r>
      <w:r w:rsidRPr="00E06E0F">
        <w:rPr>
          <w:szCs w:val="17"/>
          <w:lang w:val="en-GB"/>
        </w:rPr>
        <w:t xml:space="preserve"> consistency with rules in the banking sector:</w:t>
      </w:r>
    </w:p>
    <w:p w14:paraId="22E631F8" w14:textId="77777777" w:rsidR="0033325D" w:rsidRPr="00FF7AB3" w:rsidRDefault="0033325D" w:rsidP="00B540C1">
      <w:pPr>
        <w:ind w:left="2160"/>
        <w:rPr>
          <w:szCs w:val="17"/>
        </w:rPr>
      </w:pPr>
    </w:p>
    <w:p w14:paraId="7417C59E" w14:textId="633AA1AD" w:rsidR="0033325D" w:rsidRDefault="0033325D" w:rsidP="00B540C1">
      <w:pPr>
        <w:pStyle w:val="CEABullet-Level2"/>
        <w:rPr>
          <w:szCs w:val="17"/>
          <w:lang w:val="en-GB"/>
        </w:rPr>
      </w:pPr>
      <w:r w:rsidRPr="0033325D">
        <w:rPr>
          <w:b/>
          <w:szCs w:val="17"/>
          <w:lang w:val="en-GB"/>
        </w:rPr>
        <w:t>Article 177(2)</w:t>
      </w:r>
      <w:r w:rsidR="00C15E1A">
        <w:rPr>
          <w:b/>
          <w:szCs w:val="17"/>
          <w:lang w:val="en-GB"/>
        </w:rPr>
        <w:t>(h)(i</w:t>
      </w:r>
      <w:r w:rsidRPr="0033325D">
        <w:rPr>
          <w:b/>
          <w:szCs w:val="17"/>
          <w:lang w:val="en-GB"/>
        </w:rPr>
        <w:t>)</w:t>
      </w:r>
      <w:r w:rsidRPr="0033325D">
        <w:rPr>
          <w:szCs w:val="17"/>
          <w:lang w:val="en-GB"/>
        </w:rPr>
        <w:t xml:space="preserve">: the criteria to identify type 1 </w:t>
      </w:r>
      <w:r w:rsidR="00C15E1A">
        <w:rPr>
          <w:szCs w:val="17"/>
          <w:lang w:val="en-GB"/>
        </w:rPr>
        <w:t xml:space="preserve">residential loans </w:t>
      </w:r>
      <w:r w:rsidRPr="0033325D">
        <w:rPr>
          <w:szCs w:val="17"/>
          <w:lang w:val="en-GB"/>
        </w:rPr>
        <w:t>securitisation</w:t>
      </w:r>
      <w:r w:rsidR="00C15E1A">
        <w:rPr>
          <w:szCs w:val="17"/>
          <w:lang w:val="en-GB"/>
        </w:rPr>
        <w:t>s</w:t>
      </w:r>
      <w:r w:rsidR="006C32F5">
        <w:rPr>
          <w:szCs w:val="17"/>
          <w:lang w:val="en-GB"/>
        </w:rPr>
        <w:t>”</w:t>
      </w:r>
      <w:r w:rsidR="00C15E1A">
        <w:rPr>
          <w:szCs w:val="17"/>
          <w:lang w:val="en-GB"/>
        </w:rPr>
        <w:t xml:space="preserve"> </w:t>
      </w:r>
      <w:r w:rsidRPr="0033325D">
        <w:rPr>
          <w:szCs w:val="17"/>
          <w:lang w:val="en-GB"/>
        </w:rPr>
        <w:t xml:space="preserve">are amended to mirror the criteria in the </w:t>
      </w:r>
      <w:r w:rsidR="00C15E1A">
        <w:rPr>
          <w:szCs w:val="17"/>
          <w:lang w:val="en-GB"/>
        </w:rPr>
        <w:t xml:space="preserve">banking Capital Requirements Regulation (CRR). It appears that in the CRR case the </w:t>
      </w:r>
      <w:r w:rsidR="003B4129">
        <w:rPr>
          <w:szCs w:val="17"/>
          <w:lang w:val="en-GB"/>
        </w:rPr>
        <w:t>80% loan-to-value threshold</w:t>
      </w:r>
      <w:r w:rsidR="00C15E1A">
        <w:rPr>
          <w:szCs w:val="17"/>
          <w:lang w:val="en-GB"/>
        </w:rPr>
        <w:t xml:space="preserve"> </w:t>
      </w:r>
      <w:r w:rsidR="003B4129">
        <w:rPr>
          <w:szCs w:val="17"/>
          <w:lang w:val="en-GB"/>
        </w:rPr>
        <w:t xml:space="preserve">is defined in the context of </w:t>
      </w:r>
      <w:r w:rsidRPr="0033325D">
        <w:rPr>
          <w:szCs w:val="17"/>
          <w:lang w:val="en-GB"/>
        </w:rPr>
        <w:t>banks' liquidity coverage ratio</w:t>
      </w:r>
      <w:r w:rsidR="003B4129">
        <w:rPr>
          <w:szCs w:val="17"/>
          <w:lang w:val="en-GB"/>
        </w:rPr>
        <w:t xml:space="preserve"> and is meant to address the liquidity characteristic of </w:t>
      </w:r>
      <w:r w:rsidR="00633EC6">
        <w:rPr>
          <w:szCs w:val="17"/>
          <w:lang w:val="en-GB"/>
        </w:rPr>
        <w:t>a residential loan securitisation</w:t>
      </w:r>
      <w:r w:rsidR="003B4129">
        <w:rPr>
          <w:szCs w:val="17"/>
          <w:lang w:val="en-GB"/>
        </w:rPr>
        <w:t>. The banking context is</w:t>
      </w:r>
      <w:r w:rsidRPr="0033325D">
        <w:rPr>
          <w:szCs w:val="17"/>
          <w:lang w:val="en-GB"/>
        </w:rPr>
        <w:t xml:space="preserve"> therefore not relevant </w:t>
      </w:r>
      <w:r w:rsidR="003B4129">
        <w:rPr>
          <w:szCs w:val="17"/>
          <w:lang w:val="en-GB"/>
        </w:rPr>
        <w:t xml:space="preserve">and not linked in scope with </w:t>
      </w:r>
      <w:r w:rsidRPr="0033325D">
        <w:rPr>
          <w:szCs w:val="17"/>
          <w:lang w:val="en-GB"/>
        </w:rPr>
        <w:t>the Solvency II delegated acts.</w:t>
      </w:r>
    </w:p>
    <w:p w14:paraId="6269C4A3" w14:textId="04E52284" w:rsidR="00E06E0F" w:rsidRPr="00E06E0F" w:rsidRDefault="00E06E0F" w:rsidP="00B540C1">
      <w:pPr>
        <w:pStyle w:val="CEABullet-Level3"/>
        <w:rPr>
          <w:lang w:val="en-GB"/>
        </w:rPr>
      </w:pPr>
      <w:r w:rsidRPr="00E06E0F">
        <w:rPr>
          <w:lang w:val="en-GB"/>
        </w:rPr>
        <w:t>Solvency II is based on economic valuation, not on an accounting basis like CRD IV/CRR</w:t>
      </w:r>
      <w:r w:rsidR="00800C7F">
        <w:rPr>
          <w:lang w:val="en-GB"/>
        </w:rPr>
        <w:t>.</w:t>
      </w:r>
      <w:r w:rsidRPr="00E06E0F">
        <w:rPr>
          <w:lang w:val="en-GB"/>
        </w:rPr>
        <w:t xml:space="preserve"> </w:t>
      </w:r>
    </w:p>
    <w:p w14:paraId="6E23C50E" w14:textId="069EC74A" w:rsidR="00C15E1A" w:rsidRDefault="00E06E0F" w:rsidP="00B540C1">
      <w:pPr>
        <w:pStyle w:val="CEABullet-Level3"/>
        <w:rPr>
          <w:lang w:val="en-GB"/>
        </w:rPr>
      </w:pPr>
      <w:r w:rsidRPr="00E06E0F">
        <w:rPr>
          <w:lang w:val="en-GB"/>
        </w:rPr>
        <w:t>If the loan-to-value requirement is not met, the SCR is greatly increased under Solvency II vs. CRD IV</w:t>
      </w:r>
      <w:r w:rsidR="00800C7F">
        <w:rPr>
          <w:lang w:val="en-GB"/>
        </w:rPr>
        <w:t>.</w:t>
      </w:r>
      <w:r w:rsidRPr="00E06E0F">
        <w:rPr>
          <w:lang w:val="en-GB"/>
        </w:rPr>
        <w:t xml:space="preserve"> </w:t>
      </w:r>
    </w:p>
    <w:p w14:paraId="4F052606" w14:textId="74B1AC33" w:rsidR="0033325D" w:rsidRPr="006C32F5" w:rsidRDefault="00E06E0F" w:rsidP="00B540C1">
      <w:pPr>
        <w:pStyle w:val="CEABullet-Level3"/>
        <w:rPr>
          <w:szCs w:val="17"/>
          <w:lang w:val="en-GB"/>
        </w:rPr>
      </w:pPr>
      <w:r w:rsidRPr="00177755">
        <w:rPr>
          <w:lang w:val="en-GB"/>
        </w:rPr>
        <w:t>80% restriction will result in securitisations of a high quali</w:t>
      </w:r>
      <w:r w:rsidR="00177755">
        <w:rPr>
          <w:lang w:val="en-GB"/>
        </w:rPr>
        <w:t>ty being categorised as Type 2</w:t>
      </w:r>
      <w:r w:rsidR="00800C7F">
        <w:rPr>
          <w:lang w:val="en-GB"/>
        </w:rPr>
        <w:t>.</w:t>
      </w:r>
      <w:r w:rsidRPr="00177755">
        <w:rPr>
          <w:lang w:val="en-GB"/>
        </w:rPr>
        <w:t xml:space="preserve"> </w:t>
      </w:r>
    </w:p>
    <w:p w14:paraId="5737046D" w14:textId="77777777" w:rsidR="006C32F5" w:rsidRPr="0033325D" w:rsidRDefault="006C32F5" w:rsidP="00B540C1">
      <w:pPr>
        <w:pStyle w:val="CEABullet-Level3"/>
        <w:numPr>
          <w:ilvl w:val="0"/>
          <w:numId w:val="0"/>
        </w:numPr>
        <w:ind w:left="1494"/>
        <w:rPr>
          <w:szCs w:val="17"/>
          <w:lang w:val="en-GB"/>
        </w:rPr>
      </w:pPr>
    </w:p>
    <w:p w14:paraId="1390961D" w14:textId="5F65A55D" w:rsidR="0033325D" w:rsidRDefault="0033325D" w:rsidP="00B540C1">
      <w:pPr>
        <w:pStyle w:val="CEABullet-Level2"/>
        <w:rPr>
          <w:szCs w:val="17"/>
          <w:lang w:val="en-GB"/>
        </w:rPr>
      </w:pPr>
      <w:r w:rsidRPr="0033325D">
        <w:rPr>
          <w:b/>
          <w:szCs w:val="17"/>
          <w:lang w:val="en-GB"/>
        </w:rPr>
        <w:t>Art</w:t>
      </w:r>
      <w:r w:rsidR="00177755">
        <w:rPr>
          <w:b/>
          <w:szCs w:val="17"/>
          <w:lang w:val="en-GB"/>
        </w:rPr>
        <w:t>icle</w:t>
      </w:r>
      <w:r w:rsidRPr="0033325D">
        <w:rPr>
          <w:b/>
          <w:szCs w:val="17"/>
          <w:lang w:val="en-GB"/>
        </w:rPr>
        <w:t xml:space="preserve"> 215</w:t>
      </w:r>
      <w:r w:rsidRPr="0033325D">
        <w:rPr>
          <w:szCs w:val="17"/>
          <w:lang w:val="en-GB"/>
        </w:rPr>
        <w:t xml:space="preserve">: new set of criteria that guarantees must meet, inspired from </w:t>
      </w:r>
      <w:r w:rsidR="00177755">
        <w:rPr>
          <w:szCs w:val="17"/>
          <w:lang w:val="en-GB"/>
        </w:rPr>
        <w:t>A</w:t>
      </w:r>
      <w:r w:rsidRPr="0033325D">
        <w:rPr>
          <w:szCs w:val="17"/>
          <w:lang w:val="en-GB"/>
        </w:rPr>
        <w:t>rticle</w:t>
      </w:r>
      <w:r w:rsidR="00B3132E">
        <w:rPr>
          <w:szCs w:val="17"/>
          <w:lang w:val="en-GB"/>
        </w:rPr>
        <w:t>s</w:t>
      </w:r>
      <w:r w:rsidRPr="0033325D">
        <w:rPr>
          <w:szCs w:val="17"/>
          <w:lang w:val="en-GB"/>
        </w:rPr>
        <w:t xml:space="preserve"> </w:t>
      </w:r>
      <w:r w:rsidR="00B3132E">
        <w:rPr>
          <w:szCs w:val="17"/>
          <w:lang w:val="en-GB"/>
        </w:rPr>
        <w:t xml:space="preserve">213 and </w:t>
      </w:r>
      <w:r w:rsidRPr="0033325D">
        <w:rPr>
          <w:szCs w:val="17"/>
          <w:lang w:val="en-GB"/>
        </w:rPr>
        <w:t>215 of Regulation (EU) No 575/2013 (CRR).</w:t>
      </w:r>
    </w:p>
    <w:p w14:paraId="68B0BD93" w14:textId="77777777" w:rsidR="006C32F5" w:rsidRPr="006C32F5" w:rsidRDefault="006C32F5" w:rsidP="00B540C1">
      <w:pPr>
        <w:pStyle w:val="CEABullet-Level3"/>
        <w:numPr>
          <w:ilvl w:val="0"/>
          <w:numId w:val="0"/>
        </w:numPr>
        <w:ind w:left="1494"/>
        <w:rPr>
          <w:lang w:val="en-GB"/>
        </w:rPr>
      </w:pPr>
    </w:p>
    <w:p w14:paraId="7F9D6BFD" w14:textId="77694BD4" w:rsidR="0033325D" w:rsidRPr="0033325D" w:rsidRDefault="0033325D" w:rsidP="00B540C1">
      <w:pPr>
        <w:pStyle w:val="CEABullet-Level2"/>
        <w:rPr>
          <w:szCs w:val="17"/>
          <w:lang w:val="en-GB"/>
        </w:rPr>
      </w:pPr>
      <w:r w:rsidRPr="0033325D">
        <w:rPr>
          <w:b/>
          <w:szCs w:val="17"/>
          <w:lang w:val="en-GB"/>
        </w:rPr>
        <w:t>Art</w:t>
      </w:r>
      <w:r w:rsidR="00177755">
        <w:rPr>
          <w:b/>
          <w:szCs w:val="17"/>
          <w:lang w:val="en-GB"/>
        </w:rPr>
        <w:t>icle</w:t>
      </w:r>
      <w:r w:rsidRPr="0033325D">
        <w:rPr>
          <w:b/>
          <w:szCs w:val="17"/>
          <w:lang w:val="en-GB"/>
        </w:rPr>
        <w:t xml:space="preserve"> 254</w:t>
      </w:r>
      <w:r w:rsidRPr="0033325D">
        <w:rPr>
          <w:szCs w:val="17"/>
          <w:lang w:val="en-GB"/>
        </w:rPr>
        <w:t xml:space="preserve">: addition of more detailed risk retention rules for investments in securitisation (all types), in particular when there are multiple originators, sponsors or original lenders. These provisions are copied from Commission Delegated Regulation (EU) No 625/2014 of 13 March 2014 supplementing Regulation (EU) No 575/2013 (CRR), which is based on a technical standard proposed by EBA. Recital 88 is amended to reflect this addition and explains the change in vocabulary compared to the Directive for the sake of cross-sectoral consistency </w:t>
      </w:r>
      <w:r>
        <w:rPr>
          <w:szCs w:val="17"/>
          <w:lang w:val="en-GB"/>
        </w:rPr>
        <w:t>(using the term "securitisation</w:t>
      </w:r>
      <w:r w:rsidRPr="0033325D">
        <w:rPr>
          <w:szCs w:val="17"/>
          <w:lang w:val="en-GB"/>
        </w:rPr>
        <w:t>" instead of "tradable securities and other financial instruments based on repackaged loans").</w:t>
      </w:r>
    </w:p>
    <w:p w14:paraId="5544BF98" w14:textId="77777777" w:rsidR="0033325D" w:rsidRPr="00FF7AB3" w:rsidRDefault="0033325D" w:rsidP="00B540C1">
      <w:pPr>
        <w:rPr>
          <w:szCs w:val="17"/>
        </w:rPr>
      </w:pPr>
    </w:p>
    <w:p w14:paraId="49771FA2" w14:textId="77777777" w:rsidR="0033325D" w:rsidRPr="00E06E0F" w:rsidRDefault="0033325D" w:rsidP="00B540C1">
      <w:pPr>
        <w:pStyle w:val="CEABullet-Level1"/>
        <w:rPr>
          <w:szCs w:val="17"/>
          <w:lang w:val="en-GB"/>
        </w:rPr>
      </w:pPr>
      <w:r w:rsidRPr="00E06E0F">
        <w:rPr>
          <w:szCs w:val="17"/>
          <w:lang w:val="en-GB"/>
        </w:rPr>
        <w:t>Amendments made on the basis of the interservice consultation within the Commission (including in particular the legal review):</w:t>
      </w:r>
    </w:p>
    <w:p w14:paraId="0ABC5297" w14:textId="77777777" w:rsidR="0033325D" w:rsidRPr="0033325D" w:rsidRDefault="0033325D" w:rsidP="00B540C1">
      <w:pPr>
        <w:pStyle w:val="CEABullet-Level2"/>
        <w:numPr>
          <w:ilvl w:val="0"/>
          <w:numId w:val="0"/>
        </w:numPr>
        <w:rPr>
          <w:szCs w:val="17"/>
          <w:lang w:val="en-GB"/>
        </w:rPr>
      </w:pPr>
    </w:p>
    <w:p w14:paraId="75B91F9A" w14:textId="60E36E76" w:rsidR="0033325D" w:rsidRPr="0033325D" w:rsidRDefault="0033325D" w:rsidP="00B540C1">
      <w:pPr>
        <w:pStyle w:val="CEABullet-Level2"/>
        <w:rPr>
          <w:szCs w:val="17"/>
          <w:lang w:val="en-GB"/>
        </w:rPr>
      </w:pPr>
      <w:r w:rsidRPr="0033325D">
        <w:rPr>
          <w:b/>
          <w:szCs w:val="17"/>
          <w:lang w:val="en-GB"/>
        </w:rPr>
        <w:t>Art</w:t>
      </w:r>
      <w:r w:rsidR="00177755">
        <w:rPr>
          <w:b/>
          <w:szCs w:val="17"/>
          <w:lang w:val="en-GB"/>
        </w:rPr>
        <w:t>icle</w:t>
      </w:r>
      <w:r w:rsidRPr="0033325D">
        <w:rPr>
          <w:b/>
          <w:szCs w:val="17"/>
          <w:lang w:val="en-GB"/>
        </w:rPr>
        <w:t xml:space="preserve"> 352</w:t>
      </w:r>
      <w:r w:rsidRPr="0033325D">
        <w:rPr>
          <w:szCs w:val="17"/>
          <w:lang w:val="en-GB"/>
        </w:rPr>
        <w:t>: the empowerment in Article 241(c) of the Directive did not cover the first two paragraphs of this article, about the content of an application to submit a subsidiary to the centralised risk management regime. Therefore, these paragraphs are deleted but they could be recycled by EIOPA in an ITS based on Article 237(4).</w:t>
      </w:r>
    </w:p>
    <w:p w14:paraId="59FE525A" w14:textId="77777777" w:rsidR="0033325D" w:rsidRPr="0033325D" w:rsidRDefault="0033325D" w:rsidP="00B540C1">
      <w:pPr>
        <w:pStyle w:val="CEABullet-Level2"/>
        <w:numPr>
          <w:ilvl w:val="0"/>
          <w:numId w:val="0"/>
        </w:numPr>
        <w:ind w:left="720"/>
        <w:rPr>
          <w:szCs w:val="17"/>
          <w:lang w:val="en-GB"/>
        </w:rPr>
      </w:pPr>
    </w:p>
    <w:p w14:paraId="0CAA26D5" w14:textId="6444DF91" w:rsidR="0033325D" w:rsidRPr="0033325D" w:rsidRDefault="0033325D" w:rsidP="00B540C1">
      <w:pPr>
        <w:pStyle w:val="CEABullet-Level2"/>
        <w:rPr>
          <w:szCs w:val="17"/>
          <w:lang w:val="en-GB"/>
        </w:rPr>
      </w:pPr>
      <w:r w:rsidRPr="0033325D">
        <w:rPr>
          <w:b/>
          <w:szCs w:val="17"/>
          <w:lang w:val="en-GB"/>
        </w:rPr>
        <w:t>Art</w:t>
      </w:r>
      <w:r w:rsidR="00177755">
        <w:rPr>
          <w:b/>
          <w:szCs w:val="17"/>
          <w:lang w:val="en-GB"/>
        </w:rPr>
        <w:t>icle</w:t>
      </w:r>
      <w:r w:rsidRPr="0033325D">
        <w:rPr>
          <w:b/>
          <w:szCs w:val="17"/>
          <w:lang w:val="en-GB"/>
        </w:rPr>
        <w:t xml:space="preserve"> 354(2)</w:t>
      </w:r>
      <w:r w:rsidRPr="0033325D">
        <w:rPr>
          <w:szCs w:val="17"/>
          <w:lang w:val="en-GB"/>
        </w:rPr>
        <w:t xml:space="preserve">: the empowerment in article 248(8) of the Directive covers only the definition of a "significant branch", whereas the notion of related undertaking is already defined in the Directive and is not the object of the empowerment. Therefore, the list of related undertakings the supervisors of which can be invited to participate in the college had to be deleted in Article 354(2) for lack of legal basis and risks of conflict with </w:t>
      </w:r>
      <w:r w:rsidR="00177755">
        <w:rPr>
          <w:szCs w:val="17"/>
          <w:lang w:val="en-GB"/>
        </w:rPr>
        <w:t>L</w:t>
      </w:r>
      <w:r w:rsidRPr="0033325D">
        <w:rPr>
          <w:szCs w:val="17"/>
          <w:lang w:val="en-GB"/>
        </w:rPr>
        <w:t>evel 1.</w:t>
      </w:r>
    </w:p>
    <w:p w14:paraId="76A06E93" w14:textId="77777777" w:rsidR="0033325D" w:rsidRPr="0033325D" w:rsidRDefault="0033325D" w:rsidP="00B540C1">
      <w:pPr>
        <w:pStyle w:val="CEABullet-Level2"/>
        <w:numPr>
          <w:ilvl w:val="0"/>
          <w:numId w:val="0"/>
        </w:numPr>
        <w:ind w:left="720"/>
        <w:rPr>
          <w:szCs w:val="17"/>
          <w:lang w:val="en-GB"/>
        </w:rPr>
      </w:pPr>
    </w:p>
    <w:p w14:paraId="03BEFC43" w14:textId="74FB9A91" w:rsidR="0033325D" w:rsidRDefault="0033325D" w:rsidP="00B540C1">
      <w:pPr>
        <w:pStyle w:val="CEABullet-Level2"/>
        <w:rPr>
          <w:szCs w:val="17"/>
          <w:lang w:val="en-GB"/>
        </w:rPr>
      </w:pPr>
      <w:r w:rsidRPr="0033325D">
        <w:rPr>
          <w:b/>
          <w:szCs w:val="17"/>
          <w:lang w:val="en-GB"/>
        </w:rPr>
        <w:t>Final article</w:t>
      </w:r>
      <w:r w:rsidRPr="0033325D">
        <w:rPr>
          <w:szCs w:val="17"/>
          <w:lang w:val="en-GB"/>
        </w:rPr>
        <w:t xml:space="preserve">: it was legally impossible to keep the review clause in an article as it would impinge on the Commission's prerogative to adopt (and amend) such Delegated Acts which take the form of a Commission act. Therefore, the review clause had to be moved to </w:t>
      </w:r>
      <w:r w:rsidR="00177755">
        <w:rPr>
          <w:szCs w:val="17"/>
          <w:lang w:val="en-GB"/>
        </w:rPr>
        <w:t>R</w:t>
      </w:r>
      <w:r w:rsidRPr="0033325D">
        <w:rPr>
          <w:szCs w:val="17"/>
          <w:lang w:val="en-GB"/>
        </w:rPr>
        <w:t>ecital 148</w:t>
      </w:r>
      <w:r w:rsidR="002D067B">
        <w:rPr>
          <w:szCs w:val="17"/>
          <w:lang w:val="en-GB"/>
        </w:rPr>
        <w:t xml:space="preserve"> (150 in the October version)</w:t>
      </w:r>
      <w:r w:rsidRPr="0033325D">
        <w:rPr>
          <w:szCs w:val="17"/>
          <w:lang w:val="en-GB"/>
        </w:rPr>
        <w:t>. Also, the date of entry into force (which was not set yet) is now set in the final article to the day following the publication in the Official Journal. A corresponding recital (</w:t>
      </w:r>
      <w:r w:rsidR="002D067B">
        <w:rPr>
          <w:szCs w:val="17"/>
          <w:lang w:val="en-GB"/>
        </w:rPr>
        <w:t>151 in the October version</w:t>
      </w:r>
      <w:r w:rsidRPr="0033325D">
        <w:rPr>
          <w:szCs w:val="17"/>
          <w:lang w:val="en-GB"/>
        </w:rPr>
        <w:t>) has been added, to insist on the need for legal certainty during the phasing-in period starting on 1 April 2015.</w:t>
      </w:r>
    </w:p>
    <w:p w14:paraId="50E03762" w14:textId="77777777" w:rsidR="00D7008B" w:rsidRPr="00D7008B" w:rsidRDefault="00D7008B" w:rsidP="00B540C1">
      <w:pPr>
        <w:pStyle w:val="CEABullet-Level3"/>
        <w:numPr>
          <w:ilvl w:val="0"/>
          <w:numId w:val="0"/>
        </w:numPr>
        <w:ind w:left="1494"/>
        <w:rPr>
          <w:lang w:val="en-GB"/>
        </w:rPr>
      </w:pPr>
    </w:p>
    <w:p w14:paraId="44B98869" w14:textId="08A6D7C5" w:rsidR="00145AA3" w:rsidRPr="00177755" w:rsidRDefault="00D7008B" w:rsidP="00B540C1">
      <w:pPr>
        <w:pStyle w:val="CEABullet-Level1"/>
        <w:rPr>
          <w:szCs w:val="17"/>
          <w:lang w:val="en-GB"/>
        </w:rPr>
      </w:pPr>
      <w:r w:rsidRPr="00177755">
        <w:rPr>
          <w:lang w:val="en-GB"/>
        </w:rPr>
        <w:t>Other amendments</w:t>
      </w:r>
      <w:r w:rsidR="00177755" w:rsidRPr="00177755">
        <w:rPr>
          <w:lang w:val="en-GB"/>
        </w:rPr>
        <w:t xml:space="preserve"> </w:t>
      </w:r>
      <w:r w:rsidR="009A7FC5">
        <w:rPr>
          <w:lang w:val="en-GB"/>
        </w:rPr>
        <w:t>identifi</w:t>
      </w:r>
      <w:r w:rsidR="00177755" w:rsidRPr="00177755">
        <w:rPr>
          <w:lang w:val="en-GB"/>
        </w:rPr>
        <w:t>ed by members or the Secretariat</w:t>
      </w:r>
      <w:r w:rsidR="00145AA3" w:rsidRPr="00177755">
        <w:rPr>
          <w:lang w:val="en-GB"/>
        </w:rPr>
        <w:t>:</w:t>
      </w:r>
    </w:p>
    <w:p w14:paraId="7ACFC283" w14:textId="33FEC103" w:rsidR="00E24BC1" w:rsidRDefault="00E24BC1" w:rsidP="00B540C1">
      <w:pPr>
        <w:pStyle w:val="CEABullet-Level2"/>
        <w:rPr>
          <w:lang w:val="en-GB"/>
        </w:rPr>
      </w:pPr>
      <w:r>
        <w:rPr>
          <w:lang w:val="en-GB"/>
        </w:rPr>
        <w:t>Market Risk Module</w:t>
      </w:r>
    </w:p>
    <w:p w14:paraId="5C9DFCF9" w14:textId="13D0B3D0" w:rsidR="00E24BC1" w:rsidRDefault="00E24BC1" w:rsidP="00B540C1">
      <w:pPr>
        <w:pStyle w:val="CEABullet-Level3"/>
        <w:rPr>
          <w:lang w:val="en-GB"/>
        </w:rPr>
      </w:pPr>
      <w:r w:rsidRPr="007B0003">
        <w:rPr>
          <w:b/>
          <w:lang w:val="en-GB"/>
        </w:rPr>
        <w:t>Article 168(3):</w:t>
      </w:r>
      <w:r>
        <w:rPr>
          <w:lang w:val="en-GB"/>
        </w:rPr>
        <w:t xml:space="preserve"> For equity risk, now type 2 equities include </w:t>
      </w:r>
      <w:r w:rsidR="009913FF">
        <w:rPr>
          <w:lang w:val="en-GB"/>
        </w:rPr>
        <w:t>“</w:t>
      </w:r>
      <w:r w:rsidRPr="009A25A8">
        <w:rPr>
          <w:i/>
          <w:u w:val="single"/>
          <w:lang w:val="en-GB"/>
        </w:rPr>
        <w:t>all assets</w:t>
      </w:r>
      <w:r>
        <w:rPr>
          <w:lang w:val="en-GB"/>
        </w:rPr>
        <w:t>” not already covered under other market risk modules, whereas previously reference was made to “all investments”. This could lead to e.g. tangible assets being shocked at 49% (plus the symmetric adjustment) (</w:t>
      </w:r>
      <w:r w:rsidRPr="00E24BC1">
        <w:rPr>
          <w:highlight w:val="red"/>
          <w:lang w:val="en-GB"/>
        </w:rPr>
        <w:t>negative</w:t>
      </w:r>
      <w:r>
        <w:rPr>
          <w:lang w:val="en-GB"/>
        </w:rPr>
        <w:t>).</w:t>
      </w:r>
    </w:p>
    <w:p w14:paraId="7DD3BA57" w14:textId="77A03FF0" w:rsidR="009A7FC5" w:rsidRDefault="009A7FC5" w:rsidP="00B540C1">
      <w:pPr>
        <w:pStyle w:val="CEABullet-Level3"/>
        <w:rPr>
          <w:lang w:val="en-GB"/>
        </w:rPr>
      </w:pPr>
      <w:r w:rsidRPr="008D3B3A">
        <w:rPr>
          <w:b/>
          <w:lang w:val="en-GB"/>
        </w:rPr>
        <w:t>Recital 42</w:t>
      </w:r>
      <w:r w:rsidR="008D3B3A" w:rsidRPr="008D3B3A">
        <w:rPr>
          <w:b/>
          <w:lang w:val="en-GB"/>
        </w:rPr>
        <w:t>:</w:t>
      </w:r>
      <w:r w:rsidR="008D3B3A">
        <w:rPr>
          <w:lang w:val="en-GB"/>
        </w:rPr>
        <w:t xml:space="preserve"> </w:t>
      </w:r>
      <w:r w:rsidR="008D3B3A" w:rsidRPr="008D3B3A">
        <w:rPr>
          <w:lang w:val="en-GB"/>
        </w:rPr>
        <w:t>when setting up lists of regional governments and local authorities, EIOPA should respect the requirement that there is no difference in risk between exposures to these and exposures to the central government in whose jurisdiction they are established</w:t>
      </w:r>
      <w:r w:rsidR="008D3B3A">
        <w:rPr>
          <w:lang w:val="en-GB"/>
        </w:rPr>
        <w:t xml:space="preserve">. Therefore, </w:t>
      </w:r>
      <w:r w:rsidR="008D3B3A" w:rsidRPr="008D3B3A">
        <w:rPr>
          <w:lang w:val="en-GB"/>
        </w:rPr>
        <w:t xml:space="preserve"> </w:t>
      </w:r>
      <w:r w:rsidR="008D3B3A">
        <w:rPr>
          <w:lang w:val="en-GB"/>
        </w:rPr>
        <w:t>their treatment should be the same</w:t>
      </w:r>
      <w:r w:rsidR="008D3B3A" w:rsidRPr="008D3B3A">
        <w:rPr>
          <w:lang w:val="en-GB"/>
        </w:rPr>
        <w:t xml:space="preserve"> for the market risk module and the counterparty default risk module of the standard formula</w:t>
      </w:r>
      <w:r w:rsidR="008D3B3A">
        <w:rPr>
          <w:lang w:val="en-GB"/>
        </w:rPr>
        <w:t xml:space="preserve"> (</w:t>
      </w:r>
      <w:r w:rsidR="008D3B3A" w:rsidRPr="008D3B3A">
        <w:rPr>
          <w:highlight w:val="green"/>
          <w:lang w:val="en-GB"/>
        </w:rPr>
        <w:t>positive</w:t>
      </w:r>
      <w:r w:rsidR="008D3B3A">
        <w:rPr>
          <w:lang w:val="en-GB"/>
        </w:rPr>
        <w:t>).</w:t>
      </w:r>
    </w:p>
    <w:p w14:paraId="291DCF23" w14:textId="77777777" w:rsidR="006C32F5" w:rsidRPr="00E24BC1" w:rsidRDefault="006C32F5" w:rsidP="00B540C1">
      <w:pPr>
        <w:pStyle w:val="CEABullet-Level3"/>
        <w:numPr>
          <w:ilvl w:val="0"/>
          <w:numId w:val="0"/>
        </w:numPr>
        <w:ind w:left="1494"/>
        <w:rPr>
          <w:lang w:val="en-GB"/>
        </w:rPr>
      </w:pPr>
    </w:p>
    <w:p w14:paraId="7006495A" w14:textId="0F6624C9" w:rsidR="00177755" w:rsidRPr="00E24BC1" w:rsidRDefault="00177755" w:rsidP="00B540C1">
      <w:pPr>
        <w:pStyle w:val="CEABullet-Level2"/>
        <w:rPr>
          <w:lang w:val="en-GB"/>
        </w:rPr>
      </w:pPr>
      <w:r w:rsidRPr="00E24BC1">
        <w:rPr>
          <w:lang w:val="en-GB"/>
        </w:rPr>
        <w:t>Counterparty Default Risk</w:t>
      </w:r>
    </w:p>
    <w:p w14:paraId="31C88087" w14:textId="73F78C56" w:rsidR="00E24BC1" w:rsidRDefault="00E24BC1" w:rsidP="00B540C1">
      <w:pPr>
        <w:pStyle w:val="CEABullet-Level3"/>
        <w:rPr>
          <w:lang w:val="en-GB"/>
        </w:rPr>
      </w:pPr>
      <w:r w:rsidRPr="007B0003">
        <w:rPr>
          <w:b/>
          <w:lang w:val="en-GB"/>
        </w:rPr>
        <w:t>Article 189(1):</w:t>
      </w:r>
      <w:r>
        <w:rPr>
          <w:lang w:val="en-GB"/>
        </w:rPr>
        <w:t xml:space="preserve"> Special Purpose Vehicles are now included in type 1 exposures (</w:t>
      </w:r>
      <w:r w:rsidRPr="00E24BC1">
        <w:rPr>
          <w:highlight w:val="green"/>
          <w:lang w:val="en-GB"/>
        </w:rPr>
        <w:t>positive</w:t>
      </w:r>
      <w:r>
        <w:rPr>
          <w:lang w:val="en-GB"/>
        </w:rPr>
        <w:t>)</w:t>
      </w:r>
    </w:p>
    <w:p w14:paraId="62F4B1C2" w14:textId="3DEA8254" w:rsidR="00E24BC1" w:rsidRPr="006C32F5" w:rsidRDefault="00E24BC1" w:rsidP="00B540C1">
      <w:pPr>
        <w:pStyle w:val="CEABullet-Level3"/>
        <w:rPr>
          <w:color w:val="auto"/>
          <w:lang w:val="en-GB"/>
        </w:rPr>
      </w:pPr>
      <w:r w:rsidRPr="006C32F5">
        <w:rPr>
          <w:b/>
          <w:color w:val="auto"/>
          <w:lang w:val="en-GB"/>
        </w:rPr>
        <w:t>Article 192(2):</w:t>
      </w:r>
      <w:r w:rsidR="009A25A8" w:rsidRPr="006C32F5">
        <w:rPr>
          <w:color w:val="auto"/>
          <w:lang w:val="en-GB"/>
        </w:rPr>
        <w:t xml:space="preserve"> </w:t>
      </w:r>
      <w:r w:rsidR="00822D2B" w:rsidRPr="006C32F5">
        <w:rPr>
          <w:i/>
          <w:color w:val="auto"/>
          <w:lang w:val="en-GB"/>
        </w:rPr>
        <w:t>(Change done back in March, but not included in our list at that time)</w:t>
      </w:r>
      <w:r w:rsidR="00822D2B" w:rsidRPr="006C32F5">
        <w:rPr>
          <w:color w:val="auto"/>
          <w:lang w:val="en-GB"/>
        </w:rPr>
        <w:t xml:space="preserve"> introduction of a 50% factor for the risk mitigating effect of reinsurance or securitisations,  “taking account of the simultaneous occurrence of underwriting events in counterparty risk” –justification of the EC</w:t>
      </w:r>
      <w:r w:rsidR="006C32F5">
        <w:rPr>
          <w:color w:val="auto"/>
          <w:lang w:val="en-GB"/>
        </w:rPr>
        <w:t>-</w:t>
      </w:r>
      <w:r w:rsidR="00822D2B" w:rsidRPr="006C32F5">
        <w:rPr>
          <w:color w:val="auto"/>
          <w:lang w:val="en-GB"/>
        </w:rPr>
        <w:t>. (</w:t>
      </w:r>
      <w:r w:rsidR="00822D2B" w:rsidRPr="006C32F5">
        <w:rPr>
          <w:color w:val="auto"/>
          <w:highlight w:val="red"/>
          <w:lang w:val="en-GB"/>
        </w:rPr>
        <w:t>negative</w:t>
      </w:r>
      <w:r w:rsidR="00822D2B" w:rsidRPr="006C32F5">
        <w:rPr>
          <w:color w:val="auto"/>
          <w:lang w:val="en-GB"/>
        </w:rPr>
        <w:t>)</w:t>
      </w:r>
    </w:p>
    <w:p w14:paraId="16FBE0F3" w14:textId="7C4FC1E0" w:rsidR="00177755" w:rsidRPr="006C32F5" w:rsidRDefault="00E24BC1" w:rsidP="00B540C1">
      <w:pPr>
        <w:pStyle w:val="CEABullet-Level3"/>
        <w:rPr>
          <w:lang w:val="en-GB"/>
        </w:rPr>
      </w:pPr>
      <w:r w:rsidRPr="007B0003">
        <w:rPr>
          <w:b/>
          <w:lang w:val="en-GB"/>
        </w:rPr>
        <w:t>Article 192(4):</w:t>
      </w:r>
      <w:r w:rsidRPr="00E24BC1">
        <w:rPr>
          <w:lang w:val="en-GB"/>
        </w:rPr>
        <w:t xml:space="preserve"> </w:t>
      </w:r>
      <w:r>
        <w:rPr>
          <w:lang w:val="en-US"/>
        </w:rPr>
        <w:t>The risk-adjusted value of a mortgage is reduced to 80%. This reduction was part of the 2011 version but had been removed in the January and March versions (</w:t>
      </w:r>
      <w:r w:rsidRPr="00822D2B">
        <w:rPr>
          <w:highlight w:val="red"/>
          <w:lang w:val="en-US"/>
        </w:rPr>
        <w:t>negative</w:t>
      </w:r>
      <w:r>
        <w:rPr>
          <w:lang w:val="en-US"/>
        </w:rPr>
        <w:t>).</w:t>
      </w:r>
    </w:p>
    <w:p w14:paraId="01B4488C" w14:textId="77777777" w:rsidR="006C32F5" w:rsidRPr="00E24BC1" w:rsidRDefault="006C32F5" w:rsidP="00B540C1">
      <w:pPr>
        <w:pStyle w:val="CEABullet-Level3"/>
        <w:numPr>
          <w:ilvl w:val="0"/>
          <w:numId w:val="0"/>
        </w:numPr>
        <w:ind w:left="1494"/>
        <w:rPr>
          <w:lang w:val="en-GB"/>
        </w:rPr>
      </w:pPr>
    </w:p>
    <w:p w14:paraId="1CB30DDF" w14:textId="36660F37" w:rsidR="00145AA3" w:rsidRDefault="00177755" w:rsidP="00B540C1">
      <w:pPr>
        <w:pStyle w:val="CEABullet-Level2"/>
        <w:rPr>
          <w:lang w:val="en-GB"/>
        </w:rPr>
      </w:pPr>
      <w:r>
        <w:rPr>
          <w:lang w:val="en-GB"/>
        </w:rPr>
        <w:t xml:space="preserve"> Operational risk</w:t>
      </w:r>
      <w:r w:rsidR="00305134">
        <w:rPr>
          <w:lang w:val="en-GB"/>
        </w:rPr>
        <w:t xml:space="preserve"> (</w:t>
      </w:r>
      <w:r w:rsidR="00305134" w:rsidRPr="00305134">
        <w:rPr>
          <w:highlight w:val="red"/>
          <w:lang w:val="en-GB"/>
        </w:rPr>
        <w:t>negative</w:t>
      </w:r>
      <w:r w:rsidR="00305134">
        <w:rPr>
          <w:lang w:val="en-GB"/>
        </w:rPr>
        <w:t>)</w:t>
      </w:r>
    </w:p>
    <w:p w14:paraId="4DBDB1D8" w14:textId="14B25EB4" w:rsidR="00822D2B" w:rsidRDefault="00822D2B" w:rsidP="00B540C1">
      <w:pPr>
        <w:pStyle w:val="CEABullet-Level3"/>
        <w:rPr>
          <w:lang w:val="en-GB"/>
        </w:rPr>
      </w:pPr>
      <w:r w:rsidRPr="007B0003">
        <w:rPr>
          <w:b/>
          <w:lang w:val="en-GB"/>
        </w:rPr>
        <w:t>Article 204</w:t>
      </w:r>
      <w:r w:rsidR="007A3F77">
        <w:rPr>
          <w:b/>
          <w:lang w:val="en-GB"/>
        </w:rPr>
        <w:t>(1)</w:t>
      </w:r>
      <w:r w:rsidRPr="007B0003">
        <w:rPr>
          <w:b/>
          <w:lang w:val="en-GB"/>
        </w:rPr>
        <w:t>:</w:t>
      </w:r>
      <w:r>
        <w:rPr>
          <w:lang w:val="en-GB"/>
        </w:rPr>
        <w:t xml:space="preserve"> in </w:t>
      </w:r>
      <w:r w:rsidR="007B0003">
        <w:rPr>
          <w:lang w:val="en-GB"/>
        </w:rPr>
        <w:t xml:space="preserve">the </w:t>
      </w:r>
      <w:r>
        <w:rPr>
          <w:lang w:val="en-GB"/>
        </w:rPr>
        <w:t>March</w:t>
      </w:r>
      <w:r w:rsidR="007B0003">
        <w:rPr>
          <w:lang w:val="en-GB"/>
        </w:rPr>
        <w:t xml:space="preserve"> version,</w:t>
      </w:r>
      <w:r>
        <w:rPr>
          <w:lang w:val="en-GB"/>
        </w:rPr>
        <w:t xml:space="preserve"> the acquisition expenses for unit-linked business had been removed from the calculation of operational risk</w:t>
      </w:r>
      <w:r w:rsidR="007B0003">
        <w:rPr>
          <w:lang w:val="en-GB"/>
        </w:rPr>
        <w:t>. They have been re-introduced.</w:t>
      </w:r>
    </w:p>
    <w:p w14:paraId="2E602EE6" w14:textId="201749D1" w:rsidR="00822D2B" w:rsidRDefault="00822D2B" w:rsidP="00B540C1">
      <w:pPr>
        <w:pStyle w:val="CEABullet-Level3"/>
        <w:numPr>
          <w:ilvl w:val="0"/>
          <w:numId w:val="0"/>
        </w:numPr>
        <w:ind w:left="1494"/>
        <w:rPr>
          <w:lang w:val="en-GB"/>
        </w:rPr>
      </w:pPr>
      <w:r>
        <w:rPr>
          <w:lang w:val="en-GB"/>
        </w:rPr>
        <w:t>This seems to have a significant impact for UK, Ireland, Italy (tbc)</w:t>
      </w:r>
      <w:r w:rsidR="00901F01">
        <w:rPr>
          <w:lang w:val="en-GB"/>
        </w:rPr>
        <w:t>.</w:t>
      </w:r>
    </w:p>
    <w:p w14:paraId="263D03AA" w14:textId="0BB5538C" w:rsidR="00027814" w:rsidRPr="00FB6810" w:rsidRDefault="006E1494" w:rsidP="00B540C1">
      <w:pPr>
        <w:pStyle w:val="CEABullet-Level3"/>
        <w:numPr>
          <w:ilvl w:val="0"/>
          <w:numId w:val="0"/>
        </w:numPr>
        <w:ind w:left="1494"/>
        <w:rPr>
          <w:lang w:val="en-GB"/>
        </w:rPr>
      </w:pPr>
      <w:r>
        <w:rPr>
          <w:lang w:val="en-GB"/>
        </w:rPr>
        <w:t>T</w:t>
      </w:r>
      <w:r w:rsidR="00901F01">
        <w:rPr>
          <w:lang w:val="en-GB"/>
        </w:rPr>
        <w:t xml:space="preserve">he Directive </w:t>
      </w:r>
      <w:r w:rsidR="00334F00">
        <w:rPr>
          <w:lang w:val="en-GB"/>
        </w:rPr>
        <w:t xml:space="preserve">(Article 107(2)) </w:t>
      </w:r>
      <w:r>
        <w:rPr>
          <w:lang w:val="en-GB"/>
        </w:rPr>
        <w:t>states that</w:t>
      </w:r>
      <w:r w:rsidR="00901F01">
        <w:rPr>
          <w:lang w:val="en-GB"/>
        </w:rPr>
        <w:t xml:space="preserve"> </w:t>
      </w:r>
      <w:r>
        <w:rPr>
          <w:lang w:val="en-GB"/>
        </w:rPr>
        <w:t>the calculation should “</w:t>
      </w:r>
      <w:r w:rsidR="00901F01">
        <w:rPr>
          <w:lang w:val="en-GB"/>
        </w:rPr>
        <w:t>take into account</w:t>
      </w:r>
      <w:r>
        <w:rPr>
          <w:lang w:val="en-GB"/>
        </w:rPr>
        <w:t xml:space="preserve"> </w:t>
      </w:r>
      <w:r w:rsidR="00334F00">
        <w:rPr>
          <w:lang w:val="en-GB"/>
        </w:rPr>
        <w:t>annual expenses” related to these contracts</w:t>
      </w:r>
      <w:r w:rsidR="00901F01">
        <w:rPr>
          <w:lang w:val="en-GB"/>
        </w:rPr>
        <w:t>.</w:t>
      </w:r>
    </w:p>
    <w:p w14:paraId="01462F0D" w14:textId="419DF4AA" w:rsidR="008C6272" w:rsidRDefault="008C6272" w:rsidP="00B540C1">
      <w:pPr>
        <w:pStyle w:val="CEABullet-Level3"/>
        <w:numPr>
          <w:ilvl w:val="0"/>
          <w:numId w:val="0"/>
        </w:numPr>
        <w:ind w:left="1494" w:hanging="360"/>
        <w:rPr>
          <w:lang w:val="en-GB"/>
        </w:rPr>
      </w:pPr>
      <w:r>
        <w:rPr>
          <w:lang w:val="en-GB"/>
        </w:rPr>
        <w:t>October 2014 Changes</w:t>
      </w:r>
    </w:p>
    <w:p w14:paraId="033414A5" w14:textId="3676E912" w:rsidR="002C2E36" w:rsidRPr="008C6272" w:rsidRDefault="008C6272" w:rsidP="00B540C1">
      <w:pPr>
        <w:pStyle w:val="CEABullet-Level3"/>
        <w:rPr>
          <w:lang w:val="en-GB"/>
        </w:rPr>
      </w:pPr>
      <w:r w:rsidRPr="008C6272">
        <w:rPr>
          <w:b/>
          <w:lang w:val="en-GB"/>
        </w:rPr>
        <w:t>Recital 67</w:t>
      </w:r>
      <w:r w:rsidRPr="008C6272">
        <w:rPr>
          <w:lang w:val="en-GB"/>
        </w:rPr>
        <w:t xml:space="preserve"> – new addition stating that for the operational risk module, acquisition expenses for unit-linked business should not be taken into account for the expenses incurred during the previous 12 months. (</w:t>
      </w:r>
      <w:r w:rsidRPr="008C6272">
        <w:rPr>
          <w:highlight w:val="green"/>
          <w:lang w:val="en-GB"/>
        </w:rPr>
        <w:t>positive</w:t>
      </w:r>
      <w:r w:rsidRPr="008C6272">
        <w:rPr>
          <w:lang w:val="en-GB"/>
        </w:rPr>
        <w:t>). However, as a recital is not legally binding it would have been better if the change had been introduced in Article 204 itself to have legal certainty (</w:t>
      </w:r>
      <w:r w:rsidRPr="008C6272">
        <w:rPr>
          <w:color w:val="auto"/>
          <w:highlight w:val="red"/>
          <w:lang w:val="en-GB"/>
        </w:rPr>
        <w:t>negative</w:t>
      </w:r>
      <w:r w:rsidRPr="008C6272">
        <w:rPr>
          <w:lang w:val="en-GB"/>
        </w:rPr>
        <w:t>).</w:t>
      </w:r>
    </w:p>
    <w:p w14:paraId="423432C2" w14:textId="77777777" w:rsidR="006C32F5" w:rsidRDefault="006C32F5" w:rsidP="00B540C1">
      <w:pPr>
        <w:pStyle w:val="CEABullet-Level3"/>
        <w:numPr>
          <w:ilvl w:val="0"/>
          <w:numId w:val="0"/>
        </w:numPr>
        <w:ind w:left="1494"/>
        <w:rPr>
          <w:lang w:val="en-GB"/>
        </w:rPr>
      </w:pPr>
    </w:p>
    <w:p w14:paraId="021D65C5" w14:textId="5A26D5DE" w:rsidR="007A3F77" w:rsidRPr="00E44695" w:rsidRDefault="00334F00" w:rsidP="00B540C1">
      <w:pPr>
        <w:pStyle w:val="CEABullet-Level2"/>
      </w:pPr>
      <w:r w:rsidRPr="00E44695">
        <w:t>Transitionals</w:t>
      </w:r>
      <w:r w:rsidR="00305134">
        <w:t xml:space="preserve"> (</w:t>
      </w:r>
      <w:r w:rsidR="00305134" w:rsidRPr="00305134">
        <w:rPr>
          <w:highlight w:val="red"/>
        </w:rPr>
        <w:t>negative</w:t>
      </w:r>
      <w:r w:rsidR="00305134">
        <w:t>)</w:t>
      </w:r>
    </w:p>
    <w:p w14:paraId="32B90F33" w14:textId="1174398F" w:rsidR="007B0003" w:rsidRDefault="007A3F77" w:rsidP="00B540C1">
      <w:pPr>
        <w:pStyle w:val="CEABullet-Level3"/>
        <w:rPr>
          <w:lang w:val="en-GB"/>
        </w:rPr>
      </w:pPr>
      <w:r w:rsidRPr="00892991">
        <w:rPr>
          <w:b/>
          <w:lang w:val="en-GB"/>
        </w:rPr>
        <w:t>Article 204(4):</w:t>
      </w:r>
      <w:r w:rsidRPr="00E44695">
        <w:rPr>
          <w:lang w:val="en-GB"/>
        </w:rPr>
        <w:t xml:space="preserve"> </w:t>
      </w:r>
      <w:r w:rsidR="00B06237">
        <w:rPr>
          <w:lang w:val="en-GB"/>
        </w:rPr>
        <w:t xml:space="preserve">according to this article, </w:t>
      </w:r>
      <w:r w:rsidRPr="00E44695">
        <w:rPr>
          <w:lang w:val="en-GB"/>
        </w:rPr>
        <w:t>the SCR for o</w:t>
      </w:r>
      <w:r w:rsidR="007B0003" w:rsidRPr="00E44695">
        <w:rPr>
          <w:lang w:val="en-GB"/>
        </w:rPr>
        <w:t>perational risk</w:t>
      </w:r>
      <w:r w:rsidRPr="00E44695">
        <w:rPr>
          <w:lang w:val="en-GB"/>
        </w:rPr>
        <w:t xml:space="preserve"> based on TPs should </w:t>
      </w:r>
      <w:r w:rsidR="00E44695" w:rsidRPr="00E44695">
        <w:rPr>
          <w:lang w:val="en-GB"/>
        </w:rPr>
        <w:t>be done with Technical Provisions which do not include the adjustments following Articles 308c or 308d of the Directive [transitionals].</w:t>
      </w:r>
    </w:p>
    <w:p w14:paraId="50FD9F3D" w14:textId="5EA030B7" w:rsidR="00892991" w:rsidRDefault="00892991" w:rsidP="00B540C1">
      <w:pPr>
        <w:pStyle w:val="CEABullet-Level3"/>
        <w:rPr>
          <w:lang w:val="en-GB"/>
        </w:rPr>
      </w:pPr>
      <w:r w:rsidRPr="00892991">
        <w:rPr>
          <w:b/>
          <w:lang w:val="en-GB"/>
        </w:rPr>
        <w:t>Article 251(1):</w:t>
      </w:r>
      <w:r>
        <w:rPr>
          <w:lang w:val="en-GB"/>
        </w:rPr>
        <w:t xml:space="preserve"> the same concern has appeared for the calculation of the MCR</w:t>
      </w:r>
      <w:r w:rsidR="00BC542A">
        <w:rPr>
          <w:lang w:val="en-GB"/>
        </w:rPr>
        <w:t>: the TPs should not be adjusted for</w:t>
      </w:r>
      <w:r w:rsidR="00427DA9">
        <w:rPr>
          <w:lang w:val="en-GB"/>
        </w:rPr>
        <w:t xml:space="preserve"> the relevant risk free-rate structure following Articles 308c and 308d of the Directive.</w:t>
      </w:r>
    </w:p>
    <w:p w14:paraId="6C0A3500" w14:textId="05D08120" w:rsidR="00A67291" w:rsidRDefault="00A67291" w:rsidP="00B540C1">
      <w:pPr>
        <w:pStyle w:val="CEABullet-Level3"/>
        <w:rPr>
          <w:lang w:val="en-GB"/>
        </w:rPr>
      </w:pPr>
      <w:r>
        <w:rPr>
          <w:b/>
          <w:lang w:val="en-GB"/>
        </w:rPr>
        <w:t>Article 260:</w:t>
      </w:r>
      <w:r>
        <w:rPr>
          <w:lang w:val="en-GB"/>
        </w:rPr>
        <w:t xml:space="preserve"> EPIFPs shall be calculated also without taking into account those adjustments.</w:t>
      </w:r>
    </w:p>
    <w:p w14:paraId="678C20BB" w14:textId="77777777" w:rsidR="006C32F5" w:rsidRPr="00E44695" w:rsidRDefault="006C32F5" w:rsidP="00B540C1">
      <w:pPr>
        <w:pStyle w:val="CEABullet-Level3"/>
        <w:numPr>
          <w:ilvl w:val="0"/>
          <w:numId w:val="0"/>
        </w:numPr>
        <w:ind w:left="1494"/>
        <w:rPr>
          <w:lang w:val="en-GB"/>
        </w:rPr>
      </w:pPr>
    </w:p>
    <w:p w14:paraId="068146CD" w14:textId="10BBEEF9" w:rsidR="00901F01" w:rsidRDefault="007E2033" w:rsidP="00B540C1">
      <w:pPr>
        <w:pStyle w:val="CEABullet-Level2"/>
        <w:rPr>
          <w:lang w:val="en-GB"/>
        </w:rPr>
      </w:pPr>
      <w:r>
        <w:rPr>
          <w:lang w:val="en-GB"/>
        </w:rPr>
        <w:t>Internal Audit function</w:t>
      </w:r>
    </w:p>
    <w:p w14:paraId="279D95AD" w14:textId="2FE3C155" w:rsidR="0093233C" w:rsidRPr="0093233C" w:rsidRDefault="007E2033" w:rsidP="00B540C1">
      <w:pPr>
        <w:pStyle w:val="CEABullet-Level3"/>
        <w:rPr>
          <w:b/>
          <w:lang w:val="en-GB"/>
        </w:rPr>
      </w:pPr>
      <w:r w:rsidRPr="007E2033">
        <w:rPr>
          <w:b/>
          <w:lang w:val="en-GB"/>
        </w:rPr>
        <w:t>Article 271(2)</w:t>
      </w:r>
      <w:r w:rsidR="00CE68B8">
        <w:rPr>
          <w:b/>
          <w:lang w:val="en-GB"/>
        </w:rPr>
        <w:t xml:space="preserve">: </w:t>
      </w:r>
      <w:r w:rsidR="00CE68B8" w:rsidRPr="00CE68B8">
        <w:rPr>
          <w:lang w:val="en-GB"/>
        </w:rPr>
        <w:t>The possibility for the internal aud</w:t>
      </w:r>
      <w:r w:rsidR="00CE68B8">
        <w:rPr>
          <w:lang w:val="en-GB"/>
        </w:rPr>
        <w:t>i</w:t>
      </w:r>
      <w:r w:rsidR="00CE68B8" w:rsidRPr="00CE68B8">
        <w:rPr>
          <w:lang w:val="en-GB"/>
        </w:rPr>
        <w:t xml:space="preserve">t function to carry </w:t>
      </w:r>
      <w:r w:rsidR="00CE68B8">
        <w:rPr>
          <w:lang w:val="en-GB"/>
        </w:rPr>
        <w:t>o</w:t>
      </w:r>
      <w:r w:rsidR="00CE68B8" w:rsidRPr="00CE68B8">
        <w:rPr>
          <w:lang w:val="en-GB"/>
        </w:rPr>
        <w:t>ut other key functions</w:t>
      </w:r>
      <w:r w:rsidR="00CE68B8">
        <w:rPr>
          <w:lang w:val="en-GB"/>
        </w:rPr>
        <w:t xml:space="preserve"> </w:t>
      </w:r>
      <w:r w:rsidR="0093233C">
        <w:rPr>
          <w:lang w:val="en-GB"/>
        </w:rPr>
        <w:t xml:space="preserve">taking the principle of proportionality into consideration </w:t>
      </w:r>
      <w:r w:rsidR="00CE68B8">
        <w:rPr>
          <w:lang w:val="en-GB"/>
        </w:rPr>
        <w:t>was</w:t>
      </w:r>
      <w:r w:rsidR="00CE68B8" w:rsidRPr="00CE68B8">
        <w:rPr>
          <w:lang w:val="en-GB"/>
        </w:rPr>
        <w:t xml:space="preserve"> introduced</w:t>
      </w:r>
      <w:r w:rsidR="0093233C">
        <w:rPr>
          <w:lang w:val="en-GB"/>
        </w:rPr>
        <w:t xml:space="preserve"> in March but w</w:t>
      </w:r>
      <w:r w:rsidR="00825AC3">
        <w:rPr>
          <w:lang w:val="en-GB"/>
        </w:rPr>
        <w:t>as not added to our list at the</w:t>
      </w:r>
      <w:r w:rsidR="0093233C">
        <w:rPr>
          <w:lang w:val="en-GB"/>
        </w:rPr>
        <w:t xml:space="preserve"> time.</w:t>
      </w:r>
    </w:p>
    <w:p w14:paraId="4BD41B52" w14:textId="7BA7571D" w:rsidR="0093233C" w:rsidRPr="0093233C" w:rsidRDefault="0093233C" w:rsidP="00B540C1">
      <w:pPr>
        <w:pStyle w:val="CEABullet-Level3"/>
        <w:rPr>
          <w:lang w:val="en-GB"/>
        </w:rPr>
      </w:pPr>
      <w:r w:rsidRPr="0093233C">
        <w:rPr>
          <w:lang w:val="en-GB"/>
        </w:rPr>
        <w:t>Further conditions to be met in order for the internal audit function to be able to carry out other key functions have been introduced. They entail managing conflicts of interest</w:t>
      </w:r>
      <w:r w:rsidR="00825AC3">
        <w:rPr>
          <w:lang w:val="en-GB"/>
        </w:rPr>
        <w:t xml:space="preserve"> within the function and that the costs of having a fully independent internal audit function would be disproportionate to the operations of the undertaking</w:t>
      </w:r>
      <w:r w:rsidR="0020703B">
        <w:rPr>
          <w:lang w:val="en-GB"/>
        </w:rPr>
        <w:t>.</w:t>
      </w:r>
    </w:p>
    <w:p w14:paraId="58D4D83C" w14:textId="41A09F8C" w:rsidR="00C24520" w:rsidRPr="002D067B" w:rsidRDefault="00825AC3" w:rsidP="002D067B">
      <w:pPr>
        <w:pStyle w:val="CEABullet-Level3"/>
        <w:rPr>
          <w:lang w:val="en-GB"/>
        </w:rPr>
      </w:pPr>
      <w:r w:rsidRPr="008B421B">
        <w:rPr>
          <w:lang w:val="en-GB"/>
        </w:rPr>
        <w:t>However</w:t>
      </w:r>
      <w:r w:rsidRPr="002D067B">
        <w:rPr>
          <w:lang w:val="en-GB"/>
        </w:rPr>
        <w:t>, The Delegated Acts do not bring clarity to as to how undertakings not having an independent internal audit function can ensure three lines of defence</w:t>
      </w:r>
      <w:r w:rsidR="0020703B" w:rsidRPr="002D067B">
        <w:rPr>
          <w:lang w:val="en-GB"/>
        </w:rPr>
        <w:t>.</w:t>
      </w:r>
    </w:p>
    <w:p w14:paraId="7653E55C" w14:textId="77777777" w:rsidR="006C32F5" w:rsidRPr="0093233C" w:rsidRDefault="006C32F5" w:rsidP="00B540C1">
      <w:pPr>
        <w:pStyle w:val="CEABullet-Level3"/>
        <w:numPr>
          <w:ilvl w:val="0"/>
          <w:numId w:val="0"/>
        </w:numPr>
        <w:ind w:left="1494"/>
        <w:rPr>
          <w:lang w:val="en-GB"/>
        </w:rPr>
      </w:pPr>
    </w:p>
    <w:p w14:paraId="0B74AB8A" w14:textId="5F746A7C" w:rsidR="00E57B85" w:rsidRPr="00E57B85" w:rsidRDefault="00C92F04" w:rsidP="00B540C1">
      <w:pPr>
        <w:pStyle w:val="CEABullet-Level2"/>
        <w:rPr>
          <w:lang w:val="en-GB"/>
        </w:rPr>
      </w:pPr>
      <w:r>
        <w:rPr>
          <w:lang w:val="en-GB"/>
        </w:rPr>
        <w:t>Public disclosure (</w:t>
      </w:r>
      <w:r w:rsidRPr="00C92F04">
        <w:rPr>
          <w:highlight w:val="red"/>
          <w:lang w:val="en-GB"/>
        </w:rPr>
        <w:t>negative</w:t>
      </w:r>
      <w:r>
        <w:rPr>
          <w:lang w:val="en-GB"/>
        </w:rPr>
        <w:t>)</w:t>
      </w:r>
    </w:p>
    <w:p w14:paraId="025BCE09" w14:textId="6C79DA96" w:rsidR="00177755" w:rsidRPr="006C32F5" w:rsidRDefault="00E57B85" w:rsidP="00B540C1">
      <w:pPr>
        <w:pStyle w:val="CEABullet-Level3"/>
        <w:rPr>
          <w:lang w:val="en-GB"/>
        </w:rPr>
      </w:pPr>
      <w:r w:rsidRPr="00E57B85">
        <w:rPr>
          <w:b/>
          <w:lang w:val="en-GB"/>
        </w:rPr>
        <w:t>Article 296</w:t>
      </w:r>
      <w:r>
        <w:rPr>
          <w:b/>
          <w:lang w:val="en-GB"/>
        </w:rPr>
        <w:t xml:space="preserve">: </w:t>
      </w:r>
      <w:r w:rsidRPr="00E57B85">
        <w:rPr>
          <w:lang w:val="en-GB"/>
        </w:rPr>
        <w:t>The text used to limit itself to stating that the quantification of the impact on the undertaking’s financial position of not applying the MA (</w:t>
      </w:r>
      <w:r w:rsidR="00862A0F">
        <w:rPr>
          <w:lang w:val="en-GB"/>
        </w:rPr>
        <w:t>Article</w:t>
      </w:r>
      <w:r w:rsidRPr="00E57B85">
        <w:rPr>
          <w:lang w:val="en-GB"/>
        </w:rPr>
        <w:t xml:space="preserve"> 77b</w:t>
      </w:r>
      <w:r w:rsidR="00862A0F">
        <w:rPr>
          <w:lang w:val="en-GB"/>
        </w:rPr>
        <w:t xml:space="preserve"> of the Directive</w:t>
      </w:r>
      <w:r w:rsidRPr="00E57B85">
        <w:rPr>
          <w:lang w:val="en-GB"/>
        </w:rPr>
        <w:t>), the VA (</w:t>
      </w:r>
      <w:r w:rsidR="00862A0F">
        <w:rPr>
          <w:lang w:val="en-GB"/>
        </w:rPr>
        <w:t xml:space="preserve">Article </w:t>
      </w:r>
      <w:r w:rsidRPr="00E57B85">
        <w:rPr>
          <w:lang w:val="en-GB"/>
        </w:rPr>
        <w:t>77d</w:t>
      </w:r>
      <w:r w:rsidR="00862A0F">
        <w:rPr>
          <w:lang w:val="en-GB"/>
        </w:rPr>
        <w:t xml:space="preserve"> of the Directive</w:t>
      </w:r>
      <w:r w:rsidRPr="00E57B85">
        <w:rPr>
          <w:lang w:val="en-GB"/>
        </w:rPr>
        <w:t>), the Transitional risk-free interest rate-term structure (</w:t>
      </w:r>
      <w:r w:rsidR="00862A0F">
        <w:rPr>
          <w:lang w:val="en-GB"/>
        </w:rPr>
        <w:t>Article</w:t>
      </w:r>
      <w:r w:rsidRPr="00E57B85">
        <w:rPr>
          <w:lang w:val="en-GB"/>
        </w:rPr>
        <w:t xml:space="preserve"> 308c</w:t>
      </w:r>
      <w:r w:rsidR="00862A0F">
        <w:rPr>
          <w:lang w:val="en-GB"/>
        </w:rPr>
        <w:t xml:space="preserve"> of the Directive</w:t>
      </w:r>
      <w:r w:rsidRPr="00E57B85">
        <w:rPr>
          <w:lang w:val="en-GB"/>
        </w:rPr>
        <w:t>) or the Transitional deduction (</w:t>
      </w:r>
      <w:r w:rsidR="00862A0F">
        <w:rPr>
          <w:lang w:val="en-GB"/>
        </w:rPr>
        <w:t>Article</w:t>
      </w:r>
      <w:r w:rsidRPr="00E57B85">
        <w:rPr>
          <w:lang w:val="en-GB"/>
        </w:rPr>
        <w:t xml:space="preserve"> 308d</w:t>
      </w:r>
      <w:r w:rsidR="00862A0F">
        <w:rPr>
          <w:lang w:val="en-GB"/>
        </w:rPr>
        <w:t xml:space="preserve"> of the Directive</w:t>
      </w:r>
      <w:r w:rsidRPr="00E57B85">
        <w:rPr>
          <w:lang w:val="en-GB"/>
        </w:rPr>
        <w:t>), should be reported</w:t>
      </w:r>
      <w:r w:rsidR="007140AA">
        <w:rPr>
          <w:lang w:val="en-GB"/>
        </w:rPr>
        <w:t xml:space="preserve">. It </w:t>
      </w:r>
      <w:r w:rsidRPr="00E57B85">
        <w:rPr>
          <w:lang w:val="en-GB"/>
        </w:rPr>
        <w:t xml:space="preserve">has been </w:t>
      </w:r>
      <w:r w:rsidR="00DD418C">
        <w:rPr>
          <w:lang w:val="en-GB"/>
        </w:rPr>
        <w:t xml:space="preserve">elaborated </w:t>
      </w:r>
      <w:r w:rsidRPr="00E57B85">
        <w:rPr>
          <w:lang w:val="en-GB"/>
        </w:rPr>
        <w:t xml:space="preserve">by </w:t>
      </w:r>
      <w:r w:rsidR="00DD418C">
        <w:rPr>
          <w:lang w:val="en-GB"/>
        </w:rPr>
        <w:t>appending</w:t>
      </w:r>
      <w:r w:rsidRPr="00E57B85">
        <w:rPr>
          <w:lang w:val="en-GB"/>
        </w:rPr>
        <w:t xml:space="preserve"> that the quantification of the impact on the undertaking’s financial position should include the amount of Technical Provisions, Solvency Capital Requirement (SCR), Minimum Capital Requirement (MCR), Basic Own Funds, Eligible Own Funds covering the MCR and the SCR.</w:t>
      </w:r>
    </w:p>
    <w:p w14:paraId="19909DDC" w14:textId="77777777" w:rsidR="00E57B85" w:rsidRPr="00822D2B" w:rsidRDefault="00E57B85" w:rsidP="00B540C1">
      <w:pPr>
        <w:pStyle w:val="CEABullet-Level1"/>
        <w:numPr>
          <w:ilvl w:val="0"/>
          <w:numId w:val="0"/>
        </w:numPr>
        <w:ind w:left="360"/>
        <w:rPr>
          <w:lang w:val="en-GB"/>
        </w:rPr>
      </w:pPr>
    </w:p>
    <w:p w14:paraId="1C27E2CE" w14:textId="70081D60" w:rsidR="00145AA3" w:rsidRPr="00E06E0F" w:rsidRDefault="00145AA3" w:rsidP="00B540C1">
      <w:pPr>
        <w:pStyle w:val="CEABullet-Level1"/>
        <w:rPr>
          <w:szCs w:val="17"/>
          <w:lang w:val="en-GB"/>
        </w:rPr>
      </w:pPr>
      <w:r w:rsidRPr="00E06E0F">
        <w:rPr>
          <w:szCs w:val="17"/>
          <w:lang w:val="en-GB"/>
        </w:rPr>
        <w:t>High-level remarks in the updated draft Delegated Acts of July 2014 are as follows:</w:t>
      </w:r>
    </w:p>
    <w:p w14:paraId="2E827263" w14:textId="7A791501" w:rsidR="00A145A2" w:rsidRDefault="00145AA3" w:rsidP="00B540C1">
      <w:pPr>
        <w:pStyle w:val="CEABullet-Level2"/>
        <w:rPr>
          <w:lang w:val="en-GB"/>
        </w:rPr>
      </w:pPr>
      <w:r w:rsidRPr="00E06E0F">
        <w:rPr>
          <w:lang w:val="en-GB"/>
        </w:rPr>
        <w:t xml:space="preserve">When criteria are listed in the Delegated Acts in order to fulfil a particular requirement, the Commission appears to have changed the wording to provide greater clarity and certainty to undertakings as to what is required resulting in more stringent requirements.  For </w:t>
      </w:r>
      <w:r w:rsidR="00177755">
        <w:rPr>
          <w:lang w:val="en-GB"/>
        </w:rPr>
        <w:t>instanc</w:t>
      </w:r>
      <w:r w:rsidRPr="00E06E0F">
        <w:rPr>
          <w:lang w:val="en-GB"/>
        </w:rPr>
        <w:t xml:space="preserve">e, changing “meets the following criteria” to “meets </w:t>
      </w:r>
      <w:r w:rsidRPr="00177755">
        <w:rPr>
          <w:i/>
          <w:u w:val="single"/>
          <w:lang w:val="en-GB"/>
        </w:rPr>
        <w:t>all of</w:t>
      </w:r>
      <w:r w:rsidRPr="00E06E0F">
        <w:rPr>
          <w:lang w:val="en-GB"/>
        </w:rPr>
        <w:t xml:space="preserve"> the following criteria”.</w:t>
      </w:r>
    </w:p>
    <w:p w14:paraId="0ADAA19C" w14:textId="77777777" w:rsidR="00A145A2" w:rsidRDefault="00A145A2" w:rsidP="00B540C1">
      <w:pPr>
        <w:pStyle w:val="CEABullet-Level3"/>
        <w:numPr>
          <w:ilvl w:val="0"/>
          <w:numId w:val="0"/>
        </w:numPr>
        <w:rPr>
          <w:lang w:val="en-GB"/>
        </w:rPr>
      </w:pPr>
    </w:p>
    <w:p w14:paraId="1C3B1D77" w14:textId="77777777" w:rsidR="001D22BB" w:rsidRPr="00A145A2" w:rsidRDefault="001D22BB" w:rsidP="00B540C1">
      <w:pPr>
        <w:pStyle w:val="CEABullet-Level3"/>
        <w:numPr>
          <w:ilvl w:val="0"/>
          <w:numId w:val="0"/>
        </w:numPr>
        <w:rPr>
          <w:lang w:val="en-GB"/>
        </w:rPr>
      </w:pPr>
    </w:p>
    <w:p w14:paraId="0FCA9E40" w14:textId="33141052" w:rsidR="00BD7376" w:rsidRPr="00320842" w:rsidRDefault="00BD7376" w:rsidP="00B540C1">
      <w:pPr>
        <w:pStyle w:val="CEABullet-Level3"/>
        <w:numPr>
          <w:ilvl w:val="0"/>
          <w:numId w:val="0"/>
        </w:numPr>
        <w:rPr>
          <w:lang w:val="en-GB"/>
        </w:rPr>
      </w:pPr>
    </w:p>
    <w:p w14:paraId="6D5867A8" w14:textId="6887D510" w:rsidR="00A477B8" w:rsidRPr="00C90332" w:rsidRDefault="00A477B8" w:rsidP="00B540C1">
      <w:pPr>
        <w:pStyle w:val="CEABullet-Level3"/>
        <w:numPr>
          <w:ilvl w:val="0"/>
          <w:numId w:val="0"/>
        </w:numPr>
        <w:ind w:left="1494" w:hanging="360"/>
        <w:rPr>
          <w:szCs w:val="17"/>
          <w:lang w:val="en-GB"/>
        </w:rPr>
      </w:pPr>
    </w:p>
    <w:sectPr w:rsidR="00A477B8" w:rsidRPr="00C90332" w:rsidSect="00A55792">
      <w:headerReference w:type="default" r:id="rId14"/>
      <w:type w:val="continuous"/>
      <w:pgSz w:w="11907" w:h="16839" w:code="9"/>
      <w:pgMar w:top="2410" w:right="902" w:bottom="1418" w:left="1418" w:header="1276" w:footer="39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Ecofin" w:date="2014-10-15T18:09:00Z" w:initials="ECO">
    <w:p w14:paraId="704E3B14" w14:textId="55218EBC" w:rsidR="00191ED0" w:rsidRPr="005A3D79" w:rsidRDefault="00191ED0" w:rsidP="005A3D79">
      <w:pPr>
        <w:pStyle w:val="CEABullet-Level3"/>
        <w:numPr>
          <w:ilvl w:val="0"/>
          <w:numId w:val="0"/>
        </w:numPr>
        <w:rPr>
          <w:lang w:val="en-GB"/>
        </w:rPr>
      </w:pPr>
      <w:r>
        <w:rPr>
          <w:rStyle w:val="CommentReference"/>
        </w:rPr>
        <w:annotationRef/>
      </w:r>
      <w:r w:rsidRPr="00191ED0">
        <w:rPr>
          <w:highlight w:val="yellow"/>
          <w:lang w:val="en-GB"/>
        </w:rPr>
        <w:t>Do members consider that this change can have a negative impact</w:t>
      </w:r>
      <w:r>
        <w:rPr>
          <w:highlight w:val="yellow"/>
          <w:lang w:val="en-GB"/>
        </w:rPr>
        <w:t xml:space="preserve"> to the definition of the risk-corrected currency spread also </w:t>
      </w:r>
      <w:r w:rsidR="005A3D79">
        <w:rPr>
          <w:highlight w:val="yellow"/>
          <w:lang w:val="en-GB"/>
        </w:rPr>
        <w:t>with regards</w:t>
      </w:r>
      <w:r>
        <w:rPr>
          <w:highlight w:val="yellow"/>
          <w:lang w:val="en-GB"/>
        </w:rPr>
        <w:t xml:space="preserve"> to</w:t>
      </w:r>
      <w:r w:rsidR="005A3D79">
        <w:rPr>
          <w:highlight w:val="yellow"/>
          <w:lang w:val="en-GB"/>
        </w:rPr>
        <w:t xml:space="preserve"> the wording used</w:t>
      </w:r>
      <w:r>
        <w:rPr>
          <w:highlight w:val="yellow"/>
          <w:lang w:val="en-GB"/>
        </w:rPr>
        <w:t xml:space="preserve"> the Directive</w:t>
      </w:r>
      <w:r w:rsidRPr="00191ED0">
        <w:rPr>
          <w:highlight w:val="yellow"/>
          <w:lang w:val="en-GB"/>
        </w:rPr>
        <w:t>?</w:t>
      </w:r>
      <w:r>
        <w:rPr>
          <w:lang w:val="en-GB"/>
        </w:rPr>
        <w:t xml:space="preserve"> </w:t>
      </w:r>
    </w:p>
  </w:comment>
  <w:comment w:id="2" w:author="APS" w:date="2014-09-11T18:38:00Z" w:initials="ECO">
    <w:p w14:paraId="3B8C1217" w14:textId="2E4727C0" w:rsidR="004B6617" w:rsidRDefault="004B6617">
      <w:pPr>
        <w:pStyle w:val="CommentText"/>
      </w:pPr>
      <w:r>
        <w:rPr>
          <w:rStyle w:val="CommentReference"/>
        </w:rPr>
        <w:annotationRef/>
      </w:r>
      <w:r>
        <w:t>The intention seems positive but there appears to be a typo as in either case, the amount related to Life is always applied (even when life premiums are &lt;10%)</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B47C17" w14:textId="77777777" w:rsidR="004B6617" w:rsidRDefault="004B6617">
      <w:r>
        <w:separator/>
      </w:r>
    </w:p>
    <w:p w14:paraId="0709787E" w14:textId="77777777" w:rsidR="004B6617" w:rsidRDefault="004B6617"/>
  </w:endnote>
  <w:endnote w:type="continuationSeparator" w:id="0">
    <w:p w14:paraId="3221FD02" w14:textId="77777777" w:rsidR="004B6617" w:rsidRDefault="004B6617">
      <w:r>
        <w:continuationSeparator/>
      </w:r>
    </w:p>
    <w:p w14:paraId="5CF40BF8" w14:textId="77777777" w:rsidR="004B6617" w:rsidRDefault="004B6617"/>
  </w:endnote>
  <w:endnote w:type="continuationNotice" w:id="1">
    <w:p w14:paraId="45EDF7F8" w14:textId="77777777" w:rsidR="004B6617" w:rsidRDefault="004B66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Frutiger LT Com 45 Light">
    <w:altName w:val="Corbel"/>
    <w:charset w:val="00"/>
    <w:family w:val="swiss"/>
    <w:pitch w:val="variable"/>
    <w:sig w:usb0="00000001" w:usb1="5000204A" w:usb2="00000000" w:usb3="00000000" w:csb0="0000009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131E6F" w14:textId="77777777" w:rsidR="004B6617" w:rsidRDefault="004B6617">
      <w:r>
        <w:separator/>
      </w:r>
    </w:p>
    <w:p w14:paraId="28838049" w14:textId="77777777" w:rsidR="004B6617" w:rsidRDefault="004B6617"/>
  </w:footnote>
  <w:footnote w:type="continuationSeparator" w:id="0">
    <w:p w14:paraId="5E60C9C4" w14:textId="77777777" w:rsidR="004B6617" w:rsidRDefault="004B6617">
      <w:r>
        <w:continuationSeparator/>
      </w:r>
    </w:p>
    <w:p w14:paraId="422951D3" w14:textId="77777777" w:rsidR="004B6617" w:rsidRDefault="004B6617"/>
  </w:footnote>
  <w:footnote w:type="continuationNotice" w:id="1">
    <w:p w14:paraId="74D695A5" w14:textId="77777777" w:rsidR="004B6617" w:rsidRDefault="004B6617">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650A50" w14:textId="77777777" w:rsidR="004B6617" w:rsidRPr="00CD51F6" w:rsidRDefault="004B6617" w:rsidP="000846C0">
    <w:pPr>
      <w:pStyle w:val="Noparagraphstyle"/>
      <w:jc w:val="right"/>
      <w:rPr>
        <w:rFonts w:ascii="Arial" w:hAnsi="Arial" w:cs="Arial"/>
        <w:i/>
        <w:iCs/>
        <w:color w:val="034EA2"/>
      </w:rPr>
    </w:pPr>
    <w:r>
      <w:tab/>
    </w:r>
  </w:p>
  <w:p w14:paraId="0B49607A" w14:textId="3A4DCE95" w:rsidR="004B6617" w:rsidRPr="007349E1" w:rsidRDefault="004B6617" w:rsidP="007349E1">
    <w:pPr>
      <w:pStyle w:val="Header"/>
      <w:tabs>
        <w:tab w:val="clear" w:pos="4320"/>
        <w:tab w:val="clear" w:pos="8640"/>
        <w:tab w:val="center" w:pos="0"/>
        <w:tab w:val="right" w:pos="10440"/>
      </w:tabs>
      <w:rPr>
        <w:b/>
        <w:sz w:val="40"/>
        <w:szCs w:val="40"/>
      </w:rPr>
    </w:pPr>
    <w:r>
      <w:rPr>
        <w:noProof/>
        <w:lang w:eastAsia="en-GB"/>
      </w:rPr>
      <w:drawing>
        <wp:anchor distT="0" distB="0" distL="114300" distR="114300" simplePos="0" relativeHeight="251658240" behindDoc="0" locked="0" layoutInCell="1" allowOverlap="1" wp14:anchorId="3C47EE03" wp14:editId="750E227B">
          <wp:simplePos x="0" y="0"/>
          <wp:positionH relativeFrom="page">
            <wp:posOffset>525145</wp:posOffset>
          </wp:positionH>
          <wp:positionV relativeFrom="page">
            <wp:posOffset>525145</wp:posOffset>
          </wp:positionV>
          <wp:extent cx="1459865" cy="894715"/>
          <wp:effectExtent l="0" t="0" r="6985" b="635"/>
          <wp:wrapSquare wrapText="bothSides"/>
          <wp:docPr id="2" name="Picture 11" descr="CEA+baseline_RVB_200dpi(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EA+baseline_RVB_200dpi(p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9865" cy="8947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in;height:422.2pt" o:bullet="t">
        <v:imagedata r:id="rId1" o:title="bullet_blueCEA"/>
      </v:shape>
    </w:pict>
  </w:numPicBullet>
  <w:numPicBullet w:numPicBulletId="1">
    <w:pict>
      <v:shape id="_x0000_i1027" type="#_x0000_t75" style="width:7in;height:422.2pt" o:bullet="t">
        <v:imagedata r:id="rId2" o:title="clip_image001"/>
      </v:shape>
    </w:pict>
  </w:numPicBullet>
  <w:numPicBullet w:numPicBulletId="2">
    <w:pict>
      <v:shape id="_x0000_i1028" type="#_x0000_t75" style="width:7in;height:422.2pt" o:bullet="t">
        <v:imagedata r:id="rId3" o:title="clip_image002"/>
      </v:shape>
    </w:pict>
  </w:numPicBullet>
  <w:numPicBullet w:numPicBulletId="3">
    <w:pict>
      <v:shape id="_x0000_i1029" type="#_x0000_t75" style="width:7in;height:422.2pt" o:bullet="t">
        <v:imagedata r:id="rId4" o:title="clip_image003"/>
      </v:shape>
    </w:pict>
  </w:numPicBullet>
  <w:numPicBullet w:numPicBulletId="4">
    <w:pict>
      <v:shape id="_x0000_i1030" type="#_x0000_t75" style="width:11.8pt;height:11.8pt" o:bullet="t">
        <v:imagedata r:id="rId5" o:title="CEA - Bullets Rounded Squares_BulletLevel1_forMS"/>
      </v:shape>
    </w:pict>
  </w:numPicBullet>
  <w:numPicBullet w:numPicBulletId="5">
    <w:pict>
      <v:shape id="_x0000_i1031" type="#_x0000_t75" style="width:9.15pt;height:8.5pt" o:bullet="t">
        <v:imagedata r:id="rId6" o:title="CEA - Bullets Rounded Squares_BulletLevel3_forMS"/>
      </v:shape>
    </w:pict>
  </w:numPicBullet>
  <w:numPicBullet w:numPicBulletId="6">
    <w:pict>
      <v:shape id="_x0000_i1032" type="#_x0000_t75" style="width:7.85pt;height:7.85pt" o:bullet="t">
        <v:imagedata r:id="rId7" o:title="CEA - Bullets Rounded Squares_BulletLevel2_forMS"/>
      </v:shape>
    </w:pict>
  </w:numPicBullet>
  <w:abstractNum w:abstractNumId="0">
    <w:nsid w:val="FFFFFF7C"/>
    <w:multiLevelType w:val="singleLevel"/>
    <w:tmpl w:val="DCA655B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D9007F2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D4E3424"/>
    <w:lvl w:ilvl="0">
      <w:start w:val="1"/>
      <w:numFmt w:val="decimal"/>
      <w:pStyle w:val="ListNumber3"/>
      <w:lvlText w:val="%1."/>
      <w:lvlJc w:val="left"/>
      <w:pPr>
        <w:tabs>
          <w:tab w:val="num" w:pos="926"/>
        </w:tabs>
        <w:ind w:left="926" w:hanging="360"/>
      </w:pPr>
    </w:lvl>
  </w:abstractNum>
  <w:abstractNum w:abstractNumId="3">
    <w:nsid w:val="FFFFFF7F"/>
    <w:multiLevelType w:val="singleLevel"/>
    <w:tmpl w:val="1EACF058"/>
    <w:lvl w:ilvl="0">
      <w:start w:val="1"/>
      <w:numFmt w:val="decimal"/>
      <w:pStyle w:val="ListNumber2"/>
      <w:lvlText w:val="%1."/>
      <w:lvlJc w:val="left"/>
      <w:pPr>
        <w:tabs>
          <w:tab w:val="num" w:pos="643"/>
        </w:tabs>
        <w:ind w:left="643" w:hanging="360"/>
      </w:pPr>
    </w:lvl>
  </w:abstractNum>
  <w:abstractNum w:abstractNumId="4">
    <w:nsid w:val="FFFFFF80"/>
    <w:multiLevelType w:val="singleLevel"/>
    <w:tmpl w:val="C3960D8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3F0DB7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0AAEBC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7E4C5E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F807E5C"/>
    <w:lvl w:ilvl="0">
      <w:start w:val="1"/>
      <w:numFmt w:val="decimal"/>
      <w:pStyle w:val="ListNumber"/>
      <w:lvlText w:val="%1."/>
      <w:lvlJc w:val="left"/>
      <w:pPr>
        <w:tabs>
          <w:tab w:val="num" w:pos="360"/>
        </w:tabs>
        <w:ind w:left="360" w:hanging="360"/>
      </w:pPr>
    </w:lvl>
  </w:abstractNum>
  <w:abstractNum w:abstractNumId="9">
    <w:nsid w:val="FFFFFF89"/>
    <w:multiLevelType w:val="singleLevel"/>
    <w:tmpl w:val="4B14C1D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735C3E"/>
    <w:multiLevelType w:val="hybridMultilevel"/>
    <w:tmpl w:val="B184C4FE"/>
    <w:lvl w:ilvl="0" w:tplc="08090001">
      <w:start w:val="1"/>
      <w:numFmt w:val="bullet"/>
      <w:lvlText w:val=""/>
      <w:lvlJc w:val="left"/>
      <w:pPr>
        <w:ind w:left="720" w:hanging="360"/>
      </w:pPr>
      <w:rPr>
        <w:rFonts w:ascii="Symbol" w:hAnsi="Symbol" w:hint="default"/>
      </w:rPr>
    </w:lvl>
    <w:lvl w:ilvl="1" w:tplc="9ADA1AAC">
      <w:numFmt w:val="bullet"/>
      <w:lvlText w:val="–"/>
      <w:lvlJc w:val="left"/>
      <w:pPr>
        <w:ind w:left="1440" w:hanging="360"/>
      </w:pPr>
      <w:rPr>
        <w:rFonts w:ascii="Verdana" w:eastAsia="Calibri" w:hAnsi="Verdana"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DFF1370"/>
    <w:multiLevelType w:val="hybridMultilevel"/>
    <w:tmpl w:val="3DE02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054071E"/>
    <w:multiLevelType w:val="hybridMultilevel"/>
    <w:tmpl w:val="EBE65710"/>
    <w:lvl w:ilvl="0" w:tplc="A0240652">
      <w:start w:val="165"/>
      <w:numFmt w:val="bullet"/>
      <w:pStyle w:val="CEABullet-Level2"/>
      <w:lvlText w:val=""/>
      <w:lvlPicBulletId w:val="6"/>
      <w:lvlJc w:val="left"/>
      <w:pPr>
        <w:ind w:left="720" w:hanging="360"/>
      </w:pPr>
      <w:rPr>
        <w:rFonts w:ascii="Symbol" w:hAnsi="Symbol" w:hint="default"/>
        <w:color w:val="auto"/>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nsid w:val="1675360B"/>
    <w:multiLevelType w:val="hybridMultilevel"/>
    <w:tmpl w:val="077A25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1C9E17D3"/>
    <w:multiLevelType w:val="hybridMultilevel"/>
    <w:tmpl w:val="6066B4EE"/>
    <w:lvl w:ilvl="0" w:tplc="984C0A66">
      <w:numFmt w:val="bullet"/>
      <w:lvlText w:val="-"/>
      <w:lvlJc w:val="left"/>
      <w:pPr>
        <w:ind w:left="2628" w:hanging="360"/>
      </w:pPr>
      <w:rPr>
        <w:rFonts w:ascii="Verdana" w:eastAsia="Times New Roman" w:hAnsi="Verdana" w:cs="Arial" w:hint="default"/>
      </w:rPr>
    </w:lvl>
    <w:lvl w:ilvl="1" w:tplc="08090003" w:tentative="1">
      <w:start w:val="1"/>
      <w:numFmt w:val="bullet"/>
      <w:lvlText w:val="o"/>
      <w:lvlJc w:val="left"/>
      <w:pPr>
        <w:ind w:left="3348" w:hanging="360"/>
      </w:pPr>
      <w:rPr>
        <w:rFonts w:ascii="Courier New" w:hAnsi="Courier New" w:cs="Courier New" w:hint="default"/>
      </w:rPr>
    </w:lvl>
    <w:lvl w:ilvl="2" w:tplc="08090005" w:tentative="1">
      <w:start w:val="1"/>
      <w:numFmt w:val="bullet"/>
      <w:lvlText w:val=""/>
      <w:lvlJc w:val="left"/>
      <w:pPr>
        <w:ind w:left="4068" w:hanging="360"/>
      </w:pPr>
      <w:rPr>
        <w:rFonts w:ascii="Wingdings" w:hAnsi="Wingdings" w:hint="default"/>
      </w:rPr>
    </w:lvl>
    <w:lvl w:ilvl="3" w:tplc="08090001" w:tentative="1">
      <w:start w:val="1"/>
      <w:numFmt w:val="bullet"/>
      <w:lvlText w:val=""/>
      <w:lvlJc w:val="left"/>
      <w:pPr>
        <w:ind w:left="4788" w:hanging="360"/>
      </w:pPr>
      <w:rPr>
        <w:rFonts w:ascii="Symbol" w:hAnsi="Symbol" w:hint="default"/>
      </w:rPr>
    </w:lvl>
    <w:lvl w:ilvl="4" w:tplc="08090003" w:tentative="1">
      <w:start w:val="1"/>
      <w:numFmt w:val="bullet"/>
      <w:lvlText w:val="o"/>
      <w:lvlJc w:val="left"/>
      <w:pPr>
        <w:ind w:left="5508" w:hanging="360"/>
      </w:pPr>
      <w:rPr>
        <w:rFonts w:ascii="Courier New" w:hAnsi="Courier New" w:cs="Courier New" w:hint="default"/>
      </w:rPr>
    </w:lvl>
    <w:lvl w:ilvl="5" w:tplc="08090005" w:tentative="1">
      <w:start w:val="1"/>
      <w:numFmt w:val="bullet"/>
      <w:lvlText w:val=""/>
      <w:lvlJc w:val="left"/>
      <w:pPr>
        <w:ind w:left="6228" w:hanging="360"/>
      </w:pPr>
      <w:rPr>
        <w:rFonts w:ascii="Wingdings" w:hAnsi="Wingdings" w:hint="default"/>
      </w:rPr>
    </w:lvl>
    <w:lvl w:ilvl="6" w:tplc="08090001" w:tentative="1">
      <w:start w:val="1"/>
      <w:numFmt w:val="bullet"/>
      <w:lvlText w:val=""/>
      <w:lvlJc w:val="left"/>
      <w:pPr>
        <w:ind w:left="6948" w:hanging="360"/>
      </w:pPr>
      <w:rPr>
        <w:rFonts w:ascii="Symbol" w:hAnsi="Symbol" w:hint="default"/>
      </w:rPr>
    </w:lvl>
    <w:lvl w:ilvl="7" w:tplc="08090003" w:tentative="1">
      <w:start w:val="1"/>
      <w:numFmt w:val="bullet"/>
      <w:lvlText w:val="o"/>
      <w:lvlJc w:val="left"/>
      <w:pPr>
        <w:ind w:left="7668" w:hanging="360"/>
      </w:pPr>
      <w:rPr>
        <w:rFonts w:ascii="Courier New" w:hAnsi="Courier New" w:cs="Courier New" w:hint="default"/>
      </w:rPr>
    </w:lvl>
    <w:lvl w:ilvl="8" w:tplc="08090005" w:tentative="1">
      <w:start w:val="1"/>
      <w:numFmt w:val="bullet"/>
      <w:lvlText w:val=""/>
      <w:lvlJc w:val="left"/>
      <w:pPr>
        <w:ind w:left="8388" w:hanging="360"/>
      </w:pPr>
      <w:rPr>
        <w:rFonts w:ascii="Wingdings" w:hAnsi="Wingdings" w:hint="default"/>
      </w:rPr>
    </w:lvl>
  </w:abstractNum>
  <w:abstractNum w:abstractNumId="15">
    <w:nsid w:val="214352A0"/>
    <w:multiLevelType w:val="hybridMultilevel"/>
    <w:tmpl w:val="FD9E20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nsid w:val="25573D5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nsid w:val="25E1552B"/>
    <w:multiLevelType w:val="hybridMultilevel"/>
    <w:tmpl w:val="D71E36BA"/>
    <w:lvl w:ilvl="0" w:tplc="123AC024">
      <w:start w:val="1"/>
      <w:numFmt w:val="bullet"/>
      <w:lvlText w:val="-"/>
      <w:lvlJc w:val="left"/>
      <w:pPr>
        <w:ind w:left="1080" w:hanging="360"/>
      </w:pPr>
      <w:rPr>
        <w:rFonts w:ascii="Calibri" w:eastAsia="Calibri" w:hAnsi="Calibri" w:cs="Times New Roman" w:hint="default"/>
      </w:rPr>
    </w:lvl>
    <w:lvl w:ilvl="1" w:tplc="04070003">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start w:val="1"/>
      <w:numFmt w:val="bullet"/>
      <w:lvlText w:val="?"/>
      <w:lvlJc w:val="left"/>
      <w:pPr>
        <w:ind w:left="3240" w:hanging="360"/>
      </w:pPr>
      <w:rPr>
        <w:rFonts w:ascii="Symbol" w:hAnsi="Symbol" w:hint="default"/>
      </w:rPr>
    </w:lvl>
    <w:lvl w:ilvl="4" w:tplc="04070003">
      <w:start w:val="1"/>
      <w:numFmt w:val="bullet"/>
      <w:lvlText w:val="o"/>
      <w:lvlJc w:val="left"/>
      <w:pPr>
        <w:ind w:left="3960" w:hanging="360"/>
      </w:pPr>
      <w:rPr>
        <w:rFonts w:ascii="Courier New" w:hAnsi="Courier New" w:cs="Courier New" w:hint="default"/>
      </w:rPr>
    </w:lvl>
    <w:lvl w:ilvl="5" w:tplc="04070005">
      <w:start w:val="1"/>
      <w:numFmt w:val="bullet"/>
      <w:lvlText w:val="?"/>
      <w:lvlJc w:val="left"/>
      <w:pPr>
        <w:ind w:left="4680" w:hanging="360"/>
      </w:pPr>
      <w:rPr>
        <w:rFonts w:ascii="Wingdings" w:hAnsi="Wingdings" w:hint="default"/>
      </w:rPr>
    </w:lvl>
    <w:lvl w:ilvl="6" w:tplc="04070001">
      <w:start w:val="1"/>
      <w:numFmt w:val="bullet"/>
      <w:lvlText w:val="?"/>
      <w:lvlJc w:val="left"/>
      <w:pPr>
        <w:ind w:left="5400" w:hanging="360"/>
      </w:pPr>
      <w:rPr>
        <w:rFonts w:ascii="Symbol" w:hAnsi="Symbol" w:hint="default"/>
      </w:rPr>
    </w:lvl>
    <w:lvl w:ilvl="7" w:tplc="04070003">
      <w:start w:val="1"/>
      <w:numFmt w:val="bullet"/>
      <w:lvlText w:val="o"/>
      <w:lvlJc w:val="left"/>
      <w:pPr>
        <w:ind w:left="6120" w:hanging="360"/>
      </w:pPr>
      <w:rPr>
        <w:rFonts w:ascii="Courier New" w:hAnsi="Courier New" w:cs="Courier New" w:hint="default"/>
      </w:rPr>
    </w:lvl>
    <w:lvl w:ilvl="8" w:tplc="04070005">
      <w:start w:val="1"/>
      <w:numFmt w:val="bullet"/>
      <w:lvlText w:val="?"/>
      <w:lvlJc w:val="left"/>
      <w:pPr>
        <w:ind w:left="6840" w:hanging="360"/>
      </w:pPr>
      <w:rPr>
        <w:rFonts w:ascii="Wingdings" w:hAnsi="Wingdings" w:hint="default"/>
      </w:rPr>
    </w:lvl>
  </w:abstractNum>
  <w:abstractNum w:abstractNumId="18">
    <w:nsid w:val="287677F8"/>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410C2EA2"/>
    <w:multiLevelType w:val="hybridMultilevel"/>
    <w:tmpl w:val="706079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431D729D"/>
    <w:multiLevelType w:val="hybridMultilevel"/>
    <w:tmpl w:val="37E6D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47E4D85"/>
    <w:multiLevelType w:val="hybridMultilevel"/>
    <w:tmpl w:val="36024468"/>
    <w:lvl w:ilvl="0" w:tplc="37180294">
      <w:start w:val="165"/>
      <w:numFmt w:val="bullet"/>
      <w:pStyle w:val="CEABullet-Level3"/>
      <w:lvlText w:val=""/>
      <w:lvlPicBulletId w:val="5"/>
      <w:lvlJc w:val="left"/>
      <w:pPr>
        <w:ind w:left="1494" w:hanging="360"/>
      </w:pPr>
      <w:rPr>
        <w:rFonts w:ascii="Symbol" w:hAnsi="Symbol" w:hint="default"/>
        <w:color w:val="auto"/>
      </w:rPr>
    </w:lvl>
    <w:lvl w:ilvl="1" w:tplc="080C0003">
      <w:start w:val="1"/>
      <w:numFmt w:val="bullet"/>
      <w:lvlText w:val="o"/>
      <w:lvlJc w:val="left"/>
      <w:pPr>
        <w:ind w:left="2214" w:hanging="360"/>
      </w:pPr>
      <w:rPr>
        <w:rFonts w:ascii="Courier New" w:hAnsi="Courier New" w:cs="Courier New" w:hint="default"/>
      </w:rPr>
    </w:lvl>
    <w:lvl w:ilvl="2" w:tplc="080C0005" w:tentative="1">
      <w:start w:val="1"/>
      <w:numFmt w:val="bullet"/>
      <w:lvlText w:val=""/>
      <w:lvlJc w:val="left"/>
      <w:pPr>
        <w:ind w:left="2934" w:hanging="360"/>
      </w:pPr>
      <w:rPr>
        <w:rFonts w:ascii="Wingdings" w:hAnsi="Wingdings" w:hint="default"/>
      </w:rPr>
    </w:lvl>
    <w:lvl w:ilvl="3" w:tplc="080C0001" w:tentative="1">
      <w:start w:val="1"/>
      <w:numFmt w:val="bullet"/>
      <w:lvlText w:val=""/>
      <w:lvlJc w:val="left"/>
      <w:pPr>
        <w:ind w:left="3654" w:hanging="360"/>
      </w:pPr>
      <w:rPr>
        <w:rFonts w:ascii="Symbol" w:hAnsi="Symbol" w:hint="default"/>
      </w:rPr>
    </w:lvl>
    <w:lvl w:ilvl="4" w:tplc="080C0003" w:tentative="1">
      <w:start w:val="1"/>
      <w:numFmt w:val="bullet"/>
      <w:lvlText w:val="o"/>
      <w:lvlJc w:val="left"/>
      <w:pPr>
        <w:ind w:left="4374" w:hanging="360"/>
      </w:pPr>
      <w:rPr>
        <w:rFonts w:ascii="Courier New" w:hAnsi="Courier New" w:cs="Courier New" w:hint="default"/>
      </w:rPr>
    </w:lvl>
    <w:lvl w:ilvl="5" w:tplc="080C0005" w:tentative="1">
      <w:start w:val="1"/>
      <w:numFmt w:val="bullet"/>
      <w:lvlText w:val=""/>
      <w:lvlJc w:val="left"/>
      <w:pPr>
        <w:ind w:left="5094" w:hanging="360"/>
      </w:pPr>
      <w:rPr>
        <w:rFonts w:ascii="Wingdings" w:hAnsi="Wingdings" w:hint="default"/>
      </w:rPr>
    </w:lvl>
    <w:lvl w:ilvl="6" w:tplc="080C0001" w:tentative="1">
      <w:start w:val="1"/>
      <w:numFmt w:val="bullet"/>
      <w:lvlText w:val=""/>
      <w:lvlJc w:val="left"/>
      <w:pPr>
        <w:ind w:left="5814" w:hanging="360"/>
      </w:pPr>
      <w:rPr>
        <w:rFonts w:ascii="Symbol" w:hAnsi="Symbol" w:hint="default"/>
      </w:rPr>
    </w:lvl>
    <w:lvl w:ilvl="7" w:tplc="080C0003" w:tentative="1">
      <w:start w:val="1"/>
      <w:numFmt w:val="bullet"/>
      <w:lvlText w:val="o"/>
      <w:lvlJc w:val="left"/>
      <w:pPr>
        <w:ind w:left="6534" w:hanging="360"/>
      </w:pPr>
      <w:rPr>
        <w:rFonts w:ascii="Courier New" w:hAnsi="Courier New" w:cs="Courier New" w:hint="default"/>
      </w:rPr>
    </w:lvl>
    <w:lvl w:ilvl="8" w:tplc="080C0005" w:tentative="1">
      <w:start w:val="1"/>
      <w:numFmt w:val="bullet"/>
      <w:lvlText w:val=""/>
      <w:lvlJc w:val="left"/>
      <w:pPr>
        <w:ind w:left="7254" w:hanging="360"/>
      </w:pPr>
      <w:rPr>
        <w:rFonts w:ascii="Wingdings" w:hAnsi="Wingdings" w:hint="default"/>
      </w:rPr>
    </w:lvl>
  </w:abstractNum>
  <w:abstractNum w:abstractNumId="22">
    <w:nsid w:val="45993CE7"/>
    <w:multiLevelType w:val="hybridMultilevel"/>
    <w:tmpl w:val="5E5428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48AC4080"/>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BFC578B"/>
    <w:multiLevelType w:val="hybridMultilevel"/>
    <w:tmpl w:val="60D674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nsid w:val="4D37700A"/>
    <w:multiLevelType w:val="hybridMultilevel"/>
    <w:tmpl w:val="10DAC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nsid w:val="61333C52"/>
    <w:multiLevelType w:val="hybridMultilevel"/>
    <w:tmpl w:val="9A3EDF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62A23838"/>
    <w:multiLevelType w:val="hybridMultilevel"/>
    <w:tmpl w:val="0E3EC6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nsid w:val="64E61F7B"/>
    <w:multiLevelType w:val="hybridMultilevel"/>
    <w:tmpl w:val="80BAD5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nsid w:val="699E2B88"/>
    <w:multiLevelType w:val="hybridMultilevel"/>
    <w:tmpl w:val="636CBA02"/>
    <w:lvl w:ilvl="0" w:tplc="2CF65F2A">
      <w:start w:val="165"/>
      <w:numFmt w:val="bullet"/>
      <w:pStyle w:val="CEABullet-Level1"/>
      <w:lvlText w:val=""/>
      <w:lvlPicBulletId w:val="4"/>
      <w:lvlJc w:val="left"/>
      <w:pPr>
        <w:ind w:left="360" w:hanging="360"/>
      </w:pPr>
      <w:rPr>
        <w:rFonts w:ascii="Symbol" w:hAnsi="Symbol"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nsid w:val="6F8921CA"/>
    <w:multiLevelType w:val="hybridMultilevel"/>
    <w:tmpl w:val="F34077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nsid w:val="71EC498D"/>
    <w:multiLevelType w:val="hybridMultilevel"/>
    <w:tmpl w:val="F4BA2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nsid w:val="75742E38"/>
    <w:multiLevelType w:val="hybridMultilevel"/>
    <w:tmpl w:val="6E2ACC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6"/>
  </w:num>
  <w:num w:numId="12">
    <w:abstractNumId w:val="23"/>
  </w:num>
  <w:num w:numId="13">
    <w:abstractNumId w:val="18"/>
  </w:num>
  <w:num w:numId="14">
    <w:abstractNumId w:val="29"/>
  </w:num>
  <w:num w:numId="15">
    <w:abstractNumId w:val="21"/>
  </w:num>
  <w:num w:numId="16">
    <w:abstractNumId w:val="12"/>
  </w:num>
  <w:num w:numId="17">
    <w:abstractNumId w:val="26"/>
  </w:num>
  <w:num w:numId="18">
    <w:abstractNumId w:val="32"/>
  </w:num>
  <w:num w:numId="19">
    <w:abstractNumId w:val="25"/>
  </w:num>
  <w:num w:numId="20">
    <w:abstractNumId w:val="30"/>
  </w:num>
  <w:num w:numId="21">
    <w:abstractNumId w:val="24"/>
  </w:num>
  <w:num w:numId="22">
    <w:abstractNumId w:val="19"/>
  </w:num>
  <w:num w:numId="23">
    <w:abstractNumId w:val="12"/>
  </w:num>
  <w:num w:numId="24">
    <w:abstractNumId w:val="22"/>
  </w:num>
  <w:num w:numId="25">
    <w:abstractNumId w:val="27"/>
  </w:num>
  <w:num w:numId="26">
    <w:abstractNumId w:val="28"/>
  </w:num>
  <w:num w:numId="27">
    <w:abstractNumId w:val="21"/>
  </w:num>
  <w:num w:numId="28">
    <w:abstractNumId w:val="21"/>
  </w:num>
  <w:num w:numId="29">
    <w:abstractNumId w:val="10"/>
  </w:num>
  <w:num w:numId="30">
    <w:abstractNumId w:val="11"/>
  </w:num>
  <w:num w:numId="31">
    <w:abstractNumId w:val="20"/>
  </w:num>
  <w:num w:numId="32">
    <w:abstractNumId w:val="13"/>
  </w:num>
  <w:num w:numId="33">
    <w:abstractNumId w:val="31"/>
  </w:num>
  <w:num w:numId="34">
    <w:abstractNumId w:val="15"/>
  </w:num>
  <w:num w:numId="35">
    <w:abstractNumId w:val="12"/>
  </w:num>
  <w:num w:numId="36">
    <w:abstractNumId w:val="12"/>
  </w:num>
  <w:num w:numId="37">
    <w:abstractNumId w:val="29"/>
  </w:num>
  <w:num w:numId="38">
    <w:abstractNumId w:val="29"/>
  </w:num>
  <w:num w:numId="39">
    <w:abstractNumId w:val="29"/>
  </w:num>
  <w:num w:numId="40">
    <w:abstractNumId w:val="12"/>
  </w:num>
  <w:num w:numId="41">
    <w:abstractNumId w:val="17"/>
  </w:num>
  <w:num w:numId="42">
    <w:abstractNumId w:val="12"/>
  </w:num>
  <w:num w:numId="43">
    <w:abstractNumId w:val="14"/>
  </w:num>
  <w:num w:numId="44">
    <w:abstractNumId w:val="2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stylePaneFormatFilter w:val="8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1"/>
  <w:stylePaneSortMethod w:val="0000"/>
  <w:doNotTrackFormatting/>
  <w:defaultTabStop w:val="1134"/>
  <w:hyphenationZone w:val="425"/>
  <w:characterSpacingControl w:val="doNotCompress"/>
  <w:hdrShapeDefaults>
    <o:shapedefaults v:ext="edit" spidmax="2049">
      <o:colormru v:ext="edit" colors="#034ea2,#5d9efd"/>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DD9"/>
    <w:rsid w:val="00000622"/>
    <w:rsid w:val="000011C1"/>
    <w:rsid w:val="00001EBB"/>
    <w:rsid w:val="00006017"/>
    <w:rsid w:val="000062E4"/>
    <w:rsid w:val="00010B8A"/>
    <w:rsid w:val="000233DD"/>
    <w:rsid w:val="00027814"/>
    <w:rsid w:val="00031845"/>
    <w:rsid w:val="00034910"/>
    <w:rsid w:val="000354FA"/>
    <w:rsid w:val="00035C6C"/>
    <w:rsid w:val="00037FBF"/>
    <w:rsid w:val="000417F7"/>
    <w:rsid w:val="00043095"/>
    <w:rsid w:val="00044495"/>
    <w:rsid w:val="00044ECB"/>
    <w:rsid w:val="00047182"/>
    <w:rsid w:val="0004735A"/>
    <w:rsid w:val="0004778B"/>
    <w:rsid w:val="0005353F"/>
    <w:rsid w:val="00061D28"/>
    <w:rsid w:val="00062772"/>
    <w:rsid w:val="00065779"/>
    <w:rsid w:val="00071817"/>
    <w:rsid w:val="00074937"/>
    <w:rsid w:val="000760DF"/>
    <w:rsid w:val="00076557"/>
    <w:rsid w:val="000810B2"/>
    <w:rsid w:val="00082ED2"/>
    <w:rsid w:val="000846C0"/>
    <w:rsid w:val="000869E1"/>
    <w:rsid w:val="0008722C"/>
    <w:rsid w:val="00087F5D"/>
    <w:rsid w:val="00091FFD"/>
    <w:rsid w:val="00092C00"/>
    <w:rsid w:val="0009470E"/>
    <w:rsid w:val="00094AED"/>
    <w:rsid w:val="00094F94"/>
    <w:rsid w:val="00095134"/>
    <w:rsid w:val="00096E89"/>
    <w:rsid w:val="000A3157"/>
    <w:rsid w:val="000A5C74"/>
    <w:rsid w:val="000B0B48"/>
    <w:rsid w:val="000B1B74"/>
    <w:rsid w:val="000B2CCA"/>
    <w:rsid w:val="000B32DF"/>
    <w:rsid w:val="000C1585"/>
    <w:rsid w:val="000C2041"/>
    <w:rsid w:val="000C3713"/>
    <w:rsid w:val="000C3C78"/>
    <w:rsid w:val="000C6DFE"/>
    <w:rsid w:val="000D3234"/>
    <w:rsid w:val="000E12A5"/>
    <w:rsid w:val="000E1C9B"/>
    <w:rsid w:val="000E47C1"/>
    <w:rsid w:val="000E52E0"/>
    <w:rsid w:val="000F1F78"/>
    <w:rsid w:val="000F296B"/>
    <w:rsid w:val="000F3869"/>
    <w:rsid w:val="00100FC6"/>
    <w:rsid w:val="00101482"/>
    <w:rsid w:val="00113142"/>
    <w:rsid w:val="00113305"/>
    <w:rsid w:val="00113F11"/>
    <w:rsid w:val="00120A99"/>
    <w:rsid w:val="00126148"/>
    <w:rsid w:val="001262D9"/>
    <w:rsid w:val="00127A6C"/>
    <w:rsid w:val="00134E76"/>
    <w:rsid w:val="0013682A"/>
    <w:rsid w:val="001431B3"/>
    <w:rsid w:val="00143F13"/>
    <w:rsid w:val="00145AA3"/>
    <w:rsid w:val="00146DE0"/>
    <w:rsid w:val="00154F0E"/>
    <w:rsid w:val="001603D7"/>
    <w:rsid w:val="00164309"/>
    <w:rsid w:val="001649DC"/>
    <w:rsid w:val="00166162"/>
    <w:rsid w:val="00166B5F"/>
    <w:rsid w:val="00167308"/>
    <w:rsid w:val="00167B94"/>
    <w:rsid w:val="0017141D"/>
    <w:rsid w:val="00172CC0"/>
    <w:rsid w:val="00174598"/>
    <w:rsid w:val="001774D2"/>
    <w:rsid w:val="001775B8"/>
    <w:rsid w:val="00177755"/>
    <w:rsid w:val="00182068"/>
    <w:rsid w:val="00182700"/>
    <w:rsid w:val="0018318B"/>
    <w:rsid w:val="00191ED0"/>
    <w:rsid w:val="00195A38"/>
    <w:rsid w:val="00195C0A"/>
    <w:rsid w:val="001964BE"/>
    <w:rsid w:val="001A022F"/>
    <w:rsid w:val="001A0BB7"/>
    <w:rsid w:val="001A50F7"/>
    <w:rsid w:val="001A75E9"/>
    <w:rsid w:val="001B0A3A"/>
    <w:rsid w:val="001B1E41"/>
    <w:rsid w:val="001B29F2"/>
    <w:rsid w:val="001B3F2A"/>
    <w:rsid w:val="001B78E0"/>
    <w:rsid w:val="001B7CBB"/>
    <w:rsid w:val="001C0EE5"/>
    <w:rsid w:val="001C3010"/>
    <w:rsid w:val="001D22BB"/>
    <w:rsid w:val="001D45AD"/>
    <w:rsid w:val="001D5F86"/>
    <w:rsid w:val="001D600E"/>
    <w:rsid w:val="001E0CCF"/>
    <w:rsid w:val="001E5467"/>
    <w:rsid w:val="001F133B"/>
    <w:rsid w:val="001F3217"/>
    <w:rsid w:val="001F5602"/>
    <w:rsid w:val="001F6433"/>
    <w:rsid w:val="001F6EFC"/>
    <w:rsid w:val="001F7657"/>
    <w:rsid w:val="00200EEC"/>
    <w:rsid w:val="0020115F"/>
    <w:rsid w:val="00201751"/>
    <w:rsid w:val="00203504"/>
    <w:rsid w:val="00203D6B"/>
    <w:rsid w:val="00204316"/>
    <w:rsid w:val="00204DCD"/>
    <w:rsid w:val="00205DE0"/>
    <w:rsid w:val="002062A6"/>
    <w:rsid w:val="00206A75"/>
    <w:rsid w:val="0020703B"/>
    <w:rsid w:val="00211FAE"/>
    <w:rsid w:val="00214D71"/>
    <w:rsid w:val="00226415"/>
    <w:rsid w:val="00231943"/>
    <w:rsid w:val="0023297A"/>
    <w:rsid w:val="00234644"/>
    <w:rsid w:val="002349AC"/>
    <w:rsid w:val="00242E2D"/>
    <w:rsid w:val="00244031"/>
    <w:rsid w:val="0024630B"/>
    <w:rsid w:val="0024638B"/>
    <w:rsid w:val="00247983"/>
    <w:rsid w:val="002527EB"/>
    <w:rsid w:val="002531AA"/>
    <w:rsid w:val="002531B2"/>
    <w:rsid w:val="00253934"/>
    <w:rsid w:val="00253AD9"/>
    <w:rsid w:val="0025408C"/>
    <w:rsid w:val="00254BC5"/>
    <w:rsid w:val="00260711"/>
    <w:rsid w:val="0026109F"/>
    <w:rsid w:val="00263C3C"/>
    <w:rsid w:val="002644FF"/>
    <w:rsid w:val="00264FF8"/>
    <w:rsid w:val="00267732"/>
    <w:rsid w:val="00272FF0"/>
    <w:rsid w:val="00275373"/>
    <w:rsid w:val="00280821"/>
    <w:rsid w:val="002810CD"/>
    <w:rsid w:val="00281A6F"/>
    <w:rsid w:val="002820FB"/>
    <w:rsid w:val="002825EA"/>
    <w:rsid w:val="00282E7E"/>
    <w:rsid w:val="00283ADA"/>
    <w:rsid w:val="00290D37"/>
    <w:rsid w:val="00292DE8"/>
    <w:rsid w:val="00294DD8"/>
    <w:rsid w:val="0029642B"/>
    <w:rsid w:val="002A26FA"/>
    <w:rsid w:val="002A5059"/>
    <w:rsid w:val="002A5B60"/>
    <w:rsid w:val="002A5DA1"/>
    <w:rsid w:val="002A6E93"/>
    <w:rsid w:val="002A7B00"/>
    <w:rsid w:val="002A7D7C"/>
    <w:rsid w:val="002B30E8"/>
    <w:rsid w:val="002B72A8"/>
    <w:rsid w:val="002C2E36"/>
    <w:rsid w:val="002C3275"/>
    <w:rsid w:val="002C35B0"/>
    <w:rsid w:val="002C35D4"/>
    <w:rsid w:val="002C3A0E"/>
    <w:rsid w:val="002C6607"/>
    <w:rsid w:val="002D067B"/>
    <w:rsid w:val="002D142B"/>
    <w:rsid w:val="002D3146"/>
    <w:rsid w:val="002D4479"/>
    <w:rsid w:val="002D6C8F"/>
    <w:rsid w:val="002E027B"/>
    <w:rsid w:val="002E0975"/>
    <w:rsid w:val="002E14A8"/>
    <w:rsid w:val="002E2F8B"/>
    <w:rsid w:val="002E5E12"/>
    <w:rsid w:val="002E5EDF"/>
    <w:rsid w:val="002E6CA2"/>
    <w:rsid w:val="002E763A"/>
    <w:rsid w:val="002F0FBF"/>
    <w:rsid w:val="002F2AAD"/>
    <w:rsid w:val="002F30BB"/>
    <w:rsid w:val="002F4888"/>
    <w:rsid w:val="002F55BB"/>
    <w:rsid w:val="002F6DD9"/>
    <w:rsid w:val="00302085"/>
    <w:rsid w:val="00302826"/>
    <w:rsid w:val="00303D59"/>
    <w:rsid w:val="00305134"/>
    <w:rsid w:val="0030562C"/>
    <w:rsid w:val="003059C9"/>
    <w:rsid w:val="003102F1"/>
    <w:rsid w:val="0031195B"/>
    <w:rsid w:val="00313C83"/>
    <w:rsid w:val="00317193"/>
    <w:rsid w:val="00317DA0"/>
    <w:rsid w:val="0032023C"/>
    <w:rsid w:val="003245DD"/>
    <w:rsid w:val="00330230"/>
    <w:rsid w:val="00331C99"/>
    <w:rsid w:val="0033325D"/>
    <w:rsid w:val="00334F00"/>
    <w:rsid w:val="00337B85"/>
    <w:rsid w:val="00340958"/>
    <w:rsid w:val="00342398"/>
    <w:rsid w:val="0034345B"/>
    <w:rsid w:val="0034517E"/>
    <w:rsid w:val="003455DA"/>
    <w:rsid w:val="003456BA"/>
    <w:rsid w:val="00345FDD"/>
    <w:rsid w:val="00351F64"/>
    <w:rsid w:val="0035389B"/>
    <w:rsid w:val="00353F7E"/>
    <w:rsid w:val="003559C3"/>
    <w:rsid w:val="00355B82"/>
    <w:rsid w:val="00362A2F"/>
    <w:rsid w:val="00362BCE"/>
    <w:rsid w:val="00364327"/>
    <w:rsid w:val="00364C8C"/>
    <w:rsid w:val="00365DDD"/>
    <w:rsid w:val="003677EA"/>
    <w:rsid w:val="00373EBC"/>
    <w:rsid w:val="00374464"/>
    <w:rsid w:val="00374684"/>
    <w:rsid w:val="003756BA"/>
    <w:rsid w:val="00375EB4"/>
    <w:rsid w:val="00376401"/>
    <w:rsid w:val="003833D9"/>
    <w:rsid w:val="00384458"/>
    <w:rsid w:val="00387F65"/>
    <w:rsid w:val="00390E2A"/>
    <w:rsid w:val="00391193"/>
    <w:rsid w:val="003944DA"/>
    <w:rsid w:val="00394BF7"/>
    <w:rsid w:val="003A0F7B"/>
    <w:rsid w:val="003A28BF"/>
    <w:rsid w:val="003A46B8"/>
    <w:rsid w:val="003A7BE3"/>
    <w:rsid w:val="003B357D"/>
    <w:rsid w:val="003B4129"/>
    <w:rsid w:val="003B4702"/>
    <w:rsid w:val="003C08BC"/>
    <w:rsid w:val="003C2276"/>
    <w:rsid w:val="003C23B2"/>
    <w:rsid w:val="003C72E8"/>
    <w:rsid w:val="003D0347"/>
    <w:rsid w:val="003D0CCD"/>
    <w:rsid w:val="003D1833"/>
    <w:rsid w:val="003D1BDE"/>
    <w:rsid w:val="003D3E35"/>
    <w:rsid w:val="003E0EC1"/>
    <w:rsid w:val="003E1AA5"/>
    <w:rsid w:val="003E1B09"/>
    <w:rsid w:val="003E30DD"/>
    <w:rsid w:val="003E36CF"/>
    <w:rsid w:val="003E37E8"/>
    <w:rsid w:val="003E5746"/>
    <w:rsid w:val="003F0F85"/>
    <w:rsid w:val="00400FD0"/>
    <w:rsid w:val="00404DAA"/>
    <w:rsid w:val="004109EA"/>
    <w:rsid w:val="0041161E"/>
    <w:rsid w:val="00411938"/>
    <w:rsid w:val="004129E0"/>
    <w:rsid w:val="0041481F"/>
    <w:rsid w:val="00415C70"/>
    <w:rsid w:val="00420FCF"/>
    <w:rsid w:val="004224DC"/>
    <w:rsid w:val="00427DA9"/>
    <w:rsid w:val="00430879"/>
    <w:rsid w:val="00435150"/>
    <w:rsid w:val="00435886"/>
    <w:rsid w:val="00436603"/>
    <w:rsid w:val="00442487"/>
    <w:rsid w:val="00447293"/>
    <w:rsid w:val="00453D66"/>
    <w:rsid w:val="004552CC"/>
    <w:rsid w:val="004570EA"/>
    <w:rsid w:val="004575F9"/>
    <w:rsid w:val="00457DE7"/>
    <w:rsid w:val="00460326"/>
    <w:rsid w:val="0046412F"/>
    <w:rsid w:val="00466946"/>
    <w:rsid w:val="0046741D"/>
    <w:rsid w:val="004705C4"/>
    <w:rsid w:val="00473B09"/>
    <w:rsid w:val="00474786"/>
    <w:rsid w:val="00477D81"/>
    <w:rsid w:val="004806C0"/>
    <w:rsid w:val="004820CF"/>
    <w:rsid w:val="00483847"/>
    <w:rsid w:val="00483EE4"/>
    <w:rsid w:val="00487E89"/>
    <w:rsid w:val="00493A10"/>
    <w:rsid w:val="00494470"/>
    <w:rsid w:val="0049560E"/>
    <w:rsid w:val="00495D24"/>
    <w:rsid w:val="00495D62"/>
    <w:rsid w:val="00496516"/>
    <w:rsid w:val="004A0078"/>
    <w:rsid w:val="004A10DB"/>
    <w:rsid w:val="004A168A"/>
    <w:rsid w:val="004A20A4"/>
    <w:rsid w:val="004A2505"/>
    <w:rsid w:val="004A58F0"/>
    <w:rsid w:val="004B2740"/>
    <w:rsid w:val="004B286C"/>
    <w:rsid w:val="004B2BA5"/>
    <w:rsid w:val="004B45B7"/>
    <w:rsid w:val="004B53CF"/>
    <w:rsid w:val="004B6617"/>
    <w:rsid w:val="004B6DBE"/>
    <w:rsid w:val="004B6FFC"/>
    <w:rsid w:val="004C3EB9"/>
    <w:rsid w:val="004C68DC"/>
    <w:rsid w:val="004C7ACC"/>
    <w:rsid w:val="004D2F99"/>
    <w:rsid w:val="004D4F1B"/>
    <w:rsid w:val="004D72CC"/>
    <w:rsid w:val="004D7C6C"/>
    <w:rsid w:val="004E0668"/>
    <w:rsid w:val="004E2361"/>
    <w:rsid w:val="004E52C3"/>
    <w:rsid w:val="004F4E65"/>
    <w:rsid w:val="005017B3"/>
    <w:rsid w:val="0050195D"/>
    <w:rsid w:val="005019D3"/>
    <w:rsid w:val="0050432C"/>
    <w:rsid w:val="0050436A"/>
    <w:rsid w:val="0050522A"/>
    <w:rsid w:val="005053B8"/>
    <w:rsid w:val="00512C7C"/>
    <w:rsid w:val="00514535"/>
    <w:rsid w:val="00516FCD"/>
    <w:rsid w:val="00517FE2"/>
    <w:rsid w:val="0052539F"/>
    <w:rsid w:val="0052555D"/>
    <w:rsid w:val="005306D6"/>
    <w:rsid w:val="00531D9D"/>
    <w:rsid w:val="005320A1"/>
    <w:rsid w:val="00532614"/>
    <w:rsid w:val="00534F69"/>
    <w:rsid w:val="00535BEB"/>
    <w:rsid w:val="00541E62"/>
    <w:rsid w:val="00542701"/>
    <w:rsid w:val="00546745"/>
    <w:rsid w:val="00547A29"/>
    <w:rsid w:val="00556765"/>
    <w:rsid w:val="00560448"/>
    <w:rsid w:val="00563911"/>
    <w:rsid w:val="00564F23"/>
    <w:rsid w:val="00567AC6"/>
    <w:rsid w:val="005715F6"/>
    <w:rsid w:val="00575ADB"/>
    <w:rsid w:val="00575E24"/>
    <w:rsid w:val="00581B23"/>
    <w:rsid w:val="005913BF"/>
    <w:rsid w:val="00592B3B"/>
    <w:rsid w:val="00594BD0"/>
    <w:rsid w:val="005958C7"/>
    <w:rsid w:val="005A242C"/>
    <w:rsid w:val="005A261D"/>
    <w:rsid w:val="005A3D79"/>
    <w:rsid w:val="005A4B6A"/>
    <w:rsid w:val="005A5A31"/>
    <w:rsid w:val="005A6190"/>
    <w:rsid w:val="005B26FC"/>
    <w:rsid w:val="005B3B48"/>
    <w:rsid w:val="005B3C3D"/>
    <w:rsid w:val="005B4CF7"/>
    <w:rsid w:val="005C0D74"/>
    <w:rsid w:val="005C2C81"/>
    <w:rsid w:val="005C5307"/>
    <w:rsid w:val="005D14DF"/>
    <w:rsid w:val="005D2139"/>
    <w:rsid w:val="005D224D"/>
    <w:rsid w:val="005D3770"/>
    <w:rsid w:val="005E04FB"/>
    <w:rsid w:val="005E055F"/>
    <w:rsid w:val="005F3091"/>
    <w:rsid w:val="005F4358"/>
    <w:rsid w:val="005F7260"/>
    <w:rsid w:val="005F7B6A"/>
    <w:rsid w:val="00601ECE"/>
    <w:rsid w:val="006029D8"/>
    <w:rsid w:val="00606194"/>
    <w:rsid w:val="00606966"/>
    <w:rsid w:val="0061533A"/>
    <w:rsid w:val="00615714"/>
    <w:rsid w:val="006166C1"/>
    <w:rsid w:val="0061691A"/>
    <w:rsid w:val="00620088"/>
    <w:rsid w:val="006261F2"/>
    <w:rsid w:val="0063117F"/>
    <w:rsid w:val="00633169"/>
    <w:rsid w:val="00633549"/>
    <w:rsid w:val="00633EC6"/>
    <w:rsid w:val="00634ABE"/>
    <w:rsid w:val="00641F52"/>
    <w:rsid w:val="006433FE"/>
    <w:rsid w:val="00651372"/>
    <w:rsid w:val="00654445"/>
    <w:rsid w:val="006560D8"/>
    <w:rsid w:val="006573AB"/>
    <w:rsid w:val="00661B32"/>
    <w:rsid w:val="006644C4"/>
    <w:rsid w:val="00664B95"/>
    <w:rsid w:val="00665335"/>
    <w:rsid w:val="00666700"/>
    <w:rsid w:val="00666D90"/>
    <w:rsid w:val="00674028"/>
    <w:rsid w:val="00675E2C"/>
    <w:rsid w:val="00683873"/>
    <w:rsid w:val="00685CE2"/>
    <w:rsid w:val="00685E93"/>
    <w:rsid w:val="00686649"/>
    <w:rsid w:val="006903EC"/>
    <w:rsid w:val="006909A9"/>
    <w:rsid w:val="0069195A"/>
    <w:rsid w:val="0069273B"/>
    <w:rsid w:val="00694554"/>
    <w:rsid w:val="006A2B44"/>
    <w:rsid w:val="006A3120"/>
    <w:rsid w:val="006A3230"/>
    <w:rsid w:val="006A6EA8"/>
    <w:rsid w:val="006B0B7F"/>
    <w:rsid w:val="006B3A45"/>
    <w:rsid w:val="006B5F58"/>
    <w:rsid w:val="006C0953"/>
    <w:rsid w:val="006C2828"/>
    <w:rsid w:val="006C32F5"/>
    <w:rsid w:val="006D0265"/>
    <w:rsid w:val="006D096C"/>
    <w:rsid w:val="006D0BD8"/>
    <w:rsid w:val="006D155B"/>
    <w:rsid w:val="006D4719"/>
    <w:rsid w:val="006E1494"/>
    <w:rsid w:val="006E34BD"/>
    <w:rsid w:val="006E5466"/>
    <w:rsid w:val="006E7E1A"/>
    <w:rsid w:val="006F1B49"/>
    <w:rsid w:val="006F2F66"/>
    <w:rsid w:val="006F6337"/>
    <w:rsid w:val="007030C8"/>
    <w:rsid w:val="00705738"/>
    <w:rsid w:val="00705FF0"/>
    <w:rsid w:val="00706F8D"/>
    <w:rsid w:val="00707B86"/>
    <w:rsid w:val="00710608"/>
    <w:rsid w:val="00712888"/>
    <w:rsid w:val="007140AA"/>
    <w:rsid w:val="00714494"/>
    <w:rsid w:val="007165D9"/>
    <w:rsid w:val="007211CE"/>
    <w:rsid w:val="00722867"/>
    <w:rsid w:val="00723957"/>
    <w:rsid w:val="007244F3"/>
    <w:rsid w:val="00731DB3"/>
    <w:rsid w:val="007349E1"/>
    <w:rsid w:val="0073747B"/>
    <w:rsid w:val="00737DB2"/>
    <w:rsid w:val="0074020E"/>
    <w:rsid w:val="007405FE"/>
    <w:rsid w:val="00740784"/>
    <w:rsid w:val="00747CB3"/>
    <w:rsid w:val="00753709"/>
    <w:rsid w:val="007537B1"/>
    <w:rsid w:val="0075389D"/>
    <w:rsid w:val="00766988"/>
    <w:rsid w:val="0077190F"/>
    <w:rsid w:val="0077344F"/>
    <w:rsid w:val="00774DC1"/>
    <w:rsid w:val="007750FF"/>
    <w:rsid w:val="00775D13"/>
    <w:rsid w:val="00777A2E"/>
    <w:rsid w:val="00782D56"/>
    <w:rsid w:val="00784BCF"/>
    <w:rsid w:val="00785B8F"/>
    <w:rsid w:val="007A30A4"/>
    <w:rsid w:val="007A3F77"/>
    <w:rsid w:val="007A6454"/>
    <w:rsid w:val="007A6D3C"/>
    <w:rsid w:val="007A74A1"/>
    <w:rsid w:val="007B0003"/>
    <w:rsid w:val="007B0B9B"/>
    <w:rsid w:val="007B77B3"/>
    <w:rsid w:val="007C10AC"/>
    <w:rsid w:val="007C5693"/>
    <w:rsid w:val="007C56C4"/>
    <w:rsid w:val="007C705A"/>
    <w:rsid w:val="007D00F1"/>
    <w:rsid w:val="007D13E4"/>
    <w:rsid w:val="007E13F1"/>
    <w:rsid w:val="007E2033"/>
    <w:rsid w:val="007E3EC4"/>
    <w:rsid w:val="007E41A3"/>
    <w:rsid w:val="007E5CA8"/>
    <w:rsid w:val="007E6601"/>
    <w:rsid w:val="007E7781"/>
    <w:rsid w:val="007F1CB0"/>
    <w:rsid w:val="007F53B8"/>
    <w:rsid w:val="007F6EDF"/>
    <w:rsid w:val="0080047E"/>
    <w:rsid w:val="00800C7F"/>
    <w:rsid w:val="00801A88"/>
    <w:rsid w:val="00805159"/>
    <w:rsid w:val="00805A0D"/>
    <w:rsid w:val="00806864"/>
    <w:rsid w:val="00807D6F"/>
    <w:rsid w:val="00810054"/>
    <w:rsid w:val="0081274D"/>
    <w:rsid w:val="008136E0"/>
    <w:rsid w:val="00813FF5"/>
    <w:rsid w:val="00816B7B"/>
    <w:rsid w:val="00816C52"/>
    <w:rsid w:val="00817E41"/>
    <w:rsid w:val="00820C9A"/>
    <w:rsid w:val="008224E9"/>
    <w:rsid w:val="00822D2B"/>
    <w:rsid w:val="00823655"/>
    <w:rsid w:val="00825AC3"/>
    <w:rsid w:val="00827AE8"/>
    <w:rsid w:val="00834FF4"/>
    <w:rsid w:val="0084632B"/>
    <w:rsid w:val="00846FB6"/>
    <w:rsid w:val="00855319"/>
    <w:rsid w:val="008554A3"/>
    <w:rsid w:val="008560E8"/>
    <w:rsid w:val="00857299"/>
    <w:rsid w:val="0086048E"/>
    <w:rsid w:val="00862A0F"/>
    <w:rsid w:val="008641E8"/>
    <w:rsid w:val="00872189"/>
    <w:rsid w:val="00874E5D"/>
    <w:rsid w:val="00881AFE"/>
    <w:rsid w:val="00884F7D"/>
    <w:rsid w:val="00891EA0"/>
    <w:rsid w:val="00892991"/>
    <w:rsid w:val="00892F3A"/>
    <w:rsid w:val="0089401C"/>
    <w:rsid w:val="0089477A"/>
    <w:rsid w:val="0089703C"/>
    <w:rsid w:val="0089761C"/>
    <w:rsid w:val="008A04A0"/>
    <w:rsid w:val="008A2713"/>
    <w:rsid w:val="008A5396"/>
    <w:rsid w:val="008B421B"/>
    <w:rsid w:val="008B4E7C"/>
    <w:rsid w:val="008B53F1"/>
    <w:rsid w:val="008B5E70"/>
    <w:rsid w:val="008C0686"/>
    <w:rsid w:val="008C3271"/>
    <w:rsid w:val="008C3A3F"/>
    <w:rsid w:val="008C47E9"/>
    <w:rsid w:val="008C5112"/>
    <w:rsid w:val="008C6272"/>
    <w:rsid w:val="008D3B3A"/>
    <w:rsid w:val="008D48F8"/>
    <w:rsid w:val="008D4D50"/>
    <w:rsid w:val="008D7BC8"/>
    <w:rsid w:val="008E0346"/>
    <w:rsid w:val="008E3270"/>
    <w:rsid w:val="008E54D0"/>
    <w:rsid w:val="008E6159"/>
    <w:rsid w:val="008E6FDD"/>
    <w:rsid w:val="008F4439"/>
    <w:rsid w:val="008F48AD"/>
    <w:rsid w:val="008F6AA1"/>
    <w:rsid w:val="008F6E21"/>
    <w:rsid w:val="00900150"/>
    <w:rsid w:val="00900900"/>
    <w:rsid w:val="009016DE"/>
    <w:rsid w:val="00901F01"/>
    <w:rsid w:val="00902DB0"/>
    <w:rsid w:val="009046CD"/>
    <w:rsid w:val="00904957"/>
    <w:rsid w:val="0090534C"/>
    <w:rsid w:val="00905EE9"/>
    <w:rsid w:val="00907D6C"/>
    <w:rsid w:val="0091279E"/>
    <w:rsid w:val="00912BE1"/>
    <w:rsid w:val="00913289"/>
    <w:rsid w:val="00916702"/>
    <w:rsid w:val="00917C5E"/>
    <w:rsid w:val="00921697"/>
    <w:rsid w:val="00924297"/>
    <w:rsid w:val="00930D17"/>
    <w:rsid w:val="0093233C"/>
    <w:rsid w:val="00932976"/>
    <w:rsid w:val="00933E4B"/>
    <w:rsid w:val="00933F44"/>
    <w:rsid w:val="009375A2"/>
    <w:rsid w:val="00940AE8"/>
    <w:rsid w:val="00942CDD"/>
    <w:rsid w:val="00943EDC"/>
    <w:rsid w:val="00946CC2"/>
    <w:rsid w:val="00947B48"/>
    <w:rsid w:val="0095041B"/>
    <w:rsid w:val="00952041"/>
    <w:rsid w:val="00953250"/>
    <w:rsid w:val="00955CB5"/>
    <w:rsid w:val="009574E7"/>
    <w:rsid w:val="00957DF2"/>
    <w:rsid w:val="009612E4"/>
    <w:rsid w:val="00963BE9"/>
    <w:rsid w:val="00964467"/>
    <w:rsid w:val="0096519C"/>
    <w:rsid w:val="009652F3"/>
    <w:rsid w:val="009654A1"/>
    <w:rsid w:val="00966CBF"/>
    <w:rsid w:val="00966D2C"/>
    <w:rsid w:val="00967C31"/>
    <w:rsid w:val="009702D7"/>
    <w:rsid w:val="00972012"/>
    <w:rsid w:val="0097329E"/>
    <w:rsid w:val="0097345C"/>
    <w:rsid w:val="009864CB"/>
    <w:rsid w:val="00987B2A"/>
    <w:rsid w:val="00987FBC"/>
    <w:rsid w:val="009913FF"/>
    <w:rsid w:val="009A06D0"/>
    <w:rsid w:val="009A25A8"/>
    <w:rsid w:val="009A7FC5"/>
    <w:rsid w:val="009B1CC5"/>
    <w:rsid w:val="009B7083"/>
    <w:rsid w:val="009B732F"/>
    <w:rsid w:val="009C1232"/>
    <w:rsid w:val="009C3886"/>
    <w:rsid w:val="009C520E"/>
    <w:rsid w:val="009C64A9"/>
    <w:rsid w:val="009C6601"/>
    <w:rsid w:val="009D2685"/>
    <w:rsid w:val="009E0B5C"/>
    <w:rsid w:val="009E1C04"/>
    <w:rsid w:val="009E1C73"/>
    <w:rsid w:val="009E2B8E"/>
    <w:rsid w:val="009E2FDA"/>
    <w:rsid w:val="009E510A"/>
    <w:rsid w:val="009E5B75"/>
    <w:rsid w:val="009F022D"/>
    <w:rsid w:val="009F03C9"/>
    <w:rsid w:val="009F45DA"/>
    <w:rsid w:val="009F47E1"/>
    <w:rsid w:val="009F4F52"/>
    <w:rsid w:val="009F58F0"/>
    <w:rsid w:val="00A019E6"/>
    <w:rsid w:val="00A02279"/>
    <w:rsid w:val="00A05CEA"/>
    <w:rsid w:val="00A05FC5"/>
    <w:rsid w:val="00A06A28"/>
    <w:rsid w:val="00A07415"/>
    <w:rsid w:val="00A107DA"/>
    <w:rsid w:val="00A133FC"/>
    <w:rsid w:val="00A13588"/>
    <w:rsid w:val="00A14119"/>
    <w:rsid w:val="00A145A2"/>
    <w:rsid w:val="00A145A6"/>
    <w:rsid w:val="00A20035"/>
    <w:rsid w:val="00A23C76"/>
    <w:rsid w:val="00A24497"/>
    <w:rsid w:val="00A3409F"/>
    <w:rsid w:val="00A41333"/>
    <w:rsid w:val="00A4186E"/>
    <w:rsid w:val="00A42336"/>
    <w:rsid w:val="00A4306D"/>
    <w:rsid w:val="00A44A0D"/>
    <w:rsid w:val="00A44EEF"/>
    <w:rsid w:val="00A45DD5"/>
    <w:rsid w:val="00A45EA1"/>
    <w:rsid w:val="00A45EA5"/>
    <w:rsid w:val="00A45F7D"/>
    <w:rsid w:val="00A46610"/>
    <w:rsid w:val="00A477B8"/>
    <w:rsid w:val="00A5196B"/>
    <w:rsid w:val="00A55792"/>
    <w:rsid w:val="00A558AF"/>
    <w:rsid w:val="00A56B27"/>
    <w:rsid w:val="00A57571"/>
    <w:rsid w:val="00A57631"/>
    <w:rsid w:val="00A600AB"/>
    <w:rsid w:val="00A61790"/>
    <w:rsid w:val="00A63CC0"/>
    <w:rsid w:val="00A63EE2"/>
    <w:rsid w:val="00A67291"/>
    <w:rsid w:val="00A67294"/>
    <w:rsid w:val="00A677E9"/>
    <w:rsid w:val="00A678F8"/>
    <w:rsid w:val="00A67A10"/>
    <w:rsid w:val="00A76FD2"/>
    <w:rsid w:val="00A8130B"/>
    <w:rsid w:val="00A82035"/>
    <w:rsid w:val="00A841EE"/>
    <w:rsid w:val="00A84B61"/>
    <w:rsid w:val="00A9408A"/>
    <w:rsid w:val="00A948D4"/>
    <w:rsid w:val="00AA1217"/>
    <w:rsid w:val="00AA23BE"/>
    <w:rsid w:val="00AA3040"/>
    <w:rsid w:val="00AA5029"/>
    <w:rsid w:val="00AA5413"/>
    <w:rsid w:val="00AB06B6"/>
    <w:rsid w:val="00AB148D"/>
    <w:rsid w:val="00AB7DE4"/>
    <w:rsid w:val="00AC1770"/>
    <w:rsid w:val="00AC6110"/>
    <w:rsid w:val="00AD4B9B"/>
    <w:rsid w:val="00AD624C"/>
    <w:rsid w:val="00AD62AD"/>
    <w:rsid w:val="00AD735F"/>
    <w:rsid w:val="00AD7F68"/>
    <w:rsid w:val="00AE0559"/>
    <w:rsid w:val="00AE2018"/>
    <w:rsid w:val="00AE2D41"/>
    <w:rsid w:val="00AE4421"/>
    <w:rsid w:val="00AF1109"/>
    <w:rsid w:val="00AF3871"/>
    <w:rsid w:val="00AF3A07"/>
    <w:rsid w:val="00AF457F"/>
    <w:rsid w:val="00AF7019"/>
    <w:rsid w:val="00AF7A50"/>
    <w:rsid w:val="00B02E2B"/>
    <w:rsid w:val="00B0543B"/>
    <w:rsid w:val="00B057B1"/>
    <w:rsid w:val="00B06237"/>
    <w:rsid w:val="00B109CD"/>
    <w:rsid w:val="00B12089"/>
    <w:rsid w:val="00B1269A"/>
    <w:rsid w:val="00B14E82"/>
    <w:rsid w:val="00B15130"/>
    <w:rsid w:val="00B16FAE"/>
    <w:rsid w:val="00B23E7A"/>
    <w:rsid w:val="00B2434E"/>
    <w:rsid w:val="00B2661D"/>
    <w:rsid w:val="00B26B1B"/>
    <w:rsid w:val="00B3132E"/>
    <w:rsid w:val="00B316E4"/>
    <w:rsid w:val="00B32181"/>
    <w:rsid w:val="00B33521"/>
    <w:rsid w:val="00B41789"/>
    <w:rsid w:val="00B41BAC"/>
    <w:rsid w:val="00B4429F"/>
    <w:rsid w:val="00B45C93"/>
    <w:rsid w:val="00B50D4A"/>
    <w:rsid w:val="00B531F1"/>
    <w:rsid w:val="00B540C1"/>
    <w:rsid w:val="00B549F1"/>
    <w:rsid w:val="00B557FE"/>
    <w:rsid w:val="00B612D6"/>
    <w:rsid w:val="00B62C5B"/>
    <w:rsid w:val="00B64DA7"/>
    <w:rsid w:val="00B673B7"/>
    <w:rsid w:val="00B6747E"/>
    <w:rsid w:val="00B67F74"/>
    <w:rsid w:val="00B74AB5"/>
    <w:rsid w:val="00B76378"/>
    <w:rsid w:val="00B77A0B"/>
    <w:rsid w:val="00B77C4B"/>
    <w:rsid w:val="00B80FC4"/>
    <w:rsid w:val="00B84010"/>
    <w:rsid w:val="00B84551"/>
    <w:rsid w:val="00B85BAB"/>
    <w:rsid w:val="00B929A9"/>
    <w:rsid w:val="00B94B8A"/>
    <w:rsid w:val="00B96677"/>
    <w:rsid w:val="00BA0174"/>
    <w:rsid w:val="00BA071B"/>
    <w:rsid w:val="00BA0C9C"/>
    <w:rsid w:val="00BA104E"/>
    <w:rsid w:val="00BA2293"/>
    <w:rsid w:val="00BA424E"/>
    <w:rsid w:val="00BA780D"/>
    <w:rsid w:val="00BB09A2"/>
    <w:rsid w:val="00BB1E1C"/>
    <w:rsid w:val="00BB3141"/>
    <w:rsid w:val="00BB31C2"/>
    <w:rsid w:val="00BB3E93"/>
    <w:rsid w:val="00BB4445"/>
    <w:rsid w:val="00BB581B"/>
    <w:rsid w:val="00BC1ADB"/>
    <w:rsid w:val="00BC2057"/>
    <w:rsid w:val="00BC20E6"/>
    <w:rsid w:val="00BC2541"/>
    <w:rsid w:val="00BC3778"/>
    <w:rsid w:val="00BC37DA"/>
    <w:rsid w:val="00BC43B5"/>
    <w:rsid w:val="00BC542A"/>
    <w:rsid w:val="00BC5C3D"/>
    <w:rsid w:val="00BC6EA7"/>
    <w:rsid w:val="00BD0817"/>
    <w:rsid w:val="00BD1672"/>
    <w:rsid w:val="00BD211F"/>
    <w:rsid w:val="00BD3347"/>
    <w:rsid w:val="00BD3FDA"/>
    <w:rsid w:val="00BD4889"/>
    <w:rsid w:val="00BD7265"/>
    <w:rsid w:val="00BD7376"/>
    <w:rsid w:val="00BD7E6E"/>
    <w:rsid w:val="00BE0D72"/>
    <w:rsid w:val="00BE58ED"/>
    <w:rsid w:val="00BE71A7"/>
    <w:rsid w:val="00BE797B"/>
    <w:rsid w:val="00BF2BD5"/>
    <w:rsid w:val="00BF3952"/>
    <w:rsid w:val="00BF3A9C"/>
    <w:rsid w:val="00BF6216"/>
    <w:rsid w:val="00BF7A37"/>
    <w:rsid w:val="00C00FB0"/>
    <w:rsid w:val="00C060D1"/>
    <w:rsid w:val="00C104A3"/>
    <w:rsid w:val="00C118F5"/>
    <w:rsid w:val="00C14C59"/>
    <w:rsid w:val="00C15E1A"/>
    <w:rsid w:val="00C17822"/>
    <w:rsid w:val="00C17C54"/>
    <w:rsid w:val="00C21EB9"/>
    <w:rsid w:val="00C22B88"/>
    <w:rsid w:val="00C23324"/>
    <w:rsid w:val="00C24175"/>
    <w:rsid w:val="00C24520"/>
    <w:rsid w:val="00C24706"/>
    <w:rsid w:val="00C24BCD"/>
    <w:rsid w:val="00C26DC1"/>
    <w:rsid w:val="00C277B0"/>
    <w:rsid w:val="00C306CA"/>
    <w:rsid w:val="00C339A9"/>
    <w:rsid w:val="00C413E4"/>
    <w:rsid w:val="00C4206C"/>
    <w:rsid w:val="00C440C7"/>
    <w:rsid w:val="00C5174B"/>
    <w:rsid w:val="00C51E20"/>
    <w:rsid w:val="00C5581E"/>
    <w:rsid w:val="00C606AC"/>
    <w:rsid w:val="00C60C27"/>
    <w:rsid w:val="00C6152C"/>
    <w:rsid w:val="00C61DFE"/>
    <w:rsid w:val="00C648F8"/>
    <w:rsid w:val="00C712BF"/>
    <w:rsid w:val="00C727A5"/>
    <w:rsid w:val="00C77F3C"/>
    <w:rsid w:val="00C818FB"/>
    <w:rsid w:val="00C82E56"/>
    <w:rsid w:val="00C85386"/>
    <w:rsid w:val="00C85E26"/>
    <w:rsid w:val="00C865C5"/>
    <w:rsid w:val="00C86831"/>
    <w:rsid w:val="00C90332"/>
    <w:rsid w:val="00C92F04"/>
    <w:rsid w:val="00C967E4"/>
    <w:rsid w:val="00C967E6"/>
    <w:rsid w:val="00CA26CE"/>
    <w:rsid w:val="00CA483F"/>
    <w:rsid w:val="00CA4EFB"/>
    <w:rsid w:val="00CA5E0D"/>
    <w:rsid w:val="00CA5F18"/>
    <w:rsid w:val="00CB113D"/>
    <w:rsid w:val="00CB1C74"/>
    <w:rsid w:val="00CB535F"/>
    <w:rsid w:val="00CB5DF6"/>
    <w:rsid w:val="00CC045C"/>
    <w:rsid w:val="00CC1D61"/>
    <w:rsid w:val="00CC2772"/>
    <w:rsid w:val="00CC44F9"/>
    <w:rsid w:val="00CC57E5"/>
    <w:rsid w:val="00CD0630"/>
    <w:rsid w:val="00CD1028"/>
    <w:rsid w:val="00CD1C98"/>
    <w:rsid w:val="00CD51F6"/>
    <w:rsid w:val="00CE1913"/>
    <w:rsid w:val="00CE2651"/>
    <w:rsid w:val="00CE2A40"/>
    <w:rsid w:val="00CE30FB"/>
    <w:rsid w:val="00CE5F76"/>
    <w:rsid w:val="00CE5FAC"/>
    <w:rsid w:val="00CE6361"/>
    <w:rsid w:val="00CE68B8"/>
    <w:rsid w:val="00CF0221"/>
    <w:rsid w:val="00CF028B"/>
    <w:rsid w:val="00CF3838"/>
    <w:rsid w:val="00CF4939"/>
    <w:rsid w:val="00CF642D"/>
    <w:rsid w:val="00D02EED"/>
    <w:rsid w:val="00D03C7F"/>
    <w:rsid w:val="00D0412C"/>
    <w:rsid w:val="00D11161"/>
    <w:rsid w:val="00D12934"/>
    <w:rsid w:val="00D1453C"/>
    <w:rsid w:val="00D1608F"/>
    <w:rsid w:val="00D30207"/>
    <w:rsid w:val="00D3526D"/>
    <w:rsid w:val="00D35D2F"/>
    <w:rsid w:val="00D36236"/>
    <w:rsid w:val="00D410BA"/>
    <w:rsid w:val="00D42487"/>
    <w:rsid w:val="00D46C81"/>
    <w:rsid w:val="00D52A20"/>
    <w:rsid w:val="00D545D2"/>
    <w:rsid w:val="00D57303"/>
    <w:rsid w:val="00D61B2A"/>
    <w:rsid w:val="00D64530"/>
    <w:rsid w:val="00D7008B"/>
    <w:rsid w:val="00D73A39"/>
    <w:rsid w:val="00D74E03"/>
    <w:rsid w:val="00D82B7C"/>
    <w:rsid w:val="00D84F59"/>
    <w:rsid w:val="00D87907"/>
    <w:rsid w:val="00D87E1D"/>
    <w:rsid w:val="00D90867"/>
    <w:rsid w:val="00D93198"/>
    <w:rsid w:val="00D95951"/>
    <w:rsid w:val="00D95A83"/>
    <w:rsid w:val="00DA1FD8"/>
    <w:rsid w:val="00DA384B"/>
    <w:rsid w:val="00DA3B99"/>
    <w:rsid w:val="00DA41D4"/>
    <w:rsid w:val="00DA4631"/>
    <w:rsid w:val="00DB0207"/>
    <w:rsid w:val="00DB15EF"/>
    <w:rsid w:val="00DB1990"/>
    <w:rsid w:val="00DB2CAE"/>
    <w:rsid w:val="00DB6297"/>
    <w:rsid w:val="00DB64E4"/>
    <w:rsid w:val="00DB6D05"/>
    <w:rsid w:val="00DB6F74"/>
    <w:rsid w:val="00DB74B6"/>
    <w:rsid w:val="00DC2178"/>
    <w:rsid w:val="00DC27D3"/>
    <w:rsid w:val="00DC45F5"/>
    <w:rsid w:val="00DC6422"/>
    <w:rsid w:val="00DD418C"/>
    <w:rsid w:val="00DD4E6C"/>
    <w:rsid w:val="00DE0440"/>
    <w:rsid w:val="00DE2A0E"/>
    <w:rsid w:val="00DF0F56"/>
    <w:rsid w:val="00E00D05"/>
    <w:rsid w:val="00E011B0"/>
    <w:rsid w:val="00E01A4C"/>
    <w:rsid w:val="00E02931"/>
    <w:rsid w:val="00E05040"/>
    <w:rsid w:val="00E05A98"/>
    <w:rsid w:val="00E06E0F"/>
    <w:rsid w:val="00E07E9A"/>
    <w:rsid w:val="00E10AA4"/>
    <w:rsid w:val="00E166BA"/>
    <w:rsid w:val="00E16CD5"/>
    <w:rsid w:val="00E1779E"/>
    <w:rsid w:val="00E21733"/>
    <w:rsid w:val="00E23A09"/>
    <w:rsid w:val="00E24BC1"/>
    <w:rsid w:val="00E259D3"/>
    <w:rsid w:val="00E2691A"/>
    <w:rsid w:val="00E30A77"/>
    <w:rsid w:val="00E30A86"/>
    <w:rsid w:val="00E30FEE"/>
    <w:rsid w:val="00E34DD6"/>
    <w:rsid w:val="00E44695"/>
    <w:rsid w:val="00E46E53"/>
    <w:rsid w:val="00E55F1D"/>
    <w:rsid w:val="00E56E51"/>
    <w:rsid w:val="00E578A4"/>
    <w:rsid w:val="00E57B85"/>
    <w:rsid w:val="00E61627"/>
    <w:rsid w:val="00E6183A"/>
    <w:rsid w:val="00E61D60"/>
    <w:rsid w:val="00E61F4F"/>
    <w:rsid w:val="00E626E5"/>
    <w:rsid w:val="00E645EE"/>
    <w:rsid w:val="00E65E25"/>
    <w:rsid w:val="00E7261A"/>
    <w:rsid w:val="00E72B6A"/>
    <w:rsid w:val="00E744F0"/>
    <w:rsid w:val="00E773C9"/>
    <w:rsid w:val="00E77C1D"/>
    <w:rsid w:val="00E8214C"/>
    <w:rsid w:val="00E826CD"/>
    <w:rsid w:val="00E8481F"/>
    <w:rsid w:val="00E854A6"/>
    <w:rsid w:val="00E855AC"/>
    <w:rsid w:val="00E86D1D"/>
    <w:rsid w:val="00E922EE"/>
    <w:rsid w:val="00E965FA"/>
    <w:rsid w:val="00E96991"/>
    <w:rsid w:val="00E9752D"/>
    <w:rsid w:val="00E97AA7"/>
    <w:rsid w:val="00EA15EF"/>
    <w:rsid w:val="00EA466A"/>
    <w:rsid w:val="00EA46F9"/>
    <w:rsid w:val="00EA5252"/>
    <w:rsid w:val="00EB06B7"/>
    <w:rsid w:val="00EB1A45"/>
    <w:rsid w:val="00EB1F68"/>
    <w:rsid w:val="00EB424C"/>
    <w:rsid w:val="00EB4D7C"/>
    <w:rsid w:val="00EC00B4"/>
    <w:rsid w:val="00EC03AD"/>
    <w:rsid w:val="00EC0D36"/>
    <w:rsid w:val="00EC39A4"/>
    <w:rsid w:val="00EC485E"/>
    <w:rsid w:val="00EC5E39"/>
    <w:rsid w:val="00EC5E5A"/>
    <w:rsid w:val="00EC7423"/>
    <w:rsid w:val="00EC7D8A"/>
    <w:rsid w:val="00ED1B37"/>
    <w:rsid w:val="00ED4307"/>
    <w:rsid w:val="00ED56A6"/>
    <w:rsid w:val="00ED6C3B"/>
    <w:rsid w:val="00ED6E69"/>
    <w:rsid w:val="00EE12C4"/>
    <w:rsid w:val="00EE60AC"/>
    <w:rsid w:val="00EE62AA"/>
    <w:rsid w:val="00EE649C"/>
    <w:rsid w:val="00EE7D12"/>
    <w:rsid w:val="00EF3C22"/>
    <w:rsid w:val="00EF424D"/>
    <w:rsid w:val="00EF4577"/>
    <w:rsid w:val="00EF7A2A"/>
    <w:rsid w:val="00F01FFB"/>
    <w:rsid w:val="00F060F5"/>
    <w:rsid w:val="00F063DB"/>
    <w:rsid w:val="00F06974"/>
    <w:rsid w:val="00F10156"/>
    <w:rsid w:val="00F14C7F"/>
    <w:rsid w:val="00F214BA"/>
    <w:rsid w:val="00F21654"/>
    <w:rsid w:val="00F25ED3"/>
    <w:rsid w:val="00F27607"/>
    <w:rsid w:val="00F30527"/>
    <w:rsid w:val="00F30A23"/>
    <w:rsid w:val="00F311E9"/>
    <w:rsid w:val="00F3291C"/>
    <w:rsid w:val="00F3595B"/>
    <w:rsid w:val="00F413F2"/>
    <w:rsid w:val="00F42042"/>
    <w:rsid w:val="00F4271C"/>
    <w:rsid w:val="00F46AEA"/>
    <w:rsid w:val="00F471DD"/>
    <w:rsid w:val="00F47B7F"/>
    <w:rsid w:val="00F517A2"/>
    <w:rsid w:val="00F51F7C"/>
    <w:rsid w:val="00F52B9D"/>
    <w:rsid w:val="00F530F8"/>
    <w:rsid w:val="00F5528C"/>
    <w:rsid w:val="00F55DAD"/>
    <w:rsid w:val="00F56AD9"/>
    <w:rsid w:val="00F57A02"/>
    <w:rsid w:val="00F64A34"/>
    <w:rsid w:val="00F70402"/>
    <w:rsid w:val="00F73BA5"/>
    <w:rsid w:val="00F748B5"/>
    <w:rsid w:val="00F74955"/>
    <w:rsid w:val="00F75BA5"/>
    <w:rsid w:val="00F760F8"/>
    <w:rsid w:val="00F80FF0"/>
    <w:rsid w:val="00F830EF"/>
    <w:rsid w:val="00F839A3"/>
    <w:rsid w:val="00F853BB"/>
    <w:rsid w:val="00F9332E"/>
    <w:rsid w:val="00F9355E"/>
    <w:rsid w:val="00F9686F"/>
    <w:rsid w:val="00F971BE"/>
    <w:rsid w:val="00FA2AC3"/>
    <w:rsid w:val="00FA4F1A"/>
    <w:rsid w:val="00FA53FE"/>
    <w:rsid w:val="00FB1F09"/>
    <w:rsid w:val="00FB3B3D"/>
    <w:rsid w:val="00FB46B6"/>
    <w:rsid w:val="00FB5421"/>
    <w:rsid w:val="00FB5D8A"/>
    <w:rsid w:val="00FB6286"/>
    <w:rsid w:val="00FB6810"/>
    <w:rsid w:val="00FC1F70"/>
    <w:rsid w:val="00FC39A1"/>
    <w:rsid w:val="00FC506D"/>
    <w:rsid w:val="00FC558E"/>
    <w:rsid w:val="00FC7473"/>
    <w:rsid w:val="00FD4785"/>
    <w:rsid w:val="00FD4964"/>
    <w:rsid w:val="00FD5886"/>
    <w:rsid w:val="00FE65BA"/>
    <w:rsid w:val="00FE73D6"/>
    <w:rsid w:val="00FF0C9C"/>
    <w:rsid w:val="00FF1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034ea2,#5d9efd"/>
    </o:shapedefaults>
    <o:shapelayout v:ext="edit">
      <o:idmap v:ext="edit" data="1"/>
    </o:shapelayout>
  </w:shapeDefaults>
  <w:decimalSymbol w:val="."/>
  <w:listSeparator w:val=","/>
  <w14:docId w14:val="66F35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caption" w:semiHidden="1" w:unhideWhenUsed="1" w:qFormat="1"/>
    <w:lsdException w:name="endnote reference" w:semiHidden="1"/>
    <w:lsdException w:name="endnote text" w:semiHidden="1"/>
    <w:lsdException w:name="Default Paragraph Font" w:uiPriority="1"/>
    <w:lsdException w:name="Body Text" w:qFormat="1"/>
    <w:lsdException w:name="Emphasis" w:qFormat="1"/>
    <w:lsdException w:name="Document Map" w:semiHidden="1"/>
    <w:lsdException w:name="Normal (Web)" w:uiPriority="99"/>
    <w:lsdException w:name="No List" w:uiPriority="99"/>
    <w:lsdException w:name="Table Grid" w:uiPriority="5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34F69"/>
    <w:pPr>
      <w:spacing w:line="288" w:lineRule="auto"/>
      <w:jc w:val="both"/>
    </w:pPr>
    <w:rPr>
      <w:rFonts w:ascii="Verdana" w:hAnsi="Verdana"/>
      <w:sz w:val="17"/>
      <w:szCs w:val="24"/>
      <w:lang w:eastAsia="en-US"/>
    </w:rPr>
  </w:style>
  <w:style w:type="paragraph" w:styleId="Heading1">
    <w:name w:val="heading 1"/>
    <w:basedOn w:val="Noparagraphstyle"/>
    <w:semiHidden/>
    <w:qFormat/>
    <w:rsid w:val="009654A1"/>
    <w:pPr>
      <w:spacing w:before="600" w:after="20" w:line="240" w:lineRule="auto"/>
      <w:outlineLvl w:val="0"/>
    </w:pPr>
    <w:rPr>
      <w:rFonts w:ascii="Frutiger LT Com 45 Light" w:hAnsi="Frutiger LT Com 45 Light" w:cs="Arial"/>
      <w:b/>
      <w:bCs/>
      <w:sz w:val="28"/>
      <w:szCs w:val="36"/>
      <w:lang w:val="en-GB"/>
    </w:rPr>
  </w:style>
  <w:style w:type="paragraph" w:styleId="Heading2">
    <w:name w:val="heading 2"/>
    <w:basedOn w:val="Normal"/>
    <w:next w:val="Normal"/>
    <w:semiHidden/>
    <w:qFormat/>
    <w:rsid w:val="009654A1"/>
    <w:pPr>
      <w:keepNext/>
      <w:spacing w:after="220" w:line="240" w:lineRule="auto"/>
      <w:outlineLvl w:val="1"/>
    </w:pPr>
    <w:rPr>
      <w:rFonts w:cs="Arial"/>
      <w:b/>
      <w:bCs/>
      <w:iCs/>
      <w:sz w:val="22"/>
      <w:szCs w:val="28"/>
    </w:rPr>
  </w:style>
  <w:style w:type="paragraph" w:styleId="Heading3">
    <w:name w:val="heading 3"/>
    <w:basedOn w:val="Normal"/>
    <w:next w:val="Normal"/>
    <w:qFormat/>
    <w:rsid w:val="009654A1"/>
    <w:pPr>
      <w:keepNext/>
      <w:spacing w:line="240" w:lineRule="auto"/>
      <w:outlineLvl w:val="2"/>
    </w:pPr>
    <w:rPr>
      <w:rFonts w:cs="Arial"/>
      <w:b/>
      <w:bCs/>
      <w:szCs w:val="26"/>
    </w:rPr>
  </w:style>
  <w:style w:type="paragraph" w:styleId="Heading4">
    <w:name w:val="heading 4"/>
    <w:basedOn w:val="Normal"/>
    <w:next w:val="Normal"/>
    <w:semiHidden/>
    <w:rsid w:val="00B673B7"/>
    <w:pPr>
      <w:keepNext/>
      <w:spacing w:before="240" w:after="60"/>
      <w:outlineLvl w:val="3"/>
    </w:pPr>
    <w:rPr>
      <w:b/>
      <w:bCs/>
      <w:sz w:val="28"/>
      <w:szCs w:val="28"/>
    </w:rPr>
  </w:style>
  <w:style w:type="paragraph" w:styleId="Heading5">
    <w:name w:val="heading 5"/>
    <w:basedOn w:val="Normal"/>
    <w:next w:val="Normal"/>
    <w:semiHidden/>
    <w:rsid w:val="00B673B7"/>
    <w:pPr>
      <w:spacing w:before="240" w:after="60"/>
      <w:outlineLvl w:val="4"/>
    </w:pPr>
    <w:rPr>
      <w:b/>
      <w:bCs/>
      <w:i/>
      <w:iCs/>
      <w:sz w:val="26"/>
      <w:szCs w:val="26"/>
    </w:rPr>
  </w:style>
  <w:style w:type="paragraph" w:styleId="Heading6">
    <w:name w:val="heading 6"/>
    <w:basedOn w:val="Normal"/>
    <w:next w:val="Normal"/>
    <w:semiHidden/>
    <w:rsid w:val="00B673B7"/>
    <w:pPr>
      <w:spacing w:before="240" w:after="60"/>
      <w:outlineLvl w:val="5"/>
    </w:pPr>
    <w:rPr>
      <w:b/>
      <w:bCs/>
      <w:sz w:val="22"/>
      <w:szCs w:val="22"/>
    </w:rPr>
  </w:style>
  <w:style w:type="paragraph" w:styleId="Heading7">
    <w:name w:val="heading 7"/>
    <w:basedOn w:val="Normal"/>
    <w:next w:val="Normal"/>
    <w:semiHidden/>
    <w:rsid w:val="00B673B7"/>
    <w:pPr>
      <w:spacing w:before="240" w:after="60"/>
      <w:outlineLvl w:val="6"/>
    </w:pPr>
  </w:style>
  <w:style w:type="paragraph" w:styleId="Heading8">
    <w:name w:val="heading 8"/>
    <w:basedOn w:val="Normal"/>
    <w:next w:val="Normal"/>
    <w:semiHidden/>
    <w:rsid w:val="00B673B7"/>
    <w:pPr>
      <w:spacing w:before="240" w:after="60"/>
      <w:outlineLvl w:val="7"/>
    </w:pPr>
    <w:rPr>
      <w:i/>
      <w:iCs/>
    </w:rPr>
  </w:style>
  <w:style w:type="paragraph" w:styleId="Heading9">
    <w:name w:val="heading 9"/>
    <w:basedOn w:val="Normal"/>
    <w:next w:val="Normal"/>
    <w:semiHidden/>
    <w:rsid w:val="00B673B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B316E4"/>
    <w:pPr>
      <w:tabs>
        <w:tab w:val="center" w:pos="4320"/>
        <w:tab w:val="right" w:pos="8640"/>
      </w:tabs>
    </w:pPr>
  </w:style>
  <w:style w:type="paragraph" w:styleId="Footer">
    <w:name w:val="footer"/>
    <w:basedOn w:val="Normal"/>
    <w:semiHidden/>
    <w:rsid w:val="00B316E4"/>
    <w:pPr>
      <w:tabs>
        <w:tab w:val="center" w:pos="4320"/>
        <w:tab w:val="right" w:pos="8640"/>
      </w:tabs>
    </w:pPr>
  </w:style>
  <w:style w:type="paragraph" w:customStyle="1" w:styleId="Noparagraphstyle">
    <w:name w:val="[No paragraph style]"/>
    <w:semiHidden/>
    <w:rsid w:val="007E7781"/>
    <w:pPr>
      <w:autoSpaceDE w:val="0"/>
      <w:autoSpaceDN w:val="0"/>
      <w:adjustRightInd w:val="0"/>
      <w:spacing w:line="288" w:lineRule="auto"/>
      <w:textAlignment w:val="center"/>
    </w:pPr>
    <w:rPr>
      <w:color w:val="000000"/>
      <w:sz w:val="24"/>
      <w:szCs w:val="24"/>
      <w:lang w:val="en-US" w:eastAsia="en-US"/>
    </w:rPr>
  </w:style>
  <w:style w:type="character" w:styleId="Hyperlink">
    <w:name w:val="Hyperlink"/>
    <w:semiHidden/>
    <w:rsid w:val="004C7ACC"/>
    <w:rPr>
      <w:color w:val="0000FF"/>
      <w:u w:val="single"/>
    </w:rPr>
  </w:style>
  <w:style w:type="character" w:styleId="PageNumber">
    <w:name w:val="page number"/>
    <w:basedOn w:val="DefaultParagraphFont"/>
    <w:semiHidden/>
    <w:rsid w:val="000846C0"/>
  </w:style>
  <w:style w:type="paragraph" w:styleId="BalloonText">
    <w:name w:val="Balloon Text"/>
    <w:basedOn w:val="Normal"/>
    <w:semiHidden/>
    <w:rsid w:val="00813FF5"/>
    <w:rPr>
      <w:rFonts w:ascii="Tahoma" w:hAnsi="Tahoma" w:cs="Tahoma"/>
      <w:sz w:val="16"/>
      <w:szCs w:val="16"/>
    </w:rPr>
  </w:style>
  <w:style w:type="paragraph" w:styleId="FootnoteText">
    <w:name w:val="footnote text"/>
    <w:basedOn w:val="Normal"/>
    <w:semiHidden/>
    <w:rsid w:val="005D14DF"/>
    <w:rPr>
      <w:szCs w:val="20"/>
      <w:lang w:eastAsia="fr-FR"/>
    </w:rPr>
  </w:style>
  <w:style w:type="numbering" w:styleId="111111">
    <w:name w:val="Outline List 2"/>
    <w:basedOn w:val="NoList"/>
    <w:semiHidden/>
    <w:rsid w:val="00B673B7"/>
    <w:pPr>
      <w:numPr>
        <w:numId w:val="11"/>
      </w:numPr>
    </w:pPr>
  </w:style>
  <w:style w:type="numbering" w:styleId="1ai">
    <w:name w:val="Outline List 1"/>
    <w:basedOn w:val="NoList"/>
    <w:semiHidden/>
    <w:rsid w:val="00B673B7"/>
    <w:pPr>
      <w:numPr>
        <w:numId w:val="12"/>
      </w:numPr>
    </w:pPr>
  </w:style>
  <w:style w:type="numbering" w:styleId="ArticleSection">
    <w:name w:val="Outline List 3"/>
    <w:basedOn w:val="NoList"/>
    <w:semiHidden/>
    <w:rsid w:val="00B673B7"/>
    <w:pPr>
      <w:numPr>
        <w:numId w:val="13"/>
      </w:numPr>
    </w:pPr>
  </w:style>
  <w:style w:type="paragraph" w:styleId="BlockText">
    <w:name w:val="Block Text"/>
    <w:basedOn w:val="Normal"/>
    <w:semiHidden/>
    <w:rsid w:val="00B673B7"/>
    <w:pPr>
      <w:spacing w:after="120"/>
      <w:ind w:left="1440" w:right="1440"/>
    </w:pPr>
  </w:style>
  <w:style w:type="paragraph" w:styleId="BodyText">
    <w:name w:val="Body Text"/>
    <w:basedOn w:val="Normal"/>
    <w:link w:val="BodyTextChar"/>
    <w:qFormat/>
    <w:rsid w:val="00B673B7"/>
    <w:pPr>
      <w:spacing w:after="120"/>
    </w:pPr>
  </w:style>
  <w:style w:type="paragraph" w:styleId="BodyText2">
    <w:name w:val="Body Text 2"/>
    <w:basedOn w:val="Normal"/>
    <w:semiHidden/>
    <w:rsid w:val="00B673B7"/>
    <w:pPr>
      <w:spacing w:after="120" w:line="480" w:lineRule="auto"/>
    </w:pPr>
  </w:style>
  <w:style w:type="paragraph" w:styleId="BodyText3">
    <w:name w:val="Body Text 3"/>
    <w:basedOn w:val="Normal"/>
    <w:semiHidden/>
    <w:rsid w:val="00B673B7"/>
    <w:pPr>
      <w:spacing w:after="120"/>
    </w:pPr>
    <w:rPr>
      <w:sz w:val="16"/>
      <w:szCs w:val="16"/>
    </w:rPr>
  </w:style>
  <w:style w:type="paragraph" w:styleId="BodyTextFirstIndent">
    <w:name w:val="Body Text First Indent"/>
    <w:basedOn w:val="BodyText"/>
    <w:semiHidden/>
    <w:rsid w:val="00B673B7"/>
    <w:pPr>
      <w:ind w:firstLine="210"/>
    </w:pPr>
  </w:style>
  <w:style w:type="paragraph" w:styleId="BodyTextIndent">
    <w:name w:val="Body Text Indent"/>
    <w:basedOn w:val="Normal"/>
    <w:semiHidden/>
    <w:rsid w:val="00B673B7"/>
    <w:pPr>
      <w:spacing w:after="120"/>
      <w:ind w:left="283"/>
    </w:pPr>
  </w:style>
  <w:style w:type="paragraph" w:styleId="BodyTextFirstIndent2">
    <w:name w:val="Body Text First Indent 2"/>
    <w:basedOn w:val="BodyTextIndent"/>
    <w:semiHidden/>
    <w:rsid w:val="00B673B7"/>
    <w:pPr>
      <w:ind w:firstLine="210"/>
    </w:pPr>
  </w:style>
  <w:style w:type="paragraph" w:styleId="BodyTextIndent2">
    <w:name w:val="Body Text Indent 2"/>
    <w:basedOn w:val="Normal"/>
    <w:semiHidden/>
    <w:rsid w:val="00B673B7"/>
    <w:pPr>
      <w:spacing w:after="120" w:line="480" w:lineRule="auto"/>
      <w:ind w:left="283"/>
    </w:pPr>
  </w:style>
  <w:style w:type="paragraph" w:styleId="BodyTextIndent3">
    <w:name w:val="Body Text Indent 3"/>
    <w:basedOn w:val="Normal"/>
    <w:semiHidden/>
    <w:rsid w:val="00B673B7"/>
    <w:pPr>
      <w:spacing w:after="120"/>
      <w:ind w:left="283"/>
    </w:pPr>
    <w:rPr>
      <w:sz w:val="16"/>
      <w:szCs w:val="16"/>
    </w:rPr>
  </w:style>
  <w:style w:type="paragraph" w:styleId="Closing">
    <w:name w:val="Closing"/>
    <w:basedOn w:val="Normal"/>
    <w:semiHidden/>
    <w:rsid w:val="00B673B7"/>
    <w:pPr>
      <w:ind w:left="4252"/>
    </w:pPr>
  </w:style>
  <w:style w:type="paragraph" w:styleId="PlainText">
    <w:name w:val="Plain Text"/>
    <w:basedOn w:val="Normal"/>
    <w:semiHidden/>
    <w:rsid w:val="00B673B7"/>
    <w:rPr>
      <w:rFonts w:ascii="Courier New" w:hAnsi="Courier New" w:cs="Courier New"/>
      <w:szCs w:val="20"/>
    </w:rPr>
  </w:style>
  <w:style w:type="paragraph" w:styleId="Salutation">
    <w:name w:val="Salutation"/>
    <w:basedOn w:val="Normal"/>
    <w:next w:val="Normal"/>
    <w:semiHidden/>
    <w:rsid w:val="00B673B7"/>
  </w:style>
  <w:style w:type="paragraph" w:styleId="Signature">
    <w:name w:val="Signature"/>
    <w:basedOn w:val="Normal"/>
    <w:semiHidden/>
    <w:rsid w:val="00B673B7"/>
    <w:pPr>
      <w:ind w:left="4252"/>
    </w:pPr>
  </w:style>
  <w:style w:type="table" w:styleId="Table3Deffects1">
    <w:name w:val="Table 3D effects 1"/>
    <w:basedOn w:val="TableNormal"/>
    <w:semiHidden/>
    <w:rsid w:val="00B673B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673B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673B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673B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673B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673B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673B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673B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673B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673B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673B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673B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673B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673B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673B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673B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673B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B67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B673B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673B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673B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673B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673B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673B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673B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673B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673B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673B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673B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673B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673B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673B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673B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673B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673B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673B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673B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673B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673B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673B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67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B673B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673B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673B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Date">
    <w:name w:val="Date"/>
    <w:basedOn w:val="Normal"/>
    <w:next w:val="Normal"/>
    <w:semiHidden/>
    <w:rsid w:val="00B673B7"/>
  </w:style>
  <w:style w:type="paragraph" w:styleId="E-mailSignature">
    <w:name w:val="E-mail Signature"/>
    <w:basedOn w:val="Normal"/>
    <w:semiHidden/>
    <w:rsid w:val="00B673B7"/>
  </w:style>
  <w:style w:type="character" w:styleId="Emphasis">
    <w:name w:val="Emphasis"/>
    <w:semiHidden/>
    <w:qFormat/>
    <w:rsid w:val="009654A1"/>
    <w:rPr>
      <w:i/>
      <w:iCs/>
    </w:rPr>
  </w:style>
  <w:style w:type="paragraph" w:styleId="EnvelopeAddress">
    <w:name w:val="envelope address"/>
    <w:basedOn w:val="Normal"/>
    <w:semiHidden/>
    <w:rsid w:val="00B673B7"/>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B673B7"/>
    <w:rPr>
      <w:rFonts w:ascii="Arial" w:hAnsi="Arial" w:cs="Arial"/>
      <w:szCs w:val="20"/>
    </w:rPr>
  </w:style>
  <w:style w:type="character" w:styleId="FollowedHyperlink">
    <w:name w:val="FollowedHyperlink"/>
    <w:semiHidden/>
    <w:rsid w:val="00B673B7"/>
    <w:rPr>
      <w:color w:val="800080"/>
      <w:u w:val="single"/>
    </w:rPr>
  </w:style>
  <w:style w:type="character" w:styleId="HTMLAcronym">
    <w:name w:val="HTML Acronym"/>
    <w:basedOn w:val="DefaultParagraphFont"/>
    <w:semiHidden/>
    <w:rsid w:val="00B673B7"/>
  </w:style>
  <w:style w:type="paragraph" w:styleId="HTMLAddress">
    <w:name w:val="HTML Address"/>
    <w:basedOn w:val="Normal"/>
    <w:semiHidden/>
    <w:rsid w:val="00B673B7"/>
    <w:rPr>
      <w:i/>
      <w:iCs/>
    </w:rPr>
  </w:style>
  <w:style w:type="character" w:styleId="HTMLCite">
    <w:name w:val="HTML Cite"/>
    <w:semiHidden/>
    <w:rsid w:val="00B673B7"/>
    <w:rPr>
      <w:i/>
      <w:iCs/>
    </w:rPr>
  </w:style>
  <w:style w:type="character" w:styleId="HTMLCode">
    <w:name w:val="HTML Code"/>
    <w:semiHidden/>
    <w:rsid w:val="00B673B7"/>
    <w:rPr>
      <w:rFonts w:ascii="Courier New" w:hAnsi="Courier New" w:cs="Courier New"/>
      <w:sz w:val="20"/>
      <w:szCs w:val="20"/>
    </w:rPr>
  </w:style>
  <w:style w:type="character" w:styleId="HTMLDefinition">
    <w:name w:val="HTML Definition"/>
    <w:semiHidden/>
    <w:rsid w:val="00B673B7"/>
    <w:rPr>
      <w:i/>
      <w:iCs/>
    </w:rPr>
  </w:style>
  <w:style w:type="character" w:styleId="HTMLKeyboard">
    <w:name w:val="HTML Keyboard"/>
    <w:semiHidden/>
    <w:rsid w:val="00B673B7"/>
    <w:rPr>
      <w:rFonts w:ascii="Courier New" w:hAnsi="Courier New" w:cs="Courier New"/>
      <w:sz w:val="20"/>
      <w:szCs w:val="20"/>
    </w:rPr>
  </w:style>
  <w:style w:type="paragraph" w:styleId="HTMLPreformatted">
    <w:name w:val="HTML Preformatted"/>
    <w:basedOn w:val="Normal"/>
    <w:semiHidden/>
    <w:rsid w:val="00B673B7"/>
    <w:rPr>
      <w:rFonts w:ascii="Courier New" w:hAnsi="Courier New" w:cs="Courier New"/>
      <w:szCs w:val="20"/>
    </w:rPr>
  </w:style>
  <w:style w:type="character" w:styleId="HTMLSample">
    <w:name w:val="HTML Sample"/>
    <w:semiHidden/>
    <w:rsid w:val="00B673B7"/>
    <w:rPr>
      <w:rFonts w:ascii="Courier New" w:hAnsi="Courier New" w:cs="Courier New"/>
    </w:rPr>
  </w:style>
  <w:style w:type="character" w:styleId="HTMLTypewriter">
    <w:name w:val="HTML Typewriter"/>
    <w:semiHidden/>
    <w:rsid w:val="00B673B7"/>
    <w:rPr>
      <w:rFonts w:ascii="Courier New" w:hAnsi="Courier New" w:cs="Courier New"/>
      <w:sz w:val="20"/>
      <w:szCs w:val="20"/>
    </w:rPr>
  </w:style>
  <w:style w:type="character" w:styleId="HTMLVariable">
    <w:name w:val="HTML Variable"/>
    <w:semiHidden/>
    <w:rsid w:val="00B673B7"/>
    <w:rPr>
      <w:i/>
      <w:iCs/>
    </w:rPr>
  </w:style>
  <w:style w:type="character" w:styleId="LineNumber">
    <w:name w:val="line number"/>
    <w:basedOn w:val="DefaultParagraphFont"/>
    <w:semiHidden/>
    <w:rsid w:val="00B673B7"/>
  </w:style>
  <w:style w:type="paragraph" w:styleId="List">
    <w:name w:val="List"/>
    <w:basedOn w:val="Normal"/>
    <w:semiHidden/>
    <w:rsid w:val="00B673B7"/>
    <w:pPr>
      <w:ind w:left="283" w:hanging="283"/>
    </w:pPr>
  </w:style>
  <w:style w:type="paragraph" w:styleId="List2">
    <w:name w:val="List 2"/>
    <w:basedOn w:val="Normal"/>
    <w:semiHidden/>
    <w:rsid w:val="00B673B7"/>
    <w:pPr>
      <w:ind w:left="566" w:hanging="283"/>
    </w:pPr>
  </w:style>
  <w:style w:type="paragraph" w:styleId="List3">
    <w:name w:val="List 3"/>
    <w:basedOn w:val="Normal"/>
    <w:semiHidden/>
    <w:rsid w:val="00B673B7"/>
    <w:pPr>
      <w:ind w:left="849" w:hanging="283"/>
    </w:pPr>
  </w:style>
  <w:style w:type="paragraph" w:styleId="List4">
    <w:name w:val="List 4"/>
    <w:basedOn w:val="Normal"/>
    <w:semiHidden/>
    <w:rsid w:val="00B673B7"/>
    <w:pPr>
      <w:ind w:left="1132" w:hanging="283"/>
    </w:pPr>
  </w:style>
  <w:style w:type="paragraph" w:styleId="List5">
    <w:name w:val="List 5"/>
    <w:basedOn w:val="Normal"/>
    <w:semiHidden/>
    <w:rsid w:val="00B673B7"/>
    <w:pPr>
      <w:ind w:left="1415" w:hanging="283"/>
    </w:pPr>
  </w:style>
  <w:style w:type="paragraph" w:styleId="ListBullet">
    <w:name w:val="List Bullet"/>
    <w:basedOn w:val="Normal"/>
    <w:semiHidden/>
    <w:rsid w:val="00B673B7"/>
    <w:pPr>
      <w:numPr>
        <w:numId w:val="1"/>
      </w:numPr>
    </w:pPr>
  </w:style>
  <w:style w:type="paragraph" w:styleId="ListBullet2">
    <w:name w:val="List Bullet 2"/>
    <w:basedOn w:val="Normal"/>
    <w:semiHidden/>
    <w:rsid w:val="00B673B7"/>
    <w:pPr>
      <w:numPr>
        <w:numId w:val="2"/>
      </w:numPr>
    </w:pPr>
  </w:style>
  <w:style w:type="paragraph" w:styleId="ListBullet3">
    <w:name w:val="List Bullet 3"/>
    <w:basedOn w:val="Normal"/>
    <w:semiHidden/>
    <w:rsid w:val="00B673B7"/>
    <w:pPr>
      <w:numPr>
        <w:numId w:val="3"/>
      </w:numPr>
    </w:pPr>
  </w:style>
  <w:style w:type="paragraph" w:styleId="ListBullet4">
    <w:name w:val="List Bullet 4"/>
    <w:basedOn w:val="Normal"/>
    <w:semiHidden/>
    <w:rsid w:val="00B673B7"/>
    <w:pPr>
      <w:numPr>
        <w:numId w:val="4"/>
      </w:numPr>
    </w:pPr>
  </w:style>
  <w:style w:type="paragraph" w:styleId="ListBullet5">
    <w:name w:val="List Bullet 5"/>
    <w:basedOn w:val="Normal"/>
    <w:semiHidden/>
    <w:rsid w:val="00B673B7"/>
    <w:pPr>
      <w:numPr>
        <w:numId w:val="5"/>
      </w:numPr>
    </w:pPr>
  </w:style>
  <w:style w:type="paragraph" w:styleId="ListContinue">
    <w:name w:val="List Continue"/>
    <w:basedOn w:val="Normal"/>
    <w:semiHidden/>
    <w:rsid w:val="00B673B7"/>
    <w:pPr>
      <w:spacing w:after="120"/>
      <w:ind w:left="283"/>
    </w:pPr>
  </w:style>
  <w:style w:type="paragraph" w:styleId="ListContinue2">
    <w:name w:val="List Continue 2"/>
    <w:basedOn w:val="Normal"/>
    <w:semiHidden/>
    <w:rsid w:val="00B673B7"/>
    <w:pPr>
      <w:spacing w:after="120"/>
      <w:ind w:left="566"/>
    </w:pPr>
  </w:style>
  <w:style w:type="paragraph" w:styleId="ListContinue3">
    <w:name w:val="List Continue 3"/>
    <w:basedOn w:val="Normal"/>
    <w:semiHidden/>
    <w:rsid w:val="00B673B7"/>
    <w:pPr>
      <w:spacing w:after="120"/>
      <w:ind w:left="849"/>
    </w:pPr>
  </w:style>
  <w:style w:type="paragraph" w:styleId="ListContinue4">
    <w:name w:val="List Continue 4"/>
    <w:basedOn w:val="Normal"/>
    <w:semiHidden/>
    <w:rsid w:val="00B673B7"/>
    <w:pPr>
      <w:spacing w:after="120"/>
      <w:ind w:left="1132"/>
    </w:pPr>
  </w:style>
  <w:style w:type="paragraph" w:styleId="ListContinue5">
    <w:name w:val="List Continue 5"/>
    <w:basedOn w:val="Normal"/>
    <w:semiHidden/>
    <w:rsid w:val="00B673B7"/>
    <w:pPr>
      <w:spacing w:after="120"/>
      <w:ind w:left="1415"/>
    </w:pPr>
  </w:style>
  <w:style w:type="paragraph" w:styleId="ListNumber">
    <w:name w:val="List Number"/>
    <w:basedOn w:val="Normal"/>
    <w:semiHidden/>
    <w:rsid w:val="00B673B7"/>
    <w:pPr>
      <w:numPr>
        <w:numId w:val="6"/>
      </w:numPr>
    </w:pPr>
  </w:style>
  <w:style w:type="paragraph" w:styleId="ListNumber2">
    <w:name w:val="List Number 2"/>
    <w:basedOn w:val="Normal"/>
    <w:semiHidden/>
    <w:rsid w:val="00B673B7"/>
    <w:pPr>
      <w:numPr>
        <w:numId w:val="7"/>
      </w:numPr>
    </w:pPr>
  </w:style>
  <w:style w:type="paragraph" w:styleId="ListNumber3">
    <w:name w:val="List Number 3"/>
    <w:basedOn w:val="Normal"/>
    <w:semiHidden/>
    <w:rsid w:val="00B673B7"/>
    <w:pPr>
      <w:numPr>
        <w:numId w:val="8"/>
      </w:numPr>
    </w:pPr>
  </w:style>
  <w:style w:type="paragraph" w:styleId="ListNumber4">
    <w:name w:val="List Number 4"/>
    <w:basedOn w:val="Normal"/>
    <w:semiHidden/>
    <w:rsid w:val="00B673B7"/>
    <w:pPr>
      <w:numPr>
        <w:numId w:val="9"/>
      </w:numPr>
    </w:pPr>
  </w:style>
  <w:style w:type="paragraph" w:styleId="ListNumber5">
    <w:name w:val="List Number 5"/>
    <w:basedOn w:val="Normal"/>
    <w:semiHidden/>
    <w:rsid w:val="00B673B7"/>
    <w:pPr>
      <w:numPr>
        <w:numId w:val="10"/>
      </w:numPr>
    </w:pPr>
  </w:style>
  <w:style w:type="paragraph" w:styleId="MessageHeader">
    <w:name w:val="Message Header"/>
    <w:basedOn w:val="Normal"/>
    <w:semiHidden/>
    <w:rsid w:val="00B673B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uiPriority w:val="99"/>
    <w:semiHidden/>
    <w:rsid w:val="00B673B7"/>
  </w:style>
  <w:style w:type="paragraph" w:styleId="NormalIndent">
    <w:name w:val="Normal Indent"/>
    <w:basedOn w:val="Normal"/>
    <w:semiHidden/>
    <w:rsid w:val="00B673B7"/>
    <w:pPr>
      <w:ind w:left="720"/>
    </w:pPr>
  </w:style>
  <w:style w:type="paragraph" w:styleId="NoteHeading">
    <w:name w:val="Note Heading"/>
    <w:basedOn w:val="Normal"/>
    <w:next w:val="Normal"/>
    <w:semiHidden/>
    <w:rsid w:val="00B673B7"/>
  </w:style>
  <w:style w:type="character" w:styleId="FootnoteReference">
    <w:name w:val="footnote reference"/>
    <w:semiHidden/>
    <w:rsid w:val="005D14DF"/>
    <w:rPr>
      <w:vertAlign w:val="superscript"/>
    </w:rPr>
  </w:style>
  <w:style w:type="paragraph" w:customStyle="1" w:styleId="Heading1CEA">
    <w:name w:val="Heading 1 (CEA)"/>
    <w:basedOn w:val="Normal"/>
    <w:link w:val="Heading1CEAChar"/>
    <w:semiHidden/>
    <w:rsid w:val="00A9408A"/>
    <w:pPr>
      <w:autoSpaceDE w:val="0"/>
      <w:autoSpaceDN w:val="0"/>
      <w:adjustRightInd w:val="0"/>
    </w:pPr>
    <w:rPr>
      <w:rFonts w:ascii="Arial" w:hAnsi="Arial"/>
      <w:b/>
      <w:color w:val="034EA2"/>
      <w:sz w:val="32"/>
      <w:szCs w:val="32"/>
    </w:rPr>
  </w:style>
  <w:style w:type="character" w:customStyle="1" w:styleId="Heading1CEAChar">
    <w:name w:val="Heading 1 (CEA) Char"/>
    <w:link w:val="Heading1CEA"/>
    <w:rsid w:val="00A9408A"/>
    <w:rPr>
      <w:rFonts w:ascii="Arial" w:hAnsi="Arial"/>
      <w:b/>
      <w:color w:val="034EA2"/>
      <w:sz w:val="32"/>
      <w:szCs w:val="32"/>
      <w:lang w:val="en-US" w:eastAsia="en-US" w:bidi="ar-SA"/>
    </w:rPr>
  </w:style>
  <w:style w:type="paragraph" w:customStyle="1" w:styleId="Heading2CEA">
    <w:name w:val="Heading 2 (CEA)"/>
    <w:basedOn w:val="Normal"/>
    <w:semiHidden/>
    <w:rsid w:val="00A9408A"/>
    <w:pPr>
      <w:autoSpaceDE w:val="0"/>
      <w:autoSpaceDN w:val="0"/>
      <w:adjustRightInd w:val="0"/>
    </w:pPr>
    <w:rPr>
      <w:rFonts w:ascii="Arial" w:hAnsi="Arial"/>
      <w:sz w:val="28"/>
      <w:szCs w:val="28"/>
    </w:rPr>
  </w:style>
  <w:style w:type="character" w:styleId="CommentReference">
    <w:name w:val="annotation reference"/>
    <w:semiHidden/>
    <w:rsid w:val="00517FE2"/>
    <w:rPr>
      <w:sz w:val="16"/>
      <w:szCs w:val="16"/>
    </w:rPr>
  </w:style>
  <w:style w:type="paragraph" w:styleId="CommentText">
    <w:name w:val="annotation text"/>
    <w:basedOn w:val="Normal"/>
    <w:semiHidden/>
    <w:rsid w:val="00517FE2"/>
    <w:rPr>
      <w:szCs w:val="20"/>
    </w:rPr>
  </w:style>
  <w:style w:type="paragraph" w:styleId="CommentSubject">
    <w:name w:val="annotation subject"/>
    <w:basedOn w:val="CommentText"/>
    <w:next w:val="CommentText"/>
    <w:semiHidden/>
    <w:rsid w:val="00517FE2"/>
    <w:rPr>
      <w:b/>
      <w:bCs/>
    </w:rPr>
  </w:style>
  <w:style w:type="paragraph" w:customStyle="1" w:styleId="CEALabel">
    <w:name w:val="CEA Label"/>
    <w:basedOn w:val="Normal"/>
    <w:semiHidden/>
    <w:qFormat/>
    <w:rsid w:val="009654A1"/>
    <w:pPr>
      <w:tabs>
        <w:tab w:val="right" w:pos="360"/>
        <w:tab w:val="left" w:pos="540"/>
      </w:tabs>
      <w:autoSpaceDE w:val="0"/>
      <w:autoSpaceDN w:val="0"/>
      <w:adjustRightInd w:val="0"/>
      <w:spacing w:before="30"/>
      <w:jc w:val="right"/>
      <w:textAlignment w:val="center"/>
    </w:pPr>
    <w:rPr>
      <w:rFonts w:cs="Arial"/>
      <w:b/>
      <w:color w:val="034EA2"/>
      <w:spacing w:val="-4"/>
      <w:w w:val="90"/>
      <w:sz w:val="16"/>
      <w:szCs w:val="16"/>
    </w:rPr>
  </w:style>
  <w:style w:type="paragraph" w:customStyle="1" w:styleId="CEAFooterauthorinfo">
    <w:name w:val="CEA Footer (author info)"/>
    <w:basedOn w:val="Normal"/>
    <w:semiHidden/>
    <w:qFormat/>
    <w:rsid w:val="009654A1"/>
    <w:pPr>
      <w:autoSpaceDE w:val="0"/>
      <w:autoSpaceDN w:val="0"/>
      <w:adjustRightInd w:val="0"/>
      <w:ind w:left="546"/>
      <w:textAlignment w:val="center"/>
    </w:pPr>
    <w:rPr>
      <w:rFonts w:cs="Arial"/>
      <w:b/>
      <w:color w:val="034EA2"/>
      <w:sz w:val="16"/>
      <w:szCs w:val="16"/>
      <w:lang w:val="nl-NL"/>
    </w:rPr>
  </w:style>
  <w:style w:type="paragraph" w:customStyle="1" w:styleId="CEADocumentType">
    <w:name w:val="CEA Document Type"/>
    <w:basedOn w:val="Normal"/>
    <w:semiHidden/>
    <w:qFormat/>
    <w:rsid w:val="009654A1"/>
    <w:pPr>
      <w:jc w:val="right"/>
    </w:pPr>
    <w:rPr>
      <w:rFonts w:cs="Arial"/>
      <w:b/>
      <w:color w:val="0032FF"/>
      <w:sz w:val="40"/>
      <w:szCs w:val="40"/>
    </w:rPr>
  </w:style>
  <w:style w:type="paragraph" w:customStyle="1" w:styleId="CEADraft">
    <w:name w:val="CEA Draft"/>
    <w:basedOn w:val="CEADocumentType"/>
    <w:semiHidden/>
    <w:qFormat/>
    <w:rsid w:val="009654A1"/>
    <w:rPr>
      <w:color w:val="034EA2"/>
      <w:sz w:val="32"/>
    </w:rPr>
  </w:style>
  <w:style w:type="paragraph" w:customStyle="1" w:styleId="CEASubjectLine">
    <w:name w:val="CEA Subject Line"/>
    <w:basedOn w:val="Normal"/>
    <w:semiHidden/>
    <w:qFormat/>
    <w:rsid w:val="009654A1"/>
    <w:rPr>
      <w:rFonts w:cs="Arial"/>
      <w:b/>
      <w:szCs w:val="20"/>
    </w:rPr>
  </w:style>
  <w:style w:type="character" w:customStyle="1" w:styleId="CEAGraphX">
    <w:name w:val="CEA Graph X"/>
    <w:uiPriority w:val="1"/>
    <w:qFormat/>
    <w:rsid w:val="00534F69"/>
    <w:rPr>
      <w:rFonts w:ascii="Verdana" w:hAnsi="Verdana"/>
      <w:smallCaps/>
      <w:sz w:val="17"/>
    </w:rPr>
  </w:style>
  <w:style w:type="character" w:customStyle="1" w:styleId="CEAGraphTitle">
    <w:name w:val="CEA Graph Title"/>
    <w:uiPriority w:val="1"/>
    <w:qFormat/>
    <w:rsid w:val="00534F69"/>
    <w:rPr>
      <w:rFonts w:ascii="Verdana" w:hAnsi="Verdana"/>
      <w:smallCaps w:val="0"/>
      <w:sz w:val="17"/>
    </w:rPr>
  </w:style>
  <w:style w:type="paragraph" w:customStyle="1" w:styleId="CEADirectorGeneral">
    <w:name w:val="CEA Director General"/>
    <w:basedOn w:val="Normal"/>
    <w:semiHidden/>
    <w:qFormat/>
    <w:rsid w:val="009654A1"/>
    <w:pPr>
      <w:tabs>
        <w:tab w:val="right" w:pos="360"/>
        <w:tab w:val="left" w:pos="540"/>
      </w:tabs>
      <w:autoSpaceDE w:val="0"/>
      <w:autoSpaceDN w:val="0"/>
      <w:adjustRightInd w:val="0"/>
      <w:textAlignment w:val="center"/>
    </w:pPr>
    <w:rPr>
      <w:sz w:val="22"/>
      <w:szCs w:val="22"/>
    </w:rPr>
  </w:style>
  <w:style w:type="paragraph" w:customStyle="1" w:styleId="CEAFootnote">
    <w:name w:val="CEA Footnote"/>
    <w:basedOn w:val="Normal"/>
    <w:semiHidden/>
    <w:qFormat/>
    <w:rsid w:val="009654A1"/>
    <w:pPr>
      <w:spacing w:line="240" w:lineRule="auto"/>
    </w:pPr>
    <w:rPr>
      <w:sz w:val="16"/>
    </w:rPr>
  </w:style>
  <w:style w:type="paragraph" w:customStyle="1" w:styleId="CEABullet-Level1">
    <w:name w:val="CEA Bullet - Level 1"/>
    <w:basedOn w:val="Normal"/>
    <w:qFormat/>
    <w:rsid w:val="00BA0174"/>
    <w:pPr>
      <w:numPr>
        <w:numId w:val="14"/>
      </w:numPr>
      <w:autoSpaceDE w:val="0"/>
      <w:autoSpaceDN w:val="0"/>
      <w:adjustRightInd w:val="0"/>
    </w:pPr>
    <w:rPr>
      <w:rFonts w:cs="Arial"/>
      <w:color w:val="000000"/>
      <w:szCs w:val="20"/>
      <w:lang w:val="fr-BE"/>
    </w:rPr>
  </w:style>
  <w:style w:type="paragraph" w:customStyle="1" w:styleId="CEABullet-Level3">
    <w:name w:val="CEA Bullet - Level 3"/>
    <w:basedOn w:val="Normal"/>
    <w:qFormat/>
    <w:rsid w:val="00BA0174"/>
    <w:pPr>
      <w:numPr>
        <w:numId w:val="15"/>
      </w:numPr>
      <w:autoSpaceDE w:val="0"/>
      <w:autoSpaceDN w:val="0"/>
      <w:adjustRightInd w:val="0"/>
    </w:pPr>
    <w:rPr>
      <w:rFonts w:cs="Arial"/>
      <w:color w:val="000000"/>
      <w:szCs w:val="20"/>
      <w:lang w:val="fr-BE"/>
    </w:rPr>
  </w:style>
  <w:style w:type="paragraph" w:customStyle="1" w:styleId="CEABullet-Level2">
    <w:name w:val="CEA Bullet - Level 2"/>
    <w:basedOn w:val="CEABullet-Level1"/>
    <w:next w:val="CEABullet-Level3"/>
    <w:qFormat/>
    <w:rsid w:val="00BA0174"/>
    <w:pPr>
      <w:numPr>
        <w:numId w:val="16"/>
      </w:numPr>
    </w:pPr>
  </w:style>
  <w:style w:type="paragraph" w:styleId="ListParagraph">
    <w:name w:val="List Paragraph"/>
    <w:basedOn w:val="Normal"/>
    <w:uiPriority w:val="34"/>
    <w:qFormat/>
    <w:rsid w:val="00101482"/>
    <w:pPr>
      <w:ind w:left="720"/>
      <w:contextualSpacing/>
    </w:pPr>
  </w:style>
  <w:style w:type="character" w:customStyle="1" w:styleId="BodyTextChar">
    <w:name w:val="Body Text Char"/>
    <w:link w:val="BodyText"/>
    <w:rsid w:val="00AC6110"/>
    <w:rPr>
      <w:rFonts w:ascii="Verdana" w:hAnsi="Verdana"/>
      <w:sz w:val="17"/>
      <w:szCs w:val="24"/>
      <w:lang w:eastAsia="en-US"/>
    </w:rPr>
  </w:style>
  <w:style w:type="paragraph" w:customStyle="1" w:styleId="Default">
    <w:name w:val="Default"/>
    <w:rsid w:val="00E06E0F"/>
    <w:pPr>
      <w:autoSpaceDE w:val="0"/>
      <w:autoSpaceDN w:val="0"/>
      <w:adjustRightInd w:val="0"/>
    </w:pPr>
    <w:rPr>
      <w:rFonts w:ascii="Verdana" w:hAnsi="Verdana" w:cs="Verdan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caption" w:semiHidden="1" w:unhideWhenUsed="1" w:qFormat="1"/>
    <w:lsdException w:name="endnote reference" w:semiHidden="1"/>
    <w:lsdException w:name="endnote text" w:semiHidden="1"/>
    <w:lsdException w:name="Default Paragraph Font" w:uiPriority="1"/>
    <w:lsdException w:name="Body Text" w:qFormat="1"/>
    <w:lsdException w:name="Emphasis" w:qFormat="1"/>
    <w:lsdException w:name="Document Map" w:semiHidden="1"/>
    <w:lsdException w:name="Normal (Web)" w:uiPriority="99"/>
    <w:lsdException w:name="No List" w:uiPriority="99"/>
    <w:lsdException w:name="Table Grid" w:uiPriority="5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34F69"/>
    <w:pPr>
      <w:spacing w:line="288" w:lineRule="auto"/>
      <w:jc w:val="both"/>
    </w:pPr>
    <w:rPr>
      <w:rFonts w:ascii="Verdana" w:hAnsi="Verdana"/>
      <w:sz w:val="17"/>
      <w:szCs w:val="24"/>
      <w:lang w:eastAsia="en-US"/>
    </w:rPr>
  </w:style>
  <w:style w:type="paragraph" w:styleId="Heading1">
    <w:name w:val="heading 1"/>
    <w:basedOn w:val="Noparagraphstyle"/>
    <w:semiHidden/>
    <w:qFormat/>
    <w:rsid w:val="009654A1"/>
    <w:pPr>
      <w:spacing w:before="600" w:after="20" w:line="240" w:lineRule="auto"/>
      <w:outlineLvl w:val="0"/>
    </w:pPr>
    <w:rPr>
      <w:rFonts w:ascii="Frutiger LT Com 45 Light" w:hAnsi="Frutiger LT Com 45 Light" w:cs="Arial"/>
      <w:b/>
      <w:bCs/>
      <w:sz w:val="28"/>
      <w:szCs w:val="36"/>
      <w:lang w:val="en-GB"/>
    </w:rPr>
  </w:style>
  <w:style w:type="paragraph" w:styleId="Heading2">
    <w:name w:val="heading 2"/>
    <w:basedOn w:val="Normal"/>
    <w:next w:val="Normal"/>
    <w:semiHidden/>
    <w:qFormat/>
    <w:rsid w:val="009654A1"/>
    <w:pPr>
      <w:keepNext/>
      <w:spacing w:after="220" w:line="240" w:lineRule="auto"/>
      <w:outlineLvl w:val="1"/>
    </w:pPr>
    <w:rPr>
      <w:rFonts w:cs="Arial"/>
      <w:b/>
      <w:bCs/>
      <w:iCs/>
      <w:sz w:val="22"/>
      <w:szCs w:val="28"/>
    </w:rPr>
  </w:style>
  <w:style w:type="paragraph" w:styleId="Heading3">
    <w:name w:val="heading 3"/>
    <w:basedOn w:val="Normal"/>
    <w:next w:val="Normal"/>
    <w:qFormat/>
    <w:rsid w:val="009654A1"/>
    <w:pPr>
      <w:keepNext/>
      <w:spacing w:line="240" w:lineRule="auto"/>
      <w:outlineLvl w:val="2"/>
    </w:pPr>
    <w:rPr>
      <w:rFonts w:cs="Arial"/>
      <w:b/>
      <w:bCs/>
      <w:szCs w:val="26"/>
    </w:rPr>
  </w:style>
  <w:style w:type="paragraph" w:styleId="Heading4">
    <w:name w:val="heading 4"/>
    <w:basedOn w:val="Normal"/>
    <w:next w:val="Normal"/>
    <w:semiHidden/>
    <w:rsid w:val="00B673B7"/>
    <w:pPr>
      <w:keepNext/>
      <w:spacing w:before="240" w:after="60"/>
      <w:outlineLvl w:val="3"/>
    </w:pPr>
    <w:rPr>
      <w:b/>
      <w:bCs/>
      <w:sz w:val="28"/>
      <w:szCs w:val="28"/>
    </w:rPr>
  </w:style>
  <w:style w:type="paragraph" w:styleId="Heading5">
    <w:name w:val="heading 5"/>
    <w:basedOn w:val="Normal"/>
    <w:next w:val="Normal"/>
    <w:semiHidden/>
    <w:rsid w:val="00B673B7"/>
    <w:pPr>
      <w:spacing w:before="240" w:after="60"/>
      <w:outlineLvl w:val="4"/>
    </w:pPr>
    <w:rPr>
      <w:b/>
      <w:bCs/>
      <w:i/>
      <w:iCs/>
      <w:sz w:val="26"/>
      <w:szCs w:val="26"/>
    </w:rPr>
  </w:style>
  <w:style w:type="paragraph" w:styleId="Heading6">
    <w:name w:val="heading 6"/>
    <w:basedOn w:val="Normal"/>
    <w:next w:val="Normal"/>
    <w:semiHidden/>
    <w:rsid w:val="00B673B7"/>
    <w:pPr>
      <w:spacing w:before="240" w:after="60"/>
      <w:outlineLvl w:val="5"/>
    </w:pPr>
    <w:rPr>
      <w:b/>
      <w:bCs/>
      <w:sz w:val="22"/>
      <w:szCs w:val="22"/>
    </w:rPr>
  </w:style>
  <w:style w:type="paragraph" w:styleId="Heading7">
    <w:name w:val="heading 7"/>
    <w:basedOn w:val="Normal"/>
    <w:next w:val="Normal"/>
    <w:semiHidden/>
    <w:rsid w:val="00B673B7"/>
    <w:pPr>
      <w:spacing w:before="240" w:after="60"/>
      <w:outlineLvl w:val="6"/>
    </w:pPr>
  </w:style>
  <w:style w:type="paragraph" w:styleId="Heading8">
    <w:name w:val="heading 8"/>
    <w:basedOn w:val="Normal"/>
    <w:next w:val="Normal"/>
    <w:semiHidden/>
    <w:rsid w:val="00B673B7"/>
    <w:pPr>
      <w:spacing w:before="240" w:after="60"/>
      <w:outlineLvl w:val="7"/>
    </w:pPr>
    <w:rPr>
      <w:i/>
      <w:iCs/>
    </w:rPr>
  </w:style>
  <w:style w:type="paragraph" w:styleId="Heading9">
    <w:name w:val="heading 9"/>
    <w:basedOn w:val="Normal"/>
    <w:next w:val="Normal"/>
    <w:semiHidden/>
    <w:rsid w:val="00B673B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B316E4"/>
    <w:pPr>
      <w:tabs>
        <w:tab w:val="center" w:pos="4320"/>
        <w:tab w:val="right" w:pos="8640"/>
      </w:tabs>
    </w:pPr>
  </w:style>
  <w:style w:type="paragraph" w:styleId="Footer">
    <w:name w:val="footer"/>
    <w:basedOn w:val="Normal"/>
    <w:semiHidden/>
    <w:rsid w:val="00B316E4"/>
    <w:pPr>
      <w:tabs>
        <w:tab w:val="center" w:pos="4320"/>
        <w:tab w:val="right" w:pos="8640"/>
      </w:tabs>
    </w:pPr>
  </w:style>
  <w:style w:type="paragraph" w:customStyle="1" w:styleId="Noparagraphstyle">
    <w:name w:val="[No paragraph style]"/>
    <w:semiHidden/>
    <w:rsid w:val="007E7781"/>
    <w:pPr>
      <w:autoSpaceDE w:val="0"/>
      <w:autoSpaceDN w:val="0"/>
      <w:adjustRightInd w:val="0"/>
      <w:spacing w:line="288" w:lineRule="auto"/>
      <w:textAlignment w:val="center"/>
    </w:pPr>
    <w:rPr>
      <w:color w:val="000000"/>
      <w:sz w:val="24"/>
      <w:szCs w:val="24"/>
      <w:lang w:val="en-US" w:eastAsia="en-US"/>
    </w:rPr>
  </w:style>
  <w:style w:type="character" w:styleId="Hyperlink">
    <w:name w:val="Hyperlink"/>
    <w:semiHidden/>
    <w:rsid w:val="004C7ACC"/>
    <w:rPr>
      <w:color w:val="0000FF"/>
      <w:u w:val="single"/>
    </w:rPr>
  </w:style>
  <w:style w:type="character" w:styleId="PageNumber">
    <w:name w:val="page number"/>
    <w:basedOn w:val="DefaultParagraphFont"/>
    <w:semiHidden/>
    <w:rsid w:val="000846C0"/>
  </w:style>
  <w:style w:type="paragraph" w:styleId="BalloonText">
    <w:name w:val="Balloon Text"/>
    <w:basedOn w:val="Normal"/>
    <w:semiHidden/>
    <w:rsid w:val="00813FF5"/>
    <w:rPr>
      <w:rFonts w:ascii="Tahoma" w:hAnsi="Tahoma" w:cs="Tahoma"/>
      <w:sz w:val="16"/>
      <w:szCs w:val="16"/>
    </w:rPr>
  </w:style>
  <w:style w:type="paragraph" w:styleId="FootnoteText">
    <w:name w:val="footnote text"/>
    <w:basedOn w:val="Normal"/>
    <w:semiHidden/>
    <w:rsid w:val="005D14DF"/>
    <w:rPr>
      <w:szCs w:val="20"/>
      <w:lang w:eastAsia="fr-FR"/>
    </w:rPr>
  </w:style>
  <w:style w:type="numbering" w:styleId="111111">
    <w:name w:val="Outline List 2"/>
    <w:basedOn w:val="NoList"/>
    <w:semiHidden/>
    <w:rsid w:val="00B673B7"/>
    <w:pPr>
      <w:numPr>
        <w:numId w:val="11"/>
      </w:numPr>
    </w:pPr>
  </w:style>
  <w:style w:type="numbering" w:styleId="1ai">
    <w:name w:val="Outline List 1"/>
    <w:basedOn w:val="NoList"/>
    <w:semiHidden/>
    <w:rsid w:val="00B673B7"/>
    <w:pPr>
      <w:numPr>
        <w:numId w:val="12"/>
      </w:numPr>
    </w:pPr>
  </w:style>
  <w:style w:type="numbering" w:styleId="ArticleSection">
    <w:name w:val="Outline List 3"/>
    <w:basedOn w:val="NoList"/>
    <w:semiHidden/>
    <w:rsid w:val="00B673B7"/>
    <w:pPr>
      <w:numPr>
        <w:numId w:val="13"/>
      </w:numPr>
    </w:pPr>
  </w:style>
  <w:style w:type="paragraph" w:styleId="BlockText">
    <w:name w:val="Block Text"/>
    <w:basedOn w:val="Normal"/>
    <w:semiHidden/>
    <w:rsid w:val="00B673B7"/>
    <w:pPr>
      <w:spacing w:after="120"/>
      <w:ind w:left="1440" w:right="1440"/>
    </w:pPr>
  </w:style>
  <w:style w:type="paragraph" w:styleId="BodyText">
    <w:name w:val="Body Text"/>
    <w:basedOn w:val="Normal"/>
    <w:link w:val="BodyTextChar"/>
    <w:qFormat/>
    <w:rsid w:val="00B673B7"/>
    <w:pPr>
      <w:spacing w:after="120"/>
    </w:pPr>
  </w:style>
  <w:style w:type="paragraph" w:styleId="BodyText2">
    <w:name w:val="Body Text 2"/>
    <w:basedOn w:val="Normal"/>
    <w:semiHidden/>
    <w:rsid w:val="00B673B7"/>
    <w:pPr>
      <w:spacing w:after="120" w:line="480" w:lineRule="auto"/>
    </w:pPr>
  </w:style>
  <w:style w:type="paragraph" w:styleId="BodyText3">
    <w:name w:val="Body Text 3"/>
    <w:basedOn w:val="Normal"/>
    <w:semiHidden/>
    <w:rsid w:val="00B673B7"/>
    <w:pPr>
      <w:spacing w:after="120"/>
    </w:pPr>
    <w:rPr>
      <w:sz w:val="16"/>
      <w:szCs w:val="16"/>
    </w:rPr>
  </w:style>
  <w:style w:type="paragraph" w:styleId="BodyTextFirstIndent">
    <w:name w:val="Body Text First Indent"/>
    <w:basedOn w:val="BodyText"/>
    <w:semiHidden/>
    <w:rsid w:val="00B673B7"/>
    <w:pPr>
      <w:ind w:firstLine="210"/>
    </w:pPr>
  </w:style>
  <w:style w:type="paragraph" w:styleId="BodyTextIndent">
    <w:name w:val="Body Text Indent"/>
    <w:basedOn w:val="Normal"/>
    <w:semiHidden/>
    <w:rsid w:val="00B673B7"/>
    <w:pPr>
      <w:spacing w:after="120"/>
      <w:ind w:left="283"/>
    </w:pPr>
  </w:style>
  <w:style w:type="paragraph" w:styleId="BodyTextFirstIndent2">
    <w:name w:val="Body Text First Indent 2"/>
    <w:basedOn w:val="BodyTextIndent"/>
    <w:semiHidden/>
    <w:rsid w:val="00B673B7"/>
    <w:pPr>
      <w:ind w:firstLine="210"/>
    </w:pPr>
  </w:style>
  <w:style w:type="paragraph" w:styleId="BodyTextIndent2">
    <w:name w:val="Body Text Indent 2"/>
    <w:basedOn w:val="Normal"/>
    <w:semiHidden/>
    <w:rsid w:val="00B673B7"/>
    <w:pPr>
      <w:spacing w:after="120" w:line="480" w:lineRule="auto"/>
      <w:ind w:left="283"/>
    </w:pPr>
  </w:style>
  <w:style w:type="paragraph" w:styleId="BodyTextIndent3">
    <w:name w:val="Body Text Indent 3"/>
    <w:basedOn w:val="Normal"/>
    <w:semiHidden/>
    <w:rsid w:val="00B673B7"/>
    <w:pPr>
      <w:spacing w:after="120"/>
      <w:ind w:left="283"/>
    </w:pPr>
    <w:rPr>
      <w:sz w:val="16"/>
      <w:szCs w:val="16"/>
    </w:rPr>
  </w:style>
  <w:style w:type="paragraph" w:styleId="Closing">
    <w:name w:val="Closing"/>
    <w:basedOn w:val="Normal"/>
    <w:semiHidden/>
    <w:rsid w:val="00B673B7"/>
    <w:pPr>
      <w:ind w:left="4252"/>
    </w:pPr>
  </w:style>
  <w:style w:type="paragraph" w:styleId="PlainText">
    <w:name w:val="Plain Text"/>
    <w:basedOn w:val="Normal"/>
    <w:semiHidden/>
    <w:rsid w:val="00B673B7"/>
    <w:rPr>
      <w:rFonts w:ascii="Courier New" w:hAnsi="Courier New" w:cs="Courier New"/>
      <w:szCs w:val="20"/>
    </w:rPr>
  </w:style>
  <w:style w:type="paragraph" w:styleId="Salutation">
    <w:name w:val="Salutation"/>
    <w:basedOn w:val="Normal"/>
    <w:next w:val="Normal"/>
    <w:semiHidden/>
    <w:rsid w:val="00B673B7"/>
  </w:style>
  <w:style w:type="paragraph" w:styleId="Signature">
    <w:name w:val="Signature"/>
    <w:basedOn w:val="Normal"/>
    <w:semiHidden/>
    <w:rsid w:val="00B673B7"/>
    <w:pPr>
      <w:ind w:left="4252"/>
    </w:pPr>
  </w:style>
  <w:style w:type="table" w:styleId="Table3Deffects1">
    <w:name w:val="Table 3D effects 1"/>
    <w:basedOn w:val="TableNormal"/>
    <w:semiHidden/>
    <w:rsid w:val="00B673B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673B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673B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673B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673B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673B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673B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673B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673B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673B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673B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673B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673B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673B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673B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673B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673B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B67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B673B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673B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673B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673B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673B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673B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673B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673B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673B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673B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673B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673B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673B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673B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673B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673B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673B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673B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673B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673B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673B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673B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67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B673B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673B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673B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Date">
    <w:name w:val="Date"/>
    <w:basedOn w:val="Normal"/>
    <w:next w:val="Normal"/>
    <w:semiHidden/>
    <w:rsid w:val="00B673B7"/>
  </w:style>
  <w:style w:type="paragraph" w:styleId="E-mailSignature">
    <w:name w:val="E-mail Signature"/>
    <w:basedOn w:val="Normal"/>
    <w:semiHidden/>
    <w:rsid w:val="00B673B7"/>
  </w:style>
  <w:style w:type="character" w:styleId="Emphasis">
    <w:name w:val="Emphasis"/>
    <w:semiHidden/>
    <w:qFormat/>
    <w:rsid w:val="009654A1"/>
    <w:rPr>
      <w:i/>
      <w:iCs/>
    </w:rPr>
  </w:style>
  <w:style w:type="paragraph" w:styleId="EnvelopeAddress">
    <w:name w:val="envelope address"/>
    <w:basedOn w:val="Normal"/>
    <w:semiHidden/>
    <w:rsid w:val="00B673B7"/>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B673B7"/>
    <w:rPr>
      <w:rFonts w:ascii="Arial" w:hAnsi="Arial" w:cs="Arial"/>
      <w:szCs w:val="20"/>
    </w:rPr>
  </w:style>
  <w:style w:type="character" w:styleId="FollowedHyperlink">
    <w:name w:val="FollowedHyperlink"/>
    <w:semiHidden/>
    <w:rsid w:val="00B673B7"/>
    <w:rPr>
      <w:color w:val="800080"/>
      <w:u w:val="single"/>
    </w:rPr>
  </w:style>
  <w:style w:type="character" w:styleId="HTMLAcronym">
    <w:name w:val="HTML Acronym"/>
    <w:basedOn w:val="DefaultParagraphFont"/>
    <w:semiHidden/>
    <w:rsid w:val="00B673B7"/>
  </w:style>
  <w:style w:type="paragraph" w:styleId="HTMLAddress">
    <w:name w:val="HTML Address"/>
    <w:basedOn w:val="Normal"/>
    <w:semiHidden/>
    <w:rsid w:val="00B673B7"/>
    <w:rPr>
      <w:i/>
      <w:iCs/>
    </w:rPr>
  </w:style>
  <w:style w:type="character" w:styleId="HTMLCite">
    <w:name w:val="HTML Cite"/>
    <w:semiHidden/>
    <w:rsid w:val="00B673B7"/>
    <w:rPr>
      <w:i/>
      <w:iCs/>
    </w:rPr>
  </w:style>
  <w:style w:type="character" w:styleId="HTMLCode">
    <w:name w:val="HTML Code"/>
    <w:semiHidden/>
    <w:rsid w:val="00B673B7"/>
    <w:rPr>
      <w:rFonts w:ascii="Courier New" w:hAnsi="Courier New" w:cs="Courier New"/>
      <w:sz w:val="20"/>
      <w:szCs w:val="20"/>
    </w:rPr>
  </w:style>
  <w:style w:type="character" w:styleId="HTMLDefinition">
    <w:name w:val="HTML Definition"/>
    <w:semiHidden/>
    <w:rsid w:val="00B673B7"/>
    <w:rPr>
      <w:i/>
      <w:iCs/>
    </w:rPr>
  </w:style>
  <w:style w:type="character" w:styleId="HTMLKeyboard">
    <w:name w:val="HTML Keyboard"/>
    <w:semiHidden/>
    <w:rsid w:val="00B673B7"/>
    <w:rPr>
      <w:rFonts w:ascii="Courier New" w:hAnsi="Courier New" w:cs="Courier New"/>
      <w:sz w:val="20"/>
      <w:szCs w:val="20"/>
    </w:rPr>
  </w:style>
  <w:style w:type="paragraph" w:styleId="HTMLPreformatted">
    <w:name w:val="HTML Preformatted"/>
    <w:basedOn w:val="Normal"/>
    <w:semiHidden/>
    <w:rsid w:val="00B673B7"/>
    <w:rPr>
      <w:rFonts w:ascii="Courier New" w:hAnsi="Courier New" w:cs="Courier New"/>
      <w:szCs w:val="20"/>
    </w:rPr>
  </w:style>
  <w:style w:type="character" w:styleId="HTMLSample">
    <w:name w:val="HTML Sample"/>
    <w:semiHidden/>
    <w:rsid w:val="00B673B7"/>
    <w:rPr>
      <w:rFonts w:ascii="Courier New" w:hAnsi="Courier New" w:cs="Courier New"/>
    </w:rPr>
  </w:style>
  <w:style w:type="character" w:styleId="HTMLTypewriter">
    <w:name w:val="HTML Typewriter"/>
    <w:semiHidden/>
    <w:rsid w:val="00B673B7"/>
    <w:rPr>
      <w:rFonts w:ascii="Courier New" w:hAnsi="Courier New" w:cs="Courier New"/>
      <w:sz w:val="20"/>
      <w:szCs w:val="20"/>
    </w:rPr>
  </w:style>
  <w:style w:type="character" w:styleId="HTMLVariable">
    <w:name w:val="HTML Variable"/>
    <w:semiHidden/>
    <w:rsid w:val="00B673B7"/>
    <w:rPr>
      <w:i/>
      <w:iCs/>
    </w:rPr>
  </w:style>
  <w:style w:type="character" w:styleId="LineNumber">
    <w:name w:val="line number"/>
    <w:basedOn w:val="DefaultParagraphFont"/>
    <w:semiHidden/>
    <w:rsid w:val="00B673B7"/>
  </w:style>
  <w:style w:type="paragraph" w:styleId="List">
    <w:name w:val="List"/>
    <w:basedOn w:val="Normal"/>
    <w:semiHidden/>
    <w:rsid w:val="00B673B7"/>
    <w:pPr>
      <w:ind w:left="283" w:hanging="283"/>
    </w:pPr>
  </w:style>
  <w:style w:type="paragraph" w:styleId="List2">
    <w:name w:val="List 2"/>
    <w:basedOn w:val="Normal"/>
    <w:semiHidden/>
    <w:rsid w:val="00B673B7"/>
    <w:pPr>
      <w:ind w:left="566" w:hanging="283"/>
    </w:pPr>
  </w:style>
  <w:style w:type="paragraph" w:styleId="List3">
    <w:name w:val="List 3"/>
    <w:basedOn w:val="Normal"/>
    <w:semiHidden/>
    <w:rsid w:val="00B673B7"/>
    <w:pPr>
      <w:ind w:left="849" w:hanging="283"/>
    </w:pPr>
  </w:style>
  <w:style w:type="paragraph" w:styleId="List4">
    <w:name w:val="List 4"/>
    <w:basedOn w:val="Normal"/>
    <w:semiHidden/>
    <w:rsid w:val="00B673B7"/>
    <w:pPr>
      <w:ind w:left="1132" w:hanging="283"/>
    </w:pPr>
  </w:style>
  <w:style w:type="paragraph" w:styleId="List5">
    <w:name w:val="List 5"/>
    <w:basedOn w:val="Normal"/>
    <w:semiHidden/>
    <w:rsid w:val="00B673B7"/>
    <w:pPr>
      <w:ind w:left="1415" w:hanging="283"/>
    </w:pPr>
  </w:style>
  <w:style w:type="paragraph" w:styleId="ListBullet">
    <w:name w:val="List Bullet"/>
    <w:basedOn w:val="Normal"/>
    <w:semiHidden/>
    <w:rsid w:val="00B673B7"/>
    <w:pPr>
      <w:numPr>
        <w:numId w:val="1"/>
      </w:numPr>
    </w:pPr>
  </w:style>
  <w:style w:type="paragraph" w:styleId="ListBullet2">
    <w:name w:val="List Bullet 2"/>
    <w:basedOn w:val="Normal"/>
    <w:semiHidden/>
    <w:rsid w:val="00B673B7"/>
    <w:pPr>
      <w:numPr>
        <w:numId w:val="2"/>
      </w:numPr>
    </w:pPr>
  </w:style>
  <w:style w:type="paragraph" w:styleId="ListBullet3">
    <w:name w:val="List Bullet 3"/>
    <w:basedOn w:val="Normal"/>
    <w:semiHidden/>
    <w:rsid w:val="00B673B7"/>
    <w:pPr>
      <w:numPr>
        <w:numId w:val="3"/>
      </w:numPr>
    </w:pPr>
  </w:style>
  <w:style w:type="paragraph" w:styleId="ListBullet4">
    <w:name w:val="List Bullet 4"/>
    <w:basedOn w:val="Normal"/>
    <w:semiHidden/>
    <w:rsid w:val="00B673B7"/>
    <w:pPr>
      <w:numPr>
        <w:numId w:val="4"/>
      </w:numPr>
    </w:pPr>
  </w:style>
  <w:style w:type="paragraph" w:styleId="ListBullet5">
    <w:name w:val="List Bullet 5"/>
    <w:basedOn w:val="Normal"/>
    <w:semiHidden/>
    <w:rsid w:val="00B673B7"/>
    <w:pPr>
      <w:numPr>
        <w:numId w:val="5"/>
      </w:numPr>
    </w:pPr>
  </w:style>
  <w:style w:type="paragraph" w:styleId="ListContinue">
    <w:name w:val="List Continue"/>
    <w:basedOn w:val="Normal"/>
    <w:semiHidden/>
    <w:rsid w:val="00B673B7"/>
    <w:pPr>
      <w:spacing w:after="120"/>
      <w:ind w:left="283"/>
    </w:pPr>
  </w:style>
  <w:style w:type="paragraph" w:styleId="ListContinue2">
    <w:name w:val="List Continue 2"/>
    <w:basedOn w:val="Normal"/>
    <w:semiHidden/>
    <w:rsid w:val="00B673B7"/>
    <w:pPr>
      <w:spacing w:after="120"/>
      <w:ind w:left="566"/>
    </w:pPr>
  </w:style>
  <w:style w:type="paragraph" w:styleId="ListContinue3">
    <w:name w:val="List Continue 3"/>
    <w:basedOn w:val="Normal"/>
    <w:semiHidden/>
    <w:rsid w:val="00B673B7"/>
    <w:pPr>
      <w:spacing w:after="120"/>
      <w:ind w:left="849"/>
    </w:pPr>
  </w:style>
  <w:style w:type="paragraph" w:styleId="ListContinue4">
    <w:name w:val="List Continue 4"/>
    <w:basedOn w:val="Normal"/>
    <w:semiHidden/>
    <w:rsid w:val="00B673B7"/>
    <w:pPr>
      <w:spacing w:after="120"/>
      <w:ind w:left="1132"/>
    </w:pPr>
  </w:style>
  <w:style w:type="paragraph" w:styleId="ListContinue5">
    <w:name w:val="List Continue 5"/>
    <w:basedOn w:val="Normal"/>
    <w:semiHidden/>
    <w:rsid w:val="00B673B7"/>
    <w:pPr>
      <w:spacing w:after="120"/>
      <w:ind w:left="1415"/>
    </w:pPr>
  </w:style>
  <w:style w:type="paragraph" w:styleId="ListNumber">
    <w:name w:val="List Number"/>
    <w:basedOn w:val="Normal"/>
    <w:semiHidden/>
    <w:rsid w:val="00B673B7"/>
    <w:pPr>
      <w:numPr>
        <w:numId w:val="6"/>
      </w:numPr>
    </w:pPr>
  </w:style>
  <w:style w:type="paragraph" w:styleId="ListNumber2">
    <w:name w:val="List Number 2"/>
    <w:basedOn w:val="Normal"/>
    <w:semiHidden/>
    <w:rsid w:val="00B673B7"/>
    <w:pPr>
      <w:numPr>
        <w:numId w:val="7"/>
      </w:numPr>
    </w:pPr>
  </w:style>
  <w:style w:type="paragraph" w:styleId="ListNumber3">
    <w:name w:val="List Number 3"/>
    <w:basedOn w:val="Normal"/>
    <w:semiHidden/>
    <w:rsid w:val="00B673B7"/>
    <w:pPr>
      <w:numPr>
        <w:numId w:val="8"/>
      </w:numPr>
    </w:pPr>
  </w:style>
  <w:style w:type="paragraph" w:styleId="ListNumber4">
    <w:name w:val="List Number 4"/>
    <w:basedOn w:val="Normal"/>
    <w:semiHidden/>
    <w:rsid w:val="00B673B7"/>
    <w:pPr>
      <w:numPr>
        <w:numId w:val="9"/>
      </w:numPr>
    </w:pPr>
  </w:style>
  <w:style w:type="paragraph" w:styleId="ListNumber5">
    <w:name w:val="List Number 5"/>
    <w:basedOn w:val="Normal"/>
    <w:semiHidden/>
    <w:rsid w:val="00B673B7"/>
    <w:pPr>
      <w:numPr>
        <w:numId w:val="10"/>
      </w:numPr>
    </w:pPr>
  </w:style>
  <w:style w:type="paragraph" w:styleId="MessageHeader">
    <w:name w:val="Message Header"/>
    <w:basedOn w:val="Normal"/>
    <w:semiHidden/>
    <w:rsid w:val="00B673B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uiPriority w:val="99"/>
    <w:semiHidden/>
    <w:rsid w:val="00B673B7"/>
  </w:style>
  <w:style w:type="paragraph" w:styleId="NormalIndent">
    <w:name w:val="Normal Indent"/>
    <w:basedOn w:val="Normal"/>
    <w:semiHidden/>
    <w:rsid w:val="00B673B7"/>
    <w:pPr>
      <w:ind w:left="720"/>
    </w:pPr>
  </w:style>
  <w:style w:type="paragraph" w:styleId="NoteHeading">
    <w:name w:val="Note Heading"/>
    <w:basedOn w:val="Normal"/>
    <w:next w:val="Normal"/>
    <w:semiHidden/>
    <w:rsid w:val="00B673B7"/>
  </w:style>
  <w:style w:type="character" w:styleId="FootnoteReference">
    <w:name w:val="footnote reference"/>
    <w:semiHidden/>
    <w:rsid w:val="005D14DF"/>
    <w:rPr>
      <w:vertAlign w:val="superscript"/>
    </w:rPr>
  </w:style>
  <w:style w:type="paragraph" w:customStyle="1" w:styleId="Heading1CEA">
    <w:name w:val="Heading 1 (CEA)"/>
    <w:basedOn w:val="Normal"/>
    <w:link w:val="Heading1CEAChar"/>
    <w:semiHidden/>
    <w:rsid w:val="00A9408A"/>
    <w:pPr>
      <w:autoSpaceDE w:val="0"/>
      <w:autoSpaceDN w:val="0"/>
      <w:adjustRightInd w:val="0"/>
    </w:pPr>
    <w:rPr>
      <w:rFonts w:ascii="Arial" w:hAnsi="Arial"/>
      <w:b/>
      <w:color w:val="034EA2"/>
      <w:sz w:val="32"/>
      <w:szCs w:val="32"/>
    </w:rPr>
  </w:style>
  <w:style w:type="character" w:customStyle="1" w:styleId="Heading1CEAChar">
    <w:name w:val="Heading 1 (CEA) Char"/>
    <w:link w:val="Heading1CEA"/>
    <w:rsid w:val="00A9408A"/>
    <w:rPr>
      <w:rFonts w:ascii="Arial" w:hAnsi="Arial"/>
      <w:b/>
      <w:color w:val="034EA2"/>
      <w:sz w:val="32"/>
      <w:szCs w:val="32"/>
      <w:lang w:val="en-US" w:eastAsia="en-US" w:bidi="ar-SA"/>
    </w:rPr>
  </w:style>
  <w:style w:type="paragraph" w:customStyle="1" w:styleId="Heading2CEA">
    <w:name w:val="Heading 2 (CEA)"/>
    <w:basedOn w:val="Normal"/>
    <w:semiHidden/>
    <w:rsid w:val="00A9408A"/>
    <w:pPr>
      <w:autoSpaceDE w:val="0"/>
      <w:autoSpaceDN w:val="0"/>
      <w:adjustRightInd w:val="0"/>
    </w:pPr>
    <w:rPr>
      <w:rFonts w:ascii="Arial" w:hAnsi="Arial"/>
      <w:sz w:val="28"/>
      <w:szCs w:val="28"/>
    </w:rPr>
  </w:style>
  <w:style w:type="character" w:styleId="CommentReference">
    <w:name w:val="annotation reference"/>
    <w:semiHidden/>
    <w:rsid w:val="00517FE2"/>
    <w:rPr>
      <w:sz w:val="16"/>
      <w:szCs w:val="16"/>
    </w:rPr>
  </w:style>
  <w:style w:type="paragraph" w:styleId="CommentText">
    <w:name w:val="annotation text"/>
    <w:basedOn w:val="Normal"/>
    <w:semiHidden/>
    <w:rsid w:val="00517FE2"/>
    <w:rPr>
      <w:szCs w:val="20"/>
    </w:rPr>
  </w:style>
  <w:style w:type="paragraph" w:styleId="CommentSubject">
    <w:name w:val="annotation subject"/>
    <w:basedOn w:val="CommentText"/>
    <w:next w:val="CommentText"/>
    <w:semiHidden/>
    <w:rsid w:val="00517FE2"/>
    <w:rPr>
      <w:b/>
      <w:bCs/>
    </w:rPr>
  </w:style>
  <w:style w:type="paragraph" w:customStyle="1" w:styleId="CEALabel">
    <w:name w:val="CEA Label"/>
    <w:basedOn w:val="Normal"/>
    <w:semiHidden/>
    <w:qFormat/>
    <w:rsid w:val="009654A1"/>
    <w:pPr>
      <w:tabs>
        <w:tab w:val="right" w:pos="360"/>
        <w:tab w:val="left" w:pos="540"/>
      </w:tabs>
      <w:autoSpaceDE w:val="0"/>
      <w:autoSpaceDN w:val="0"/>
      <w:adjustRightInd w:val="0"/>
      <w:spacing w:before="30"/>
      <w:jc w:val="right"/>
      <w:textAlignment w:val="center"/>
    </w:pPr>
    <w:rPr>
      <w:rFonts w:cs="Arial"/>
      <w:b/>
      <w:color w:val="034EA2"/>
      <w:spacing w:val="-4"/>
      <w:w w:val="90"/>
      <w:sz w:val="16"/>
      <w:szCs w:val="16"/>
    </w:rPr>
  </w:style>
  <w:style w:type="paragraph" w:customStyle="1" w:styleId="CEAFooterauthorinfo">
    <w:name w:val="CEA Footer (author info)"/>
    <w:basedOn w:val="Normal"/>
    <w:semiHidden/>
    <w:qFormat/>
    <w:rsid w:val="009654A1"/>
    <w:pPr>
      <w:autoSpaceDE w:val="0"/>
      <w:autoSpaceDN w:val="0"/>
      <w:adjustRightInd w:val="0"/>
      <w:ind w:left="546"/>
      <w:textAlignment w:val="center"/>
    </w:pPr>
    <w:rPr>
      <w:rFonts w:cs="Arial"/>
      <w:b/>
      <w:color w:val="034EA2"/>
      <w:sz w:val="16"/>
      <w:szCs w:val="16"/>
      <w:lang w:val="nl-NL"/>
    </w:rPr>
  </w:style>
  <w:style w:type="paragraph" w:customStyle="1" w:styleId="CEADocumentType">
    <w:name w:val="CEA Document Type"/>
    <w:basedOn w:val="Normal"/>
    <w:semiHidden/>
    <w:qFormat/>
    <w:rsid w:val="009654A1"/>
    <w:pPr>
      <w:jc w:val="right"/>
    </w:pPr>
    <w:rPr>
      <w:rFonts w:cs="Arial"/>
      <w:b/>
      <w:color w:val="0032FF"/>
      <w:sz w:val="40"/>
      <w:szCs w:val="40"/>
    </w:rPr>
  </w:style>
  <w:style w:type="paragraph" w:customStyle="1" w:styleId="CEADraft">
    <w:name w:val="CEA Draft"/>
    <w:basedOn w:val="CEADocumentType"/>
    <w:semiHidden/>
    <w:qFormat/>
    <w:rsid w:val="009654A1"/>
    <w:rPr>
      <w:color w:val="034EA2"/>
      <w:sz w:val="32"/>
    </w:rPr>
  </w:style>
  <w:style w:type="paragraph" w:customStyle="1" w:styleId="CEASubjectLine">
    <w:name w:val="CEA Subject Line"/>
    <w:basedOn w:val="Normal"/>
    <w:semiHidden/>
    <w:qFormat/>
    <w:rsid w:val="009654A1"/>
    <w:rPr>
      <w:rFonts w:cs="Arial"/>
      <w:b/>
      <w:szCs w:val="20"/>
    </w:rPr>
  </w:style>
  <w:style w:type="character" w:customStyle="1" w:styleId="CEAGraphX">
    <w:name w:val="CEA Graph X"/>
    <w:uiPriority w:val="1"/>
    <w:qFormat/>
    <w:rsid w:val="00534F69"/>
    <w:rPr>
      <w:rFonts w:ascii="Verdana" w:hAnsi="Verdana"/>
      <w:smallCaps/>
      <w:sz w:val="17"/>
    </w:rPr>
  </w:style>
  <w:style w:type="character" w:customStyle="1" w:styleId="CEAGraphTitle">
    <w:name w:val="CEA Graph Title"/>
    <w:uiPriority w:val="1"/>
    <w:qFormat/>
    <w:rsid w:val="00534F69"/>
    <w:rPr>
      <w:rFonts w:ascii="Verdana" w:hAnsi="Verdana"/>
      <w:smallCaps w:val="0"/>
      <w:sz w:val="17"/>
    </w:rPr>
  </w:style>
  <w:style w:type="paragraph" w:customStyle="1" w:styleId="CEADirectorGeneral">
    <w:name w:val="CEA Director General"/>
    <w:basedOn w:val="Normal"/>
    <w:semiHidden/>
    <w:qFormat/>
    <w:rsid w:val="009654A1"/>
    <w:pPr>
      <w:tabs>
        <w:tab w:val="right" w:pos="360"/>
        <w:tab w:val="left" w:pos="540"/>
      </w:tabs>
      <w:autoSpaceDE w:val="0"/>
      <w:autoSpaceDN w:val="0"/>
      <w:adjustRightInd w:val="0"/>
      <w:textAlignment w:val="center"/>
    </w:pPr>
    <w:rPr>
      <w:sz w:val="22"/>
      <w:szCs w:val="22"/>
    </w:rPr>
  </w:style>
  <w:style w:type="paragraph" w:customStyle="1" w:styleId="CEAFootnote">
    <w:name w:val="CEA Footnote"/>
    <w:basedOn w:val="Normal"/>
    <w:semiHidden/>
    <w:qFormat/>
    <w:rsid w:val="009654A1"/>
    <w:pPr>
      <w:spacing w:line="240" w:lineRule="auto"/>
    </w:pPr>
    <w:rPr>
      <w:sz w:val="16"/>
    </w:rPr>
  </w:style>
  <w:style w:type="paragraph" w:customStyle="1" w:styleId="CEABullet-Level1">
    <w:name w:val="CEA Bullet - Level 1"/>
    <w:basedOn w:val="Normal"/>
    <w:qFormat/>
    <w:rsid w:val="00BA0174"/>
    <w:pPr>
      <w:numPr>
        <w:numId w:val="14"/>
      </w:numPr>
      <w:autoSpaceDE w:val="0"/>
      <w:autoSpaceDN w:val="0"/>
      <w:adjustRightInd w:val="0"/>
    </w:pPr>
    <w:rPr>
      <w:rFonts w:cs="Arial"/>
      <w:color w:val="000000"/>
      <w:szCs w:val="20"/>
      <w:lang w:val="fr-BE"/>
    </w:rPr>
  </w:style>
  <w:style w:type="paragraph" w:customStyle="1" w:styleId="CEABullet-Level3">
    <w:name w:val="CEA Bullet - Level 3"/>
    <w:basedOn w:val="Normal"/>
    <w:qFormat/>
    <w:rsid w:val="00BA0174"/>
    <w:pPr>
      <w:numPr>
        <w:numId w:val="15"/>
      </w:numPr>
      <w:autoSpaceDE w:val="0"/>
      <w:autoSpaceDN w:val="0"/>
      <w:adjustRightInd w:val="0"/>
    </w:pPr>
    <w:rPr>
      <w:rFonts w:cs="Arial"/>
      <w:color w:val="000000"/>
      <w:szCs w:val="20"/>
      <w:lang w:val="fr-BE"/>
    </w:rPr>
  </w:style>
  <w:style w:type="paragraph" w:customStyle="1" w:styleId="CEABullet-Level2">
    <w:name w:val="CEA Bullet - Level 2"/>
    <w:basedOn w:val="CEABullet-Level1"/>
    <w:next w:val="CEABullet-Level3"/>
    <w:qFormat/>
    <w:rsid w:val="00BA0174"/>
    <w:pPr>
      <w:numPr>
        <w:numId w:val="16"/>
      </w:numPr>
    </w:pPr>
  </w:style>
  <w:style w:type="paragraph" w:styleId="ListParagraph">
    <w:name w:val="List Paragraph"/>
    <w:basedOn w:val="Normal"/>
    <w:uiPriority w:val="34"/>
    <w:qFormat/>
    <w:rsid w:val="00101482"/>
    <w:pPr>
      <w:ind w:left="720"/>
      <w:contextualSpacing/>
    </w:pPr>
  </w:style>
  <w:style w:type="character" w:customStyle="1" w:styleId="BodyTextChar">
    <w:name w:val="Body Text Char"/>
    <w:link w:val="BodyText"/>
    <w:rsid w:val="00AC6110"/>
    <w:rPr>
      <w:rFonts w:ascii="Verdana" w:hAnsi="Verdana"/>
      <w:sz w:val="17"/>
      <w:szCs w:val="24"/>
      <w:lang w:eastAsia="en-US"/>
    </w:rPr>
  </w:style>
  <w:style w:type="paragraph" w:customStyle="1" w:styleId="Default">
    <w:name w:val="Default"/>
    <w:rsid w:val="00E06E0F"/>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31037">
      <w:bodyDiv w:val="1"/>
      <w:marLeft w:val="0"/>
      <w:marRight w:val="0"/>
      <w:marTop w:val="0"/>
      <w:marBottom w:val="0"/>
      <w:divBdr>
        <w:top w:val="none" w:sz="0" w:space="0" w:color="auto"/>
        <w:left w:val="none" w:sz="0" w:space="0" w:color="auto"/>
        <w:bottom w:val="none" w:sz="0" w:space="0" w:color="auto"/>
        <w:right w:val="none" w:sz="0" w:space="0" w:color="auto"/>
      </w:divBdr>
    </w:div>
    <w:div w:id="137919113">
      <w:bodyDiv w:val="1"/>
      <w:marLeft w:val="0"/>
      <w:marRight w:val="0"/>
      <w:marTop w:val="0"/>
      <w:marBottom w:val="0"/>
      <w:divBdr>
        <w:top w:val="none" w:sz="0" w:space="0" w:color="auto"/>
        <w:left w:val="none" w:sz="0" w:space="0" w:color="auto"/>
        <w:bottom w:val="none" w:sz="0" w:space="0" w:color="auto"/>
        <w:right w:val="none" w:sz="0" w:space="0" w:color="auto"/>
      </w:divBdr>
    </w:div>
    <w:div w:id="382406038">
      <w:bodyDiv w:val="1"/>
      <w:marLeft w:val="0"/>
      <w:marRight w:val="0"/>
      <w:marTop w:val="0"/>
      <w:marBottom w:val="0"/>
      <w:divBdr>
        <w:top w:val="none" w:sz="0" w:space="0" w:color="auto"/>
        <w:left w:val="none" w:sz="0" w:space="0" w:color="auto"/>
        <w:bottom w:val="none" w:sz="0" w:space="0" w:color="auto"/>
        <w:right w:val="none" w:sz="0" w:space="0" w:color="auto"/>
      </w:divBdr>
    </w:div>
    <w:div w:id="797647712">
      <w:bodyDiv w:val="1"/>
      <w:marLeft w:val="0"/>
      <w:marRight w:val="0"/>
      <w:marTop w:val="0"/>
      <w:marBottom w:val="0"/>
      <w:divBdr>
        <w:top w:val="none" w:sz="0" w:space="0" w:color="auto"/>
        <w:left w:val="none" w:sz="0" w:space="0" w:color="auto"/>
        <w:bottom w:val="none" w:sz="0" w:space="0" w:color="auto"/>
        <w:right w:val="none" w:sz="0" w:space="0" w:color="auto"/>
      </w:divBdr>
    </w:div>
    <w:div w:id="942104380">
      <w:bodyDiv w:val="1"/>
      <w:marLeft w:val="0"/>
      <w:marRight w:val="0"/>
      <w:marTop w:val="0"/>
      <w:marBottom w:val="0"/>
      <w:divBdr>
        <w:top w:val="none" w:sz="0" w:space="0" w:color="auto"/>
        <w:left w:val="none" w:sz="0" w:space="0" w:color="auto"/>
        <w:bottom w:val="none" w:sz="0" w:space="0" w:color="auto"/>
        <w:right w:val="none" w:sz="0" w:space="0" w:color="auto"/>
      </w:divBdr>
    </w:div>
    <w:div w:id="1015376204">
      <w:bodyDiv w:val="1"/>
      <w:marLeft w:val="0"/>
      <w:marRight w:val="0"/>
      <w:marTop w:val="0"/>
      <w:marBottom w:val="0"/>
      <w:divBdr>
        <w:top w:val="none" w:sz="0" w:space="0" w:color="auto"/>
        <w:left w:val="none" w:sz="0" w:space="0" w:color="auto"/>
        <w:bottom w:val="none" w:sz="0" w:space="0" w:color="auto"/>
        <w:right w:val="none" w:sz="0" w:space="0" w:color="auto"/>
      </w:divBdr>
    </w:div>
    <w:div w:id="1034114090">
      <w:bodyDiv w:val="1"/>
      <w:marLeft w:val="0"/>
      <w:marRight w:val="0"/>
      <w:marTop w:val="0"/>
      <w:marBottom w:val="0"/>
      <w:divBdr>
        <w:top w:val="none" w:sz="0" w:space="0" w:color="auto"/>
        <w:left w:val="none" w:sz="0" w:space="0" w:color="auto"/>
        <w:bottom w:val="none" w:sz="0" w:space="0" w:color="auto"/>
        <w:right w:val="none" w:sz="0" w:space="0" w:color="auto"/>
      </w:divBdr>
    </w:div>
    <w:div w:id="1385594231">
      <w:bodyDiv w:val="1"/>
      <w:marLeft w:val="0"/>
      <w:marRight w:val="0"/>
      <w:marTop w:val="0"/>
      <w:marBottom w:val="0"/>
      <w:divBdr>
        <w:top w:val="none" w:sz="0" w:space="0" w:color="auto"/>
        <w:left w:val="none" w:sz="0" w:space="0" w:color="auto"/>
        <w:bottom w:val="none" w:sz="0" w:space="0" w:color="auto"/>
        <w:right w:val="none" w:sz="0" w:space="0" w:color="auto"/>
      </w:divBdr>
    </w:div>
    <w:div w:id="1420785181">
      <w:bodyDiv w:val="1"/>
      <w:marLeft w:val="0"/>
      <w:marRight w:val="0"/>
      <w:marTop w:val="0"/>
      <w:marBottom w:val="0"/>
      <w:divBdr>
        <w:top w:val="none" w:sz="0" w:space="0" w:color="auto"/>
        <w:left w:val="none" w:sz="0" w:space="0" w:color="auto"/>
        <w:bottom w:val="none" w:sz="0" w:space="0" w:color="auto"/>
        <w:right w:val="none" w:sz="0" w:space="0" w:color="auto"/>
      </w:divBdr>
    </w:div>
    <w:div w:id="1525513487">
      <w:bodyDiv w:val="1"/>
      <w:marLeft w:val="0"/>
      <w:marRight w:val="0"/>
      <w:marTop w:val="0"/>
      <w:marBottom w:val="0"/>
      <w:divBdr>
        <w:top w:val="none" w:sz="0" w:space="0" w:color="auto"/>
        <w:left w:val="none" w:sz="0" w:space="0" w:color="auto"/>
        <w:bottom w:val="none" w:sz="0" w:space="0" w:color="auto"/>
        <w:right w:val="none" w:sz="0" w:space="0" w:color="auto"/>
      </w:divBdr>
    </w:div>
    <w:div w:id="1623877903">
      <w:bodyDiv w:val="1"/>
      <w:marLeft w:val="0"/>
      <w:marRight w:val="0"/>
      <w:marTop w:val="0"/>
      <w:marBottom w:val="0"/>
      <w:divBdr>
        <w:top w:val="none" w:sz="0" w:space="0" w:color="auto"/>
        <w:left w:val="none" w:sz="0" w:space="0" w:color="auto"/>
        <w:bottom w:val="none" w:sz="0" w:space="0" w:color="auto"/>
        <w:right w:val="none" w:sz="0" w:space="0" w:color="auto"/>
      </w:divBdr>
    </w:div>
    <w:div w:id="1727871531">
      <w:bodyDiv w:val="1"/>
      <w:marLeft w:val="0"/>
      <w:marRight w:val="0"/>
      <w:marTop w:val="0"/>
      <w:marBottom w:val="0"/>
      <w:divBdr>
        <w:top w:val="none" w:sz="0" w:space="0" w:color="auto"/>
        <w:left w:val="none" w:sz="0" w:space="0" w:color="auto"/>
        <w:bottom w:val="none" w:sz="0" w:space="0" w:color="auto"/>
        <w:right w:val="none" w:sz="0" w:space="0" w:color="auto"/>
      </w:divBdr>
    </w:div>
    <w:div w:id="1909916705">
      <w:bodyDiv w:val="1"/>
      <w:marLeft w:val="0"/>
      <w:marRight w:val="0"/>
      <w:marTop w:val="0"/>
      <w:marBottom w:val="0"/>
      <w:divBdr>
        <w:top w:val="none" w:sz="0" w:space="0" w:color="auto"/>
        <w:left w:val="none" w:sz="0" w:space="0" w:color="auto"/>
        <w:bottom w:val="none" w:sz="0" w:space="0" w:color="auto"/>
        <w:right w:val="none" w:sz="0" w:space="0" w:color="auto"/>
      </w:divBdr>
    </w:div>
    <w:div w:id="198661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comments" Target="comment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I:\_iDocLogicxConfiguration\Standard%20documents\CEA%20Blan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Source xmlns="http://schemas.microsoft.com/sharepoint/v3/fields">\\sanproda\G\DONNEES\ECO\ECO related documents\Solvency II SG\2014\ECO-SLV-14-324 Updated views on the issues related to the draft Delegated Acts of July 2014.doc</_Source>
    <Linked_x0020_files xmlns="896dfe39-547f-4b3e-afcc-66c8faa2ea9c" xsi:nil="true"/>
    <Document_x0020_Date xmlns="d113e6c9-68c2-4198-bb3a-f8ecf571e120" xsi:nil="true"/>
    <Type_x0020_of_x0020_document xmlns="d113e6c9-68c2-4198-bb3a-f8ecf571e120">Memo</Type_x0020_of_x0020_document>
    <Type_x0020_of_x0020_memo xmlns="d113e6c9-68c2-4198-bb3a-f8ecf571e120">action</Type_x0020_of_x0020_memo>
    <Reference xmlns="d113e6c9-68c2-4198-bb3a-f8ecf571e120">ECO-SLV-14-438</Referenc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042167703445B7DFF928833C3BB3" ma:contentTypeVersion="10" ma:contentTypeDescription="Create a new document." ma:contentTypeScope="" ma:versionID="bfa383f92c81a53c7780003972fe0c9a">
  <xsd:schema xmlns:xsd="http://www.w3.org/2001/XMLSchema" xmlns:xs="http://www.w3.org/2001/XMLSchema" xmlns:p="http://schemas.microsoft.com/office/2006/metadata/properties" xmlns:ns2="d113e6c9-68c2-4198-bb3a-f8ecf571e120" xmlns:ns3="896dfe39-547f-4b3e-afcc-66c8faa2ea9c" xmlns:ns4="http://schemas.microsoft.com/sharepoint/v3/fields" targetNamespace="http://schemas.microsoft.com/office/2006/metadata/properties" ma:root="true" ma:fieldsID="3ed419bee0f7a25f162c2ce91596889e" ns2:_="" ns3:_="" ns4:_="">
    <xsd:import namespace="d113e6c9-68c2-4198-bb3a-f8ecf571e120"/>
    <xsd:import namespace="896dfe39-547f-4b3e-afcc-66c8faa2ea9c"/>
    <xsd:import namespace="http://schemas.microsoft.com/sharepoint/v3/fields"/>
    <xsd:element name="properties">
      <xsd:complexType>
        <xsd:sequence>
          <xsd:element name="documentManagement">
            <xsd:complexType>
              <xsd:all>
                <xsd:element ref="ns2:Document_x0020_Date" minOccurs="0"/>
                <xsd:element ref="ns2:Reference" minOccurs="0"/>
                <xsd:element ref="ns3:Linked_x0020_files" minOccurs="0"/>
                <xsd:element ref="ns2:Type_x0020_of_x0020_document" minOccurs="0"/>
                <xsd:element ref="ns2:Type_x0020_of_x0020_memo" minOccurs="0"/>
                <xsd:element ref="ns4:_Sour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13e6c9-68c2-4198-bb3a-f8ecf571e120" elementFormDefault="qualified">
    <xsd:import namespace="http://schemas.microsoft.com/office/2006/documentManagement/types"/>
    <xsd:import namespace="http://schemas.microsoft.com/office/infopath/2007/PartnerControls"/>
    <xsd:element name="Document_x0020_Date" ma:index="8" nillable="true" ma:displayName="Document Date" ma:internalName="Document_x0020_Date">
      <xsd:simpleType>
        <xsd:restriction base="dms:Text">
          <xsd:maxLength value="255"/>
        </xsd:restriction>
      </xsd:simpleType>
    </xsd:element>
    <xsd:element name="Reference" ma:index="9" nillable="true" ma:displayName="Reference" ma:internalName="Reference">
      <xsd:simpleType>
        <xsd:restriction base="dms:Text">
          <xsd:maxLength value="255"/>
        </xsd:restriction>
      </xsd:simpleType>
    </xsd:element>
    <xsd:element name="Type_x0020_of_x0020_document" ma:index="12" nillable="true" ma:displayName="Type of document" ma:format="Dropdown" ma:internalName="Type_x0020_of_x0020_document">
      <xsd:simpleType>
        <xsd:restriction base="dms:Choice">
          <xsd:enumeration value="Memo"/>
          <xsd:enumeration value="Blank document"/>
          <xsd:enumeration value="Agenda"/>
          <xsd:enumeration value="News Flash"/>
          <xsd:enumeration value="Participants List"/>
          <xsd:enumeration value="Press Release"/>
          <xsd:enumeration value="Fax Cover"/>
          <xsd:enumeration value="Letter"/>
          <xsd:enumeration value="Background note"/>
          <xsd:enumeration value="Meeting Conclusions"/>
          <xsd:enumeration value="Position Paper"/>
          <xsd:enumeration value="PowerPoint template"/>
          <xsd:enumeration value="External document"/>
        </xsd:restriction>
      </xsd:simpleType>
    </xsd:element>
    <xsd:element name="Type_x0020_of_x0020_memo" ma:index="13" nillable="true" ma:displayName="Type of memo" ma:format="Dropdown" ma:internalName="Type_x0020_of_x0020_memo">
      <xsd:simpleType>
        <xsd:restriction base="dms:Choice">
          <xsd:enumeration value="information"/>
          <xsd:enumeration value="action"/>
        </xsd:restriction>
      </xsd:simpleType>
    </xsd:element>
  </xsd:schema>
  <xsd:schema xmlns:xsd="http://www.w3.org/2001/XMLSchema" xmlns:xs="http://www.w3.org/2001/XMLSchema" xmlns:dms="http://schemas.microsoft.com/office/2006/documentManagement/types" xmlns:pc="http://schemas.microsoft.com/office/infopath/2007/PartnerControls" targetNamespace="896dfe39-547f-4b3e-afcc-66c8faa2ea9c" elementFormDefault="qualified">
    <xsd:import namespace="http://schemas.microsoft.com/office/2006/documentManagement/types"/>
    <xsd:import namespace="http://schemas.microsoft.com/office/infopath/2007/PartnerControls"/>
    <xsd:element name="Linked_x0020_files" ma:index="10" nillable="true" ma:displayName="Linked files" ma:internalName="Linked_x0020_files">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ource" ma:index="15" nillable="true" ma:displayName="Source" ma:description="References to resources from which this resource was derived" ma:internalName="_Sourc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34FA1-CCBA-45B8-88AF-7246F2353EF0}"/>
</file>

<file path=customXml/itemProps2.xml><?xml version="1.0" encoding="utf-8"?>
<ds:datastoreItem xmlns:ds="http://schemas.openxmlformats.org/officeDocument/2006/customXml" ds:itemID="{26988D61-2C38-4D56-98C6-4CECE6F9634B}"/>
</file>

<file path=customXml/itemProps3.xml><?xml version="1.0" encoding="utf-8"?>
<ds:datastoreItem xmlns:ds="http://schemas.openxmlformats.org/officeDocument/2006/customXml" ds:itemID="{CA02F351-A2BC-498D-885A-0B9B581E590E}"/>
</file>

<file path=customXml/itemProps4.xml><?xml version="1.0" encoding="utf-8"?>
<ds:datastoreItem xmlns:ds="http://schemas.openxmlformats.org/officeDocument/2006/customXml" ds:itemID="{EB806E41-71B9-4385-863B-EBBD49E2008D}"/>
</file>

<file path=customXml/itemProps5.xml><?xml version="1.0" encoding="utf-8"?>
<ds:datastoreItem xmlns:ds="http://schemas.openxmlformats.org/officeDocument/2006/customXml" ds:itemID="{A2107E34-4417-42E5-B5A6-CD1DD7CB99DC}"/>
</file>

<file path=docProps/app.xml><?xml version="1.0" encoding="utf-8"?>
<Properties xmlns="http://schemas.openxmlformats.org/officeDocument/2006/extended-properties" xmlns:vt="http://schemas.openxmlformats.org/officeDocument/2006/docPropsVTypes">
  <Template>CEA Blank</Template>
  <TotalTime>502</TotalTime>
  <Pages>8</Pages>
  <Words>3118</Words>
  <Characters>17778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Updated views on the issues related to the draft Delegated Acts of July 2014 V2</vt:lpstr>
    </vt:vector>
  </TitlesOfParts>
  <Company>CEA Insurers of Europe</Company>
  <LinksUpToDate>false</LinksUpToDate>
  <CharactersWithSpaces>20855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Remaining issues in the final Delegated Acts - October 2014</dc:title>
  <dc:creator>Cristina Mihai</dc:creator>
  <cp:lastModifiedBy>ADeleurence</cp:lastModifiedBy>
  <cp:revision>69</cp:revision>
  <cp:lastPrinted>2006-08-01T06:58:00Z</cp:lastPrinted>
  <dcterms:created xsi:type="dcterms:W3CDTF">2014-10-10T13:09:00Z</dcterms:created>
  <dcterms:modified xsi:type="dcterms:W3CDTF">2014-10-15T16:40:00Z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xAuthor">
    <vt:lpwstr>cristinam</vt:lpwstr>
  </property>
  <property fmtid="{D5CDD505-2E9C-101B-9397-08002B2CF9AE}" pid="3" name="Language">
    <vt:lpwstr>English (U.K.)</vt:lpwstr>
  </property>
  <property fmtid="{D5CDD505-2E9C-101B-9397-08002B2CF9AE}" pid="4" name="idxObjects">
    <vt:lpwstr>1</vt:lpwstr>
  </property>
  <property fmtid="{D5CDD505-2E9C-101B-9397-08002B2CF9AE}" pid="5" name="idxName1">
    <vt:lpwstr>Blank document</vt:lpwstr>
  </property>
  <property fmtid="{D5CDD505-2E9C-101B-9397-08002B2CF9AE}" pid="6" name="idxProject1">
    <vt:lpwstr>CEA</vt:lpwstr>
  </property>
  <property fmtid="{D5CDD505-2E9C-101B-9397-08002B2CF9AE}" pid="7" name="ContentTypeId">
    <vt:lpwstr>0x010100D487042167703445B7DFF928833C3BB3</vt:lpwstr>
  </property>
</Properties>
</file>