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081" w:rsidRDefault="003D6081" w:rsidP="003D6081">
      <w:pPr>
        <w:spacing w:before="120"/>
        <w:jc w:val="both"/>
      </w:pPr>
    </w:p>
    <w:p w:rsidR="00AE2BDD" w:rsidRDefault="00AE2BDD" w:rsidP="003D6081">
      <w:pPr>
        <w:spacing w:before="120"/>
        <w:jc w:val="both"/>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9"/>
        <w:gridCol w:w="1861"/>
        <w:gridCol w:w="8515"/>
        <w:gridCol w:w="2400"/>
      </w:tblGrid>
      <w:tr w:rsidR="00EC7B6B" w:rsidRPr="00E37DEA" w:rsidTr="00D81BC4">
        <w:trPr>
          <w:trHeight w:val="709"/>
        </w:trPr>
        <w:tc>
          <w:tcPr>
            <w:tcW w:w="3510" w:type="dxa"/>
            <w:gridSpan w:val="2"/>
            <w:shd w:val="clear" w:color="auto" w:fill="95B3D7"/>
          </w:tcPr>
          <w:p w:rsidR="00EC7B6B" w:rsidRPr="00D3243A" w:rsidRDefault="00EC7B6B" w:rsidP="00D81BC4">
            <w:pPr>
              <w:spacing w:before="120"/>
              <w:ind w:left="278"/>
              <w:jc w:val="both"/>
              <w:rPr>
                <w:sz w:val="28"/>
                <w:szCs w:val="28"/>
              </w:rPr>
            </w:pPr>
            <w:r w:rsidRPr="00D3243A">
              <w:rPr>
                <w:sz w:val="28"/>
                <w:szCs w:val="28"/>
              </w:rPr>
              <w:t>Association / Stakeholder:</w:t>
            </w:r>
          </w:p>
          <w:p w:rsidR="00EC7B6B" w:rsidRPr="00E37DEA" w:rsidRDefault="00EC7B6B" w:rsidP="00D81BC4">
            <w:pPr>
              <w:spacing w:before="120"/>
              <w:ind w:left="278"/>
              <w:jc w:val="both"/>
            </w:pPr>
          </w:p>
        </w:tc>
        <w:tc>
          <w:tcPr>
            <w:tcW w:w="10915" w:type="dxa"/>
            <w:gridSpan w:val="2"/>
            <w:shd w:val="clear" w:color="auto" w:fill="95B3D7"/>
          </w:tcPr>
          <w:p w:rsidR="00EC7B6B" w:rsidRDefault="00EC7B6B" w:rsidP="00D81BC4">
            <w:pPr>
              <w:jc w:val="both"/>
            </w:pPr>
          </w:p>
          <w:p w:rsidR="00EC7B6B" w:rsidRPr="00AC3BAF" w:rsidRDefault="00EC7B6B" w:rsidP="00D81BC4">
            <w:pPr>
              <w:jc w:val="both"/>
              <w:rPr>
                <w:sz w:val="28"/>
                <w:szCs w:val="28"/>
              </w:rPr>
            </w:pPr>
            <w:r w:rsidRPr="00AC3BAF">
              <w:rPr>
                <w:sz w:val="28"/>
                <w:szCs w:val="28"/>
              </w:rPr>
              <w:t>Insurance Europe</w:t>
            </w:r>
          </w:p>
          <w:p w:rsidR="00EC7B6B" w:rsidRPr="00E37DEA" w:rsidRDefault="00EC7B6B" w:rsidP="00D81BC4">
            <w:pPr>
              <w:spacing w:before="120"/>
              <w:jc w:val="both"/>
            </w:pPr>
          </w:p>
        </w:tc>
      </w:tr>
      <w:tr w:rsidR="00EC7B6B" w:rsidRPr="00E37DEA" w:rsidTr="00D81BC4">
        <w:trPr>
          <w:trHeight w:val="991"/>
        </w:trPr>
        <w:tc>
          <w:tcPr>
            <w:tcW w:w="1649" w:type="dxa"/>
            <w:tcBorders>
              <w:right w:val="nil"/>
            </w:tcBorders>
            <w:shd w:val="clear" w:color="auto" w:fill="95B3D7"/>
          </w:tcPr>
          <w:p w:rsidR="00EC7B6B" w:rsidRPr="00E37DEA" w:rsidRDefault="00EC7B6B" w:rsidP="00D81BC4">
            <w:pPr>
              <w:spacing w:before="120"/>
              <w:ind w:left="278"/>
              <w:jc w:val="both"/>
              <w:rPr>
                <w:rFonts w:ascii="Verdana" w:hAnsi="Verdana"/>
                <w:b/>
                <w:sz w:val="20"/>
                <w:szCs w:val="20"/>
              </w:rPr>
            </w:pPr>
          </w:p>
        </w:tc>
        <w:tc>
          <w:tcPr>
            <w:tcW w:w="10376" w:type="dxa"/>
            <w:gridSpan w:val="2"/>
            <w:tcBorders>
              <w:left w:val="nil"/>
              <w:right w:val="nil"/>
            </w:tcBorders>
            <w:shd w:val="clear" w:color="auto" w:fill="95B3D7"/>
          </w:tcPr>
          <w:p w:rsidR="00EC7B6B" w:rsidRPr="0033385B" w:rsidRDefault="00EC7B6B" w:rsidP="00D81BC4">
            <w:pPr>
              <w:spacing w:before="120"/>
              <w:jc w:val="both"/>
              <w:rPr>
                <w:sz w:val="28"/>
                <w:szCs w:val="28"/>
              </w:rPr>
            </w:pPr>
            <w:r w:rsidRPr="0033385B">
              <w:rPr>
                <w:sz w:val="28"/>
                <w:szCs w:val="28"/>
              </w:rPr>
              <w:t xml:space="preserve">Summary of Comments on </w:t>
            </w:r>
          </w:p>
          <w:p w:rsidR="00EC7B6B" w:rsidRPr="0033385B" w:rsidRDefault="00EC7B6B" w:rsidP="00D81BC4">
            <w:pPr>
              <w:spacing w:before="120"/>
              <w:jc w:val="both"/>
              <w:rPr>
                <w:sz w:val="28"/>
                <w:szCs w:val="28"/>
              </w:rPr>
            </w:pPr>
            <w:r w:rsidRPr="0033385B">
              <w:rPr>
                <w:sz w:val="28"/>
                <w:szCs w:val="28"/>
              </w:rPr>
              <w:t>EIOPA Technical Specification (Part II) for Preparatory Phase</w:t>
            </w:r>
          </w:p>
          <w:p w:rsidR="00EC7B6B" w:rsidRPr="00E37DEA" w:rsidRDefault="00EC7B6B" w:rsidP="00D81BC4">
            <w:pPr>
              <w:spacing w:before="120"/>
              <w:ind w:left="278"/>
              <w:jc w:val="both"/>
              <w:rPr>
                <w:rFonts w:ascii="Verdana" w:hAnsi="Verdana"/>
                <w:b/>
                <w:sz w:val="20"/>
                <w:szCs w:val="20"/>
              </w:rPr>
            </w:pPr>
          </w:p>
        </w:tc>
        <w:tc>
          <w:tcPr>
            <w:tcW w:w="2400" w:type="dxa"/>
            <w:tcBorders>
              <w:left w:val="nil"/>
            </w:tcBorders>
            <w:shd w:val="clear" w:color="auto" w:fill="95B3D7"/>
          </w:tcPr>
          <w:p w:rsidR="00EC7B6B" w:rsidRDefault="00EC7B6B" w:rsidP="00D81BC4">
            <w:pPr>
              <w:spacing w:before="120"/>
              <w:ind w:left="278"/>
              <w:jc w:val="both"/>
              <w:rPr>
                <w:rFonts w:ascii="Verdana" w:hAnsi="Verdana"/>
                <w:b/>
                <w:sz w:val="20"/>
                <w:szCs w:val="20"/>
              </w:rPr>
            </w:pPr>
          </w:p>
          <w:p w:rsidR="00EC7B6B" w:rsidRDefault="00EC7B6B" w:rsidP="00D81BC4">
            <w:pPr>
              <w:spacing w:before="120"/>
              <w:ind w:left="278"/>
              <w:jc w:val="both"/>
              <w:rPr>
                <w:rFonts w:ascii="Verdana" w:hAnsi="Verdana"/>
                <w:b/>
                <w:sz w:val="20"/>
                <w:szCs w:val="20"/>
              </w:rPr>
            </w:pPr>
          </w:p>
          <w:p w:rsidR="00EC7B6B" w:rsidRPr="00E37DEA" w:rsidRDefault="00EC7B6B" w:rsidP="00D81BC4">
            <w:pPr>
              <w:spacing w:before="120"/>
              <w:ind w:left="278"/>
              <w:jc w:val="both"/>
              <w:rPr>
                <w:rFonts w:ascii="Verdana" w:hAnsi="Verdana"/>
                <w:b/>
                <w:sz w:val="20"/>
                <w:szCs w:val="20"/>
              </w:rPr>
            </w:pPr>
            <w:r>
              <w:rPr>
                <w:rFonts w:ascii="Verdana" w:hAnsi="Verdana"/>
                <w:b/>
                <w:sz w:val="20"/>
                <w:szCs w:val="20"/>
              </w:rPr>
              <w:t>Deadline 28</w:t>
            </w:r>
            <w:r w:rsidRPr="00D3243A">
              <w:rPr>
                <w:rFonts w:ascii="Verdana" w:hAnsi="Verdana"/>
                <w:b/>
                <w:sz w:val="20"/>
                <w:szCs w:val="20"/>
                <w:vertAlign w:val="superscript"/>
              </w:rPr>
              <w:t>th</w:t>
            </w:r>
            <w:r>
              <w:rPr>
                <w:rFonts w:ascii="Verdana" w:hAnsi="Verdana"/>
                <w:b/>
                <w:sz w:val="20"/>
                <w:szCs w:val="20"/>
              </w:rPr>
              <w:t xml:space="preserve"> March</w:t>
            </w:r>
          </w:p>
        </w:tc>
      </w:tr>
      <w:tr w:rsidR="00EC7B6B" w:rsidRPr="00E37DEA" w:rsidTr="00D81BC4">
        <w:trPr>
          <w:trHeight w:val="1050"/>
        </w:trPr>
        <w:tc>
          <w:tcPr>
            <w:tcW w:w="14425" w:type="dxa"/>
            <w:gridSpan w:val="4"/>
            <w:shd w:val="clear" w:color="auto" w:fill="auto"/>
          </w:tcPr>
          <w:p w:rsidR="00EC7B6B" w:rsidRPr="002459FC" w:rsidRDefault="00EC7B6B" w:rsidP="00D81BC4">
            <w:pPr>
              <w:jc w:val="both"/>
              <w:rPr>
                <w:rFonts w:ascii="Calibri" w:hAnsi="Calibri" w:cs="Calibri"/>
                <w:color w:val="000000"/>
                <w:sz w:val="22"/>
                <w:szCs w:val="22"/>
                <w:lang w:eastAsia="en-GB"/>
              </w:rPr>
            </w:pPr>
            <w:r w:rsidRPr="002459FC">
              <w:rPr>
                <w:rFonts w:ascii="Calibri" w:hAnsi="Calibri" w:cs="Calibri"/>
                <w:color w:val="000000"/>
                <w:sz w:val="22"/>
                <w:szCs w:val="22"/>
                <w:lang w:eastAsia="en-GB"/>
              </w:rPr>
              <w:t>Insurance Europe welcomes the technical specifications (TS) provided to undertakings for performing their reporting during the preparatory phase, and the opportunity to comment on these.</w:t>
            </w:r>
          </w:p>
          <w:p w:rsidR="00EC7B6B" w:rsidRPr="002459FC" w:rsidRDefault="00EC7B6B" w:rsidP="00D81BC4">
            <w:pPr>
              <w:jc w:val="both"/>
              <w:rPr>
                <w:rFonts w:ascii="Calibri" w:hAnsi="Calibri" w:cs="Calibri"/>
                <w:color w:val="000000"/>
                <w:sz w:val="22"/>
                <w:szCs w:val="22"/>
                <w:lang w:eastAsia="en-GB"/>
              </w:rPr>
            </w:pPr>
          </w:p>
          <w:p w:rsidR="0079504D" w:rsidRPr="002459FC" w:rsidRDefault="00EC7B6B" w:rsidP="00D81BC4">
            <w:pPr>
              <w:jc w:val="both"/>
              <w:rPr>
                <w:rFonts w:ascii="Calibri" w:hAnsi="Calibri" w:cs="Calibri"/>
                <w:color w:val="000000"/>
                <w:sz w:val="22"/>
                <w:szCs w:val="22"/>
                <w:lang w:eastAsia="en-GB"/>
              </w:rPr>
            </w:pPr>
            <w:r w:rsidRPr="002459FC">
              <w:rPr>
                <w:rFonts w:ascii="Calibri" w:hAnsi="Calibri" w:cs="Calibri"/>
                <w:color w:val="000000"/>
                <w:sz w:val="22"/>
                <w:szCs w:val="22"/>
                <w:lang w:eastAsia="en-GB"/>
              </w:rPr>
              <w:t xml:space="preserve">We want to stress that the TS should be strictly aligned with the foreseen provisions for Solvency II and should not go beyond the Framework Directive or the current draft DAs. </w:t>
            </w:r>
          </w:p>
          <w:p w:rsidR="00EC7B6B" w:rsidRPr="002459FC" w:rsidRDefault="00EC7B6B" w:rsidP="00D81BC4">
            <w:pPr>
              <w:jc w:val="both"/>
              <w:rPr>
                <w:rFonts w:ascii="Calibri" w:hAnsi="Calibri" w:cs="Calibri"/>
                <w:color w:val="000000"/>
                <w:sz w:val="22"/>
                <w:szCs w:val="22"/>
                <w:lang w:eastAsia="en-GB"/>
              </w:rPr>
            </w:pPr>
          </w:p>
          <w:p w:rsidR="00EC7B6B" w:rsidRPr="002459FC" w:rsidRDefault="00EC7B6B" w:rsidP="00D81BC4">
            <w:pPr>
              <w:jc w:val="both"/>
              <w:rPr>
                <w:rFonts w:ascii="Calibri" w:hAnsi="Calibri" w:cs="Calibri"/>
                <w:color w:val="000000"/>
                <w:sz w:val="22"/>
                <w:szCs w:val="22"/>
                <w:lang w:eastAsia="en-GB"/>
              </w:rPr>
            </w:pPr>
            <w:r w:rsidRPr="002459FC">
              <w:rPr>
                <w:rFonts w:ascii="Calibri" w:hAnsi="Calibri" w:cs="Calibri"/>
                <w:color w:val="000000"/>
                <w:sz w:val="22"/>
                <w:szCs w:val="22"/>
                <w:lang w:eastAsia="en-GB"/>
              </w:rPr>
              <w:t xml:space="preserve">We have a number of very strong concerns on several areas relating to Long Term Guarantees which we have already disclosed in our letter to the EC on DAs (which focused on our 8 priority issues). However, where these arise from the current draft Delegated Acts we have not raised them again in our comments here since we understand it is not in the power of EIOPA to amend those. On the other hand, where these issues have been further compounded by the TS, we have made this clear in our comments below.  </w:t>
            </w:r>
          </w:p>
          <w:p w:rsidR="00EC7B6B" w:rsidRPr="002459FC" w:rsidRDefault="00EC7B6B" w:rsidP="00D81BC4">
            <w:pPr>
              <w:jc w:val="both"/>
              <w:rPr>
                <w:rFonts w:ascii="Calibri" w:hAnsi="Calibri" w:cs="Calibri"/>
                <w:color w:val="000000"/>
                <w:sz w:val="22"/>
                <w:szCs w:val="22"/>
                <w:lang w:eastAsia="en-GB"/>
              </w:rPr>
            </w:pPr>
          </w:p>
          <w:p w:rsidR="00EC7B6B" w:rsidRPr="002459FC" w:rsidRDefault="00EC7B6B" w:rsidP="00D81BC4">
            <w:pPr>
              <w:jc w:val="both"/>
              <w:rPr>
                <w:rFonts w:ascii="Calibri" w:hAnsi="Calibri" w:cs="Calibri"/>
                <w:color w:val="000000"/>
                <w:sz w:val="22"/>
                <w:szCs w:val="22"/>
                <w:lang w:eastAsia="en-GB"/>
              </w:rPr>
            </w:pPr>
            <w:r w:rsidRPr="002459FC">
              <w:rPr>
                <w:rFonts w:ascii="Calibri" w:hAnsi="Calibri" w:cs="Calibri"/>
                <w:color w:val="000000"/>
                <w:sz w:val="22"/>
                <w:szCs w:val="22"/>
                <w:lang w:eastAsia="en-GB"/>
              </w:rPr>
              <w:t xml:space="preserve">In a number of cases, the supporting spreadsheets </w:t>
            </w:r>
            <w:r>
              <w:rPr>
                <w:rFonts w:ascii="Calibri" w:hAnsi="Calibri" w:cs="Calibri"/>
                <w:color w:val="000000"/>
                <w:sz w:val="22"/>
                <w:szCs w:val="22"/>
                <w:lang w:eastAsia="en-GB"/>
              </w:rPr>
              <w:t xml:space="preserve">and Appendices </w:t>
            </w:r>
            <w:r w:rsidRPr="002459FC">
              <w:rPr>
                <w:rFonts w:ascii="Calibri" w:hAnsi="Calibri" w:cs="Calibri"/>
                <w:color w:val="000000"/>
                <w:sz w:val="22"/>
                <w:szCs w:val="22"/>
                <w:lang w:eastAsia="en-GB"/>
              </w:rPr>
              <w:t>have not been included in the informal consultation.  As such, we have been unable to comment on the calibration and values of the following:</w:t>
            </w:r>
          </w:p>
          <w:p w:rsidR="00EC7B6B" w:rsidRPr="002459FC" w:rsidRDefault="00EC7B6B" w:rsidP="00D81BC4">
            <w:pPr>
              <w:jc w:val="both"/>
              <w:rPr>
                <w:rFonts w:ascii="Calibri" w:hAnsi="Calibri" w:cs="Calibri"/>
                <w:color w:val="000000"/>
                <w:sz w:val="22"/>
                <w:szCs w:val="22"/>
                <w:lang w:eastAsia="en-GB"/>
              </w:rPr>
            </w:pPr>
            <w:r w:rsidRPr="002459FC">
              <w:rPr>
                <w:rFonts w:ascii="Calibri" w:hAnsi="Calibri" w:cs="Calibri"/>
                <w:color w:val="000000"/>
                <w:sz w:val="22"/>
                <w:szCs w:val="22"/>
                <w:lang w:eastAsia="en-GB"/>
              </w:rPr>
              <w:t>•</w:t>
            </w:r>
            <w:r w:rsidRPr="002459FC">
              <w:rPr>
                <w:rFonts w:ascii="Calibri" w:hAnsi="Calibri" w:cs="Calibri"/>
                <w:color w:val="000000"/>
                <w:sz w:val="22"/>
                <w:szCs w:val="22"/>
                <w:lang w:eastAsia="en-GB"/>
              </w:rPr>
              <w:tab/>
              <w:t>Credit risk adjustment (CRA)</w:t>
            </w:r>
          </w:p>
          <w:p w:rsidR="0079504D" w:rsidRDefault="00EC7B6B" w:rsidP="00D81BC4">
            <w:pPr>
              <w:jc w:val="both"/>
              <w:rPr>
                <w:rFonts w:ascii="Calibri" w:hAnsi="Calibri" w:cs="Calibri"/>
                <w:color w:val="000000"/>
                <w:sz w:val="22"/>
                <w:szCs w:val="22"/>
                <w:lang w:eastAsia="en-GB"/>
              </w:rPr>
            </w:pPr>
            <w:r w:rsidRPr="002459FC">
              <w:rPr>
                <w:rFonts w:ascii="Calibri" w:hAnsi="Calibri" w:cs="Calibri"/>
                <w:color w:val="000000"/>
                <w:sz w:val="22"/>
                <w:szCs w:val="22"/>
                <w:lang w:eastAsia="en-GB"/>
              </w:rPr>
              <w:t>•</w:t>
            </w:r>
            <w:r w:rsidRPr="002459FC">
              <w:rPr>
                <w:rFonts w:ascii="Calibri" w:hAnsi="Calibri" w:cs="Calibri"/>
                <w:color w:val="000000"/>
                <w:sz w:val="22"/>
                <w:szCs w:val="22"/>
                <w:lang w:eastAsia="en-GB"/>
              </w:rPr>
              <w:tab/>
              <w:t xml:space="preserve">The Basic risk-free interest rate term structure </w:t>
            </w:r>
          </w:p>
          <w:p w:rsidR="00EC7B6B" w:rsidRPr="002459FC" w:rsidRDefault="00EC7B6B" w:rsidP="00D81BC4">
            <w:pPr>
              <w:jc w:val="both"/>
              <w:rPr>
                <w:rFonts w:ascii="Calibri" w:hAnsi="Calibri" w:cs="Calibri"/>
                <w:color w:val="000000"/>
                <w:sz w:val="22"/>
                <w:szCs w:val="22"/>
                <w:lang w:eastAsia="en-GB"/>
              </w:rPr>
            </w:pPr>
            <w:r w:rsidRPr="002459FC">
              <w:rPr>
                <w:rFonts w:ascii="Calibri" w:hAnsi="Calibri" w:cs="Calibri"/>
                <w:color w:val="000000"/>
                <w:sz w:val="22"/>
                <w:szCs w:val="22"/>
                <w:lang w:eastAsia="en-GB"/>
              </w:rPr>
              <w:t>•</w:t>
            </w:r>
            <w:r w:rsidRPr="002459FC">
              <w:rPr>
                <w:rFonts w:ascii="Calibri" w:hAnsi="Calibri" w:cs="Calibri"/>
                <w:color w:val="000000"/>
                <w:sz w:val="22"/>
                <w:szCs w:val="22"/>
                <w:lang w:eastAsia="en-GB"/>
              </w:rPr>
              <w:tab/>
              <w:t xml:space="preserve">The extrapolation of the risk-free interest rate term structure </w:t>
            </w:r>
          </w:p>
          <w:p w:rsidR="00EC7B6B" w:rsidRPr="002459FC" w:rsidRDefault="00EC7B6B" w:rsidP="00D81BC4">
            <w:pPr>
              <w:jc w:val="both"/>
              <w:rPr>
                <w:rFonts w:ascii="Calibri" w:hAnsi="Calibri" w:cs="Calibri"/>
                <w:color w:val="000000"/>
                <w:sz w:val="22"/>
                <w:szCs w:val="22"/>
                <w:lang w:eastAsia="en-GB"/>
              </w:rPr>
            </w:pPr>
            <w:r w:rsidRPr="002459FC">
              <w:rPr>
                <w:rFonts w:ascii="Calibri" w:hAnsi="Calibri" w:cs="Calibri"/>
                <w:color w:val="000000"/>
                <w:sz w:val="22"/>
                <w:szCs w:val="22"/>
                <w:lang w:eastAsia="en-GB"/>
              </w:rPr>
              <w:t>•</w:t>
            </w:r>
            <w:r w:rsidRPr="002459FC">
              <w:rPr>
                <w:rFonts w:ascii="Calibri" w:hAnsi="Calibri" w:cs="Calibri"/>
                <w:color w:val="000000"/>
                <w:sz w:val="22"/>
                <w:szCs w:val="22"/>
                <w:lang w:eastAsia="en-GB"/>
              </w:rPr>
              <w:tab/>
              <w:t>Volatility adjustment (including details of the values, reference portfolios used for each major currency)</w:t>
            </w:r>
          </w:p>
          <w:p w:rsidR="00EC7B6B" w:rsidRDefault="00EC7B6B" w:rsidP="0079504D">
            <w:pPr>
              <w:jc w:val="both"/>
            </w:pPr>
            <w:r w:rsidRPr="002459FC">
              <w:rPr>
                <w:rFonts w:ascii="Calibri" w:hAnsi="Calibri" w:cs="Calibri"/>
                <w:color w:val="000000"/>
                <w:sz w:val="22"/>
                <w:szCs w:val="22"/>
                <w:lang w:eastAsia="en-GB"/>
              </w:rPr>
              <w:t>•</w:t>
            </w:r>
            <w:r w:rsidRPr="002459FC">
              <w:rPr>
                <w:rFonts w:ascii="Calibri" w:hAnsi="Calibri" w:cs="Calibri"/>
                <w:color w:val="000000"/>
                <w:sz w:val="22"/>
                <w:szCs w:val="22"/>
                <w:lang w:eastAsia="en-GB"/>
              </w:rPr>
              <w:tab/>
              <w:t>Matching adjustment (including the backing spreadsheets for the fundamental spreads for corporate and government bonds)</w:t>
            </w:r>
            <w:r w:rsidR="0079504D">
              <w:rPr>
                <w:rFonts w:ascii="Calibri" w:hAnsi="Calibri" w:cs="Calibri"/>
                <w:color w:val="000000"/>
                <w:sz w:val="22"/>
                <w:szCs w:val="22"/>
                <w:lang w:eastAsia="en-GB"/>
              </w:rPr>
              <w:t>.</w:t>
            </w:r>
            <w:bookmarkStart w:id="0" w:name="_GoBack"/>
            <w:bookmarkEnd w:id="0"/>
          </w:p>
        </w:tc>
      </w:tr>
    </w:tbl>
    <w:p w:rsidR="00EC7B6B" w:rsidRDefault="00EC7B6B" w:rsidP="003D6081">
      <w:pPr>
        <w:spacing w:before="120"/>
        <w:jc w:val="both"/>
      </w:pPr>
    </w:p>
    <w:p w:rsidR="00AE2BDD" w:rsidRDefault="00AE2BDD" w:rsidP="003D6081">
      <w:pPr>
        <w:spacing w:before="120"/>
        <w:jc w:val="both"/>
      </w:pPr>
    </w:p>
    <w:p w:rsidR="00EC7B6B" w:rsidRDefault="00EC7B6B" w:rsidP="003D6081">
      <w:pPr>
        <w:spacing w:before="120"/>
        <w:jc w:val="both"/>
      </w:pPr>
    </w:p>
    <w:p w:rsidR="00EC7B6B" w:rsidRDefault="00EC7B6B" w:rsidP="003D6081">
      <w:pPr>
        <w:spacing w:before="120"/>
        <w:jc w:val="both"/>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1687"/>
        <w:gridCol w:w="6001"/>
        <w:gridCol w:w="4914"/>
      </w:tblGrid>
      <w:tr w:rsidR="00BF5E93" w:rsidRPr="00E37DEA" w:rsidTr="009D3D97">
        <w:trPr>
          <w:trHeight w:val="590"/>
        </w:trPr>
        <w:tc>
          <w:tcPr>
            <w:tcW w:w="1823" w:type="dxa"/>
            <w:shd w:val="clear" w:color="auto" w:fill="95B3D7" w:themeFill="accent1" w:themeFillTint="99"/>
          </w:tcPr>
          <w:p w:rsidR="00AE2BDD" w:rsidRPr="00E37DEA" w:rsidRDefault="00AE2BDD" w:rsidP="00C81CB1">
            <w:pPr>
              <w:spacing w:before="120"/>
              <w:jc w:val="center"/>
              <w:rPr>
                <w:rFonts w:ascii="Verdana" w:hAnsi="Verdana"/>
                <w:b/>
                <w:bCs/>
                <w:color w:val="000000"/>
                <w:sz w:val="20"/>
                <w:szCs w:val="20"/>
              </w:rPr>
            </w:pPr>
            <w:r>
              <w:rPr>
                <w:rFonts w:ascii="Verdana" w:hAnsi="Verdana"/>
                <w:b/>
                <w:bCs/>
                <w:color w:val="000000"/>
                <w:sz w:val="20"/>
                <w:szCs w:val="20"/>
              </w:rPr>
              <w:t>Ref in TS (I</w:t>
            </w:r>
            <w:r w:rsidR="00B3005C">
              <w:rPr>
                <w:rFonts w:ascii="Verdana" w:hAnsi="Verdana"/>
                <w:b/>
                <w:bCs/>
                <w:color w:val="000000"/>
                <w:sz w:val="20"/>
                <w:szCs w:val="20"/>
              </w:rPr>
              <w:t>I</w:t>
            </w:r>
            <w:r>
              <w:rPr>
                <w:rFonts w:ascii="Verdana" w:hAnsi="Verdana"/>
                <w:b/>
                <w:bCs/>
                <w:color w:val="000000"/>
                <w:sz w:val="20"/>
                <w:szCs w:val="20"/>
              </w:rPr>
              <w:t>)</w:t>
            </w:r>
          </w:p>
        </w:tc>
        <w:tc>
          <w:tcPr>
            <w:tcW w:w="1687" w:type="dxa"/>
            <w:shd w:val="clear" w:color="auto" w:fill="95B3D7" w:themeFill="accent1" w:themeFillTint="99"/>
          </w:tcPr>
          <w:p w:rsidR="00AE2BDD" w:rsidRPr="00E37DEA" w:rsidRDefault="00AE2BDD" w:rsidP="00C81CB1">
            <w:pPr>
              <w:spacing w:before="120"/>
              <w:jc w:val="center"/>
              <w:rPr>
                <w:rFonts w:ascii="Verdana" w:hAnsi="Verdana"/>
                <w:b/>
                <w:bCs/>
                <w:color w:val="000000"/>
                <w:sz w:val="20"/>
                <w:szCs w:val="20"/>
              </w:rPr>
            </w:pPr>
            <w:r>
              <w:rPr>
                <w:rFonts w:ascii="Verdana" w:hAnsi="Verdana"/>
                <w:b/>
                <w:bCs/>
                <w:color w:val="000000"/>
                <w:sz w:val="20"/>
                <w:szCs w:val="20"/>
              </w:rPr>
              <w:t>Topic</w:t>
            </w:r>
          </w:p>
        </w:tc>
        <w:tc>
          <w:tcPr>
            <w:tcW w:w="6001" w:type="dxa"/>
            <w:shd w:val="clear" w:color="auto" w:fill="95B3D7" w:themeFill="accent1" w:themeFillTint="99"/>
          </w:tcPr>
          <w:p w:rsidR="00AE2BDD" w:rsidRPr="00E37DEA" w:rsidRDefault="00AE2BDD" w:rsidP="00C81CB1">
            <w:pPr>
              <w:spacing w:before="120"/>
              <w:jc w:val="center"/>
              <w:rPr>
                <w:rFonts w:ascii="Verdana" w:hAnsi="Verdana"/>
                <w:b/>
                <w:bCs/>
                <w:color w:val="000000"/>
                <w:sz w:val="20"/>
                <w:szCs w:val="20"/>
              </w:rPr>
            </w:pPr>
            <w:r>
              <w:rPr>
                <w:rFonts w:ascii="Verdana" w:hAnsi="Verdana"/>
                <w:b/>
                <w:bCs/>
                <w:color w:val="000000"/>
                <w:sz w:val="20"/>
                <w:szCs w:val="20"/>
              </w:rPr>
              <w:t>Comment</w:t>
            </w:r>
          </w:p>
        </w:tc>
        <w:tc>
          <w:tcPr>
            <w:tcW w:w="4914" w:type="dxa"/>
            <w:shd w:val="clear" w:color="auto" w:fill="95B3D7" w:themeFill="accent1" w:themeFillTint="99"/>
          </w:tcPr>
          <w:p w:rsidR="00AE2BDD" w:rsidRPr="00E37DEA" w:rsidRDefault="00AE2BDD" w:rsidP="00C81CB1">
            <w:pPr>
              <w:spacing w:before="120"/>
              <w:jc w:val="center"/>
              <w:rPr>
                <w:rFonts w:ascii="Verdana" w:hAnsi="Verdana"/>
                <w:b/>
                <w:bCs/>
                <w:color w:val="000000"/>
                <w:sz w:val="20"/>
                <w:szCs w:val="20"/>
              </w:rPr>
            </w:pPr>
            <w:r>
              <w:rPr>
                <w:rFonts w:ascii="Verdana" w:hAnsi="Verdana"/>
                <w:b/>
                <w:bCs/>
                <w:color w:val="000000"/>
                <w:sz w:val="20"/>
                <w:szCs w:val="20"/>
              </w:rPr>
              <w:t>Resolution</w:t>
            </w:r>
          </w:p>
        </w:tc>
      </w:tr>
      <w:tr w:rsidR="00BF5E93" w:rsidRPr="0095576B" w:rsidTr="009D3D97">
        <w:trPr>
          <w:trHeight w:val="741"/>
        </w:trPr>
        <w:tc>
          <w:tcPr>
            <w:tcW w:w="1823" w:type="dxa"/>
            <w:shd w:val="clear" w:color="auto" w:fill="auto"/>
          </w:tcPr>
          <w:p w:rsidR="00AE2BDD" w:rsidRPr="0095576B" w:rsidRDefault="00B56298" w:rsidP="00B56298">
            <w:pPr>
              <w:rPr>
                <w:rFonts w:asciiTheme="minorHAnsi" w:hAnsiTheme="minorHAnsi" w:cstheme="minorHAnsi"/>
                <w:b/>
                <w:bCs/>
                <w:color w:val="000000"/>
                <w:sz w:val="22"/>
                <w:szCs w:val="22"/>
              </w:rPr>
            </w:pPr>
            <w:r w:rsidRPr="0095576B">
              <w:rPr>
                <w:rFonts w:asciiTheme="minorHAnsi" w:hAnsiTheme="minorHAnsi" w:cstheme="minorHAnsi"/>
                <w:sz w:val="22"/>
                <w:szCs w:val="22"/>
                <w:lang w:val="de-AT" w:eastAsia="en-US"/>
              </w:rPr>
              <w:t>1.2.1</w:t>
            </w:r>
          </w:p>
        </w:tc>
        <w:tc>
          <w:tcPr>
            <w:tcW w:w="1687" w:type="dxa"/>
            <w:shd w:val="clear" w:color="auto" w:fill="auto"/>
          </w:tcPr>
          <w:p w:rsidR="00AE2BDD" w:rsidRPr="0095576B" w:rsidRDefault="00B56298" w:rsidP="00B56298">
            <w:pPr>
              <w:rPr>
                <w:rFonts w:asciiTheme="minorHAnsi" w:hAnsiTheme="minorHAnsi" w:cstheme="minorHAnsi"/>
                <w:sz w:val="22"/>
                <w:szCs w:val="22"/>
                <w:lang w:eastAsia="en-US"/>
              </w:rPr>
            </w:pPr>
            <w:r w:rsidRPr="0095576B">
              <w:rPr>
                <w:rFonts w:asciiTheme="minorHAnsi" w:hAnsiTheme="minorHAnsi" w:cstheme="minorHAnsi"/>
                <w:sz w:val="22"/>
                <w:szCs w:val="22"/>
                <w:lang w:eastAsia="en-US"/>
              </w:rPr>
              <w:t>Basic risk-free interest rate term structure</w:t>
            </w:r>
            <w:r w:rsidR="0095576B">
              <w:rPr>
                <w:rFonts w:asciiTheme="minorHAnsi" w:hAnsiTheme="minorHAnsi" w:cstheme="minorHAnsi"/>
                <w:sz w:val="22"/>
                <w:szCs w:val="22"/>
                <w:lang w:eastAsia="en-US"/>
              </w:rPr>
              <w:t xml:space="preserve"> – reference instruments and LLP</w:t>
            </w:r>
          </w:p>
        </w:tc>
        <w:tc>
          <w:tcPr>
            <w:tcW w:w="6001" w:type="dxa"/>
            <w:shd w:val="clear" w:color="auto" w:fill="auto"/>
          </w:tcPr>
          <w:p w:rsidR="00AE2BDD" w:rsidRPr="0095576B" w:rsidRDefault="00B56298" w:rsidP="0095576B">
            <w:pPr>
              <w:jc w:val="both"/>
              <w:rPr>
                <w:rFonts w:asciiTheme="minorHAnsi" w:hAnsiTheme="minorHAnsi" w:cstheme="minorHAnsi"/>
                <w:b/>
                <w:bCs/>
                <w:color w:val="000000"/>
                <w:sz w:val="22"/>
                <w:szCs w:val="22"/>
              </w:rPr>
            </w:pPr>
            <w:r w:rsidRPr="0095576B">
              <w:rPr>
                <w:rFonts w:asciiTheme="minorHAnsi" w:hAnsiTheme="minorHAnsi" w:cstheme="minorHAnsi"/>
                <w:sz w:val="22"/>
                <w:szCs w:val="22"/>
                <w:lang w:eastAsia="en-US"/>
              </w:rPr>
              <w:t xml:space="preserve">EIOPA states that they are using the "swap mid rate" for the determination of the basic risk-free interest rate term structure. However, in practice many companies will use the bid price when calculating exit values.  This risks creating an inconsistency between the liability valuation and the firm’s operational practices. </w:t>
            </w:r>
            <w:r w:rsidR="00DA7BDA" w:rsidRPr="0095576B">
              <w:rPr>
                <w:rFonts w:asciiTheme="minorHAnsi" w:hAnsiTheme="minorHAnsi" w:cstheme="minorHAnsi"/>
                <w:sz w:val="22"/>
                <w:szCs w:val="22"/>
                <w:lang w:eastAsia="en-US"/>
              </w:rPr>
              <w:t>In order to minimise the impact of this inconsistency, the "mid' should only be used if the bid-offer spread is small. Where this is not the case, the bid price should be used.</w:t>
            </w:r>
          </w:p>
        </w:tc>
        <w:tc>
          <w:tcPr>
            <w:tcW w:w="4914" w:type="dxa"/>
            <w:shd w:val="clear" w:color="auto" w:fill="auto"/>
          </w:tcPr>
          <w:p w:rsidR="00AE2BDD" w:rsidRPr="0095576B" w:rsidRDefault="00AE2BDD" w:rsidP="00B56298">
            <w:pPr>
              <w:spacing w:before="120"/>
              <w:rPr>
                <w:rFonts w:asciiTheme="minorHAnsi" w:hAnsiTheme="minorHAnsi" w:cstheme="minorHAnsi"/>
                <w:b/>
                <w:bCs/>
                <w:color w:val="000000"/>
                <w:sz w:val="22"/>
                <w:szCs w:val="22"/>
              </w:rPr>
            </w:pPr>
          </w:p>
        </w:tc>
      </w:tr>
      <w:tr w:rsidR="00BF5E93" w:rsidRPr="0095576B" w:rsidTr="004D248A">
        <w:trPr>
          <w:trHeight w:val="741"/>
        </w:trPr>
        <w:tc>
          <w:tcPr>
            <w:tcW w:w="1823" w:type="dxa"/>
            <w:shd w:val="clear" w:color="auto" w:fill="auto"/>
          </w:tcPr>
          <w:p w:rsidR="00D56E67" w:rsidRPr="0095576B" w:rsidRDefault="00D56E67" w:rsidP="004D248A">
            <w:pPr>
              <w:rPr>
                <w:rFonts w:asciiTheme="minorHAnsi" w:hAnsiTheme="minorHAnsi" w:cstheme="minorHAnsi"/>
                <w:sz w:val="22"/>
                <w:szCs w:val="22"/>
                <w:lang w:val="de-AT" w:eastAsia="en-US"/>
              </w:rPr>
            </w:pPr>
            <w:r w:rsidRPr="0095576B">
              <w:rPr>
                <w:rFonts w:asciiTheme="minorHAnsi" w:hAnsiTheme="minorHAnsi" w:cstheme="minorHAnsi"/>
                <w:sz w:val="22"/>
                <w:szCs w:val="22"/>
                <w:lang w:val="de-AT" w:eastAsia="en-US"/>
              </w:rPr>
              <w:t>1.2.2.1</w:t>
            </w:r>
          </w:p>
        </w:tc>
        <w:tc>
          <w:tcPr>
            <w:tcW w:w="1687" w:type="dxa"/>
            <w:shd w:val="clear" w:color="auto" w:fill="auto"/>
          </w:tcPr>
          <w:p w:rsidR="00D56E67" w:rsidRPr="0095576B" w:rsidRDefault="00D56E67" w:rsidP="004D248A">
            <w:pPr>
              <w:rPr>
                <w:rFonts w:asciiTheme="minorHAnsi" w:hAnsiTheme="minorHAnsi" w:cstheme="minorHAnsi"/>
                <w:sz w:val="22"/>
                <w:szCs w:val="22"/>
                <w:lang w:val="de-AT" w:eastAsia="en-US"/>
              </w:rPr>
            </w:pPr>
            <w:r w:rsidRPr="0095576B">
              <w:rPr>
                <w:rFonts w:asciiTheme="minorHAnsi" w:hAnsiTheme="minorHAnsi" w:cstheme="minorHAnsi"/>
                <w:sz w:val="22"/>
                <w:szCs w:val="22"/>
                <w:lang w:val="de-AT" w:eastAsia="en-US"/>
              </w:rPr>
              <w:t>C</w:t>
            </w:r>
            <w:r w:rsidR="00C40528">
              <w:rPr>
                <w:rFonts w:asciiTheme="minorHAnsi" w:hAnsiTheme="minorHAnsi" w:cstheme="minorHAnsi"/>
                <w:sz w:val="22"/>
                <w:szCs w:val="22"/>
                <w:lang w:val="de-AT" w:eastAsia="en-US"/>
              </w:rPr>
              <w:t xml:space="preserve">redit </w:t>
            </w:r>
            <w:r w:rsidRPr="0095576B">
              <w:rPr>
                <w:rFonts w:asciiTheme="minorHAnsi" w:hAnsiTheme="minorHAnsi" w:cstheme="minorHAnsi"/>
                <w:sz w:val="22"/>
                <w:szCs w:val="22"/>
                <w:lang w:val="de-AT" w:eastAsia="en-US"/>
              </w:rPr>
              <w:t>R</w:t>
            </w:r>
            <w:r w:rsidR="00C40528">
              <w:rPr>
                <w:rFonts w:asciiTheme="minorHAnsi" w:hAnsiTheme="minorHAnsi" w:cstheme="minorHAnsi"/>
                <w:sz w:val="22"/>
                <w:szCs w:val="22"/>
                <w:lang w:val="de-AT" w:eastAsia="en-US"/>
              </w:rPr>
              <w:t xml:space="preserve">isk </w:t>
            </w:r>
            <w:r w:rsidRPr="0095576B">
              <w:rPr>
                <w:rFonts w:asciiTheme="minorHAnsi" w:hAnsiTheme="minorHAnsi" w:cstheme="minorHAnsi"/>
                <w:sz w:val="22"/>
                <w:szCs w:val="22"/>
                <w:lang w:val="de-AT" w:eastAsia="en-US"/>
              </w:rPr>
              <w:t>A</w:t>
            </w:r>
            <w:r w:rsidR="00C40528">
              <w:rPr>
                <w:rFonts w:asciiTheme="minorHAnsi" w:hAnsiTheme="minorHAnsi" w:cstheme="minorHAnsi"/>
                <w:sz w:val="22"/>
                <w:szCs w:val="22"/>
                <w:lang w:val="de-AT" w:eastAsia="en-US"/>
              </w:rPr>
              <w:t>djustment</w:t>
            </w:r>
          </w:p>
        </w:tc>
        <w:tc>
          <w:tcPr>
            <w:tcW w:w="6001" w:type="dxa"/>
            <w:shd w:val="clear" w:color="auto" w:fill="auto"/>
          </w:tcPr>
          <w:p w:rsidR="00D56E67" w:rsidRPr="0095576B" w:rsidRDefault="00D56E67" w:rsidP="0095576B">
            <w:pPr>
              <w:jc w:val="both"/>
              <w:rPr>
                <w:rFonts w:asciiTheme="minorHAnsi" w:hAnsiTheme="minorHAnsi" w:cstheme="minorHAnsi"/>
                <w:sz w:val="22"/>
                <w:szCs w:val="22"/>
                <w:lang w:eastAsia="en-US"/>
              </w:rPr>
            </w:pPr>
            <w:r w:rsidRPr="0095576B">
              <w:rPr>
                <w:rFonts w:asciiTheme="minorHAnsi" w:hAnsiTheme="minorHAnsi" w:cstheme="minorHAnsi"/>
                <w:sz w:val="22"/>
                <w:szCs w:val="22"/>
                <w:lang w:eastAsia="en-US"/>
              </w:rPr>
              <w:t>There is limited information on how the CRA is to be calculated</w:t>
            </w:r>
            <w:r w:rsidRPr="0095576B">
              <w:rPr>
                <w:rFonts w:asciiTheme="minorHAnsi" w:hAnsiTheme="minorHAnsi" w:cstheme="minorHAnsi"/>
                <w:bCs/>
                <w:color w:val="000000"/>
                <w:sz w:val="22"/>
                <w:szCs w:val="22"/>
              </w:rPr>
              <w:t>.</w:t>
            </w:r>
          </w:p>
          <w:p w:rsidR="00D56E67" w:rsidRPr="0095576B" w:rsidRDefault="00D56E67" w:rsidP="0095576B">
            <w:pPr>
              <w:jc w:val="both"/>
              <w:rPr>
                <w:rFonts w:asciiTheme="minorHAnsi" w:hAnsiTheme="minorHAnsi" w:cstheme="minorHAnsi"/>
                <w:sz w:val="22"/>
                <w:szCs w:val="22"/>
                <w:lang w:eastAsia="en-US"/>
              </w:rPr>
            </w:pPr>
            <w:r w:rsidRPr="0095576B">
              <w:rPr>
                <w:rFonts w:asciiTheme="minorHAnsi" w:hAnsiTheme="minorHAnsi" w:cstheme="minorHAnsi"/>
                <w:sz w:val="22"/>
                <w:szCs w:val="22"/>
                <w:lang w:eastAsia="en-US"/>
              </w:rPr>
              <w:t>We acknowledge that the approach to be taken when determining the CRA is still under consideration as part of the discussions relating to the draft Delegated Acts.  However, where aspects of the calculation of the CRA have been finalised these should be included at this stage. This includes clarification that the CRA should only capture the default risk embedded in the determination of the floating rate leg of the swap deal (same principle as for VA or MA).</w:t>
            </w:r>
          </w:p>
          <w:p w:rsidR="00D56E67" w:rsidRPr="0095576B" w:rsidRDefault="00D56E67" w:rsidP="0095576B">
            <w:pPr>
              <w:jc w:val="both"/>
              <w:rPr>
                <w:rFonts w:asciiTheme="minorHAnsi" w:hAnsiTheme="minorHAnsi" w:cstheme="minorHAnsi"/>
                <w:sz w:val="22"/>
                <w:szCs w:val="22"/>
                <w:lang w:eastAsia="en-US"/>
              </w:rPr>
            </w:pPr>
            <w:r w:rsidRPr="0095576B">
              <w:rPr>
                <w:rFonts w:asciiTheme="minorHAnsi" w:hAnsiTheme="minorHAnsi" w:cstheme="minorHAnsi"/>
                <w:sz w:val="22"/>
                <w:szCs w:val="22"/>
                <w:lang w:eastAsia="en-US"/>
              </w:rPr>
              <w:t>Furthermore, it is important that the wording of the technical specifications is updated once an approach to the calculation of the CRA has been finalised in the delegated acts.</w:t>
            </w:r>
          </w:p>
        </w:tc>
        <w:tc>
          <w:tcPr>
            <w:tcW w:w="4914" w:type="dxa"/>
            <w:shd w:val="clear" w:color="auto" w:fill="auto"/>
          </w:tcPr>
          <w:p w:rsidR="00D56E67" w:rsidRPr="0095576B" w:rsidRDefault="00D56E67" w:rsidP="004D248A">
            <w:pPr>
              <w:spacing w:before="120"/>
              <w:rPr>
                <w:rFonts w:asciiTheme="minorHAnsi" w:hAnsiTheme="minorHAnsi" w:cstheme="minorHAnsi"/>
                <w:b/>
                <w:bCs/>
                <w:color w:val="000000"/>
                <w:sz w:val="22"/>
                <w:szCs w:val="22"/>
              </w:rPr>
            </w:pPr>
          </w:p>
        </w:tc>
      </w:tr>
      <w:tr w:rsidR="00BF5E93" w:rsidRPr="0095576B" w:rsidTr="00C40528">
        <w:trPr>
          <w:trHeight w:val="741"/>
        </w:trPr>
        <w:tc>
          <w:tcPr>
            <w:tcW w:w="1823" w:type="dxa"/>
            <w:shd w:val="clear" w:color="auto" w:fill="auto"/>
          </w:tcPr>
          <w:p w:rsidR="00AE2BDD" w:rsidRPr="0095576B" w:rsidRDefault="00B56298" w:rsidP="00B56298">
            <w:pPr>
              <w:rPr>
                <w:rFonts w:asciiTheme="minorHAnsi" w:hAnsiTheme="minorHAnsi" w:cstheme="minorHAnsi"/>
                <w:b/>
                <w:bCs/>
                <w:color w:val="000000"/>
                <w:sz w:val="22"/>
                <w:szCs w:val="22"/>
              </w:rPr>
            </w:pPr>
            <w:r w:rsidRPr="0095576B">
              <w:rPr>
                <w:rFonts w:asciiTheme="minorHAnsi" w:hAnsiTheme="minorHAnsi" w:cstheme="minorHAnsi"/>
                <w:sz w:val="22"/>
                <w:szCs w:val="22"/>
                <w:lang w:val="de-AT" w:eastAsia="en-US"/>
              </w:rPr>
              <w:lastRenderedPageBreak/>
              <w:t>1.2.2.2</w:t>
            </w:r>
          </w:p>
        </w:tc>
        <w:tc>
          <w:tcPr>
            <w:tcW w:w="1687" w:type="dxa"/>
            <w:shd w:val="clear" w:color="auto" w:fill="auto"/>
          </w:tcPr>
          <w:p w:rsidR="00AE2BDD" w:rsidRPr="0095576B" w:rsidRDefault="00C40528" w:rsidP="00C40528">
            <w:pPr>
              <w:rPr>
                <w:rFonts w:asciiTheme="minorHAnsi" w:hAnsiTheme="minorHAnsi" w:cstheme="minorHAnsi"/>
                <w:b/>
                <w:bCs/>
                <w:color w:val="000000"/>
                <w:sz w:val="22"/>
                <w:szCs w:val="22"/>
              </w:rPr>
            </w:pPr>
            <w:r w:rsidRPr="0095576B">
              <w:rPr>
                <w:rFonts w:asciiTheme="minorHAnsi" w:hAnsiTheme="minorHAnsi" w:cstheme="minorHAnsi"/>
                <w:sz w:val="22"/>
                <w:szCs w:val="22"/>
                <w:lang w:val="de-AT" w:eastAsia="en-US"/>
              </w:rPr>
              <w:t>C</w:t>
            </w:r>
            <w:r>
              <w:rPr>
                <w:rFonts w:asciiTheme="minorHAnsi" w:hAnsiTheme="minorHAnsi" w:cstheme="minorHAnsi"/>
                <w:sz w:val="22"/>
                <w:szCs w:val="22"/>
                <w:lang w:val="de-AT" w:eastAsia="en-US"/>
              </w:rPr>
              <w:t xml:space="preserve">redit </w:t>
            </w:r>
            <w:r w:rsidRPr="0095576B">
              <w:rPr>
                <w:rFonts w:asciiTheme="minorHAnsi" w:hAnsiTheme="minorHAnsi" w:cstheme="minorHAnsi"/>
                <w:sz w:val="22"/>
                <w:szCs w:val="22"/>
                <w:lang w:val="de-AT" w:eastAsia="en-US"/>
              </w:rPr>
              <w:t>R</w:t>
            </w:r>
            <w:r>
              <w:rPr>
                <w:rFonts w:asciiTheme="minorHAnsi" w:hAnsiTheme="minorHAnsi" w:cstheme="minorHAnsi"/>
                <w:sz w:val="22"/>
                <w:szCs w:val="22"/>
                <w:lang w:val="de-AT" w:eastAsia="en-US"/>
              </w:rPr>
              <w:t xml:space="preserve">isk </w:t>
            </w:r>
            <w:r w:rsidRPr="0095576B">
              <w:rPr>
                <w:rFonts w:asciiTheme="minorHAnsi" w:hAnsiTheme="minorHAnsi" w:cstheme="minorHAnsi"/>
                <w:sz w:val="22"/>
                <w:szCs w:val="22"/>
                <w:lang w:val="de-AT" w:eastAsia="en-US"/>
              </w:rPr>
              <w:t>A</w:t>
            </w:r>
            <w:r>
              <w:rPr>
                <w:rFonts w:asciiTheme="minorHAnsi" w:hAnsiTheme="minorHAnsi" w:cstheme="minorHAnsi"/>
                <w:sz w:val="22"/>
                <w:szCs w:val="22"/>
                <w:lang w:val="de-AT" w:eastAsia="en-US"/>
              </w:rPr>
              <w:t>djustment</w:t>
            </w:r>
            <w:r w:rsidRPr="0095576B">
              <w:rPr>
                <w:rFonts w:asciiTheme="minorHAnsi" w:hAnsiTheme="minorHAnsi" w:cstheme="minorHAnsi"/>
                <w:b/>
                <w:bCs/>
                <w:color w:val="000000"/>
                <w:sz w:val="22"/>
                <w:szCs w:val="22"/>
              </w:rPr>
              <w:t xml:space="preserve"> </w:t>
            </w:r>
          </w:p>
        </w:tc>
        <w:tc>
          <w:tcPr>
            <w:tcW w:w="6001" w:type="dxa"/>
            <w:shd w:val="clear" w:color="auto" w:fill="auto"/>
          </w:tcPr>
          <w:p w:rsidR="00AE2BDD" w:rsidRPr="0095576B" w:rsidRDefault="00B56298" w:rsidP="0095576B">
            <w:pPr>
              <w:jc w:val="both"/>
              <w:rPr>
                <w:rFonts w:asciiTheme="minorHAnsi" w:hAnsiTheme="minorHAnsi" w:cstheme="minorHAnsi"/>
                <w:b/>
                <w:bCs/>
                <w:color w:val="000000"/>
                <w:sz w:val="22"/>
                <w:szCs w:val="22"/>
              </w:rPr>
            </w:pPr>
            <w:r w:rsidRPr="0095576B">
              <w:rPr>
                <w:rFonts w:asciiTheme="minorHAnsi" w:hAnsiTheme="minorHAnsi" w:cstheme="minorHAnsi"/>
                <w:sz w:val="22"/>
                <w:szCs w:val="22"/>
                <w:lang w:eastAsia="en-US"/>
              </w:rPr>
              <w:t xml:space="preserve">We note that EIOPA has included a CRA for government bond-derived risk free interest rate curves. </w:t>
            </w:r>
            <w:r w:rsidR="00DA7BDA" w:rsidRPr="0095576B">
              <w:rPr>
                <w:rFonts w:asciiTheme="minorHAnsi" w:hAnsiTheme="minorHAnsi" w:cstheme="minorHAnsi"/>
                <w:sz w:val="22"/>
                <w:szCs w:val="22"/>
                <w:lang w:eastAsia="en-US"/>
              </w:rPr>
              <w:t>This appears to be inconsistent with assumption that gov bonds are risk free and so should not be included.</w:t>
            </w:r>
          </w:p>
        </w:tc>
        <w:tc>
          <w:tcPr>
            <w:tcW w:w="4914" w:type="dxa"/>
            <w:shd w:val="clear" w:color="auto" w:fill="auto"/>
          </w:tcPr>
          <w:p w:rsidR="00AE2BDD" w:rsidRPr="0095576B" w:rsidRDefault="00AE2BDD" w:rsidP="00B56298">
            <w:pPr>
              <w:spacing w:before="120"/>
              <w:rPr>
                <w:rFonts w:asciiTheme="minorHAnsi" w:hAnsiTheme="minorHAnsi" w:cstheme="minorHAnsi"/>
                <w:b/>
                <w:bCs/>
                <w:color w:val="000000"/>
                <w:sz w:val="22"/>
                <w:szCs w:val="22"/>
              </w:rPr>
            </w:pPr>
          </w:p>
        </w:tc>
      </w:tr>
      <w:tr w:rsidR="00BF5E93" w:rsidRPr="0095576B" w:rsidTr="0095576B">
        <w:trPr>
          <w:trHeight w:val="526"/>
        </w:trPr>
        <w:tc>
          <w:tcPr>
            <w:tcW w:w="1823" w:type="dxa"/>
            <w:shd w:val="clear" w:color="auto" w:fill="auto"/>
          </w:tcPr>
          <w:p w:rsidR="00176C5B" w:rsidRPr="0095576B" w:rsidRDefault="00176C5B" w:rsidP="004D543E">
            <w:pPr>
              <w:rPr>
                <w:rFonts w:asciiTheme="minorHAnsi" w:hAnsiTheme="minorHAnsi" w:cstheme="minorHAnsi"/>
                <w:sz w:val="22"/>
                <w:szCs w:val="22"/>
                <w:lang w:val="en-US" w:eastAsia="en-US"/>
              </w:rPr>
            </w:pPr>
            <w:r w:rsidRPr="0095576B">
              <w:rPr>
                <w:rFonts w:asciiTheme="minorHAnsi" w:hAnsiTheme="minorHAnsi" w:cstheme="minorHAnsi"/>
                <w:sz w:val="22"/>
                <w:szCs w:val="22"/>
                <w:lang w:val="de-AT" w:eastAsia="en-US"/>
              </w:rPr>
              <w:t>1.3.1</w:t>
            </w:r>
          </w:p>
        </w:tc>
        <w:tc>
          <w:tcPr>
            <w:tcW w:w="1687" w:type="dxa"/>
            <w:shd w:val="clear" w:color="auto" w:fill="auto"/>
          </w:tcPr>
          <w:p w:rsidR="00176C5B" w:rsidRPr="0095576B" w:rsidRDefault="00C40528" w:rsidP="004D543E">
            <w:pPr>
              <w:rPr>
                <w:rFonts w:asciiTheme="minorHAnsi" w:hAnsiTheme="minorHAnsi" w:cstheme="minorHAnsi"/>
                <w:sz w:val="22"/>
                <w:szCs w:val="22"/>
                <w:lang w:val="de-AT" w:eastAsia="en-US"/>
              </w:rPr>
            </w:pPr>
            <w:r w:rsidRPr="0095576B">
              <w:rPr>
                <w:rFonts w:asciiTheme="minorHAnsi" w:hAnsiTheme="minorHAnsi" w:cstheme="minorHAnsi"/>
                <w:sz w:val="22"/>
                <w:szCs w:val="22"/>
                <w:lang w:val="de-AT" w:eastAsia="en-US"/>
              </w:rPr>
              <w:t>Volatility adjustment </w:t>
            </w:r>
          </w:p>
        </w:tc>
        <w:tc>
          <w:tcPr>
            <w:tcW w:w="6001" w:type="dxa"/>
            <w:shd w:val="clear" w:color="auto" w:fill="auto"/>
          </w:tcPr>
          <w:p w:rsidR="00176C5B" w:rsidRPr="0095576B" w:rsidRDefault="004D0F19" w:rsidP="0095576B">
            <w:pPr>
              <w:ind w:left="34"/>
              <w:jc w:val="both"/>
              <w:rPr>
                <w:rFonts w:asciiTheme="minorHAnsi" w:hAnsiTheme="minorHAnsi" w:cstheme="minorHAnsi"/>
                <w:sz w:val="22"/>
                <w:szCs w:val="22"/>
              </w:rPr>
            </w:pPr>
            <w:r w:rsidRPr="0095576B">
              <w:rPr>
                <w:rFonts w:asciiTheme="minorHAnsi" w:hAnsiTheme="minorHAnsi" w:cstheme="minorHAnsi"/>
                <w:sz w:val="22"/>
                <w:szCs w:val="22"/>
              </w:rPr>
              <w:t>Article needs to be updated to reflect the inclusion of the county-specific VA as well as the currency-specific adjustment.</w:t>
            </w:r>
          </w:p>
        </w:tc>
        <w:tc>
          <w:tcPr>
            <w:tcW w:w="4914" w:type="dxa"/>
            <w:shd w:val="clear" w:color="auto" w:fill="auto"/>
          </w:tcPr>
          <w:p w:rsidR="00176C5B" w:rsidRPr="0095576B" w:rsidRDefault="00176C5B" w:rsidP="004D543E">
            <w:pPr>
              <w:rPr>
                <w:rFonts w:asciiTheme="minorHAnsi" w:hAnsiTheme="minorHAnsi" w:cstheme="minorHAnsi"/>
                <w:sz w:val="22"/>
                <w:szCs w:val="22"/>
              </w:rPr>
            </w:pPr>
          </w:p>
        </w:tc>
      </w:tr>
      <w:tr w:rsidR="00BF5E93" w:rsidRPr="0095576B" w:rsidTr="009D3D97">
        <w:trPr>
          <w:trHeight w:val="741"/>
        </w:trPr>
        <w:tc>
          <w:tcPr>
            <w:tcW w:w="1823" w:type="dxa"/>
            <w:shd w:val="clear" w:color="auto" w:fill="auto"/>
          </w:tcPr>
          <w:p w:rsidR="008E7FF0" w:rsidRPr="0095576B" w:rsidRDefault="008E7FF0" w:rsidP="004D543E">
            <w:pPr>
              <w:rPr>
                <w:rFonts w:asciiTheme="minorHAnsi" w:hAnsiTheme="minorHAnsi" w:cstheme="minorHAnsi"/>
                <w:sz w:val="22"/>
                <w:szCs w:val="22"/>
                <w:lang w:val="de-AT" w:eastAsia="en-US"/>
              </w:rPr>
            </w:pPr>
            <w:r w:rsidRPr="0095576B">
              <w:rPr>
                <w:rFonts w:asciiTheme="minorHAnsi" w:hAnsiTheme="minorHAnsi" w:cstheme="minorHAnsi"/>
                <w:sz w:val="22"/>
                <w:szCs w:val="22"/>
                <w:lang w:val="de-AT" w:eastAsia="en-US"/>
              </w:rPr>
              <w:t>1.3.1</w:t>
            </w:r>
          </w:p>
        </w:tc>
        <w:tc>
          <w:tcPr>
            <w:tcW w:w="1687" w:type="dxa"/>
            <w:shd w:val="clear" w:color="auto" w:fill="auto"/>
          </w:tcPr>
          <w:p w:rsidR="008E7FF0" w:rsidRPr="0095576B" w:rsidRDefault="00C40528" w:rsidP="004D543E">
            <w:pPr>
              <w:rPr>
                <w:rFonts w:asciiTheme="minorHAnsi" w:hAnsiTheme="minorHAnsi" w:cstheme="minorHAnsi"/>
                <w:sz w:val="22"/>
                <w:szCs w:val="22"/>
                <w:lang w:val="de-AT" w:eastAsia="en-US"/>
              </w:rPr>
            </w:pPr>
            <w:r w:rsidRPr="0095576B">
              <w:rPr>
                <w:rFonts w:asciiTheme="minorHAnsi" w:hAnsiTheme="minorHAnsi" w:cstheme="minorHAnsi"/>
                <w:sz w:val="22"/>
                <w:szCs w:val="22"/>
                <w:lang w:val="de-AT" w:eastAsia="en-US"/>
              </w:rPr>
              <w:t>Volatility adjustment </w:t>
            </w:r>
          </w:p>
        </w:tc>
        <w:tc>
          <w:tcPr>
            <w:tcW w:w="6001" w:type="dxa"/>
            <w:shd w:val="clear" w:color="auto" w:fill="auto"/>
          </w:tcPr>
          <w:p w:rsidR="008E7FF0" w:rsidRPr="0095576B" w:rsidRDefault="008E7FF0" w:rsidP="0095576B">
            <w:pPr>
              <w:ind w:left="34"/>
              <w:jc w:val="both"/>
              <w:rPr>
                <w:rFonts w:asciiTheme="minorHAnsi" w:hAnsiTheme="minorHAnsi" w:cstheme="minorHAnsi"/>
                <w:sz w:val="22"/>
                <w:szCs w:val="22"/>
                <w:lang w:val="de-AT"/>
              </w:rPr>
            </w:pPr>
            <w:r w:rsidRPr="0095576B">
              <w:rPr>
                <w:rFonts w:asciiTheme="minorHAnsi" w:hAnsiTheme="minorHAnsi" w:cstheme="minorHAnsi"/>
                <w:sz w:val="22"/>
                <w:szCs w:val="22"/>
              </w:rPr>
              <w:t xml:space="preserve">The VA is added to spot rates up to the LLP. Technically incorrect as will result in negative forward rates after the LLP. </w:t>
            </w:r>
            <w:r w:rsidRPr="0095576B">
              <w:rPr>
                <w:rFonts w:asciiTheme="minorHAnsi" w:hAnsiTheme="minorHAnsi" w:cstheme="minorHAnsi"/>
                <w:sz w:val="22"/>
                <w:szCs w:val="22"/>
                <w:lang w:val="de-AT"/>
              </w:rPr>
              <w:t>The VA should be added to forward rates</w:t>
            </w:r>
          </w:p>
        </w:tc>
        <w:tc>
          <w:tcPr>
            <w:tcW w:w="4914" w:type="dxa"/>
            <w:shd w:val="clear" w:color="auto" w:fill="auto"/>
          </w:tcPr>
          <w:p w:rsidR="008E7FF0" w:rsidRPr="0095576B" w:rsidRDefault="008E7FF0" w:rsidP="004D543E">
            <w:pPr>
              <w:rPr>
                <w:rFonts w:asciiTheme="minorHAnsi" w:hAnsiTheme="minorHAnsi" w:cstheme="minorHAnsi"/>
                <w:sz w:val="22"/>
                <w:szCs w:val="22"/>
              </w:rPr>
            </w:pPr>
          </w:p>
        </w:tc>
      </w:tr>
      <w:tr w:rsidR="00BF5E93" w:rsidRPr="0095576B" w:rsidTr="009D3D97">
        <w:trPr>
          <w:trHeight w:val="741"/>
        </w:trPr>
        <w:tc>
          <w:tcPr>
            <w:tcW w:w="1823" w:type="dxa"/>
            <w:shd w:val="clear" w:color="auto" w:fill="auto"/>
          </w:tcPr>
          <w:p w:rsidR="00AD0667" w:rsidRPr="0095576B" w:rsidRDefault="00AD0667" w:rsidP="00B56298">
            <w:pPr>
              <w:rPr>
                <w:rFonts w:asciiTheme="minorHAnsi" w:hAnsiTheme="minorHAnsi" w:cstheme="minorHAnsi"/>
                <w:b/>
                <w:bCs/>
                <w:color w:val="000000"/>
                <w:sz w:val="22"/>
                <w:szCs w:val="22"/>
              </w:rPr>
            </w:pPr>
            <w:r w:rsidRPr="0095576B">
              <w:rPr>
                <w:rFonts w:asciiTheme="minorHAnsi" w:hAnsiTheme="minorHAnsi" w:cstheme="minorHAnsi"/>
                <w:sz w:val="22"/>
                <w:szCs w:val="22"/>
                <w:lang w:eastAsia="en-US"/>
              </w:rPr>
              <w:t>Appendix VA1: Formula to calculate the spread underlying the volatility adjustment </w:t>
            </w:r>
          </w:p>
        </w:tc>
        <w:tc>
          <w:tcPr>
            <w:tcW w:w="1687" w:type="dxa"/>
            <w:shd w:val="clear" w:color="auto" w:fill="auto"/>
          </w:tcPr>
          <w:p w:rsidR="00AD0667" w:rsidRPr="0095576B" w:rsidRDefault="00AD0667" w:rsidP="00B56298">
            <w:pPr>
              <w:rPr>
                <w:rFonts w:asciiTheme="minorHAnsi" w:hAnsiTheme="minorHAnsi" w:cstheme="minorHAnsi"/>
                <w:b/>
                <w:bCs/>
                <w:color w:val="000000"/>
                <w:sz w:val="22"/>
                <w:szCs w:val="22"/>
              </w:rPr>
            </w:pPr>
            <w:r w:rsidRPr="0095576B">
              <w:rPr>
                <w:rFonts w:asciiTheme="minorHAnsi" w:hAnsiTheme="minorHAnsi" w:cstheme="minorHAnsi"/>
                <w:sz w:val="22"/>
                <w:szCs w:val="22"/>
                <w:lang w:val="de-AT" w:eastAsia="en-US"/>
              </w:rPr>
              <w:t>Volatility adjustment </w:t>
            </w:r>
          </w:p>
        </w:tc>
        <w:tc>
          <w:tcPr>
            <w:tcW w:w="6001" w:type="dxa"/>
            <w:shd w:val="clear" w:color="auto" w:fill="auto"/>
          </w:tcPr>
          <w:p w:rsidR="00AD0667" w:rsidRPr="0095576B" w:rsidRDefault="00AD0667" w:rsidP="0095576B">
            <w:pPr>
              <w:jc w:val="both"/>
              <w:rPr>
                <w:rFonts w:asciiTheme="minorHAnsi" w:hAnsiTheme="minorHAnsi" w:cstheme="minorHAnsi"/>
                <w:sz w:val="22"/>
                <w:szCs w:val="22"/>
                <w:lang w:eastAsia="en-US"/>
              </w:rPr>
            </w:pPr>
            <w:r w:rsidRPr="0095576B">
              <w:rPr>
                <w:rFonts w:asciiTheme="minorHAnsi" w:hAnsiTheme="minorHAnsi" w:cstheme="minorHAnsi"/>
                <w:sz w:val="22"/>
                <w:szCs w:val="22"/>
                <w:lang w:eastAsia="en-US"/>
              </w:rPr>
              <w:t xml:space="preserve">The formula for the calculation of the VA, as set out in Appendix VA1, </w:t>
            </w:r>
            <w:r w:rsidR="00FD30BE" w:rsidRPr="0095576B">
              <w:rPr>
                <w:rFonts w:asciiTheme="minorHAnsi" w:hAnsiTheme="minorHAnsi" w:cstheme="minorHAnsi"/>
                <w:sz w:val="22"/>
                <w:szCs w:val="22"/>
                <w:lang w:eastAsia="en-US"/>
              </w:rPr>
              <w:t>is different</w:t>
            </w:r>
            <w:r w:rsidR="00F556DF" w:rsidRPr="0095576B">
              <w:rPr>
                <w:rFonts w:asciiTheme="minorHAnsi" w:hAnsiTheme="minorHAnsi" w:cstheme="minorHAnsi"/>
                <w:sz w:val="22"/>
                <w:szCs w:val="22"/>
                <w:lang w:eastAsia="en-US"/>
              </w:rPr>
              <w:t xml:space="preserve"> than the one included in the DA</w:t>
            </w:r>
            <w:r w:rsidR="00FD30BE" w:rsidRPr="0095576B">
              <w:rPr>
                <w:rFonts w:asciiTheme="minorHAnsi" w:hAnsiTheme="minorHAnsi" w:cstheme="minorHAnsi"/>
                <w:sz w:val="22"/>
                <w:szCs w:val="22"/>
                <w:lang w:eastAsia="en-US"/>
              </w:rPr>
              <w:t xml:space="preserve">s and </w:t>
            </w:r>
            <w:r w:rsidRPr="0095576B">
              <w:rPr>
                <w:rFonts w:asciiTheme="minorHAnsi" w:hAnsiTheme="minorHAnsi" w:cstheme="minorHAnsi"/>
                <w:sz w:val="22"/>
                <w:szCs w:val="22"/>
                <w:lang w:eastAsia="en-US"/>
              </w:rPr>
              <w:t xml:space="preserve">has been expanded to specify a deduction for risk correction (RC).  The accompanying text specifies that the RC should cover: “...the portion of that spread that is attributable to a realistic assessment of expected losses, unexpected credit risk or </w:t>
            </w:r>
            <w:r w:rsidRPr="0095576B">
              <w:rPr>
                <w:rFonts w:asciiTheme="minorHAnsi" w:hAnsiTheme="minorHAnsi" w:cstheme="minorHAnsi"/>
                <w:sz w:val="22"/>
                <w:szCs w:val="22"/>
                <w:u w:val="single"/>
                <w:lang w:eastAsia="en-US"/>
              </w:rPr>
              <w:t>any other risks</w:t>
            </w:r>
            <w:r w:rsidR="00891798">
              <w:rPr>
                <w:rFonts w:asciiTheme="minorHAnsi" w:hAnsiTheme="minorHAnsi" w:cstheme="minorHAnsi"/>
                <w:sz w:val="22"/>
                <w:szCs w:val="22"/>
                <w:lang w:eastAsia="en-US"/>
              </w:rPr>
              <w:t>…”</w:t>
            </w:r>
            <w:r w:rsidRPr="0095576B">
              <w:rPr>
                <w:rFonts w:asciiTheme="minorHAnsi" w:hAnsiTheme="minorHAnsi" w:cstheme="minorHAnsi"/>
                <w:sz w:val="22"/>
                <w:szCs w:val="22"/>
                <w:lang w:eastAsia="en-US"/>
              </w:rPr>
              <w:t xml:space="preserve">  </w:t>
            </w:r>
          </w:p>
          <w:p w:rsidR="00AD0667" w:rsidRPr="0095576B" w:rsidRDefault="00AD0667" w:rsidP="0095576B">
            <w:pPr>
              <w:jc w:val="both"/>
              <w:rPr>
                <w:rFonts w:asciiTheme="minorHAnsi" w:hAnsiTheme="minorHAnsi" w:cstheme="minorHAnsi"/>
                <w:sz w:val="22"/>
                <w:szCs w:val="22"/>
                <w:lang w:eastAsia="en-US"/>
              </w:rPr>
            </w:pPr>
            <w:r w:rsidRPr="0095576B">
              <w:rPr>
                <w:rFonts w:asciiTheme="minorHAnsi" w:hAnsiTheme="minorHAnsi" w:cstheme="minorHAnsi"/>
                <w:sz w:val="22"/>
                <w:szCs w:val="22"/>
                <w:lang w:eastAsia="en-US"/>
              </w:rPr>
              <w:t>As no further details have been provided on the scope of these other risks and how allowance for these will be calibrated, this risks making a deduction to spreads in excess of the fundamental spreads used for the calibration of the matching adjustment and hence risks further diluting the impact of the VA beyond what was envisaged in the Omnibus II Directive.</w:t>
            </w:r>
          </w:p>
          <w:p w:rsidR="0095576B" w:rsidRDefault="00AD0667" w:rsidP="0095576B">
            <w:pPr>
              <w:jc w:val="both"/>
              <w:rPr>
                <w:rFonts w:asciiTheme="minorHAnsi" w:hAnsiTheme="minorHAnsi" w:cstheme="minorHAnsi"/>
                <w:sz w:val="22"/>
                <w:szCs w:val="22"/>
                <w:lang w:eastAsia="en-US"/>
              </w:rPr>
            </w:pPr>
            <w:r w:rsidRPr="0095576B">
              <w:rPr>
                <w:rFonts w:asciiTheme="minorHAnsi" w:hAnsiTheme="minorHAnsi" w:cstheme="minorHAnsi"/>
                <w:sz w:val="22"/>
                <w:szCs w:val="22"/>
                <w:lang w:eastAsia="en-US"/>
              </w:rPr>
              <w:t xml:space="preserve">The purpose of the RC is to ensure that the default risks that the firm is exposed to are not incorporated within the VA. For that reason, the RC used in the VA should </w:t>
            </w:r>
            <w:r w:rsidR="00BA58A6">
              <w:rPr>
                <w:rFonts w:asciiTheme="minorHAnsi" w:hAnsiTheme="minorHAnsi" w:cstheme="minorHAnsi"/>
                <w:sz w:val="22"/>
                <w:szCs w:val="22"/>
                <w:lang w:eastAsia="en-US"/>
              </w:rPr>
              <w:t xml:space="preserve">be </w:t>
            </w:r>
            <w:r w:rsidRPr="0095576B">
              <w:rPr>
                <w:rFonts w:asciiTheme="minorHAnsi" w:hAnsiTheme="minorHAnsi" w:cstheme="minorHAnsi"/>
                <w:sz w:val="22"/>
                <w:szCs w:val="22"/>
                <w:lang w:eastAsia="en-US"/>
              </w:rPr>
              <w:t xml:space="preserve">made consistent with the risk correction used for the Matching Adjustment.  This should be done by using the fundamental spread already provided for </w:t>
            </w:r>
            <w:r w:rsidR="00BA58A6">
              <w:rPr>
                <w:rFonts w:asciiTheme="minorHAnsi" w:hAnsiTheme="minorHAnsi" w:cstheme="minorHAnsi"/>
                <w:sz w:val="22"/>
                <w:szCs w:val="22"/>
                <w:lang w:eastAsia="en-US"/>
              </w:rPr>
              <w:t>the Matching Adjustment to risk-</w:t>
            </w:r>
            <w:r w:rsidRPr="0095576B">
              <w:rPr>
                <w:rFonts w:asciiTheme="minorHAnsi" w:hAnsiTheme="minorHAnsi" w:cstheme="minorHAnsi"/>
                <w:sz w:val="22"/>
                <w:szCs w:val="22"/>
                <w:lang w:eastAsia="en-US"/>
              </w:rPr>
              <w:t xml:space="preserve">correct the spreads for corporate bonds.  As government bonds are considered risk free under Solvency II no RC should be </w:t>
            </w:r>
            <w:r w:rsidRPr="0095576B">
              <w:rPr>
                <w:rFonts w:asciiTheme="minorHAnsi" w:hAnsiTheme="minorHAnsi" w:cstheme="minorHAnsi"/>
                <w:sz w:val="22"/>
                <w:szCs w:val="22"/>
                <w:lang w:eastAsia="en-US"/>
              </w:rPr>
              <w:lastRenderedPageBreak/>
              <w:t>incorporated in respect of these assets.</w:t>
            </w:r>
          </w:p>
          <w:p w:rsidR="008E5374" w:rsidRPr="0095576B" w:rsidRDefault="008E5374" w:rsidP="0095576B">
            <w:pPr>
              <w:jc w:val="both"/>
              <w:rPr>
                <w:rFonts w:asciiTheme="minorHAnsi" w:hAnsiTheme="minorHAnsi" w:cstheme="minorHAnsi"/>
                <w:b/>
                <w:bCs/>
                <w:color w:val="000000"/>
                <w:sz w:val="22"/>
                <w:szCs w:val="22"/>
              </w:rPr>
            </w:pPr>
            <w:r w:rsidRPr="0095576B">
              <w:rPr>
                <w:rFonts w:asciiTheme="minorHAnsi" w:hAnsiTheme="minorHAnsi" w:cstheme="minorHAnsi"/>
                <w:sz w:val="22"/>
                <w:szCs w:val="22"/>
                <w:lang w:eastAsia="en-US"/>
              </w:rPr>
              <w:t>Furthermore, it is also important to get clarity on the construction of the reference portfolios, including the various asset classes.  As things stand, should assets such as equities and property be included in the reference portfolios, there will be no uplift for these asset classes, further diluting the impact of the VA.</w:t>
            </w:r>
          </w:p>
        </w:tc>
        <w:tc>
          <w:tcPr>
            <w:tcW w:w="4914" w:type="dxa"/>
            <w:shd w:val="clear" w:color="auto" w:fill="auto"/>
          </w:tcPr>
          <w:p w:rsidR="00AD0667" w:rsidRPr="0095576B" w:rsidRDefault="00AD0667" w:rsidP="00D01EF0">
            <w:pPr>
              <w:spacing w:before="120"/>
              <w:rPr>
                <w:rFonts w:asciiTheme="minorHAnsi" w:hAnsiTheme="minorHAnsi" w:cstheme="minorHAnsi"/>
                <w:b/>
                <w:bCs/>
                <w:color w:val="000000"/>
                <w:sz w:val="22"/>
                <w:szCs w:val="22"/>
              </w:rPr>
            </w:pPr>
          </w:p>
        </w:tc>
      </w:tr>
      <w:tr w:rsidR="00BF5E93" w:rsidRPr="0095576B" w:rsidTr="00176C5B">
        <w:trPr>
          <w:trHeight w:val="741"/>
        </w:trPr>
        <w:tc>
          <w:tcPr>
            <w:tcW w:w="1823" w:type="dxa"/>
            <w:shd w:val="clear" w:color="auto" w:fill="auto"/>
          </w:tcPr>
          <w:p w:rsidR="00AD0667" w:rsidRPr="0095576B" w:rsidRDefault="00AD0667" w:rsidP="00176C5B">
            <w:pPr>
              <w:rPr>
                <w:rFonts w:asciiTheme="minorHAnsi" w:hAnsiTheme="minorHAnsi" w:cstheme="minorHAnsi"/>
                <w:b/>
                <w:bCs/>
                <w:color w:val="000000"/>
                <w:sz w:val="22"/>
                <w:szCs w:val="22"/>
              </w:rPr>
            </w:pPr>
            <w:r w:rsidRPr="0095576B">
              <w:rPr>
                <w:rFonts w:asciiTheme="minorHAnsi" w:hAnsiTheme="minorHAnsi" w:cstheme="minorHAnsi"/>
                <w:sz w:val="22"/>
                <w:szCs w:val="22"/>
                <w:lang w:val="de-AT" w:eastAsia="en-US"/>
              </w:rPr>
              <w:lastRenderedPageBreak/>
              <w:t>1.4.2</w:t>
            </w:r>
          </w:p>
        </w:tc>
        <w:tc>
          <w:tcPr>
            <w:tcW w:w="1687" w:type="dxa"/>
            <w:shd w:val="clear" w:color="auto" w:fill="auto"/>
          </w:tcPr>
          <w:p w:rsidR="00AD0667" w:rsidRPr="0095576B" w:rsidRDefault="00AD0667" w:rsidP="005E57C1">
            <w:pPr>
              <w:rPr>
                <w:rFonts w:asciiTheme="minorHAnsi" w:hAnsiTheme="minorHAnsi" w:cstheme="minorHAnsi"/>
                <w:b/>
                <w:bCs/>
                <w:color w:val="000000"/>
                <w:sz w:val="22"/>
                <w:szCs w:val="22"/>
              </w:rPr>
            </w:pPr>
            <w:r w:rsidRPr="0095576B">
              <w:rPr>
                <w:rFonts w:asciiTheme="minorHAnsi" w:hAnsiTheme="minorHAnsi" w:cstheme="minorHAnsi"/>
                <w:sz w:val="22"/>
                <w:szCs w:val="22"/>
                <w:lang w:eastAsia="en-US"/>
              </w:rPr>
              <w:t>Transitional measures</w:t>
            </w:r>
            <w:r w:rsidR="0095576B" w:rsidRPr="0095576B">
              <w:rPr>
                <w:rFonts w:asciiTheme="minorHAnsi" w:hAnsiTheme="minorHAnsi" w:cstheme="minorHAnsi"/>
                <w:sz w:val="22"/>
                <w:szCs w:val="22"/>
                <w:lang w:eastAsia="en-US"/>
              </w:rPr>
              <w:t xml:space="preserve"> – Transitional discount curve</w:t>
            </w:r>
          </w:p>
        </w:tc>
        <w:tc>
          <w:tcPr>
            <w:tcW w:w="6001" w:type="dxa"/>
            <w:shd w:val="clear" w:color="auto" w:fill="auto"/>
          </w:tcPr>
          <w:p w:rsidR="00AD0667" w:rsidRPr="0095576B" w:rsidRDefault="00AD0667" w:rsidP="0095576B">
            <w:pPr>
              <w:jc w:val="both"/>
              <w:rPr>
                <w:rFonts w:asciiTheme="minorHAnsi" w:hAnsiTheme="minorHAnsi" w:cstheme="minorHAnsi"/>
                <w:sz w:val="22"/>
                <w:szCs w:val="22"/>
                <w:lang w:eastAsia="en-US"/>
              </w:rPr>
            </w:pPr>
            <w:r w:rsidRPr="0095576B">
              <w:rPr>
                <w:rFonts w:asciiTheme="minorHAnsi" w:hAnsiTheme="minorHAnsi" w:cstheme="minorHAnsi"/>
                <w:sz w:val="22"/>
                <w:szCs w:val="22"/>
                <w:lang w:eastAsia="en-US"/>
              </w:rPr>
              <w:t>The construction of the transitional discount curve requires firms to use the Solvency I interest rate as at the last day that the Solvency I Directive is in force.  As this date is currently in the future, it is not clear what interest rate should be used for the purpose of applying this transitional measure.</w:t>
            </w:r>
          </w:p>
        </w:tc>
        <w:tc>
          <w:tcPr>
            <w:tcW w:w="4914" w:type="dxa"/>
            <w:shd w:val="clear" w:color="auto" w:fill="auto"/>
          </w:tcPr>
          <w:p w:rsidR="00AD0667" w:rsidRPr="0095576B" w:rsidRDefault="00AD0667" w:rsidP="00AD0667">
            <w:pPr>
              <w:spacing w:before="120"/>
              <w:rPr>
                <w:rFonts w:asciiTheme="minorHAnsi" w:hAnsiTheme="minorHAnsi" w:cstheme="minorHAnsi"/>
                <w:sz w:val="22"/>
                <w:szCs w:val="22"/>
                <w:highlight w:val="yellow"/>
                <w:lang w:eastAsia="en-US"/>
              </w:rPr>
            </w:pPr>
          </w:p>
        </w:tc>
      </w:tr>
      <w:tr w:rsidR="00BF5E93" w:rsidRPr="0095576B" w:rsidTr="0095576B">
        <w:trPr>
          <w:trHeight w:val="741"/>
        </w:trPr>
        <w:tc>
          <w:tcPr>
            <w:tcW w:w="1823" w:type="dxa"/>
            <w:shd w:val="clear" w:color="auto" w:fill="auto"/>
          </w:tcPr>
          <w:p w:rsidR="00141879" w:rsidRPr="0095576B" w:rsidRDefault="00141879" w:rsidP="0095576B">
            <w:pPr>
              <w:rPr>
                <w:rFonts w:asciiTheme="minorHAnsi" w:hAnsiTheme="minorHAnsi" w:cstheme="minorHAnsi"/>
                <w:sz w:val="22"/>
                <w:szCs w:val="22"/>
                <w:lang w:val="de-AT" w:eastAsia="en-US"/>
              </w:rPr>
            </w:pPr>
            <w:r w:rsidRPr="0095576B">
              <w:rPr>
                <w:rFonts w:asciiTheme="minorHAnsi" w:hAnsiTheme="minorHAnsi" w:cstheme="minorHAnsi"/>
                <w:sz w:val="22"/>
                <w:szCs w:val="22"/>
                <w:lang w:val="de-AT" w:eastAsia="en-US"/>
              </w:rPr>
              <w:t>1.4.3</w:t>
            </w:r>
          </w:p>
        </w:tc>
        <w:tc>
          <w:tcPr>
            <w:tcW w:w="1687" w:type="dxa"/>
            <w:shd w:val="clear" w:color="auto" w:fill="auto"/>
          </w:tcPr>
          <w:p w:rsidR="00141879" w:rsidRPr="0095576B" w:rsidRDefault="0095576B" w:rsidP="0095576B">
            <w:pPr>
              <w:rPr>
                <w:rFonts w:asciiTheme="minorHAnsi" w:hAnsiTheme="minorHAnsi" w:cstheme="minorHAnsi"/>
                <w:sz w:val="22"/>
                <w:szCs w:val="22"/>
                <w:lang w:val="de-AT" w:eastAsia="en-US"/>
              </w:rPr>
            </w:pPr>
            <w:r>
              <w:rPr>
                <w:rFonts w:asciiTheme="minorHAnsi" w:hAnsiTheme="minorHAnsi" w:cstheme="minorHAnsi"/>
                <w:sz w:val="22"/>
                <w:szCs w:val="22"/>
                <w:lang w:val="de-AT" w:eastAsia="en-US"/>
              </w:rPr>
              <w:t xml:space="preserve">Transitional measures - </w:t>
            </w:r>
            <w:r w:rsidR="00141879" w:rsidRPr="0095576B">
              <w:rPr>
                <w:rFonts w:asciiTheme="minorHAnsi" w:hAnsiTheme="minorHAnsi" w:cstheme="minorHAnsi"/>
                <w:sz w:val="22"/>
                <w:szCs w:val="22"/>
                <w:lang w:val="de-AT" w:eastAsia="en-US"/>
              </w:rPr>
              <w:t>Technical provision</w:t>
            </w:r>
            <w:r>
              <w:rPr>
                <w:rFonts w:asciiTheme="minorHAnsi" w:hAnsiTheme="minorHAnsi" w:cstheme="minorHAnsi"/>
                <w:sz w:val="22"/>
                <w:szCs w:val="22"/>
                <w:lang w:val="de-AT" w:eastAsia="en-US"/>
              </w:rPr>
              <w:t>s</w:t>
            </w:r>
          </w:p>
        </w:tc>
        <w:tc>
          <w:tcPr>
            <w:tcW w:w="6001" w:type="dxa"/>
            <w:shd w:val="clear" w:color="auto" w:fill="auto"/>
          </w:tcPr>
          <w:p w:rsidR="00141879" w:rsidRPr="0095576B" w:rsidRDefault="00141879" w:rsidP="0095576B">
            <w:pPr>
              <w:jc w:val="both"/>
              <w:rPr>
                <w:rFonts w:asciiTheme="minorHAnsi" w:hAnsiTheme="minorHAnsi" w:cstheme="minorHAnsi"/>
                <w:sz w:val="22"/>
                <w:szCs w:val="22"/>
                <w:lang w:eastAsia="en-US"/>
              </w:rPr>
            </w:pPr>
            <w:r w:rsidRPr="0095576B">
              <w:rPr>
                <w:rFonts w:asciiTheme="minorHAnsi" w:hAnsiTheme="minorHAnsi" w:cstheme="minorHAnsi"/>
                <w:sz w:val="22"/>
                <w:szCs w:val="22"/>
                <w:lang w:eastAsia="en-US"/>
              </w:rPr>
              <w:t xml:space="preserve">This needs to include a reference to the requirements set out in </w:t>
            </w:r>
            <w:r w:rsidR="0095576B">
              <w:rPr>
                <w:rFonts w:asciiTheme="minorHAnsi" w:hAnsiTheme="minorHAnsi" w:cstheme="minorHAnsi"/>
                <w:sz w:val="22"/>
                <w:szCs w:val="22"/>
                <w:lang w:eastAsia="en-US"/>
              </w:rPr>
              <w:t xml:space="preserve">a more </w:t>
            </w:r>
            <w:r w:rsidRPr="0095576B">
              <w:rPr>
                <w:rFonts w:asciiTheme="minorHAnsi" w:hAnsiTheme="minorHAnsi" w:cstheme="minorHAnsi"/>
                <w:sz w:val="22"/>
                <w:szCs w:val="22"/>
                <w:lang w:eastAsia="en-US"/>
              </w:rPr>
              <w:t>detailed wording in Section 2.</w:t>
            </w:r>
          </w:p>
        </w:tc>
        <w:tc>
          <w:tcPr>
            <w:tcW w:w="4914" w:type="dxa"/>
            <w:shd w:val="clear" w:color="auto" w:fill="auto"/>
          </w:tcPr>
          <w:p w:rsidR="00141879" w:rsidRPr="0095576B" w:rsidRDefault="00141879" w:rsidP="004D248A">
            <w:pPr>
              <w:spacing w:before="120"/>
              <w:rPr>
                <w:rFonts w:asciiTheme="minorHAnsi" w:hAnsiTheme="minorHAnsi" w:cstheme="minorHAnsi"/>
                <w:sz w:val="22"/>
                <w:szCs w:val="22"/>
                <w:highlight w:val="yellow"/>
                <w:lang w:eastAsia="en-US"/>
              </w:rPr>
            </w:pPr>
          </w:p>
        </w:tc>
      </w:tr>
      <w:tr w:rsidR="00891798" w:rsidRPr="0095576B" w:rsidTr="004D248A">
        <w:trPr>
          <w:trHeight w:val="741"/>
        </w:trPr>
        <w:tc>
          <w:tcPr>
            <w:tcW w:w="1823" w:type="dxa"/>
            <w:shd w:val="clear" w:color="auto" w:fill="auto"/>
          </w:tcPr>
          <w:p w:rsidR="00BE30EF" w:rsidRPr="0095576B" w:rsidRDefault="00BE30EF" w:rsidP="0095576B">
            <w:pPr>
              <w:rPr>
                <w:rFonts w:asciiTheme="minorHAnsi" w:hAnsiTheme="minorHAnsi" w:cstheme="minorHAnsi"/>
                <w:sz w:val="22"/>
                <w:szCs w:val="22"/>
                <w:lang w:val="de-AT" w:eastAsia="en-US"/>
              </w:rPr>
            </w:pPr>
            <w:r w:rsidRPr="0095576B">
              <w:rPr>
                <w:rFonts w:asciiTheme="minorHAnsi" w:hAnsiTheme="minorHAnsi" w:cstheme="minorHAnsi"/>
                <w:sz w:val="22"/>
                <w:szCs w:val="22"/>
                <w:lang w:val="de-AT" w:eastAsia="en-US"/>
              </w:rPr>
              <w:t>1.4.3</w:t>
            </w:r>
          </w:p>
        </w:tc>
        <w:tc>
          <w:tcPr>
            <w:tcW w:w="1687" w:type="dxa"/>
            <w:shd w:val="clear" w:color="auto" w:fill="auto"/>
          </w:tcPr>
          <w:p w:rsidR="00BE30EF" w:rsidRPr="0095576B" w:rsidRDefault="0095576B" w:rsidP="0095576B">
            <w:pPr>
              <w:rPr>
                <w:rFonts w:asciiTheme="minorHAnsi" w:hAnsiTheme="minorHAnsi" w:cstheme="minorHAnsi"/>
                <w:sz w:val="22"/>
                <w:szCs w:val="22"/>
                <w:lang w:eastAsia="en-US"/>
              </w:rPr>
            </w:pPr>
            <w:r w:rsidRPr="0095576B">
              <w:rPr>
                <w:rFonts w:asciiTheme="minorHAnsi" w:hAnsiTheme="minorHAnsi" w:cstheme="minorHAnsi"/>
                <w:sz w:val="22"/>
                <w:szCs w:val="22"/>
                <w:lang w:eastAsia="en-US"/>
              </w:rPr>
              <w:t xml:space="preserve">Transitional measures - Technical provisions </w:t>
            </w:r>
          </w:p>
        </w:tc>
        <w:tc>
          <w:tcPr>
            <w:tcW w:w="6001" w:type="dxa"/>
            <w:shd w:val="clear" w:color="auto" w:fill="auto"/>
          </w:tcPr>
          <w:p w:rsidR="00BE30EF" w:rsidRPr="0095576B" w:rsidRDefault="00BE30EF" w:rsidP="0095576B">
            <w:pPr>
              <w:jc w:val="both"/>
              <w:rPr>
                <w:rFonts w:asciiTheme="minorHAnsi" w:hAnsiTheme="minorHAnsi" w:cstheme="minorHAnsi"/>
                <w:sz w:val="22"/>
                <w:szCs w:val="22"/>
                <w:lang w:eastAsia="en-US"/>
              </w:rPr>
            </w:pPr>
            <w:r w:rsidRPr="0095576B">
              <w:rPr>
                <w:rFonts w:asciiTheme="minorHAnsi" w:hAnsiTheme="minorHAnsi" w:cstheme="minorHAnsi"/>
                <w:sz w:val="22"/>
                <w:szCs w:val="22"/>
                <w:lang w:eastAsia="en-US"/>
              </w:rPr>
              <w:t xml:space="preserve">If a transitional measure is applied, </w:t>
            </w:r>
            <w:r w:rsidR="00FE5D27" w:rsidRPr="0095576B">
              <w:rPr>
                <w:rFonts w:asciiTheme="minorHAnsi" w:hAnsiTheme="minorHAnsi" w:cstheme="minorHAnsi"/>
                <w:sz w:val="22"/>
                <w:szCs w:val="22"/>
                <w:lang w:eastAsia="en-US"/>
              </w:rPr>
              <w:t xml:space="preserve">then, according to Article 20 of the latest draft </w:t>
            </w:r>
            <w:r w:rsidR="0095576B">
              <w:rPr>
                <w:rFonts w:asciiTheme="minorHAnsi" w:hAnsiTheme="minorHAnsi" w:cstheme="minorHAnsi"/>
                <w:sz w:val="22"/>
                <w:szCs w:val="22"/>
                <w:lang w:eastAsia="en-US"/>
              </w:rPr>
              <w:t>DAs</w:t>
            </w:r>
            <w:r w:rsidR="00FE5D27" w:rsidRPr="0095576B">
              <w:rPr>
                <w:rFonts w:asciiTheme="minorHAnsi" w:hAnsiTheme="minorHAnsi" w:cstheme="minorHAnsi"/>
                <w:sz w:val="22"/>
                <w:szCs w:val="22"/>
                <w:lang w:eastAsia="en-US"/>
              </w:rPr>
              <w:t xml:space="preserve">, </w:t>
            </w:r>
            <w:r w:rsidRPr="0095576B">
              <w:rPr>
                <w:rFonts w:asciiTheme="minorHAnsi" w:hAnsiTheme="minorHAnsi" w:cstheme="minorHAnsi"/>
                <w:sz w:val="22"/>
                <w:szCs w:val="22"/>
                <w:lang w:eastAsia="en-US"/>
              </w:rPr>
              <w:t>we understand that the term structure including the transitional adjustment is the relevant one for determining future returns of the assets</w:t>
            </w:r>
            <w:r w:rsidR="00FE5D27" w:rsidRPr="0095576B">
              <w:rPr>
                <w:rFonts w:asciiTheme="minorHAnsi" w:hAnsiTheme="minorHAnsi" w:cstheme="minorHAnsi"/>
                <w:sz w:val="22"/>
                <w:szCs w:val="22"/>
                <w:lang w:eastAsia="en-US"/>
              </w:rPr>
              <w:t>. This could be further clarified.</w:t>
            </w:r>
          </w:p>
        </w:tc>
        <w:tc>
          <w:tcPr>
            <w:tcW w:w="4914" w:type="dxa"/>
            <w:shd w:val="clear" w:color="auto" w:fill="auto"/>
          </w:tcPr>
          <w:p w:rsidR="00BE30EF" w:rsidRPr="0095576B" w:rsidRDefault="00BE30EF" w:rsidP="004D248A">
            <w:pPr>
              <w:spacing w:before="120"/>
              <w:rPr>
                <w:rFonts w:asciiTheme="minorHAnsi" w:hAnsiTheme="minorHAnsi" w:cstheme="minorHAnsi"/>
                <w:sz w:val="22"/>
                <w:szCs w:val="22"/>
                <w:highlight w:val="yellow"/>
                <w:lang w:eastAsia="en-US"/>
              </w:rPr>
            </w:pPr>
          </w:p>
        </w:tc>
      </w:tr>
      <w:tr w:rsidR="00891798" w:rsidRPr="0095576B" w:rsidTr="009D3D97">
        <w:trPr>
          <w:trHeight w:val="741"/>
        </w:trPr>
        <w:tc>
          <w:tcPr>
            <w:tcW w:w="1823" w:type="dxa"/>
            <w:shd w:val="clear" w:color="auto" w:fill="auto"/>
          </w:tcPr>
          <w:p w:rsidR="004A7657" w:rsidRPr="0095576B" w:rsidRDefault="004A7657" w:rsidP="00D81BC4">
            <w:pPr>
              <w:rPr>
                <w:rFonts w:asciiTheme="minorHAnsi" w:hAnsiTheme="minorHAnsi" w:cstheme="minorHAnsi"/>
                <w:sz w:val="22"/>
                <w:szCs w:val="22"/>
                <w:lang w:val="de-AT" w:eastAsia="en-US"/>
              </w:rPr>
            </w:pPr>
            <w:r w:rsidRPr="0095576B">
              <w:rPr>
                <w:rFonts w:asciiTheme="minorHAnsi" w:hAnsiTheme="minorHAnsi" w:cstheme="minorHAnsi"/>
                <w:sz w:val="22"/>
                <w:szCs w:val="22"/>
                <w:lang w:val="de-AT" w:eastAsia="en-US"/>
              </w:rPr>
              <w:t>1.5</w:t>
            </w:r>
          </w:p>
        </w:tc>
        <w:tc>
          <w:tcPr>
            <w:tcW w:w="1687" w:type="dxa"/>
            <w:shd w:val="clear" w:color="auto" w:fill="auto"/>
          </w:tcPr>
          <w:p w:rsidR="004A7657" w:rsidRPr="0095576B" w:rsidRDefault="004A7657" w:rsidP="00D81BC4">
            <w:pPr>
              <w:rPr>
                <w:rFonts w:asciiTheme="minorHAnsi" w:hAnsiTheme="minorHAnsi" w:cstheme="minorHAnsi"/>
                <w:sz w:val="22"/>
                <w:szCs w:val="22"/>
                <w:lang w:val="de-AT" w:eastAsia="en-US"/>
              </w:rPr>
            </w:pPr>
            <w:r w:rsidRPr="0095576B">
              <w:rPr>
                <w:rFonts w:asciiTheme="minorHAnsi" w:hAnsiTheme="minorHAnsi" w:cstheme="minorHAnsi"/>
                <w:sz w:val="22"/>
                <w:szCs w:val="22"/>
                <w:lang w:val="de-AT" w:eastAsia="en-US"/>
              </w:rPr>
              <w:t>Matching Adjustment</w:t>
            </w:r>
          </w:p>
        </w:tc>
        <w:tc>
          <w:tcPr>
            <w:tcW w:w="6001" w:type="dxa"/>
            <w:shd w:val="clear" w:color="auto" w:fill="auto"/>
          </w:tcPr>
          <w:p w:rsidR="004A7657" w:rsidRPr="0095576B" w:rsidRDefault="004A7657" w:rsidP="0095576B">
            <w:pPr>
              <w:jc w:val="both"/>
              <w:rPr>
                <w:rFonts w:asciiTheme="minorHAnsi" w:hAnsiTheme="minorHAnsi" w:cstheme="minorHAnsi"/>
                <w:sz w:val="22"/>
                <w:szCs w:val="22"/>
                <w:lang w:eastAsia="en-US"/>
              </w:rPr>
            </w:pPr>
            <w:r w:rsidRPr="0095576B">
              <w:rPr>
                <w:rFonts w:asciiTheme="minorHAnsi" w:hAnsiTheme="minorHAnsi" w:cstheme="minorHAnsi"/>
                <w:sz w:val="22"/>
                <w:szCs w:val="22"/>
                <w:lang w:eastAsia="en-US"/>
              </w:rPr>
              <w:t xml:space="preserve">The technical specifications provide that </w:t>
            </w:r>
            <w:r w:rsidRPr="0095576B">
              <w:rPr>
                <w:rFonts w:asciiTheme="minorHAnsi" w:hAnsiTheme="minorHAnsi" w:cstheme="minorHAnsi"/>
                <w:i/>
                <w:sz w:val="22"/>
                <w:szCs w:val="22"/>
                <w:lang w:eastAsia="en-US"/>
              </w:rPr>
              <w:t>in the context of the preparatory phase</w:t>
            </w:r>
            <w:r w:rsidRPr="0095576B">
              <w:rPr>
                <w:rFonts w:asciiTheme="minorHAnsi" w:hAnsiTheme="minorHAnsi" w:cstheme="minorHAnsi"/>
                <w:sz w:val="22"/>
                <w:szCs w:val="22"/>
                <w:lang w:eastAsia="en-US"/>
              </w:rPr>
              <w:t>, the Matching Adjustment is to be applied as a parallel shift to the entire basic risk-free term structure.</w:t>
            </w:r>
          </w:p>
          <w:p w:rsidR="004A7657" w:rsidRPr="0095576B" w:rsidRDefault="0095576B" w:rsidP="0095576B">
            <w:pPr>
              <w:jc w:val="both"/>
              <w:rPr>
                <w:rFonts w:asciiTheme="minorHAnsi" w:hAnsiTheme="minorHAnsi" w:cstheme="minorHAnsi"/>
                <w:sz w:val="22"/>
                <w:szCs w:val="22"/>
                <w:lang w:eastAsia="en-US"/>
              </w:rPr>
            </w:pPr>
            <w:r>
              <w:rPr>
                <w:rFonts w:asciiTheme="minorHAnsi" w:hAnsiTheme="minorHAnsi" w:cstheme="minorHAnsi"/>
                <w:sz w:val="22"/>
                <w:szCs w:val="22"/>
                <w:lang w:eastAsia="en-US"/>
              </w:rPr>
              <w:t>It should be clarified that this</w:t>
            </w:r>
            <w:r w:rsidR="004A7657" w:rsidRPr="0095576B">
              <w:rPr>
                <w:rFonts w:asciiTheme="minorHAnsi" w:hAnsiTheme="minorHAnsi" w:cstheme="minorHAnsi"/>
                <w:sz w:val="22"/>
                <w:szCs w:val="22"/>
                <w:lang w:eastAsia="en-US"/>
              </w:rPr>
              <w:t xml:space="preserve"> assumption </w:t>
            </w:r>
            <w:r>
              <w:rPr>
                <w:rFonts w:asciiTheme="minorHAnsi" w:hAnsiTheme="minorHAnsi" w:cstheme="minorHAnsi"/>
                <w:sz w:val="22"/>
                <w:szCs w:val="22"/>
                <w:lang w:eastAsia="en-US"/>
              </w:rPr>
              <w:t>will not only apply during t</w:t>
            </w:r>
            <w:r w:rsidR="004A7657" w:rsidRPr="0095576B">
              <w:rPr>
                <w:rFonts w:asciiTheme="minorHAnsi" w:hAnsiTheme="minorHAnsi" w:cstheme="minorHAnsi"/>
                <w:sz w:val="22"/>
                <w:szCs w:val="22"/>
                <w:lang w:eastAsia="en-US"/>
              </w:rPr>
              <w:t xml:space="preserve">he preparatory phase. </w:t>
            </w:r>
            <w:r>
              <w:rPr>
                <w:rFonts w:asciiTheme="minorHAnsi" w:hAnsiTheme="minorHAnsi" w:cstheme="minorHAnsi"/>
                <w:sz w:val="22"/>
                <w:szCs w:val="22"/>
                <w:lang w:eastAsia="en-US"/>
              </w:rPr>
              <w:t>For this</w:t>
            </w:r>
            <w:r w:rsidR="004A7657" w:rsidRPr="0095576B">
              <w:rPr>
                <w:rFonts w:asciiTheme="minorHAnsi" w:hAnsiTheme="minorHAnsi" w:cstheme="minorHAnsi"/>
                <w:sz w:val="22"/>
                <w:szCs w:val="22"/>
                <w:lang w:eastAsia="en-US"/>
              </w:rPr>
              <w:t xml:space="preserve"> reason,</w:t>
            </w:r>
            <w:r>
              <w:rPr>
                <w:rFonts w:asciiTheme="minorHAnsi" w:hAnsiTheme="minorHAnsi" w:cstheme="minorHAnsi"/>
                <w:sz w:val="22"/>
                <w:szCs w:val="22"/>
                <w:lang w:eastAsia="en-US"/>
              </w:rPr>
              <w:t xml:space="preserve"> </w:t>
            </w:r>
            <w:r w:rsidRPr="0095576B">
              <w:rPr>
                <w:rFonts w:asciiTheme="minorHAnsi" w:hAnsiTheme="minorHAnsi" w:cstheme="minorHAnsi"/>
                <w:sz w:val="22"/>
                <w:szCs w:val="22"/>
                <w:lang w:eastAsia="en-US"/>
              </w:rPr>
              <w:t>“</w:t>
            </w:r>
            <w:r w:rsidR="004A7657" w:rsidRPr="0095576B">
              <w:rPr>
                <w:rFonts w:asciiTheme="minorHAnsi" w:hAnsiTheme="minorHAnsi" w:cstheme="minorHAnsi"/>
                <w:i/>
                <w:sz w:val="22"/>
                <w:szCs w:val="22"/>
                <w:lang w:eastAsia="en-US"/>
              </w:rPr>
              <w:t>in the context of the preparatory phase</w:t>
            </w:r>
            <w:r w:rsidRPr="0095576B">
              <w:rPr>
                <w:rFonts w:asciiTheme="minorHAnsi" w:hAnsiTheme="minorHAnsi" w:cstheme="minorHAnsi"/>
                <w:i/>
                <w:sz w:val="22"/>
                <w:szCs w:val="22"/>
                <w:lang w:eastAsia="en-US"/>
              </w:rPr>
              <w:t>”</w:t>
            </w:r>
            <w:r w:rsidR="004A7657" w:rsidRPr="0095576B">
              <w:rPr>
                <w:rFonts w:asciiTheme="minorHAnsi" w:hAnsiTheme="minorHAnsi" w:cstheme="minorHAnsi"/>
                <w:b/>
                <w:i/>
                <w:sz w:val="22"/>
                <w:szCs w:val="22"/>
                <w:lang w:eastAsia="en-US"/>
              </w:rPr>
              <w:t xml:space="preserve"> </w:t>
            </w:r>
            <w:r w:rsidR="004A7657" w:rsidRPr="0095576B">
              <w:rPr>
                <w:rFonts w:asciiTheme="minorHAnsi" w:hAnsiTheme="minorHAnsi" w:cstheme="minorHAnsi"/>
                <w:i/>
                <w:sz w:val="22"/>
                <w:szCs w:val="22"/>
                <w:lang w:eastAsia="en-US"/>
              </w:rPr>
              <w:t>should be deleted</w:t>
            </w:r>
          </w:p>
        </w:tc>
        <w:tc>
          <w:tcPr>
            <w:tcW w:w="4914" w:type="dxa"/>
            <w:shd w:val="clear" w:color="auto" w:fill="auto"/>
          </w:tcPr>
          <w:p w:rsidR="004A7657" w:rsidRPr="0095576B" w:rsidRDefault="004A7657" w:rsidP="00F52489">
            <w:pPr>
              <w:rPr>
                <w:rFonts w:asciiTheme="minorHAnsi" w:hAnsiTheme="minorHAnsi" w:cstheme="minorHAnsi"/>
                <w:sz w:val="22"/>
                <w:szCs w:val="22"/>
                <w:lang w:eastAsia="en-US"/>
              </w:rPr>
            </w:pPr>
          </w:p>
        </w:tc>
      </w:tr>
      <w:tr w:rsidR="00891798" w:rsidRPr="0095576B" w:rsidTr="009D3D97">
        <w:trPr>
          <w:trHeight w:val="741"/>
        </w:trPr>
        <w:tc>
          <w:tcPr>
            <w:tcW w:w="1823" w:type="dxa"/>
            <w:shd w:val="clear" w:color="auto" w:fill="auto"/>
          </w:tcPr>
          <w:p w:rsidR="004A7657" w:rsidRPr="0095576B" w:rsidRDefault="004A7657" w:rsidP="00D81BC4">
            <w:pPr>
              <w:rPr>
                <w:rFonts w:asciiTheme="minorHAnsi" w:hAnsiTheme="minorHAnsi" w:cstheme="minorHAnsi"/>
                <w:sz w:val="22"/>
                <w:szCs w:val="22"/>
                <w:lang w:val="de-AT" w:eastAsia="en-US"/>
              </w:rPr>
            </w:pPr>
            <w:r w:rsidRPr="0095576B">
              <w:rPr>
                <w:rFonts w:asciiTheme="minorHAnsi" w:hAnsiTheme="minorHAnsi" w:cstheme="minorHAnsi"/>
                <w:sz w:val="22"/>
                <w:szCs w:val="22"/>
                <w:lang w:val="de-AT" w:eastAsia="en-US"/>
              </w:rPr>
              <w:t>1.5</w:t>
            </w:r>
          </w:p>
        </w:tc>
        <w:tc>
          <w:tcPr>
            <w:tcW w:w="1687" w:type="dxa"/>
            <w:shd w:val="clear" w:color="auto" w:fill="auto"/>
          </w:tcPr>
          <w:p w:rsidR="004A7657" w:rsidRPr="0095576B" w:rsidRDefault="004A7657" w:rsidP="00D81BC4">
            <w:pPr>
              <w:rPr>
                <w:rFonts w:asciiTheme="minorHAnsi" w:hAnsiTheme="minorHAnsi" w:cstheme="minorHAnsi"/>
                <w:sz w:val="22"/>
                <w:szCs w:val="22"/>
                <w:lang w:val="de-AT" w:eastAsia="en-US"/>
              </w:rPr>
            </w:pPr>
            <w:r w:rsidRPr="0095576B">
              <w:rPr>
                <w:rFonts w:asciiTheme="minorHAnsi" w:hAnsiTheme="minorHAnsi" w:cstheme="minorHAnsi"/>
                <w:sz w:val="22"/>
                <w:szCs w:val="22"/>
                <w:lang w:val="de-AT" w:eastAsia="en-US"/>
              </w:rPr>
              <w:t>Matching adjustment</w:t>
            </w:r>
          </w:p>
        </w:tc>
        <w:tc>
          <w:tcPr>
            <w:tcW w:w="6001" w:type="dxa"/>
            <w:shd w:val="clear" w:color="auto" w:fill="auto"/>
          </w:tcPr>
          <w:p w:rsidR="00C40528" w:rsidRDefault="00C40528" w:rsidP="00C40528">
            <w:pPr>
              <w:jc w:val="both"/>
              <w:rPr>
                <w:rFonts w:asciiTheme="minorHAnsi" w:hAnsiTheme="minorHAnsi" w:cstheme="minorHAnsi"/>
                <w:sz w:val="22"/>
                <w:szCs w:val="22"/>
                <w:lang w:eastAsia="en-US"/>
              </w:rPr>
            </w:pPr>
            <w:r w:rsidRPr="00C40528">
              <w:rPr>
                <w:rFonts w:asciiTheme="minorHAnsi" w:hAnsiTheme="minorHAnsi" w:cstheme="minorHAnsi"/>
                <w:sz w:val="22"/>
                <w:szCs w:val="22"/>
                <w:lang w:eastAsia="en-US"/>
              </w:rPr>
              <w:t xml:space="preserve">It is stated </w:t>
            </w:r>
            <w:r w:rsidR="004A7657" w:rsidRPr="0095576B">
              <w:rPr>
                <w:rFonts w:asciiTheme="minorHAnsi" w:hAnsiTheme="minorHAnsi" w:cstheme="minorHAnsi"/>
                <w:sz w:val="22"/>
                <w:szCs w:val="22"/>
                <w:lang w:eastAsia="en-US"/>
              </w:rPr>
              <w:t xml:space="preserve">that </w:t>
            </w:r>
            <w:r w:rsidR="004A7657" w:rsidRPr="00C40528">
              <w:rPr>
                <w:rFonts w:asciiTheme="minorHAnsi" w:hAnsiTheme="minorHAnsi" w:cstheme="minorHAnsi"/>
                <w:i/>
                <w:sz w:val="22"/>
                <w:szCs w:val="22"/>
                <w:lang w:eastAsia="en-US"/>
              </w:rPr>
              <w:t>"different Matching Adjustment amounts might apply to different portfolios of liabilities“.</w:t>
            </w:r>
            <w:r w:rsidR="004A7657" w:rsidRPr="0095576B">
              <w:rPr>
                <w:rFonts w:asciiTheme="minorHAnsi" w:hAnsiTheme="minorHAnsi" w:cstheme="minorHAnsi"/>
                <w:sz w:val="22"/>
                <w:szCs w:val="22"/>
                <w:lang w:eastAsia="en-US"/>
              </w:rPr>
              <w:t xml:space="preserve"> </w:t>
            </w:r>
          </w:p>
          <w:p w:rsidR="004A7657" w:rsidRPr="00C40528" w:rsidRDefault="00C40528" w:rsidP="00C40528">
            <w:pPr>
              <w:jc w:val="both"/>
              <w:rPr>
                <w:rFonts w:asciiTheme="minorHAnsi" w:hAnsiTheme="minorHAnsi" w:cstheme="minorHAnsi"/>
                <w:sz w:val="22"/>
                <w:szCs w:val="22"/>
                <w:lang w:eastAsia="en-US"/>
              </w:rPr>
            </w:pPr>
            <w:r>
              <w:rPr>
                <w:rFonts w:asciiTheme="minorHAnsi" w:hAnsiTheme="minorHAnsi" w:cstheme="minorHAnsi"/>
                <w:sz w:val="22"/>
                <w:szCs w:val="22"/>
                <w:lang w:eastAsia="en-US"/>
              </w:rPr>
              <w:lastRenderedPageBreak/>
              <w:t xml:space="preserve">We assume this refers to the fact that the Matching Adjustment is entity-specific, in line with Article 77c(1) of the Framework Directive. However, the sentence is somehow confusing whereas the Directive </w:t>
            </w:r>
            <w:r w:rsidR="004A7657" w:rsidRPr="0095576B">
              <w:rPr>
                <w:rFonts w:asciiTheme="minorHAnsi" w:hAnsiTheme="minorHAnsi" w:cstheme="minorHAnsi"/>
                <w:sz w:val="22"/>
                <w:szCs w:val="22"/>
                <w:lang w:eastAsia="en-US"/>
              </w:rPr>
              <w:t xml:space="preserve">can only be understood as considering all the products to which the matching adjustment is to be applied as a single portfolio of </w:t>
            </w:r>
            <w:r>
              <w:rPr>
                <w:rFonts w:asciiTheme="minorHAnsi" w:hAnsiTheme="minorHAnsi" w:cstheme="minorHAnsi"/>
                <w:sz w:val="22"/>
                <w:szCs w:val="22"/>
                <w:lang w:eastAsia="en-US"/>
              </w:rPr>
              <w:t>(re)</w:t>
            </w:r>
            <w:r w:rsidR="004A7657" w:rsidRPr="0095576B">
              <w:rPr>
                <w:rFonts w:asciiTheme="minorHAnsi" w:hAnsiTheme="minorHAnsi" w:cstheme="minorHAnsi"/>
                <w:sz w:val="22"/>
                <w:szCs w:val="22"/>
                <w:lang w:eastAsia="en-US"/>
              </w:rPr>
              <w:t>insurance obligations</w:t>
            </w:r>
            <w:r>
              <w:rPr>
                <w:rFonts w:asciiTheme="minorHAnsi" w:hAnsiTheme="minorHAnsi" w:cstheme="minorHAnsi"/>
                <w:sz w:val="22"/>
                <w:szCs w:val="22"/>
                <w:lang w:eastAsia="en-US"/>
              </w:rPr>
              <w:t xml:space="preserve"> for a given undertaking. This should be clarified in the TS.</w:t>
            </w:r>
          </w:p>
        </w:tc>
        <w:tc>
          <w:tcPr>
            <w:tcW w:w="4914" w:type="dxa"/>
            <w:shd w:val="clear" w:color="auto" w:fill="auto"/>
          </w:tcPr>
          <w:p w:rsidR="004A7657" w:rsidRPr="0095576B" w:rsidRDefault="004A7657" w:rsidP="00F52489">
            <w:pPr>
              <w:rPr>
                <w:rFonts w:asciiTheme="minorHAnsi" w:hAnsiTheme="minorHAnsi" w:cstheme="minorHAnsi"/>
                <w:sz w:val="22"/>
                <w:szCs w:val="22"/>
                <w:lang w:eastAsia="en-US"/>
              </w:rPr>
            </w:pPr>
          </w:p>
        </w:tc>
      </w:tr>
      <w:tr w:rsidR="00BF5E93" w:rsidRPr="0095576B" w:rsidTr="009D3D97">
        <w:trPr>
          <w:trHeight w:val="741"/>
        </w:trPr>
        <w:tc>
          <w:tcPr>
            <w:tcW w:w="1823" w:type="dxa"/>
            <w:shd w:val="clear" w:color="auto" w:fill="auto"/>
          </w:tcPr>
          <w:p w:rsidR="00F61CFF" w:rsidRPr="0095576B" w:rsidRDefault="00F61CFF" w:rsidP="00F52489">
            <w:pPr>
              <w:rPr>
                <w:rFonts w:asciiTheme="minorHAnsi" w:hAnsiTheme="minorHAnsi" w:cstheme="minorHAnsi"/>
                <w:sz w:val="22"/>
                <w:szCs w:val="22"/>
                <w:lang w:val="de-AT" w:eastAsia="en-US"/>
              </w:rPr>
            </w:pPr>
            <w:r w:rsidRPr="0095576B">
              <w:rPr>
                <w:rFonts w:asciiTheme="minorHAnsi" w:hAnsiTheme="minorHAnsi" w:cstheme="minorHAnsi"/>
                <w:sz w:val="22"/>
                <w:szCs w:val="22"/>
                <w:lang w:val="de-AT" w:eastAsia="en-US"/>
              </w:rPr>
              <w:lastRenderedPageBreak/>
              <w:t>1.5.4</w:t>
            </w:r>
          </w:p>
        </w:tc>
        <w:tc>
          <w:tcPr>
            <w:tcW w:w="1687" w:type="dxa"/>
            <w:shd w:val="clear" w:color="auto" w:fill="auto"/>
          </w:tcPr>
          <w:p w:rsidR="00F61CFF" w:rsidRPr="0095576B" w:rsidRDefault="00C40528" w:rsidP="00F52489">
            <w:pPr>
              <w:rPr>
                <w:rFonts w:asciiTheme="minorHAnsi" w:hAnsiTheme="minorHAnsi" w:cstheme="minorHAnsi"/>
                <w:sz w:val="22"/>
                <w:szCs w:val="22"/>
                <w:lang w:eastAsia="en-US"/>
              </w:rPr>
            </w:pPr>
            <w:r>
              <w:rPr>
                <w:rFonts w:asciiTheme="minorHAnsi" w:hAnsiTheme="minorHAnsi" w:cstheme="minorHAnsi"/>
                <w:sz w:val="22"/>
                <w:szCs w:val="22"/>
                <w:lang w:eastAsia="en-US"/>
              </w:rPr>
              <w:t xml:space="preserve">Matching Adjustment  - </w:t>
            </w:r>
            <w:r w:rsidR="00F61CFF" w:rsidRPr="0095576B">
              <w:rPr>
                <w:rFonts w:asciiTheme="minorHAnsi" w:hAnsiTheme="minorHAnsi" w:cstheme="minorHAnsi"/>
                <w:sz w:val="22"/>
                <w:szCs w:val="22"/>
                <w:lang w:eastAsia="en-US"/>
              </w:rPr>
              <w:t>Adjustments to Own Funds &amp; SCR</w:t>
            </w:r>
          </w:p>
        </w:tc>
        <w:tc>
          <w:tcPr>
            <w:tcW w:w="6001" w:type="dxa"/>
            <w:shd w:val="clear" w:color="auto" w:fill="auto"/>
          </w:tcPr>
          <w:p w:rsidR="00F61CFF" w:rsidRDefault="00F61CFF" w:rsidP="0095576B">
            <w:pPr>
              <w:jc w:val="both"/>
              <w:rPr>
                <w:rFonts w:asciiTheme="minorHAnsi" w:hAnsiTheme="minorHAnsi" w:cstheme="minorHAnsi"/>
                <w:sz w:val="22"/>
                <w:szCs w:val="22"/>
                <w:lang w:eastAsia="en-US"/>
              </w:rPr>
            </w:pPr>
            <w:r w:rsidRPr="0095576B">
              <w:rPr>
                <w:rFonts w:asciiTheme="minorHAnsi" w:hAnsiTheme="minorHAnsi" w:cstheme="minorHAnsi"/>
                <w:sz w:val="22"/>
                <w:szCs w:val="22"/>
                <w:lang w:eastAsia="en-US"/>
              </w:rPr>
              <w:t>The paragraph presumes that is reduced transferability and scope for diversification between the assigned portfolio for the Matching Adjustment and the remainder of the undertaking.</w:t>
            </w:r>
          </w:p>
          <w:p w:rsidR="00C40528" w:rsidRPr="0095576B" w:rsidRDefault="00C40528" w:rsidP="0095576B">
            <w:pPr>
              <w:jc w:val="both"/>
              <w:rPr>
                <w:rFonts w:asciiTheme="minorHAnsi" w:hAnsiTheme="minorHAnsi" w:cstheme="minorHAnsi"/>
                <w:sz w:val="22"/>
                <w:szCs w:val="22"/>
                <w:lang w:eastAsia="en-US"/>
              </w:rPr>
            </w:pPr>
            <w:r w:rsidRPr="0095576B">
              <w:rPr>
                <w:rFonts w:asciiTheme="minorHAnsi" w:hAnsiTheme="minorHAnsi" w:cstheme="minorHAnsi"/>
                <w:sz w:val="22"/>
                <w:szCs w:val="22"/>
                <w:lang w:eastAsia="en-US"/>
              </w:rPr>
              <w:t>The wording should be amended by insertion of “where relevant”</w:t>
            </w:r>
          </w:p>
        </w:tc>
        <w:tc>
          <w:tcPr>
            <w:tcW w:w="4914" w:type="dxa"/>
            <w:shd w:val="clear" w:color="auto" w:fill="auto"/>
          </w:tcPr>
          <w:p w:rsidR="00F61CFF" w:rsidRPr="0095576B" w:rsidRDefault="00F61CFF" w:rsidP="00F52489">
            <w:pPr>
              <w:rPr>
                <w:rFonts w:asciiTheme="minorHAnsi" w:hAnsiTheme="minorHAnsi" w:cstheme="minorHAnsi"/>
                <w:sz w:val="22"/>
                <w:szCs w:val="22"/>
                <w:lang w:eastAsia="en-US"/>
              </w:rPr>
            </w:pPr>
          </w:p>
        </w:tc>
      </w:tr>
      <w:tr w:rsidR="00BF5E93" w:rsidRPr="0095576B" w:rsidTr="009D3D97">
        <w:trPr>
          <w:trHeight w:val="741"/>
        </w:trPr>
        <w:tc>
          <w:tcPr>
            <w:tcW w:w="1823" w:type="dxa"/>
            <w:shd w:val="clear" w:color="auto" w:fill="auto"/>
          </w:tcPr>
          <w:p w:rsidR="00F61CFF" w:rsidRPr="0095576B" w:rsidRDefault="00F61CFF" w:rsidP="00B56298">
            <w:pPr>
              <w:rPr>
                <w:rFonts w:asciiTheme="minorHAnsi" w:hAnsiTheme="minorHAnsi" w:cstheme="minorHAnsi"/>
                <w:b/>
                <w:bCs/>
                <w:color w:val="000000"/>
                <w:sz w:val="22"/>
                <w:szCs w:val="22"/>
              </w:rPr>
            </w:pPr>
            <w:r w:rsidRPr="0095576B">
              <w:rPr>
                <w:rFonts w:asciiTheme="minorHAnsi" w:hAnsiTheme="minorHAnsi" w:cstheme="minorHAnsi"/>
                <w:sz w:val="22"/>
                <w:szCs w:val="22"/>
                <w:lang w:val="de-AT" w:eastAsia="en-US"/>
              </w:rPr>
              <w:t>1.5.5.3</w:t>
            </w:r>
          </w:p>
        </w:tc>
        <w:tc>
          <w:tcPr>
            <w:tcW w:w="1687" w:type="dxa"/>
            <w:shd w:val="clear" w:color="auto" w:fill="auto"/>
          </w:tcPr>
          <w:p w:rsidR="00F61CFF" w:rsidRPr="0095576B" w:rsidRDefault="00F61CFF" w:rsidP="00B56298">
            <w:pPr>
              <w:rPr>
                <w:rFonts w:asciiTheme="minorHAnsi" w:hAnsiTheme="minorHAnsi" w:cstheme="minorHAnsi"/>
                <w:sz w:val="22"/>
                <w:szCs w:val="22"/>
                <w:lang w:val="de-AT" w:eastAsia="en-US"/>
              </w:rPr>
            </w:pPr>
            <w:r w:rsidRPr="0095576B">
              <w:rPr>
                <w:rFonts w:asciiTheme="minorHAnsi" w:hAnsiTheme="minorHAnsi" w:cstheme="minorHAnsi"/>
                <w:sz w:val="22"/>
                <w:szCs w:val="22"/>
                <w:lang w:val="de-AT" w:eastAsia="en-US"/>
              </w:rPr>
              <w:t>Matching adjustment</w:t>
            </w:r>
            <w:r w:rsidR="00C40528">
              <w:rPr>
                <w:rFonts w:asciiTheme="minorHAnsi" w:hAnsiTheme="minorHAnsi" w:cstheme="minorHAnsi"/>
                <w:sz w:val="22"/>
                <w:szCs w:val="22"/>
                <w:lang w:val="de-AT" w:eastAsia="en-US"/>
              </w:rPr>
              <w:t xml:space="preserve"> - Calculation</w:t>
            </w:r>
          </w:p>
          <w:p w:rsidR="00F61CFF" w:rsidRPr="0095576B" w:rsidRDefault="00F61CFF" w:rsidP="00C81CB1">
            <w:pPr>
              <w:spacing w:before="120"/>
              <w:jc w:val="center"/>
              <w:rPr>
                <w:rFonts w:asciiTheme="minorHAnsi" w:hAnsiTheme="minorHAnsi" w:cstheme="minorHAnsi"/>
                <w:b/>
                <w:bCs/>
                <w:color w:val="000000"/>
                <w:sz w:val="22"/>
                <w:szCs w:val="22"/>
              </w:rPr>
            </w:pPr>
          </w:p>
        </w:tc>
        <w:tc>
          <w:tcPr>
            <w:tcW w:w="6001" w:type="dxa"/>
            <w:shd w:val="clear" w:color="auto" w:fill="auto"/>
          </w:tcPr>
          <w:p w:rsidR="00F61CFF" w:rsidRPr="0095576B" w:rsidRDefault="00F61CFF" w:rsidP="00C40528">
            <w:pPr>
              <w:jc w:val="both"/>
              <w:rPr>
                <w:rFonts w:asciiTheme="minorHAnsi" w:hAnsiTheme="minorHAnsi" w:cstheme="minorHAnsi"/>
                <w:b/>
                <w:bCs/>
                <w:color w:val="000000"/>
                <w:sz w:val="22"/>
                <w:szCs w:val="22"/>
              </w:rPr>
            </w:pPr>
            <w:r w:rsidRPr="0095576B">
              <w:rPr>
                <w:rFonts w:asciiTheme="minorHAnsi" w:hAnsiTheme="minorHAnsi" w:cstheme="minorHAnsi"/>
                <w:sz w:val="22"/>
                <w:szCs w:val="22"/>
                <w:lang w:eastAsia="en-US"/>
              </w:rPr>
              <w:t xml:space="preserve">Paragraph 1.5.5.3 specifies that asset cashflows used for the purpose of the calculation set out in paragraph 1.5.5.1(a)(i) should be risk corrected in line with the fundamental spread including a 30% recovery rate.  However, as the calculation in 1.5.5.1(a)(i) is based on liability cashflows it is not immediately clear what this adjustment is used for.  </w:t>
            </w:r>
          </w:p>
        </w:tc>
        <w:tc>
          <w:tcPr>
            <w:tcW w:w="4914" w:type="dxa"/>
            <w:shd w:val="clear" w:color="auto" w:fill="auto"/>
          </w:tcPr>
          <w:p w:rsidR="00F61CFF" w:rsidRPr="0095576B" w:rsidRDefault="00F61CFF" w:rsidP="00C81CB1">
            <w:pPr>
              <w:spacing w:before="120"/>
              <w:jc w:val="center"/>
              <w:rPr>
                <w:rFonts w:asciiTheme="minorHAnsi" w:hAnsiTheme="minorHAnsi" w:cstheme="minorHAnsi"/>
                <w:b/>
                <w:bCs/>
                <w:color w:val="000000"/>
                <w:sz w:val="22"/>
                <w:szCs w:val="22"/>
              </w:rPr>
            </w:pPr>
          </w:p>
        </w:tc>
      </w:tr>
      <w:tr w:rsidR="00BF5E93" w:rsidRPr="0095576B" w:rsidTr="00747F36">
        <w:trPr>
          <w:trHeight w:val="741"/>
        </w:trPr>
        <w:tc>
          <w:tcPr>
            <w:tcW w:w="1823" w:type="dxa"/>
            <w:shd w:val="clear" w:color="auto" w:fill="auto"/>
          </w:tcPr>
          <w:p w:rsidR="00747F36" w:rsidRPr="0095576B" w:rsidRDefault="00747F36" w:rsidP="009D3D97">
            <w:pPr>
              <w:rPr>
                <w:rFonts w:asciiTheme="minorHAnsi" w:hAnsiTheme="minorHAnsi" w:cstheme="minorHAnsi"/>
                <w:sz w:val="22"/>
                <w:szCs w:val="22"/>
                <w:lang w:val="de-AT" w:eastAsia="en-US"/>
              </w:rPr>
            </w:pPr>
            <w:r w:rsidRPr="0095576B">
              <w:rPr>
                <w:rFonts w:asciiTheme="minorHAnsi" w:hAnsiTheme="minorHAnsi" w:cstheme="minorHAnsi"/>
                <w:sz w:val="22"/>
                <w:szCs w:val="22"/>
                <w:lang w:val="de-AT" w:eastAsia="en-US"/>
              </w:rPr>
              <w:t>1.5.5.3</w:t>
            </w:r>
          </w:p>
        </w:tc>
        <w:tc>
          <w:tcPr>
            <w:tcW w:w="1687" w:type="dxa"/>
            <w:shd w:val="clear" w:color="auto" w:fill="auto"/>
          </w:tcPr>
          <w:p w:rsidR="00C40528" w:rsidRPr="0095576B" w:rsidRDefault="00C40528" w:rsidP="00C40528">
            <w:pPr>
              <w:rPr>
                <w:rFonts w:asciiTheme="minorHAnsi" w:hAnsiTheme="minorHAnsi" w:cstheme="minorHAnsi"/>
                <w:sz w:val="22"/>
                <w:szCs w:val="22"/>
                <w:lang w:val="de-AT" w:eastAsia="en-US"/>
              </w:rPr>
            </w:pPr>
            <w:r w:rsidRPr="0095576B">
              <w:rPr>
                <w:rFonts w:asciiTheme="minorHAnsi" w:hAnsiTheme="minorHAnsi" w:cstheme="minorHAnsi"/>
                <w:sz w:val="22"/>
                <w:szCs w:val="22"/>
                <w:lang w:val="de-AT" w:eastAsia="en-US"/>
              </w:rPr>
              <w:t>Matching adjustment</w:t>
            </w:r>
            <w:r>
              <w:rPr>
                <w:rFonts w:asciiTheme="minorHAnsi" w:hAnsiTheme="minorHAnsi" w:cstheme="minorHAnsi"/>
                <w:sz w:val="22"/>
                <w:szCs w:val="22"/>
                <w:lang w:val="de-AT" w:eastAsia="en-US"/>
              </w:rPr>
              <w:t xml:space="preserve"> - Calculation</w:t>
            </w:r>
          </w:p>
          <w:p w:rsidR="00747F36" w:rsidRPr="0095576B" w:rsidRDefault="00747F36" w:rsidP="009D3D97">
            <w:pPr>
              <w:rPr>
                <w:rFonts w:asciiTheme="minorHAnsi" w:hAnsiTheme="minorHAnsi" w:cstheme="minorHAnsi"/>
                <w:sz w:val="22"/>
                <w:szCs w:val="22"/>
                <w:lang w:val="de-AT" w:eastAsia="en-US"/>
              </w:rPr>
            </w:pPr>
          </w:p>
        </w:tc>
        <w:tc>
          <w:tcPr>
            <w:tcW w:w="6001" w:type="dxa"/>
            <w:shd w:val="clear" w:color="auto" w:fill="auto"/>
          </w:tcPr>
          <w:p w:rsidR="00C40528" w:rsidRDefault="002D383A" w:rsidP="00C40528">
            <w:pPr>
              <w:jc w:val="both"/>
              <w:rPr>
                <w:rFonts w:asciiTheme="minorHAnsi" w:hAnsiTheme="minorHAnsi" w:cstheme="minorHAnsi"/>
                <w:i/>
                <w:sz w:val="22"/>
                <w:szCs w:val="22"/>
                <w:lang w:eastAsia="en-US"/>
              </w:rPr>
            </w:pPr>
            <w:r w:rsidRPr="00C40528">
              <w:rPr>
                <w:rFonts w:asciiTheme="minorHAnsi" w:hAnsiTheme="minorHAnsi" w:cstheme="minorHAnsi"/>
                <w:sz w:val="22"/>
                <w:szCs w:val="22"/>
                <w:lang w:eastAsia="en-US"/>
              </w:rPr>
              <w:t>This should be further clarified and aligned with the last version of the draft D</w:t>
            </w:r>
            <w:r w:rsidR="00C40528">
              <w:rPr>
                <w:rFonts w:asciiTheme="minorHAnsi" w:hAnsiTheme="minorHAnsi" w:cstheme="minorHAnsi"/>
                <w:sz w:val="22"/>
                <w:szCs w:val="22"/>
                <w:lang w:eastAsia="en-US"/>
              </w:rPr>
              <w:t>A</w:t>
            </w:r>
            <w:r w:rsidRPr="00C40528">
              <w:rPr>
                <w:rFonts w:asciiTheme="minorHAnsi" w:hAnsiTheme="minorHAnsi" w:cstheme="minorHAnsi"/>
                <w:sz w:val="22"/>
                <w:szCs w:val="22"/>
                <w:lang w:eastAsia="en-US"/>
              </w:rPr>
              <w:t>s</w:t>
            </w:r>
            <w:r w:rsidR="00C40528">
              <w:rPr>
                <w:rFonts w:asciiTheme="minorHAnsi" w:hAnsiTheme="minorHAnsi" w:cstheme="minorHAnsi"/>
                <w:sz w:val="22"/>
                <w:szCs w:val="22"/>
                <w:lang w:eastAsia="en-US"/>
              </w:rPr>
              <w:t xml:space="preserve">, where </w:t>
            </w:r>
            <w:r w:rsidRPr="00C40528">
              <w:rPr>
                <w:rFonts w:asciiTheme="minorHAnsi" w:hAnsiTheme="minorHAnsi" w:cstheme="minorHAnsi"/>
                <w:sz w:val="22"/>
                <w:szCs w:val="22"/>
                <w:lang w:eastAsia="en-US"/>
              </w:rPr>
              <w:t>Art</w:t>
            </w:r>
            <w:r w:rsidR="00C40528">
              <w:rPr>
                <w:rFonts w:asciiTheme="minorHAnsi" w:hAnsiTheme="minorHAnsi" w:cstheme="minorHAnsi"/>
                <w:sz w:val="22"/>
                <w:szCs w:val="22"/>
                <w:lang w:eastAsia="en-US"/>
              </w:rPr>
              <w:t xml:space="preserve">icle 42ter states that </w:t>
            </w:r>
            <w:r w:rsidRPr="0095576B">
              <w:rPr>
                <w:rFonts w:asciiTheme="minorHAnsi" w:hAnsiTheme="minorHAnsi" w:cstheme="minorHAnsi"/>
                <w:sz w:val="22"/>
                <w:szCs w:val="22"/>
                <w:lang w:eastAsia="en-US"/>
              </w:rPr>
              <w:t>“</w:t>
            </w:r>
            <w:r w:rsidRPr="00C40528">
              <w:rPr>
                <w:rFonts w:asciiTheme="minorHAnsi" w:hAnsiTheme="minorHAnsi" w:cstheme="minorHAnsi"/>
                <w:i/>
                <w:sz w:val="22"/>
                <w:szCs w:val="22"/>
                <w:lang w:eastAsia="en-US"/>
              </w:rPr>
              <w:t xml:space="preserve">The 'expected cash-flow' of an asset means the cash-flow of the asset adjusted to allow for the probability of default of the asset that corresponds to the element of the fundamental spread </w:t>
            </w:r>
            <w:r w:rsidR="00C40528">
              <w:rPr>
                <w:rFonts w:asciiTheme="minorHAnsi" w:hAnsiTheme="minorHAnsi" w:cstheme="minorHAnsi"/>
                <w:i/>
                <w:sz w:val="22"/>
                <w:szCs w:val="22"/>
                <w:lang w:eastAsia="en-US"/>
              </w:rPr>
              <w:t>[…]</w:t>
            </w:r>
            <w:r w:rsidRPr="00C40528">
              <w:rPr>
                <w:rFonts w:asciiTheme="minorHAnsi" w:hAnsiTheme="minorHAnsi" w:cstheme="minorHAnsi"/>
                <w:i/>
                <w:sz w:val="22"/>
                <w:szCs w:val="22"/>
                <w:lang w:eastAsia="en-US"/>
              </w:rPr>
              <w:t xml:space="preserve"> or, where no reliable credit spread can be derived from the default statistics, the portion of the long term average of the spread over the risk-free interest rate </w:t>
            </w:r>
            <w:r w:rsidR="00C40528">
              <w:rPr>
                <w:rFonts w:asciiTheme="minorHAnsi" w:hAnsiTheme="minorHAnsi" w:cstheme="minorHAnsi"/>
                <w:i/>
                <w:sz w:val="22"/>
                <w:szCs w:val="22"/>
                <w:lang w:eastAsia="en-US"/>
              </w:rPr>
              <w:t>[…]</w:t>
            </w:r>
            <w:r w:rsidRPr="00C40528">
              <w:rPr>
                <w:rFonts w:asciiTheme="minorHAnsi" w:hAnsiTheme="minorHAnsi" w:cstheme="minorHAnsi"/>
                <w:i/>
                <w:sz w:val="22"/>
                <w:szCs w:val="22"/>
                <w:lang w:eastAsia="en-US"/>
              </w:rPr>
              <w:t>.</w:t>
            </w:r>
            <w:r w:rsidR="00C40528" w:rsidRPr="00C40528">
              <w:rPr>
                <w:rFonts w:asciiTheme="minorHAnsi" w:hAnsiTheme="minorHAnsi" w:cstheme="minorHAnsi"/>
                <w:sz w:val="22"/>
                <w:szCs w:val="22"/>
                <w:lang w:eastAsia="en-US"/>
              </w:rPr>
              <w:t>”</w:t>
            </w:r>
          </w:p>
          <w:p w:rsidR="00747F36" w:rsidRPr="0095576B" w:rsidRDefault="00C40528" w:rsidP="00891798">
            <w:pPr>
              <w:jc w:val="both"/>
              <w:rPr>
                <w:rFonts w:asciiTheme="minorHAnsi" w:hAnsiTheme="minorHAnsi" w:cstheme="minorHAnsi"/>
                <w:sz w:val="22"/>
                <w:szCs w:val="22"/>
                <w:lang w:eastAsia="en-US"/>
              </w:rPr>
            </w:pPr>
            <w:r>
              <w:rPr>
                <w:rFonts w:asciiTheme="minorHAnsi" w:hAnsiTheme="minorHAnsi" w:cstheme="minorHAnsi"/>
                <w:sz w:val="22"/>
                <w:szCs w:val="22"/>
                <w:lang w:eastAsia="en-US"/>
              </w:rPr>
              <w:t>Then, to avoid a double-counting of the fundamental spread, this article adds that the “</w:t>
            </w:r>
            <w:r w:rsidR="002D383A" w:rsidRPr="00C40528">
              <w:rPr>
                <w:rFonts w:asciiTheme="minorHAnsi" w:hAnsiTheme="minorHAnsi" w:cstheme="minorHAnsi"/>
                <w:i/>
                <w:sz w:val="22"/>
                <w:szCs w:val="22"/>
                <w:lang w:eastAsia="en-US"/>
              </w:rPr>
              <w:t xml:space="preserve">deduction of the fundamental spread, referred to in Article 77c(1)(b), from the result of the calculation set out in Article 77c(1)(a), shall include only the portion of the </w:t>
            </w:r>
            <w:r w:rsidR="002D383A" w:rsidRPr="00C40528">
              <w:rPr>
                <w:rFonts w:asciiTheme="minorHAnsi" w:hAnsiTheme="minorHAnsi" w:cstheme="minorHAnsi"/>
                <w:i/>
                <w:sz w:val="22"/>
                <w:szCs w:val="22"/>
                <w:lang w:eastAsia="en-US"/>
              </w:rPr>
              <w:lastRenderedPageBreak/>
              <w:t xml:space="preserve">fundamental spread that has not already been allowed for by adjusting the cash-flows of the assigned portfolio of assets, as set out </w:t>
            </w:r>
            <w:r w:rsidRPr="00C40528">
              <w:rPr>
                <w:rFonts w:asciiTheme="minorHAnsi" w:hAnsiTheme="minorHAnsi" w:cstheme="minorHAnsi"/>
                <w:i/>
                <w:sz w:val="22"/>
                <w:szCs w:val="22"/>
                <w:lang w:eastAsia="en-US"/>
              </w:rPr>
              <w:t>[above]</w:t>
            </w:r>
            <w:r w:rsidR="002D383A" w:rsidRPr="00C40528">
              <w:rPr>
                <w:rFonts w:asciiTheme="minorHAnsi" w:hAnsiTheme="minorHAnsi" w:cstheme="minorHAnsi"/>
                <w:i/>
                <w:sz w:val="22"/>
                <w:szCs w:val="22"/>
                <w:lang w:eastAsia="en-US"/>
              </w:rPr>
              <w:t>.</w:t>
            </w:r>
            <w:r w:rsidR="002D383A" w:rsidRPr="0095576B">
              <w:rPr>
                <w:rFonts w:asciiTheme="minorHAnsi" w:hAnsiTheme="minorHAnsi" w:cstheme="minorHAnsi"/>
                <w:sz w:val="22"/>
                <w:szCs w:val="22"/>
                <w:lang w:eastAsia="en-US"/>
              </w:rPr>
              <w:t>”</w:t>
            </w:r>
          </w:p>
        </w:tc>
        <w:tc>
          <w:tcPr>
            <w:tcW w:w="4914" w:type="dxa"/>
            <w:shd w:val="clear" w:color="auto" w:fill="auto"/>
          </w:tcPr>
          <w:p w:rsidR="00747F36" w:rsidRPr="0095576B" w:rsidRDefault="00747F36" w:rsidP="009D3D97">
            <w:pPr>
              <w:rPr>
                <w:rFonts w:asciiTheme="minorHAnsi" w:hAnsiTheme="minorHAnsi" w:cstheme="minorHAnsi"/>
                <w:i/>
                <w:sz w:val="22"/>
                <w:szCs w:val="22"/>
                <w:highlight w:val="yellow"/>
                <w:lang w:eastAsia="en-US"/>
              </w:rPr>
            </w:pPr>
          </w:p>
        </w:tc>
      </w:tr>
      <w:tr w:rsidR="00BF5E93" w:rsidRPr="0095576B" w:rsidTr="006F7780">
        <w:trPr>
          <w:trHeight w:val="741"/>
        </w:trPr>
        <w:tc>
          <w:tcPr>
            <w:tcW w:w="1823" w:type="dxa"/>
            <w:shd w:val="clear" w:color="auto" w:fill="auto"/>
          </w:tcPr>
          <w:p w:rsidR="00F61CFF" w:rsidRPr="0095576B" w:rsidRDefault="00F61CFF" w:rsidP="00B56298">
            <w:pPr>
              <w:pStyle w:val="Default"/>
              <w:rPr>
                <w:rFonts w:asciiTheme="minorHAnsi" w:hAnsiTheme="minorHAnsi" w:cstheme="minorHAnsi"/>
                <w:sz w:val="22"/>
                <w:szCs w:val="22"/>
              </w:rPr>
            </w:pPr>
            <w:r w:rsidRPr="0095576B">
              <w:rPr>
                <w:rFonts w:asciiTheme="minorHAnsi" w:hAnsiTheme="minorHAnsi" w:cstheme="minorHAnsi"/>
                <w:sz w:val="22"/>
                <w:szCs w:val="22"/>
              </w:rPr>
              <w:lastRenderedPageBreak/>
              <w:t xml:space="preserve">1.5.6.2 </w:t>
            </w:r>
          </w:p>
          <w:p w:rsidR="00F61CFF" w:rsidRPr="0095576B" w:rsidRDefault="00F61CFF" w:rsidP="00B56298">
            <w:pPr>
              <w:rPr>
                <w:rFonts w:asciiTheme="minorHAnsi" w:hAnsiTheme="minorHAnsi" w:cstheme="minorHAnsi"/>
                <w:sz w:val="22"/>
                <w:szCs w:val="22"/>
                <w:lang w:val="de-AT" w:eastAsia="en-US"/>
              </w:rPr>
            </w:pPr>
          </w:p>
        </w:tc>
        <w:tc>
          <w:tcPr>
            <w:tcW w:w="1687" w:type="dxa"/>
            <w:shd w:val="clear" w:color="auto" w:fill="auto"/>
          </w:tcPr>
          <w:p w:rsidR="00F61CFF" w:rsidRPr="00FD133C" w:rsidRDefault="00F61CFF" w:rsidP="006F7780">
            <w:pPr>
              <w:rPr>
                <w:rFonts w:asciiTheme="minorHAnsi" w:hAnsiTheme="minorHAnsi" w:cstheme="minorHAnsi"/>
                <w:sz w:val="22"/>
                <w:szCs w:val="22"/>
                <w:lang w:eastAsia="en-US"/>
              </w:rPr>
            </w:pPr>
            <w:r w:rsidRPr="00FD133C">
              <w:rPr>
                <w:rFonts w:asciiTheme="minorHAnsi" w:hAnsiTheme="minorHAnsi" w:cstheme="minorHAnsi"/>
                <w:sz w:val="22"/>
                <w:szCs w:val="22"/>
                <w:lang w:eastAsia="en-US"/>
              </w:rPr>
              <w:t>Matching adjustment</w:t>
            </w:r>
            <w:r w:rsidR="00FD133C" w:rsidRPr="00FD133C">
              <w:rPr>
                <w:rFonts w:asciiTheme="minorHAnsi" w:hAnsiTheme="minorHAnsi" w:cstheme="minorHAnsi"/>
                <w:sz w:val="22"/>
                <w:szCs w:val="22"/>
                <w:lang w:eastAsia="en-US"/>
              </w:rPr>
              <w:t xml:space="preserve"> – Interaction with the SCR calculation</w:t>
            </w:r>
          </w:p>
          <w:p w:rsidR="00F61CFF" w:rsidRPr="0095576B" w:rsidRDefault="00F61CFF" w:rsidP="006F7780">
            <w:pPr>
              <w:rPr>
                <w:rFonts w:asciiTheme="minorHAnsi" w:hAnsiTheme="minorHAnsi" w:cstheme="minorHAnsi"/>
                <w:color w:val="000000"/>
                <w:sz w:val="22"/>
                <w:szCs w:val="22"/>
              </w:rPr>
            </w:pPr>
            <w:r w:rsidRPr="0095576B">
              <w:rPr>
                <w:rFonts w:asciiTheme="minorHAnsi" w:hAnsiTheme="minorHAnsi" w:cstheme="minorHAnsi"/>
                <w:color w:val="000000"/>
                <w:sz w:val="22"/>
                <w:szCs w:val="22"/>
              </w:rPr>
              <w:t> </w:t>
            </w:r>
          </w:p>
        </w:tc>
        <w:tc>
          <w:tcPr>
            <w:tcW w:w="6001" w:type="dxa"/>
            <w:shd w:val="clear" w:color="auto" w:fill="auto"/>
          </w:tcPr>
          <w:p w:rsidR="00F61CFF" w:rsidRPr="0095576B" w:rsidRDefault="00F61CFF" w:rsidP="0095576B">
            <w:pPr>
              <w:jc w:val="both"/>
              <w:rPr>
                <w:rFonts w:asciiTheme="minorHAnsi" w:hAnsiTheme="minorHAnsi" w:cstheme="minorHAnsi"/>
                <w:sz w:val="22"/>
                <w:szCs w:val="22"/>
                <w:lang w:eastAsia="en-US"/>
              </w:rPr>
            </w:pPr>
            <w:r w:rsidRPr="0095576B">
              <w:rPr>
                <w:rFonts w:asciiTheme="minorHAnsi" w:hAnsiTheme="minorHAnsi" w:cstheme="minorHAnsi"/>
                <w:sz w:val="22"/>
                <w:szCs w:val="22"/>
                <w:lang w:eastAsia="en-US"/>
              </w:rPr>
              <w:t>The application of the risk factor stresses to the fundamental spread to partially mitigate the impact of the Spread risk sub-module on portfolios applying the Matching Adjustment is inconsistent with the nature of the risk factor stresses.  These factors are determined as changes in spreads (and hence applied to the market value of assets in spread risk sub-module to determine the impact of the shocks on own funds).  As such, using the same factors to apply to the Fundamental Spreads in a multiplicative way is not appropriate.</w:t>
            </w:r>
          </w:p>
        </w:tc>
        <w:tc>
          <w:tcPr>
            <w:tcW w:w="4914" w:type="dxa"/>
            <w:shd w:val="clear" w:color="auto" w:fill="auto"/>
          </w:tcPr>
          <w:p w:rsidR="00F61CFF" w:rsidRPr="0095576B" w:rsidRDefault="00F61CFF" w:rsidP="00C81CB1">
            <w:pPr>
              <w:spacing w:before="120"/>
              <w:jc w:val="center"/>
              <w:rPr>
                <w:rFonts w:asciiTheme="minorHAnsi" w:hAnsiTheme="minorHAnsi" w:cstheme="minorHAnsi"/>
                <w:b/>
                <w:bCs/>
                <w:color w:val="000000"/>
                <w:sz w:val="22"/>
                <w:szCs w:val="22"/>
              </w:rPr>
            </w:pPr>
          </w:p>
        </w:tc>
      </w:tr>
      <w:tr w:rsidR="00891798" w:rsidRPr="0095576B" w:rsidTr="006F7780">
        <w:trPr>
          <w:trHeight w:val="741"/>
        </w:trPr>
        <w:tc>
          <w:tcPr>
            <w:tcW w:w="1823" w:type="dxa"/>
            <w:shd w:val="clear" w:color="auto" w:fill="auto"/>
          </w:tcPr>
          <w:p w:rsidR="00FE5D27" w:rsidRPr="00FD133C" w:rsidRDefault="00FE5D27" w:rsidP="00B56298">
            <w:pPr>
              <w:pStyle w:val="Default"/>
              <w:rPr>
                <w:rFonts w:asciiTheme="minorHAnsi" w:hAnsiTheme="minorHAnsi" w:cstheme="minorHAnsi"/>
                <w:sz w:val="22"/>
                <w:szCs w:val="22"/>
              </w:rPr>
            </w:pPr>
            <w:r w:rsidRPr="00FD133C">
              <w:rPr>
                <w:rFonts w:asciiTheme="minorHAnsi" w:hAnsiTheme="minorHAnsi" w:cstheme="minorHAnsi"/>
                <w:bCs/>
                <w:sz w:val="22"/>
                <w:szCs w:val="22"/>
              </w:rPr>
              <w:t>2.2</w:t>
            </w:r>
          </w:p>
        </w:tc>
        <w:tc>
          <w:tcPr>
            <w:tcW w:w="1687" w:type="dxa"/>
            <w:shd w:val="clear" w:color="auto" w:fill="auto"/>
          </w:tcPr>
          <w:p w:rsidR="00FE5D27" w:rsidRPr="0095576B" w:rsidRDefault="00FD133C" w:rsidP="006F7780">
            <w:pPr>
              <w:rPr>
                <w:rFonts w:asciiTheme="minorHAnsi" w:hAnsiTheme="minorHAnsi" w:cstheme="minorHAnsi"/>
                <w:sz w:val="22"/>
                <w:szCs w:val="22"/>
                <w:lang w:val="de-AT" w:eastAsia="en-US"/>
              </w:rPr>
            </w:pPr>
            <w:r>
              <w:rPr>
                <w:rFonts w:asciiTheme="minorHAnsi" w:hAnsiTheme="minorHAnsi" w:cstheme="minorHAnsi"/>
                <w:sz w:val="22"/>
                <w:szCs w:val="22"/>
                <w:lang w:val="de-AT" w:eastAsia="en-US"/>
              </w:rPr>
              <w:t>Transitional measures – Transitional deduction</w:t>
            </w:r>
          </w:p>
        </w:tc>
        <w:tc>
          <w:tcPr>
            <w:tcW w:w="6001" w:type="dxa"/>
            <w:shd w:val="clear" w:color="auto" w:fill="auto"/>
          </w:tcPr>
          <w:p w:rsidR="00FE5D27" w:rsidRPr="0095576B" w:rsidRDefault="00FE5D27" w:rsidP="0095576B">
            <w:pPr>
              <w:jc w:val="both"/>
              <w:rPr>
                <w:rFonts w:asciiTheme="minorHAnsi" w:hAnsiTheme="minorHAnsi" w:cstheme="minorHAnsi"/>
                <w:sz w:val="22"/>
                <w:szCs w:val="22"/>
                <w:lang w:eastAsia="en-US"/>
              </w:rPr>
            </w:pPr>
            <w:r w:rsidRPr="0095576B">
              <w:rPr>
                <w:rFonts w:asciiTheme="minorHAnsi" w:hAnsiTheme="minorHAnsi" w:cstheme="minorHAnsi"/>
                <w:bCs/>
                <w:color w:val="000000"/>
                <w:sz w:val="22"/>
                <w:szCs w:val="22"/>
              </w:rPr>
              <w:t>This requires some further clarification</w:t>
            </w:r>
            <w:r w:rsidR="00850326" w:rsidRPr="0095576B">
              <w:rPr>
                <w:rFonts w:asciiTheme="minorHAnsi" w:hAnsiTheme="minorHAnsi" w:cstheme="minorHAnsi"/>
                <w:bCs/>
                <w:color w:val="000000"/>
                <w:sz w:val="22"/>
                <w:szCs w:val="22"/>
              </w:rPr>
              <w:t xml:space="preserve"> since we assume that for the stress test</w:t>
            </w:r>
            <w:r w:rsidR="00FD133C">
              <w:rPr>
                <w:rFonts w:asciiTheme="minorHAnsi" w:hAnsiTheme="minorHAnsi" w:cstheme="minorHAnsi"/>
                <w:bCs/>
                <w:color w:val="000000"/>
                <w:sz w:val="22"/>
                <w:szCs w:val="22"/>
              </w:rPr>
              <w:t>,</w:t>
            </w:r>
            <w:r w:rsidR="00850326" w:rsidRPr="0095576B">
              <w:rPr>
                <w:rFonts w:asciiTheme="minorHAnsi" w:hAnsiTheme="minorHAnsi" w:cstheme="minorHAnsi"/>
                <w:bCs/>
                <w:color w:val="000000"/>
                <w:sz w:val="22"/>
                <w:szCs w:val="22"/>
              </w:rPr>
              <w:t xml:space="preserve"> information on the V</w:t>
            </w:r>
            <w:r w:rsidR="00FD133C">
              <w:rPr>
                <w:rFonts w:asciiTheme="minorHAnsi" w:hAnsiTheme="minorHAnsi" w:cstheme="minorHAnsi"/>
                <w:bCs/>
                <w:color w:val="000000"/>
                <w:sz w:val="22"/>
                <w:szCs w:val="22"/>
              </w:rPr>
              <w:t xml:space="preserve">olatility </w:t>
            </w:r>
            <w:r w:rsidR="00850326" w:rsidRPr="0095576B">
              <w:rPr>
                <w:rFonts w:asciiTheme="minorHAnsi" w:hAnsiTheme="minorHAnsi" w:cstheme="minorHAnsi"/>
                <w:bCs/>
                <w:color w:val="000000"/>
                <w:sz w:val="22"/>
                <w:szCs w:val="22"/>
              </w:rPr>
              <w:t>A</w:t>
            </w:r>
            <w:r w:rsidR="00FD133C">
              <w:rPr>
                <w:rFonts w:asciiTheme="minorHAnsi" w:hAnsiTheme="minorHAnsi" w:cstheme="minorHAnsi"/>
                <w:bCs/>
                <w:color w:val="000000"/>
                <w:sz w:val="22"/>
                <w:szCs w:val="22"/>
              </w:rPr>
              <w:t>djustment</w:t>
            </w:r>
            <w:r w:rsidR="00850326" w:rsidRPr="0095576B">
              <w:rPr>
                <w:rFonts w:asciiTheme="minorHAnsi" w:hAnsiTheme="minorHAnsi" w:cstheme="minorHAnsi"/>
                <w:bCs/>
                <w:color w:val="000000"/>
                <w:sz w:val="22"/>
                <w:szCs w:val="22"/>
              </w:rPr>
              <w:t xml:space="preserve"> will also be provided</w:t>
            </w:r>
            <w:r w:rsidR="00FD133C">
              <w:rPr>
                <w:rFonts w:asciiTheme="minorHAnsi" w:hAnsiTheme="minorHAnsi" w:cstheme="minorHAnsi"/>
                <w:bCs/>
                <w:color w:val="000000"/>
                <w:sz w:val="22"/>
                <w:szCs w:val="22"/>
              </w:rPr>
              <w:t>.</w:t>
            </w:r>
          </w:p>
        </w:tc>
        <w:tc>
          <w:tcPr>
            <w:tcW w:w="4914" w:type="dxa"/>
            <w:shd w:val="clear" w:color="auto" w:fill="auto"/>
          </w:tcPr>
          <w:p w:rsidR="00FE5D27" w:rsidRPr="0095576B" w:rsidRDefault="00FE5D27" w:rsidP="00C81CB1">
            <w:pPr>
              <w:spacing w:before="120"/>
              <w:jc w:val="center"/>
              <w:rPr>
                <w:rFonts w:asciiTheme="minorHAnsi" w:hAnsiTheme="minorHAnsi" w:cstheme="minorHAnsi"/>
                <w:b/>
                <w:bCs/>
                <w:color w:val="000000"/>
                <w:sz w:val="22"/>
                <w:szCs w:val="22"/>
              </w:rPr>
            </w:pPr>
          </w:p>
        </w:tc>
      </w:tr>
      <w:tr w:rsidR="00BF5E93" w:rsidRPr="0095576B" w:rsidTr="00FD133C">
        <w:trPr>
          <w:trHeight w:val="741"/>
        </w:trPr>
        <w:tc>
          <w:tcPr>
            <w:tcW w:w="1823" w:type="dxa"/>
            <w:shd w:val="clear" w:color="auto" w:fill="auto"/>
          </w:tcPr>
          <w:p w:rsidR="00F61CFF" w:rsidRPr="0095576B" w:rsidRDefault="00F61CFF" w:rsidP="00B56298">
            <w:pPr>
              <w:pStyle w:val="Default"/>
              <w:rPr>
                <w:rFonts w:asciiTheme="minorHAnsi" w:hAnsiTheme="minorHAnsi" w:cstheme="minorHAnsi"/>
                <w:sz w:val="22"/>
                <w:szCs w:val="22"/>
                <w:lang w:val="en-GB"/>
              </w:rPr>
            </w:pPr>
            <w:r w:rsidRPr="0095576B">
              <w:rPr>
                <w:rFonts w:asciiTheme="minorHAnsi" w:hAnsiTheme="minorHAnsi" w:cstheme="minorHAnsi"/>
                <w:sz w:val="22"/>
                <w:szCs w:val="22"/>
                <w:lang w:val="en-GB"/>
              </w:rPr>
              <w:t>Appendix MA2: Fundamental spreads provided by EIOPA</w:t>
            </w:r>
          </w:p>
        </w:tc>
        <w:tc>
          <w:tcPr>
            <w:tcW w:w="1687" w:type="dxa"/>
            <w:shd w:val="clear" w:color="auto" w:fill="auto"/>
          </w:tcPr>
          <w:p w:rsidR="00F61CFF" w:rsidRPr="0095576B" w:rsidRDefault="00891798" w:rsidP="00FD133C">
            <w:pPr>
              <w:rPr>
                <w:rFonts w:asciiTheme="minorHAnsi" w:hAnsiTheme="minorHAnsi" w:cstheme="minorHAnsi"/>
                <w:sz w:val="22"/>
                <w:szCs w:val="22"/>
                <w:lang w:val="de-AT" w:eastAsia="en-US"/>
              </w:rPr>
            </w:pPr>
            <w:r>
              <w:rPr>
                <w:rFonts w:asciiTheme="minorHAnsi" w:hAnsiTheme="minorHAnsi" w:cstheme="minorHAnsi"/>
                <w:sz w:val="22"/>
                <w:szCs w:val="22"/>
                <w:lang w:val="de-AT" w:eastAsia="en-US"/>
              </w:rPr>
              <w:t>Matching Adjustment - Fundamental spreads</w:t>
            </w:r>
          </w:p>
        </w:tc>
        <w:tc>
          <w:tcPr>
            <w:tcW w:w="6001" w:type="dxa"/>
            <w:shd w:val="clear" w:color="auto" w:fill="auto"/>
          </w:tcPr>
          <w:p w:rsidR="00F61CFF" w:rsidRPr="0095576B" w:rsidRDefault="00F61CFF" w:rsidP="0095576B">
            <w:pPr>
              <w:jc w:val="both"/>
              <w:rPr>
                <w:rFonts w:asciiTheme="minorHAnsi" w:hAnsiTheme="minorHAnsi" w:cstheme="minorHAnsi"/>
                <w:sz w:val="22"/>
                <w:szCs w:val="22"/>
                <w:lang w:eastAsia="en-US"/>
              </w:rPr>
            </w:pPr>
            <w:r w:rsidRPr="0095576B">
              <w:rPr>
                <w:rFonts w:asciiTheme="minorHAnsi" w:hAnsiTheme="minorHAnsi" w:cstheme="minorHAnsi"/>
                <w:sz w:val="22"/>
                <w:szCs w:val="22"/>
                <w:lang w:eastAsia="en-US"/>
              </w:rPr>
              <w:t>The calibration of the FS includes cost of downgrade of assets.  However, in order to align this with the MA requirements set out in the Omnibus II Directive this should be restricted to just downgrade to sub-investment grade assets.</w:t>
            </w:r>
          </w:p>
        </w:tc>
        <w:tc>
          <w:tcPr>
            <w:tcW w:w="4914" w:type="dxa"/>
            <w:shd w:val="clear" w:color="auto" w:fill="auto"/>
          </w:tcPr>
          <w:p w:rsidR="00F61CFF" w:rsidRPr="0095576B" w:rsidRDefault="00F61CFF" w:rsidP="00C81CB1">
            <w:pPr>
              <w:spacing w:before="120"/>
              <w:jc w:val="center"/>
              <w:rPr>
                <w:rFonts w:asciiTheme="minorHAnsi" w:hAnsiTheme="minorHAnsi" w:cstheme="minorHAnsi"/>
                <w:b/>
                <w:bCs/>
                <w:color w:val="000000"/>
                <w:sz w:val="22"/>
                <w:szCs w:val="22"/>
              </w:rPr>
            </w:pPr>
          </w:p>
        </w:tc>
      </w:tr>
      <w:tr w:rsidR="00891798" w:rsidRPr="0095576B" w:rsidTr="00E33D6A">
        <w:trPr>
          <w:trHeight w:val="741"/>
        </w:trPr>
        <w:tc>
          <w:tcPr>
            <w:tcW w:w="1823" w:type="dxa"/>
            <w:shd w:val="clear" w:color="auto" w:fill="auto"/>
          </w:tcPr>
          <w:p w:rsidR="00E33D6A" w:rsidRPr="0095576B" w:rsidRDefault="00E33D6A" w:rsidP="00B56298">
            <w:pPr>
              <w:pStyle w:val="Default"/>
              <w:rPr>
                <w:rFonts w:asciiTheme="minorHAnsi" w:hAnsiTheme="minorHAnsi" w:cstheme="minorHAnsi"/>
                <w:sz w:val="22"/>
                <w:szCs w:val="22"/>
                <w:lang w:val="en-GB"/>
              </w:rPr>
            </w:pPr>
            <w:r w:rsidRPr="0095576B">
              <w:rPr>
                <w:rFonts w:asciiTheme="minorHAnsi" w:hAnsiTheme="minorHAnsi" w:cstheme="minorHAnsi"/>
                <w:sz w:val="22"/>
                <w:szCs w:val="22"/>
                <w:lang w:val="en-GB"/>
              </w:rPr>
              <w:t>Appendix MA2: Fundamental spreads provided by EIOPA</w:t>
            </w:r>
          </w:p>
        </w:tc>
        <w:tc>
          <w:tcPr>
            <w:tcW w:w="1687" w:type="dxa"/>
            <w:shd w:val="clear" w:color="auto" w:fill="auto"/>
          </w:tcPr>
          <w:p w:rsidR="00E33D6A" w:rsidRPr="0095576B" w:rsidRDefault="00891798" w:rsidP="00B56298">
            <w:pPr>
              <w:rPr>
                <w:rFonts w:asciiTheme="minorHAnsi" w:hAnsiTheme="minorHAnsi" w:cstheme="minorHAnsi"/>
                <w:sz w:val="22"/>
                <w:szCs w:val="22"/>
                <w:lang w:val="de-AT" w:eastAsia="en-US"/>
              </w:rPr>
            </w:pPr>
            <w:r>
              <w:rPr>
                <w:rFonts w:asciiTheme="minorHAnsi" w:hAnsiTheme="minorHAnsi" w:cstheme="minorHAnsi"/>
                <w:sz w:val="22"/>
                <w:szCs w:val="22"/>
                <w:lang w:val="de-AT" w:eastAsia="en-US"/>
              </w:rPr>
              <w:t>Matching Adjustment - Fundamental spreads</w:t>
            </w:r>
          </w:p>
        </w:tc>
        <w:tc>
          <w:tcPr>
            <w:tcW w:w="6001" w:type="dxa"/>
            <w:shd w:val="clear" w:color="auto" w:fill="auto"/>
          </w:tcPr>
          <w:p w:rsidR="00E33D6A" w:rsidRPr="0095576B" w:rsidRDefault="00FD133C" w:rsidP="0095576B">
            <w:pPr>
              <w:jc w:val="both"/>
              <w:rPr>
                <w:rFonts w:asciiTheme="minorHAnsi" w:hAnsiTheme="minorHAnsi" w:cstheme="minorHAnsi"/>
                <w:sz w:val="22"/>
                <w:szCs w:val="22"/>
                <w:lang w:eastAsia="en-US"/>
              </w:rPr>
            </w:pPr>
            <w:r>
              <w:rPr>
                <w:rFonts w:asciiTheme="minorHAnsi" w:hAnsiTheme="minorHAnsi" w:cstheme="minorHAnsi"/>
                <w:sz w:val="22"/>
                <w:szCs w:val="22"/>
                <w:lang w:eastAsia="en-US"/>
              </w:rPr>
              <w:t>This Appendix mentions: “</w:t>
            </w:r>
            <w:r w:rsidR="00E33D6A" w:rsidRPr="00FD133C">
              <w:rPr>
                <w:rFonts w:asciiTheme="minorHAnsi" w:hAnsiTheme="minorHAnsi" w:cstheme="minorHAnsi"/>
                <w:i/>
                <w:sz w:val="22"/>
                <w:szCs w:val="22"/>
                <w:lang w:eastAsia="en-US"/>
              </w:rPr>
              <w:t xml:space="preserve">It should also be noted that for all currencies apart from GBP, the EUR fundamental spreads should be applied for </w:t>
            </w:r>
            <w:r w:rsidR="00E33D6A" w:rsidRPr="00FD133C">
              <w:rPr>
                <w:rFonts w:asciiTheme="minorHAnsi" w:hAnsiTheme="minorHAnsi" w:cstheme="minorHAnsi"/>
                <w:i/>
                <w:sz w:val="22"/>
                <w:szCs w:val="22"/>
                <w:u w:val="single"/>
                <w:lang w:eastAsia="en-US"/>
              </w:rPr>
              <w:t>corporate</w:t>
            </w:r>
            <w:r w:rsidR="00E33D6A" w:rsidRPr="00FD133C">
              <w:rPr>
                <w:rFonts w:asciiTheme="minorHAnsi" w:hAnsiTheme="minorHAnsi" w:cstheme="minorHAnsi"/>
                <w:i/>
                <w:sz w:val="22"/>
                <w:szCs w:val="22"/>
                <w:lang w:eastAsia="en-US"/>
              </w:rPr>
              <w:t xml:space="preserve"> bonds.</w:t>
            </w:r>
            <w:r>
              <w:rPr>
                <w:rFonts w:asciiTheme="minorHAnsi" w:hAnsiTheme="minorHAnsi" w:cstheme="minorHAnsi"/>
                <w:sz w:val="22"/>
                <w:szCs w:val="22"/>
                <w:lang w:eastAsia="en-US"/>
              </w:rPr>
              <w:t>”</w:t>
            </w:r>
            <w:r w:rsidR="00E33D6A" w:rsidRPr="0095576B">
              <w:rPr>
                <w:rFonts w:asciiTheme="minorHAnsi" w:hAnsiTheme="minorHAnsi" w:cstheme="minorHAnsi"/>
                <w:sz w:val="22"/>
                <w:szCs w:val="22"/>
                <w:lang w:eastAsia="en-US"/>
              </w:rPr>
              <w:t xml:space="preserve"> The imp</w:t>
            </w:r>
            <w:r>
              <w:rPr>
                <w:rFonts w:asciiTheme="minorHAnsi" w:hAnsiTheme="minorHAnsi" w:cstheme="minorHAnsi"/>
                <w:sz w:val="22"/>
                <w:szCs w:val="22"/>
                <w:lang w:eastAsia="en-US"/>
              </w:rPr>
              <w:t>lications of this are not clear.</w:t>
            </w:r>
            <w:r w:rsidR="00850326" w:rsidRPr="0095576B">
              <w:rPr>
                <w:rFonts w:asciiTheme="minorHAnsi" w:hAnsiTheme="minorHAnsi" w:cstheme="minorHAnsi"/>
                <w:sz w:val="22"/>
                <w:szCs w:val="22"/>
                <w:lang w:eastAsia="en-US"/>
              </w:rPr>
              <w:t xml:space="preserve"> We assume that when the spreadsheets are available </w:t>
            </w:r>
            <w:r w:rsidR="00891798">
              <w:rPr>
                <w:rFonts w:asciiTheme="minorHAnsi" w:hAnsiTheme="minorHAnsi" w:cstheme="minorHAnsi"/>
                <w:sz w:val="22"/>
                <w:szCs w:val="22"/>
                <w:lang w:eastAsia="en-US"/>
              </w:rPr>
              <w:t>t</w:t>
            </w:r>
            <w:r w:rsidR="00850326" w:rsidRPr="0095576B">
              <w:rPr>
                <w:rFonts w:asciiTheme="minorHAnsi" w:hAnsiTheme="minorHAnsi" w:cstheme="minorHAnsi"/>
                <w:sz w:val="22"/>
                <w:szCs w:val="22"/>
                <w:lang w:eastAsia="en-US"/>
              </w:rPr>
              <w:t>he treatment for GBP and</w:t>
            </w:r>
            <w:r w:rsidR="00E33D6A" w:rsidRPr="0095576B">
              <w:rPr>
                <w:rFonts w:asciiTheme="minorHAnsi" w:hAnsiTheme="minorHAnsi" w:cstheme="minorHAnsi"/>
                <w:sz w:val="22"/>
                <w:szCs w:val="22"/>
                <w:lang w:eastAsia="en-US"/>
              </w:rPr>
              <w:t xml:space="preserve"> other types of assets</w:t>
            </w:r>
            <w:r w:rsidR="00850326" w:rsidRPr="0095576B">
              <w:rPr>
                <w:rFonts w:asciiTheme="minorHAnsi" w:hAnsiTheme="minorHAnsi" w:cstheme="minorHAnsi"/>
                <w:sz w:val="22"/>
                <w:szCs w:val="22"/>
                <w:lang w:eastAsia="en-US"/>
              </w:rPr>
              <w:t xml:space="preserve"> will be clearer</w:t>
            </w:r>
            <w:r>
              <w:rPr>
                <w:rFonts w:asciiTheme="minorHAnsi" w:hAnsiTheme="minorHAnsi" w:cstheme="minorHAnsi"/>
                <w:sz w:val="22"/>
                <w:szCs w:val="22"/>
                <w:lang w:eastAsia="en-US"/>
              </w:rPr>
              <w:t>.</w:t>
            </w:r>
          </w:p>
        </w:tc>
        <w:tc>
          <w:tcPr>
            <w:tcW w:w="4914" w:type="dxa"/>
            <w:shd w:val="clear" w:color="auto" w:fill="auto"/>
          </w:tcPr>
          <w:p w:rsidR="00E33D6A" w:rsidRPr="0095576B" w:rsidRDefault="00E33D6A" w:rsidP="00C81CB1">
            <w:pPr>
              <w:spacing w:before="120"/>
              <w:jc w:val="center"/>
              <w:rPr>
                <w:rFonts w:asciiTheme="minorHAnsi" w:hAnsiTheme="minorHAnsi" w:cstheme="minorHAnsi"/>
                <w:b/>
                <w:bCs/>
                <w:color w:val="000000"/>
                <w:sz w:val="22"/>
                <w:szCs w:val="22"/>
              </w:rPr>
            </w:pPr>
          </w:p>
        </w:tc>
      </w:tr>
      <w:tr w:rsidR="00BF5E93" w:rsidRPr="0095576B" w:rsidTr="00FD133C">
        <w:trPr>
          <w:trHeight w:val="266"/>
        </w:trPr>
        <w:tc>
          <w:tcPr>
            <w:tcW w:w="1823" w:type="dxa"/>
            <w:shd w:val="clear" w:color="auto" w:fill="auto"/>
          </w:tcPr>
          <w:p w:rsidR="00F61CFF" w:rsidRPr="00891798" w:rsidRDefault="00F61CFF" w:rsidP="00891798">
            <w:pPr>
              <w:rPr>
                <w:rFonts w:asciiTheme="minorHAnsi" w:hAnsiTheme="minorHAnsi" w:cstheme="minorHAnsi"/>
                <w:sz w:val="22"/>
                <w:szCs w:val="22"/>
                <w:lang w:eastAsia="en-US"/>
              </w:rPr>
            </w:pPr>
            <w:r w:rsidRPr="00891798">
              <w:rPr>
                <w:rFonts w:asciiTheme="minorHAnsi" w:hAnsiTheme="minorHAnsi" w:cstheme="minorHAnsi"/>
                <w:sz w:val="22"/>
                <w:szCs w:val="22"/>
                <w:lang w:eastAsia="en-US"/>
              </w:rPr>
              <w:t>Appendix DC1: Summary of data sources and input paramet</w:t>
            </w:r>
            <w:r w:rsidR="00891798">
              <w:rPr>
                <w:rFonts w:asciiTheme="minorHAnsi" w:hAnsiTheme="minorHAnsi" w:cstheme="minorHAnsi"/>
                <w:sz w:val="22"/>
                <w:szCs w:val="22"/>
                <w:lang w:eastAsia="en-US"/>
              </w:rPr>
              <w:t>e</w:t>
            </w:r>
            <w:r w:rsidRPr="00891798">
              <w:rPr>
                <w:rFonts w:asciiTheme="minorHAnsi" w:hAnsiTheme="minorHAnsi" w:cstheme="minorHAnsi"/>
                <w:sz w:val="22"/>
                <w:szCs w:val="22"/>
                <w:lang w:eastAsia="en-US"/>
              </w:rPr>
              <w:t xml:space="preserve">rs for all </w:t>
            </w:r>
            <w:r w:rsidRPr="00891798">
              <w:rPr>
                <w:rFonts w:asciiTheme="minorHAnsi" w:hAnsiTheme="minorHAnsi" w:cstheme="minorHAnsi"/>
                <w:sz w:val="22"/>
                <w:szCs w:val="22"/>
                <w:lang w:eastAsia="en-US"/>
              </w:rPr>
              <w:lastRenderedPageBreak/>
              <w:t>currencies.</w:t>
            </w:r>
          </w:p>
        </w:tc>
        <w:tc>
          <w:tcPr>
            <w:tcW w:w="1687" w:type="dxa"/>
            <w:shd w:val="clear" w:color="auto" w:fill="auto"/>
          </w:tcPr>
          <w:p w:rsidR="00F61CFF" w:rsidRPr="00FD133C" w:rsidRDefault="00F61CFF" w:rsidP="00FD133C">
            <w:pPr>
              <w:rPr>
                <w:rFonts w:asciiTheme="minorHAnsi" w:hAnsiTheme="minorHAnsi" w:cstheme="minorHAnsi"/>
                <w:sz w:val="22"/>
                <w:szCs w:val="22"/>
                <w:lang w:val="de-AT" w:eastAsia="en-US"/>
              </w:rPr>
            </w:pPr>
            <w:r w:rsidRPr="00FD133C">
              <w:rPr>
                <w:rFonts w:asciiTheme="minorHAnsi" w:hAnsiTheme="minorHAnsi" w:cstheme="minorHAnsi"/>
                <w:sz w:val="22"/>
                <w:szCs w:val="22"/>
                <w:lang w:val="de-AT" w:eastAsia="en-US"/>
              </w:rPr>
              <w:lastRenderedPageBreak/>
              <w:t>Appendix</w:t>
            </w:r>
          </w:p>
        </w:tc>
        <w:tc>
          <w:tcPr>
            <w:tcW w:w="6001" w:type="dxa"/>
            <w:shd w:val="clear" w:color="auto" w:fill="auto"/>
          </w:tcPr>
          <w:p w:rsidR="00F61CFF" w:rsidRPr="0095576B" w:rsidRDefault="00F61CFF" w:rsidP="00FD133C">
            <w:pPr>
              <w:jc w:val="both"/>
              <w:rPr>
                <w:rFonts w:asciiTheme="minorHAnsi" w:hAnsiTheme="minorHAnsi" w:cstheme="minorHAnsi"/>
                <w:sz w:val="22"/>
                <w:szCs w:val="22"/>
              </w:rPr>
            </w:pPr>
            <w:r w:rsidRPr="0095576B">
              <w:rPr>
                <w:rFonts w:asciiTheme="minorHAnsi" w:hAnsiTheme="minorHAnsi" w:cstheme="minorHAnsi"/>
                <w:color w:val="000000"/>
                <w:sz w:val="22"/>
                <w:szCs w:val="22"/>
              </w:rPr>
              <w:t>The LLP is set to 10 years for both Norway and Sweden, which is positive. However, while the convergence for Sweden is set to 10 years as well, it is 40 years for Norway.</w:t>
            </w:r>
            <w:r w:rsidR="002251D9" w:rsidRPr="0095576B">
              <w:rPr>
                <w:rFonts w:asciiTheme="minorHAnsi" w:hAnsiTheme="minorHAnsi" w:cstheme="minorHAnsi"/>
                <w:color w:val="000000"/>
                <w:sz w:val="22"/>
                <w:szCs w:val="22"/>
              </w:rPr>
              <w:t xml:space="preserve"> </w:t>
            </w:r>
            <w:r w:rsidRPr="0095576B">
              <w:rPr>
                <w:rFonts w:asciiTheme="minorHAnsi" w:hAnsiTheme="minorHAnsi" w:cstheme="minorHAnsi"/>
                <w:color w:val="000000"/>
                <w:sz w:val="22"/>
                <w:szCs w:val="22"/>
              </w:rPr>
              <w:t>This does not reflect the specifics of the market in Norway</w:t>
            </w:r>
            <w:r w:rsidR="00BE30EF" w:rsidRPr="0095576B">
              <w:rPr>
                <w:rFonts w:asciiTheme="minorHAnsi" w:hAnsiTheme="minorHAnsi" w:cstheme="minorHAnsi"/>
                <w:color w:val="FF0000"/>
                <w:sz w:val="22"/>
                <w:szCs w:val="22"/>
              </w:rPr>
              <w:t xml:space="preserve"> </w:t>
            </w:r>
            <w:r w:rsidR="00BE30EF" w:rsidRPr="00891798">
              <w:rPr>
                <w:rFonts w:asciiTheme="minorHAnsi" w:hAnsiTheme="minorHAnsi" w:cstheme="minorHAnsi"/>
                <w:sz w:val="22"/>
                <w:szCs w:val="22"/>
              </w:rPr>
              <w:t xml:space="preserve">which is similar to the </w:t>
            </w:r>
            <w:r w:rsidR="00BE30EF" w:rsidRPr="00891798">
              <w:rPr>
                <w:rFonts w:asciiTheme="minorHAnsi" w:hAnsiTheme="minorHAnsi" w:cstheme="minorHAnsi"/>
                <w:sz w:val="22"/>
                <w:szCs w:val="22"/>
              </w:rPr>
              <w:lastRenderedPageBreak/>
              <w:t>Swedish market. The convergence should therefore be set to 10 years for Norway as well.</w:t>
            </w:r>
          </w:p>
        </w:tc>
        <w:tc>
          <w:tcPr>
            <w:tcW w:w="4914" w:type="dxa"/>
            <w:shd w:val="clear" w:color="auto" w:fill="auto"/>
          </w:tcPr>
          <w:p w:rsidR="00F61CFF" w:rsidRPr="0095576B" w:rsidRDefault="00F61CFF" w:rsidP="008D61C4">
            <w:pPr>
              <w:spacing w:before="120"/>
              <w:rPr>
                <w:rFonts w:asciiTheme="minorHAnsi" w:hAnsiTheme="minorHAnsi" w:cstheme="minorHAnsi"/>
                <w:color w:val="000000"/>
                <w:sz w:val="22"/>
                <w:szCs w:val="22"/>
              </w:rPr>
            </w:pPr>
          </w:p>
        </w:tc>
      </w:tr>
      <w:tr w:rsidR="00BF5E93" w:rsidRPr="0095576B" w:rsidTr="00891798">
        <w:trPr>
          <w:trHeight w:val="741"/>
        </w:trPr>
        <w:tc>
          <w:tcPr>
            <w:tcW w:w="1823" w:type="dxa"/>
            <w:shd w:val="clear" w:color="auto" w:fill="auto"/>
          </w:tcPr>
          <w:p w:rsidR="00F61CFF" w:rsidRPr="0095576B" w:rsidRDefault="00F61CFF" w:rsidP="00B56298">
            <w:pPr>
              <w:pStyle w:val="Default"/>
              <w:rPr>
                <w:rFonts w:asciiTheme="minorHAnsi" w:hAnsiTheme="minorHAnsi" w:cstheme="minorHAnsi"/>
                <w:sz w:val="22"/>
                <w:szCs w:val="22"/>
                <w:lang w:val="en-GB"/>
              </w:rPr>
            </w:pPr>
            <w:r w:rsidRPr="0095576B">
              <w:rPr>
                <w:rFonts w:asciiTheme="minorHAnsi" w:hAnsiTheme="minorHAnsi" w:cstheme="minorHAnsi"/>
                <w:sz w:val="22"/>
                <w:szCs w:val="22"/>
                <w:lang w:val="en-GB"/>
              </w:rPr>
              <w:lastRenderedPageBreak/>
              <w:t xml:space="preserve">Appendix DC1: Summary of </w:t>
            </w:r>
            <w:r w:rsidR="00FD133C">
              <w:rPr>
                <w:rFonts w:asciiTheme="minorHAnsi" w:hAnsiTheme="minorHAnsi" w:cstheme="minorHAnsi"/>
                <w:sz w:val="22"/>
                <w:szCs w:val="22"/>
                <w:lang w:val="en-GB"/>
              </w:rPr>
              <w:t>data sources and input parameter</w:t>
            </w:r>
            <w:r w:rsidRPr="0095576B">
              <w:rPr>
                <w:rFonts w:asciiTheme="minorHAnsi" w:hAnsiTheme="minorHAnsi" w:cstheme="minorHAnsi"/>
                <w:sz w:val="22"/>
                <w:szCs w:val="22"/>
                <w:lang w:val="en-GB"/>
              </w:rPr>
              <w:t>s for all currencies.</w:t>
            </w:r>
          </w:p>
        </w:tc>
        <w:tc>
          <w:tcPr>
            <w:tcW w:w="1687" w:type="dxa"/>
            <w:shd w:val="clear" w:color="auto" w:fill="auto"/>
          </w:tcPr>
          <w:p w:rsidR="00F61CFF" w:rsidRPr="0095576B" w:rsidRDefault="00891798" w:rsidP="00891798">
            <w:pPr>
              <w:rPr>
                <w:rFonts w:asciiTheme="minorHAnsi" w:hAnsiTheme="minorHAnsi" w:cstheme="minorHAnsi"/>
                <w:color w:val="000000"/>
                <w:sz w:val="22"/>
                <w:szCs w:val="22"/>
              </w:rPr>
            </w:pPr>
            <w:r w:rsidRPr="00FD133C">
              <w:rPr>
                <w:rFonts w:asciiTheme="minorHAnsi" w:hAnsiTheme="minorHAnsi" w:cstheme="minorHAnsi"/>
                <w:sz w:val="22"/>
                <w:szCs w:val="22"/>
                <w:lang w:val="de-AT" w:eastAsia="en-US"/>
              </w:rPr>
              <w:t>Appendix</w:t>
            </w:r>
          </w:p>
        </w:tc>
        <w:tc>
          <w:tcPr>
            <w:tcW w:w="6001" w:type="dxa"/>
            <w:shd w:val="clear" w:color="auto" w:fill="auto"/>
          </w:tcPr>
          <w:p w:rsidR="00F61CFF" w:rsidRPr="0095576B" w:rsidRDefault="00747F36" w:rsidP="00FD133C">
            <w:pPr>
              <w:jc w:val="both"/>
              <w:rPr>
                <w:rFonts w:asciiTheme="minorHAnsi" w:hAnsiTheme="minorHAnsi" w:cstheme="minorHAnsi"/>
                <w:b/>
                <w:bCs/>
                <w:color w:val="000000"/>
                <w:sz w:val="22"/>
                <w:szCs w:val="22"/>
              </w:rPr>
            </w:pPr>
            <w:r w:rsidRPr="00FD133C">
              <w:rPr>
                <w:rFonts w:asciiTheme="minorHAnsi" w:hAnsiTheme="minorHAnsi" w:cstheme="minorHAnsi"/>
                <w:sz w:val="22"/>
                <w:szCs w:val="22"/>
                <w:lang w:eastAsia="en-US"/>
              </w:rPr>
              <w:t>It is unclear whether</w:t>
            </w:r>
            <w:r w:rsidR="00F61CFF" w:rsidRPr="00FD133C">
              <w:rPr>
                <w:rFonts w:asciiTheme="minorHAnsi" w:hAnsiTheme="minorHAnsi" w:cstheme="minorHAnsi"/>
                <w:sz w:val="22"/>
                <w:szCs w:val="22"/>
                <w:lang w:eastAsia="en-US"/>
              </w:rPr>
              <w:t xml:space="preserve"> same criteria </w:t>
            </w:r>
            <w:r w:rsidRPr="00FD133C">
              <w:rPr>
                <w:rFonts w:asciiTheme="minorHAnsi" w:hAnsiTheme="minorHAnsi" w:cstheme="minorHAnsi"/>
                <w:sz w:val="22"/>
                <w:szCs w:val="22"/>
                <w:lang w:eastAsia="en-US"/>
              </w:rPr>
              <w:t xml:space="preserve">have </w:t>
            </w:r>
            <w:r w:rsidR="00F61CFF" w:rsidRPr="00FD133C">
              <w:rPr>
                <w:rFonts w:asciiTheme="minorHAnsi" w:hAnsiTheme="minorHAnsi" w:cstheme="minorHAnsi"/>
                <w:sz w:val="22"/>
                <w:szCs w:val="22"/>
                <w:lang w:eastAsia="en-US"/>
              </w:rPr>
              <w:t>been applied to all cu</w:t>
            </w:r>
            <w:r w:rsidRPr="00FD133C">
              <w:rPr>
                <w:rFonts w:asciiTheme="minorHAnsi" w:hAnsiTheme="minorHAnsi" w:cstheme="minorHAnsi"/>
                <w:sz w:val="22"/>
                <w:szCs w:val="22"/>
                <w:lang w:eastAsia="en-US"/>
              </w:rPr>
              <w:t>rrencies in determining the LLP.</w:t>
            </w:r>
            <w:r w:rsidR="00F61CFF" w:rsidRPr="00FD133C">
              <w:rPr>
                <w:rFonts w:asciiTheme="minorHAnsi" w:hAnsiTheme="minorHAnsi" w:cstheme="minorHAnsi"/>
                <w:sz w:val="22"/>
                <w:szCs w:val="22"/>
                <w:lang w:eastAsia="en-US"/>
              </w:rPr>
              <w:t xml:space="preserve"> EIOPA should publish the evidence to support the choice of LLP and convergence period for each currency</w:t>
            </w:r>
            <w:r w:rsidR="00FD133C">
              <w:rPr>
                <w:rFonts w:asciiTheme="minorHAnsi" w:hAnsiTheme="minorHAnsi" w:cstheme="minorHAnsi"/>
                <w:sz w:val="22"/>
                <w:szCs w:val="22"/>
                <w:lang w:eastAsia="en-US"/>
              </w:rPr>
              <w:t>.</w:t>
            </w:r>
          </w:p>
        </w:tc>
        <w:tc>
          <w:tcPr>
            <w:tcW w:w="4914" w:type="dxa"/>
            <w:shd w:val="clear" w:color="auto" w:fill="auto"/>
          </w:tcPr>
          <w:p w:rsidR="00F61CFF" w:rsidRPr="0095576B" w:rsidRDefault="00F61CFF" w:rsidP="00D81BC4">
            <w:pPr>
              <w:spacing w:before="120"/>
              <w:jc w:val="center"/>
              <w:rPr>
                <w:rFonts w:asciiTheme="minorHAnsi" w:hAnsiTheme="minorHAnsi" w:cstheme="minorHAnsi"/>
                <w:b/>
                <w:bCs/>
                <w:color w:val="000000"/>
                <w:sz w:val="22"/>
                <w:szCs w:val="22"/>
                <w:highlight w:val="yellow"/>
              </w:rPr>
            </w:pPr>
          </w:p>
        </w:tc>
      </w:tr>
    </w:tbl>
    <w:p w:rsidR="00AE2BDD" w:rsidRPr="0095576B" w:rsidRDefault="00AE2BDD" w:rsidP="003D6081">
      <w:pPr>
        <w:spacing w:before="120"/>
        <w:jc w:val="both"/>
        <w:rPr>
          <w:rFonts w:asciiTheme="minorHAnsi" w:hAnsiTheme="minorHAnsi" w:cstheme="minorHAnsi"/>
          <w:sz w:val="22"/>
          <w:szCs w:val="22"/>
        </w:rPr>
      </w:pPr>
    </w:p>
    <w:sectPr w:rsidR="00AE2BDD" w:rsidRPr="0095576B" w:rsidSect="005D38B7">
      <w:headerReference w:type="default" r:id="rId9"/>
      <w:footerReference w:type="even" r:id="rId10"/>
      <w:footerReference w:type="default" r:id="rId11"/>
      <w:pgSz w:w="16838" w:h="11906" w:orient="landscape"/>
      <w:pgMar w:top="2259" w:right="1418" w:bottom="1418" w:left="1134"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5CB" w:rsidRDefault="000275CB">
      <w:r>
        <w:separator/>
      </w:r>
    </w:p>
  </w:endnote>
  <w:endnote w:type="continuationSeparator" w:id="0">
    <w:p w:rsidR="000275CB" w:rsidRDefault="00027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Frutiger LT Com 45 Light">
    <w:altName w:val="Corbel"/>
    <w:charset w:val="00"/>
    <w:family w:val="swiss"/>
    <w:pitch w:val="variable"/>
    <w:sig w:usb0="00000001" w:usb1="5000204A" w:usb2="00000000" w:usb3="00000000" w:csb0="0000009B"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081" w:rsidRDefault="003D608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D6081" w:rsidRDefault="003D608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8B7" w:rsidRPr="00E81050" w:rsidRDefault="005D38B7" w:rsidP="005D38B7">
    <w:pPr>
      <w:pStyle w:val="Footer"/>
      <w:ind w:right="111"/>
      <w:rPr>
        <w:rFonts w:ascii="Verdana" w:hAnsi="Verdana"/>
        <w:bCs/>
        <w:sz w:val="18"/>
        <w:szCs w:val="18"/>
      </w:rPr>
    </w:pPr>
  </w:p>
  <w:p w:rsidR="005D38B7" w:rsidRDefault="005D38B7" w:rsidP="005D38B7">
    <w:pPr>
      <w:jc w:val="center"/>
      <w:rPr>
        <w:rFonts w:ascii="Verdana" w:hAnsi="Verdana"/>
        <w:bCs/>
        <w:sz w:val="16"/>
        <w:szCs w:val="16"/>
      </w:rPr>
    </w:pPr>
    <w:r w:rsidRPr="00447CC1">
      <w:rPr>
        <w:rFonts w:ascii="Verdana" w:hAnsi="Verdana"/>
        <w:bCs/>
        <w:sz w:val="16"/>
        <w:szCs w:val="16"/>
      </w:rPr>
      <w:fldChar w:fldCharType="begin"/>
    </w:r>
    <w:r w:rsidRPr="00447CC1">
      <w:rPr>
        <w:rFonts w:ascii="Verdana" w:hAnsi="Verdana"/>
        <w:bCs/>
        <w:sz w:val="16"/>
        <w:szCs w:val="16"/>
      </w:rPr>
      <w:instrText xml:space="preserve"> PAGE </w:instrText>
    </w:r>
    <w:r w:rsidRPr="00447CC1">
      <w:rPr>
        <w:rFonts w:ascii="Verdana" w:hAnsi="Verdana"/>
        <w:bCs/>
        <w:sz w:val="16"/>
        <w:szCs w:val="16"/>
      </w:rPr>
      <w:fldChar w:fldCharType="separate"/>
    </w:r>
    <w:r w:rsidR="00C63D18">
      <w:rPr>
        <w:rFonts w:ascii="Verdana" w:hAnsi="Verdana"/>
        <w:bCs/>
        <w:noProof/>
        <w:sz w:val="16"/>
        <w:szCs w:val="16"/>
      </w:rPr>
      <w:t>7</w:t>
    </w:r>
    <w:r w:rsidRPr="00447CC1">
      <w:rPr>
        <w:rFonts w:ascii="Verdana" w:hAnsi="Verdana"/>
        <w:bCs/>
        <w:sz w:val="16"/>
        <w:szCs w:val="16"/>
      </w:rPr>
      <w:fldChar w:fldCharType="end"/>
    </w:r>
    <w:r w:rsidRPr="00447CC1">
      <w:rPr>
        <w:rFonts w:ascii="Verdana" w:hAnsi="Verdana"/>
        <w:bCs/>
        <w:sz w:val="16"/>
        <w:szCs w:val="16"/>
      </w:rPr>
      <w:t>/</w:t>
    </w:r>
    <w:r w:rsidRPr="00447CC1">
      <w:rPr>
        <w:rFonts w:ascii="Verdana" w:hAnsi="Verdana"/>
        <w:bCs/>
        <w:sz w:val="16"/>
        <w:szCs w:val="16"/>
      </w:rPr>
      <w:fldChar w:fldCharType="begin"/>
    </w:r>
    <w:r w:rsidRPr="00447CC1">
      <w:rPr>
        <w:rFonts w:ascii="Verdana" w:hAnsi="Verdana"/>
        <w:bCs/>
        <w:sz w:val="16"/>
        <w:szCs w:val="16"/>
      </w:rPr>
      <w:instrText xml:space="preserve"> NUMPAGES </w:instrText>
    </w:r>
    <w:r w:rsidRPr="00447CC1">
      <w:rPr>
        <w:rFonts w:ascii="Verdana" w:hAnsi="Verdana"/>
        <w:bCs/>
        <w:sz w:val="16"/>
        <w:szCs w:val="16"/>
      </w:rPr>
      <w:fldChar w:fldCharType="separate"/>
    </w:r>
    <w:r w:rsidR="00C63D18">
      <w:rPr>
        <w:rFonts w:ascii="Verdana" w:hAnsi="Verdana"/>
        <w:bCs/>
        <w:noProof/>
        <w:sz w:val="16"/>
        <w:szCs w:val="16"/>
      </w:rPr>
      <w:t>7</w:t>
    </w:r>
    <w:r w:rsidRPr="00447CC1">
      <w:rPr>
        <w:rFonts w:ascii="Verdana" w:hAnsi="Verdana"/>
        <w:bCs/>
        <w:sz w:val="16"/>
        <w:szCs w:val="16"/>
      </w:rPr>
      <w:fldChar w:fldCharType="end"/>
    </w:r>
  </w:p>
  <w:p w:rsidR="005D38B7" w:rsidRPr="003A10ED" w:rsidRDefault="005D38B7" w:rsidP="005D38B7">
    <w:pPr>
      <w:jc w:val="right"/>
      <w:rPr>
        <w:rFonts w:ascii="Verdana" w:hAnsi="Verdana"/>
        <w:sz w:val="16"/>
        <w:szCs w:val="16"/>
      </w:rPr>
    </w:pPr>
    <w:r w:rsidRPr="003C6EBA">
      <w:rPr>
        <w:rFonts w:ascii="Verdana" w:hAnsi="Verdana"/>
        <w:sz w:val="16"/>
        <w:szCs w:val="16"/>
      </w:rPr>
      <w:t xml:space="preserve">© </w:t>
    </w:r>
    <w:r>
      <w:rPr>
        <w:rFonts w:ascii="Verdana" w:hAnsi="Verdana"/>
        <w:sz w:val="16"/>
        <w:szCs w:val="16"/>
      </w:rPr>
      <w:t>EIOPA</w:t>
    </w:r>
    <w:r w:rsidRPr="003C6EBA">
      <w:rPr>
        <w:rFonts w:ascii="Verdana" w:hAnsi="Verdana"/>
        <w:sz w:val="16"/>
        <w:szCs w:val="16"/>
      </w:rPr>
      <w:t xml:space="preserve"> </w:t>
    </w:r>
    <w:r>
      <w:rPr>
        <w:rFonts w:ascii="Verdana" w:hAnsi="Verdana"/>
        <w:sz w:val="16"/>
        <w:szCs w:val="16"/>
      </w:rPr>
      <w:fldChar w:fldCharType="begin"/>
    </w:r>
    <w:r>
      <w:rPr>
        <w:rFonts w:ascii="Verdana" w:hAnsi="Verdana"/>
        <w:sz w:val="16"/>
        <w:szCs w:val="16"/>
      </w:rPr>
      <w:instrText xml:space="preserve"> CREATEDATE  \@ "yyyy"  \* MERGEFORMAT </w:instrText>
    </w:r>
    <w:r>
      <w:rPr>
        <w:rFonts w:ascii="Verdana" w:hAnsi="Verdana"/>
        <w:sz w:val="16"/>
        <w:szCs w:val="16"/>
      </w:rPr>
      <w:fldChar w:fldCharType="separate"/>
    </w:r>
    <w:r w:rsidR="00891798">
      <w:rPr>
        <w:rFonts w:ascii="Verdana" w:hAnsi="Verdana"/>
        <w:noProof/>
        <w:sz w:val="16"/>
        <w:szCs w:val="16"/>
      </w:rPr>
      <w:t>2014</w:t>
    </w:r>
    <w:r>
      <w:rPr>
        <w:rFonts w:ascii="Verdana" w:hAnsi="Verdana"/>
        <w:sz w:val="16"/>
        <w:szCs w:val="16"/>
      </w:rPr>
      <w:fldChar w:fldCharType="end"/>
    </w:r>
  </w:p>
  <w:p w:rsidR="003D6081" w:rsidRPr="003A10ED" w:rsidRDefault="003D6081" w:rsidP="003A10ED">
    <w:pPr>
      <w:jc w:val="right"/>
      <w:rPr>
        <w:rFonts w:ascii="Verdana" w:hAnsi="Verdana"/>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5CB" w:rsidRDefault="000275CB">
      <w:r>
        <w:separator/>
      </w:r>
    </w:p>
  </w:footnote>
  <w:footnote w:type="continuationSeparator" w:id="0">
    <w:p w:rsidR="000275CB" w:rsidRDefault="000275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8B7" w:rsidRDefault="00D3243A">
    <w:pPr>
      <w:pStyle w:val="Header"/>
    </w:pPr>
    <w:r>
      <w:rPr>
        <w:noProof/>
        <w:lang w:eastAsia="en-GB"/>
      </w:rPr>
      <w:drawing>
        <wp:anchor distT="0" distB="0" distL="114300" distR="114300" simplePos="0" relativeHeight="251657728" behindDoc="1" locked="0" layoutInCell="1" allowOverlap="1">
          <wp:simplePos x="0" y="0"/>
          <wp:positionH relativeFrom="column">
            <wp:posOffset>7734300</wp:posOffset>
          </wp:positionH>
          <wp:positionV relativeFrom="paragraph">
            <wp:posOffset>-163195</wp:posOffset>
          </wp:positionV>
          <wp:extent cx="1447800" cy="1114425"/>
          <wp:effectExtent l="0" t="0" r="0" b="9525"/>
          <wp:wrapTight wrapText="bothSides">
            <wp:wrapPolygon edited="0">
              <wp:start x="0" y="0"/>
              <wp:lineTo x="0" y="21415"/>
              <wp:lineTo x="21316" y="21415"/>
              <wp:lineTo x="21316" y="0"/>
              <wp:lineTo x="0" y="0"/>
            </wp:wrapPolygon>
          </wp:wrapTight>
          <wp:docPr id="1" name="Picture 1" descr="eiopa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opa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7800" cy="11144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7in;height:422.25pt" o:bullet="t">
        <v:imagedata r:id="rId1" o:title="clip_image001"/>
      </v:shape>
    </w:pict>
  </w:numPicBullet>
  <w:abstractNum w:abstractNumId="0">
    <w:nsid w:val="002F2AB9"/>
    <w:multiLevelType w:val="hybridMultilevel"/>
    <w:tmpl w:val="2EB8AFC4"/>
    <w:lvl w:ilvl="0" w:tplc="0409000F">
      <w:start w:val="1"/>
      <w:numFmt w:val="decimal"/>
      <w:lvlText w:val="%1."/>
      <w:lvlJc w:val="left"/>
      <w:pPr>
        <w:tabs>
          <w:tab w:val="num" w:pos="360"/>
        </w:tabs>
        <w:ind w:left="360" w:hanging="360"/>
      </w:pPr>
    </w:lvl>
    <w:lvl w:ilvl="1" w:tplc="B162B27C">
      <w:numFmt w:val="bullet"/>
      <w:lvlText w:val="-"/>
      <w:lvlJc w:val="left"/>
      <w:pPr>
        <w:tabs>
          <w:tab w:val="num" w:pos="1004"/>
        </w:tabs>
        <w:ind w:left="1004" w:hanging="284"/>
      </w:pPr>
      <w:rPr>
        <w:rFonts w:ascii="Verdana" w:eastAsia="Calibri" w:hAnsi="Verdana" w:cs="Calibri" w:hint="default"/>
        <w:sz w:val="2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50A7170"/>
    <w:multiLevelType w:val="hybridMultilevel"/>
    <w:tmpl w:val="27C417CC"/>
    <w:lvl w:ilvl="0" w:tplc="2670FF22">
      <w:start w:val="6"/>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8B1321"/>
    <w:multiLevelType w:val="hybridMultilevel"/>
    <w:tmpl w:val="32822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5574A2"/>
    <w:multiLevelType w:val="hybridMultilevel"/>
    <w:tmpl w:val="8780A78A"/>
    <w:lvl w:ilvl="0" w:tplc="B162B27C">
      <w:numFmt w:val="bullet"/>
      <w:lvlText w:val="-"/>
      <w:lvlJc w:val="left"/>
      <w:pPr>
        <w:tabs>
          <w:tab w:val="num" w:pos="624"/>
        </w:tabs>
        <w:ind w:left="624" w:hanging="284"/>
      </w:pPr>
      <w:rPr>
        <w:rFonts w:ascii="Verdana" w:eastAsia="Calibri" w:hAnsi="Verdana" w:cs="Calibri"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711CBC"/>
    <w:multiLevelType w:val="hybridMultilevel"/>
    <w:tmpl w:val="3D880146"/>
    <w:lvl w:ilvl="0" w:tplc="D91C8CAE">
      <w:start w:val="1"/>
      <w:numFmt w:val="bullet"/>
      <w:pStyle w:val="ContinuousSquareBullet"/>
      <w:lvlText w:val="•"/>
      <w:lvlJc w:val="left"/>
      <w:pPr>
        <w:tabs>
          <w:tab w:val="num" w:pos="720"/>
        </w:tabs>
        <w:ind w:left="720" w:hanging="360"/>
      </w:pPr>
      <w:rPr>
        <w:rFonts w:ascii="Times New Roman" w:hAnsi="Times New Roman" w:hint="default"/>
      </w:rPr>
    </w:lvl>
    <w:lvl w:ilvl="1" w:tplc="8C262FEC">
      <w:start w:val="139"/>
      <w:numFmt w:val="bullet"/>
      <w:lvlText w:val=""/>
      <w:lvlJc w:val="left"/>
      <w:pPr>
        <w:tabs>
          <w:tab w:val="num" w:pos="1440"/>
        </w:tabs>
        <w:ind w:left="1440" w:hanging="360"/>
      </w:pPr>
      <w:rPr>
        <w:rFonts w:ascii="Wingdings" w:hAnsi="Wingdings" w:hint="default"/>
      </w:rPr>
    </w:lvl>
    <w:lvl w:ilvl="2" w:tplc="FF8EB0F8" w:tentative="1">
      <w:start w:val="1"/>
      <w:numFmt w:val="bullet"/>
      <w:lvlText w:val="•"/>
      <w:lvlJc w:val="left"/>
      <w:pPr>
        <w:tabs>
          <w:tab w:val="num" w:pos="2160"/>
        </w:tabs>
        <w:ind w:left="2160" w:hanging="360"/>
      </w:pPr>
      <w:rPr>
        <w:rFonts w:ascii="Times New Roman" w:hAnsi="Times New Roman" w:hint="default"/>
      </w:rPr>
    </w:lvl>
    <w:lvl w:ilvl="3" w:tplc="9A2C0488" w:tentative="1">
      <w:start w:val="1"/>
      <w:numFmt w:val="bullet"/>
      <w:lvlText w:val="•"/>
      <w:lvlJc w:val="left"/>
      <w:pPr>
        <w:tabs>
          <w:tab w:val="num" w:pos="2880"/>
        </w:tabs>
        <w:ind w:left="2880" w:hanging="360"/>
      </w:pPr>
      <w:rPr>
        <w:rFonts w:ascii="Times New Roman" w:hAnsi="Times New Roman" w:hint="default"/>
      </w:rPr>
    </w:lvl>
    <w:lvl w:ilvl="4" w:tplc="2828018E" w:tentative="1">
      <w:start w:val="1"/>
      <w:numFmt w:val="bullet"/>
      <w:lvlText w:val="•"/>
      <w:lvlJc w:val="left"/>
      <w:pPr>
        <w:tabs>
          <w:tab w:val="num" w:pos="3600"/>
        </w:tabs>
        <w:ind w:left="3600" w:hanging="360"/>
      </w:pPr>
      <w:rPr>
        <w:rFonts w:ascii="Times New Roman" w:hAnsi="Times New Roman" w:hint="default"/>
      </w:rPr>
    </w:lvl>
    <w:lvl w:ilvl="5" w:tplc="F4947C0E" w:tentative="1">
      <w:start w:val="1"/>
      <w:numFmt w:val="bullet"/>
      <w:lvlText w:val="•"/>
      <w:lvlJc w:val="left"/>
      <w:pPr>
        <w:tabs>
          <w:tab w:val="num" w:pos="4320"/>
        </w:tabs>
        <w:ind w:left="4320" w:hanging="360"/>
      </w:pPr>
      <w:rPr>
        <w:rFonts w:ascii="Times New Roman" w:hAnsi="Times New Roman" w:hint="default"/>
      </w:rPr>
    </w:lvl>
    <w:lvl w:ilvl="6" w:tplc="A232DF6A" w:tentative="1">
      <w:start w:val="1"/>
      <w:numFmt w:val="bullet"/>
      <w:lvlText w:val="•"/>
      <w:lvlJc w:val="left"/>
      <w:pPr>
        <w:tabs>
          <w:tab w:val="num" w:pos="5040"/>
        </w:tabs>
        <w:ind w:left="5040" w:hanging="360"/>
      </w:pPr>
      <w:rPr>
        <w:rFonts w:ascii="Times New Roman" w:hAnsi="Times New Roman" w:hint="default"/>
      </w:rPr>
    </w:lvl>
    <w:lvl w:ilvl="7" w:tplc="9F3E85DA" w:tentative="1">
      <w:start w:val="1"/>
      <w:numFmt w:val="bullet"/>
      <w:lvlText w:val="•"/>
      <w:lvlJc w:val="left"/>
      <w:pPr>
        <w:tabs>
          <w:tab w:val="num" w:pos="5760"/>
        </w:tabs>
        <w:ind w:left="5760" w:hanging="360"/>
      </w:pPr>
      <w:rPr>
        <w:rFonts w:ascii="Times New Roman" w:hAnsi="Times New Roman" w:hint="default"/>
      </w:rPr>
    </w:lvl>
    <w:lvl w:ilvl="8" w:tplc="850232F2" w:tentative="1">
      <w:start w:val="1"/>
      <w:numFmt w:val="bullet"/>
      <w:lvlText w:val="•"/>
      <w:lvlJc w:val="left"/>
      <w:pPr>
        <w:tabs>
          <w:tab w:val="num" w:pos="6480"/>
        </w:tabs>
        <w:ind w:left="6480" w:hanging="360"/>
      </w:pPr>
      <w:rPr>
        <w:rFonts w:ascii="Times New Roman" w:hAnsi="Times New Roman" w:hint="default"/>
      </w:rPr>
    </w:lvl>
  </w:abstractNum>
  <w:abstractNum w:abstractNumId="5">
    <w:nsid w:val="1B456A4A"/>
    <w:multiLevelType w:val="hybridMultilevel"/>
    <w:tmpl w:val="D8749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3BD419B"/>
    <w:multiLevelType w:val="multilevel"/>
    <w:tmpl w:val="A89E3C18"/>
    <w:lvl w:ilvl="0">
      <w:start w:val="1"/>
      <w:numFmt w:val="bullet"/>
      <w:lvlText w:val=""/>
      <w:lvlJc w:val="left"/>
      <w:pPr>
        <w:tabs>
          <w:tab w:val="num" w:pos="360"/>
        </w:tabs>
        <w:ind w:left="360" w:hanging="360"/>
      </w:pPr>
      <w:rPr>
        <w:rFonts w:ascii="Wingdings" w:hAnsi="Wingdings" w:hint="default"/>
        <w:sz w:val="20"/>
      </w:rPr>
    </w:lvl>
    <w:lvl w:ilvl="1">
      <w:start w:val="1"/>
      <w:numFmt w:val="bullet"/>
      <w:pStyle w:val="Subbulet"/>
      <w:lvlText w:val=""/>
      <w:lvlJc w:val="left"/>
      <w:pPr>
        <w:tabs>
          <w:tab w:val="num" w:pos="720"/>
        </w:tabs>
        <w:ind w:left="720" w:hanging="360"/>
      </w:pPr>
      <w:rPr>
        <w:rFonts w:ascii="Wingdings" w:hAnsi="Wingdings" w:hint="default"/>
        <w:color w:val="auto"/>
        <w:sz w:val="20"/>
      </w:rPr>
    </w:lvl>
    <w:lvl w:ilvl="2">
      <w:start w:val="1"/>
      <w:numFmt w:val="bullet"/>
      <w:lvlText w:val=""/>
      <w:lvlJc w:val="left"/>
      <w:pPr>
        <w:tabs>
          <w:tab w:val="num" w:pos="1080"/>
        </w:tabs>
        <w:ind w:left="1080" w:hanging="360"/>
      </w:pPr>
      <w:rPr>
        <w:rFonts w:ascii="Symbol" w:hAnsi="Symbol" w:hint="default"/>
        <w:sz w:val="22"/>
      </w:rPr>
    </w:lvl>
    <w:lvl w:ilvl="3">
      <w:start w:val="1"/>
      <w:numFmt w:val="none"/>
      <w:lvlText w:val=""/>
      <w:lvlJc w:val="left"/>
      <w:pPr>
        <w:tabs>
          <w:tab w:val="num" w:pos="1440"/>
        </w:tabs>
        <w:ind w:left="1440" w:hanging="360"/>
      </w:pPr>
      <w:rPr>
        <w:rFonts w:ascii="Symbol" w:hAnsi="Symbol" w:hint="default"/>
      </w:rPr>
    </w:lvl>
    <w:lvl w:ilvl="4">
      <w:start w:val="1"/>
      <w:numFmt w:val="none"/>
      <w:lvlText w:val=""/>
      <w:lvlJc w:val="left"/>
      <w:pPr>
        <w:tabs>
          <w:tab w:val="num" w:pos="1800"/>
        </w:tabs>
        <w:ind w:left="1800" w:hanging="360"/>
      </w:pPr>
      <w:rPr>
        <w:rFonts w:ascii="Symbol" w:hAnsi="Symbol" w:hint="default"/>
      </w:rPr>
    </w:lvl>
    <w:lvl w:ilvl="5">
      <w:start w:val="1"/>
      <w:numFmt w:val="none"/>
      <w:lvlText w:val=""/>
      <w:lvlJc w:val="left"/>
      <w:pPr>
        <w:tabs>
          <w:tab w:val="num" w:pos="2160"/>
        </w:tabs>
        <w:ind w:left="2160" w:hanging="360"/>
      </w:pPr>
      <w:rPr>
        <w:rFonts w:ascii="Wingdings" w:hAnsi="Wingdings" w:hint="default"/>
      </w:rPr>
    </w:lvl>
    <w:lvl w:ilvl="6">
      <w:start w:val="1"/>
      <w:numFmt w:val="none"/>
      <w:lvlText w:val=""/>
      <w:lvlJc w:val="left"/>
      <w:pPr>
        <w:tabs>
          <w:tab w:val="num" w:pos="2520"/>
        </w:tabs>
        <w:ind w:left="2520" w:hanging="360"/>
      </w:pPr>
      <w:rPr>
        <w:rFonts w:ascii="Wingdings" w:hAnsi="Wingdings" w:hint="default"/>
      </w:rPr>
    </w:lvl>
    <w:lvl w:ilvl="7">
      <w:start w:val="1"/>
      <w:numFmt w:val="none"/>
      <w:lvlText w:val=""/>
      <w:lvlJc w:val="left"/>
      <w:pPr>
        <w:tabs>
          <w:tab w:val="num" w:pos="2880"/>
        </w:tabs>
        <w:ind w:left="2880" w:hanging="360"/>
      </w:pPr>
      <w:rPr>
        <w:rFonts w:ascii="Symbol" w:hAnsi="Symbol" w:hint="default"/>
      </w:rPr>
    </w:lvl>
    <w:lvl w:ilvl="8">
      <w:start w:val="1"/>
      <w:numFmt w:val="none"/>
      <w:lvlText w:val=""/>
      <w:lvlJc w:val="left"/>
      <w:pPr>
        <w:tabs>
          <w:tab w:val="num" w:pos="3240"/>
        </w:tabs>
        <w:ind w:left="3240" w:hanging="360"/>
      </w:pPr>
      <w:rPr>
        <w:rFonts w:ascii="Symbol" w:hAnsi="Symbol" w:hint="default"/>
      </w:rPr>
    </w:lvl>
  </w:abstractNum>
  <w:abstractNum w:abstractNumId="7">
    <w:nsid w:val="2B981DA6"/>
    <w:multiLevelType w:val="hybridMultilevel"/>
    <w:tmpl w:val="605C0894"/>
    <w:lvl w:ilvl="0" w:tplc="DC20374C">
      <w:start w:val="1"/>
      <w:numFmt w:val="decimal"/>
      <w:pStyle w:val="Numberedparagraph"/>
      <w:lvlText w:val="%1."/>
      <w:lvlJc w:val="left"/>
      <w:pPr>
        <w:tabs>
          <w:tab w:val="num" w:pos="0"/>
        </w:tabs>
        <w:ind w:left="0" w:hanging="567"/>
      </w:pPr>
      <w:rPr>
        <w:rFonts w:ascii="Arial" w:hAnsi="Arial" w:hint="default"/>
        <w:b w:val="0"/>
        <w:i w:val="0"/>
        <w:color w:val="auto"/>
        <w:sz w:val="22"/>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6952F3F"/>
    <w:multiLevelType w:val="hybridMultilevel"/>
    <w:tmpl w:val="8D02F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566C5E"/>
    <w:multiLevelType w:val="hybridMultilevel"/>
    <w:tmpl w:val="48C62F42"/>
    <w:lvl w:ilvl="0" w:tplc="A594C0CC">
      <w:start w:val="1"/>
      <w:numFmt w:val="bullet"/>
      <w:pStyle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21F541A"/>
    <w:multiLevelType w:val="multilevel"/>
    <w:tmpl w:val="6582C414"/>
    <w:lvl w:ilvl="0">
      <w:start w:val="1"/>
      <w:numFmt w:val="decimal"/>
      <w:lvlText w:val="%1."/>
      <w:lvlJc w:val="left"/>
      <w:pPr>
        <w:tabs>
          <w:tab w:val="num" w:pos="1134"/>
        </w:tabs>
        <w:ind w:left="1134" w:hanging="1134"/>
      </w:pPr>
      <w:rPr>
        <w:rFonts w:cs="Times New Roman" w:hint="default"/>
        <w:color w:val="FFFFFF"/>
      </w:rPr>
    </w:lvl>
    <w:lvl w:ilvl="1">
      <w:start w:val="1"/>
      <w:numFmt w:val="decimal"/>
      <w:pStyle w:val="QISTextCharCharCharCharCharCharCharCharCharCharCharCharChar1CharChar"/>
      <w:lvlText w:val="1.%2"/>
      <w:lvlJc w:val="left"/>
      <w:pPr>
        <w:tabs>
          <w:tab w:val="num" w:pos="1134"/>
        </w:tabs>
        <w:ind w:left="1134" w:hanging="1134"/>
      </w:pPr>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11">
    <w:nsid w:val="4ED46175"/>
    <w:multiLevelType w:val="hybridMultilevel"/>
    <w:tmpl w:val="45C867D4"/>
    <w:lvl w:ilvl="0" w:tplc="4DD2EBD0">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156"/>
        </w:tabs>
        <w:ind w:left="1156" w:hanging="360"/>
      </w:pPr>
    </w:lvl>
    <w:lvl w:ilvl="2" w:tplc="0409001B" w:tentative="1">
      <w:start w:val="1"/>
      <w:numFmt w:val="lowerRoman"/>
      <w:lvlText w:val="%3."/>
      <w:lvlJc w:val="right"/>
      <w:pPr>
        <w:tabs>
          <w:tab w:val="num" w:pos="1876"/>
        </w:tabs>
        <w:ind w:left="1876" w:hanging="180"/>
      </w:pPr>
    </w:lvl>
    <w:lvl w:ilvl="3" w:tplc="0409000F" w:tentative="1">
      <w:start w:val="1"/>
      <w:numFmt w:val="decimal"/>
      <w:lvlText w:val="%4."/>
      <w:lvlJc w:val="left"/>
      <w:pPr>
        <w:tabs>
          <w:tab w:val="num" w:pos="2596"/>
        </w:tabs>
        <w:ind w:left="2596" w:hanging="360"/>
      </w:pPr>
    </w:lvl>
    <w:lvl w:ilvl="4" w:tplc="04090019" w:tentative="1">
      <w:start w:val="1"/>
      <w:numFmt w:val="lowerLetter"/>
      <w:lvlText w:val="%5."/>
      <w:lvlJc w:val="left"/>
      <w:pPr>
        <w:tabs>
          <w:tab w:val="num" w:pos="3316"/>
        </w:tabs>
        <w:ind w:left="3316" w:hanging="360"/>
      </w:pPr>
    </w:lvl>
    <w:lvl w:ilvl="5" w:tplc="0409001B" w:tentative="1">
      <w:start w:val="1"/>
      <w:numFmt w:val="lowerRoman"/>
      <w:lvlText w:val="%6."/>
      <w:lvlJc w:val="right"/>
      <w:pPr>
        <w:tabs>
          <w:tab w:val="num" w:pos="4036"/>
        </w:tabs>
        <w:ind w:left="4036" w:hanging="180"/>
      </w:pPr>
    </w:lvl>
    <w:lvl w:ilvl="6" w:tplc="0409000F" w:tentative="1">
      <w:start w:val="1"/>
      <w:numFmt w:val="decimal"/>
      <w:lvlText w:val="%7."/>
      <w:lvlJc w:val="left"/>
      <w:pPr>
        <w:tabs>
          <w:tab w:val="num" w:pos="4756"/>
        </w:tabs>
        <w:ind w:left="4756" w:hanging="360"/>
      </w:pPr>
    </w:lvl>
    <w:lvl w:ilvl="7" w:tplc="04090019" w:tentative="1">
      <w:start w:val="1"/>
      <w:numFmt w:val="lowerLetter"/>
      <w:lvlText w:val="%8."/>
      <w:lvlJc w:val="left"/>
      <w:pPr>
        <w:tabs>
          <w:tab w:val="num" w:pos="5476"/>
        </w:tabs>
        <w:ind w:left="5476" w:hanging="360"/>
      </w:pPr>
    </w:lvl>
    <w:lvl w:ilvl="8" w:tplc="0409001B" w:tentative="1">
      <w:start w:val="1"/>
      <w:numFmt w:val="lowerRoman"/>
      <w:lvlText w:val="%9."/>
      <w:lvlJc w:val="right"/>
      <w:pPr>
        <w:tabs>
          <w:tab w:val="num" w:pos="6196"/>
        </w:tabs>
        <w:ind w:left="6196" w:hanging="180"/>
      </w:pPr>
    </w:lvl>
  </w:abstractNum>
  <w:abstractNum w:abstractNumId="12">
    <w:nsid w:val="56CD3276"/>
    <w:multiLevelType w:val="hybridMultilevel"/>
    <w:tmpl w:val="4754DA8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782635F"/>
    <w:multiLevelType w:val="hybridMultilevel"/>
    <w:tmpl w:val="911EADE2"/>
    <w:lvl w:ilvl="0" w:tplc="E4B6986A">
      <w:numFmt w:val="bullet"/>
      <w:lvlText w:val="•"/>
      <w:lvlJc w:val="left"/>
      <w:pPr>
        <w:ind w:left="1065" w:hanging="705"/>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A55493A"/>
    <w:multiLevelType w:val="hybridMultilevel"/>
    <w:tmpl w:val="96525374"/>
    <w:lvl w:ilvl="0" w:tplc="B162B27C">
      <w:numFmt w:val="bullet"/>
      <w:lvlText w:val="-"/>
      <w:lvlJc w:val="left"/>
      <w:pPr>
        <w:tabs>
          <w:tab w:val="num" w:pos="568"/>
        </w:tabs>
        <w:ind w:left="568" w:hanging="284"/>
      </w:pPr>
      <w:rPr>
        <w:rFonts w:ascii="Verdana" w:eastAsia="Calibri" w:hAnsi="Verdana" w:cs="Calibri" w:hint="default"/>
        <w:sz w:val="20"/>
      </w:rPr>
    </w:lvl>
    <w:lvl w:ilvl="1" w:tplc="B162B27C">
      <w:numFmt w:val="bullet"/>
      <w:lvlText w:val="-"/>
      <w:lvlJc w:val="left"/>
      <w:pPr>
        <w:tabs>
          <w:tab w:val="num" w:pos="1288"/>
        </w:tabs>
        <w:ind w:left="1288" w:hanging="284"/>
      </w:pPr>
      <w:rPr>
        <w:rFonts w:ascii="Verdana" w:eastAsia="Calibri" w:hAnsi="Verdana" w:cs="Calibri" w:hint="default"/>
        <w:sz w:val="20"/>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5">
    <w:nsid w:val="674807DC"/>
    <w:multiLevelType w:val="hybridMultilevel"/>
    <w:tmpl w:val="5496723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10475A7"/>
    <w:multiLevelType w:val="hybridMultilevel"/>
    <w:tmpl w:val="AE1AA59C"/>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start w:val="1"/>
      <w:numFmt w:val="bullet"/>
      <w:lvlText w:val=""/>
      <w:lvlJc w:val="left"/>
      <w:pPr>
        <w:ind w:left="1800" w:hanging="360"/>
      </w:pPr>
      <w:rPr>
        <w:rFonts w:ascii="Wingdings" w:hAnsi="Wingdings" w:hint="default"/>
      </w:rPr>
    </w:lvl>
    <w:lvl w:ilvl="3" w:tplc="040B0001">
      <w:start w:val="1"/>
      <w:numFmt w:val="bullet"/>
      <w:lvlText w:val=""/>
      <w:lvlJc w:val="left"/>
      <w:pPr>
        <w:ind w:left="2520" w:hanging="360"/>
      </w:pPr>
      <w:rPr>
        <w:rFonts w:ascii="Symbol" w:hAnsi="Symbol" w:hint="default"/>
      </w:rPr>
    </w:lvl>
    <w:lvl w:ilvl="4" w:tplc="040B0003">
      <w:start w:val="1"/>
      <w:numFmt w:val="bullet"/>
      <w:lvlText w:val="o"/>
      <w:lvlJc w:val="left"/>
      <w:pPr>
        <w:ind w:left="3240" w:hanging="360"/>
      </w:pPr>
      <w:rPr>
        <w:rFonts w:ascii="Courier New" w:hAnsi="Courier New" w:cs="Courier New" w:hint="default"/>
      </w:rPr>
    </w:lvl>
    <w:lvl w:ilvl="5" w:tplc="040B0005">
      <w:start w:val="1"/>
      <w:numFmt w:val="bullet"/>
      <w:lvlText w:val=""/>
      <w:lvlJc w:val="left"/>
      <w:pPr>
        <w:ind w:left="3960" w:hanging="360"/>
      </w:pPr>
      <w:rPr>
        <w:rFonts w:ascii="Wingdings" w:hAnsi="Wingdings" w:hint="default"/>
      </w:rPr>
    </w:lvl>
    <w:lvl w:ilvl="6" w:tplc="040B0001">
      <w:start w:val="1"/>
      <w:numFmt w:val="bullet"/>
      <w:lvlText w:val=""/>
      <w:lvlJc w:val="left"/>
      <w:pPr>
        <w:ind w:left="4680" w:hanging="360"/>
      </w:pPr>
      <w:rPr>
        <w:rFonts w:ascii="Symbol" w:hAnsi="Symbol" w:hint="default"/>
      </w:rPr>
    </w:lvl>
    <w:lvl w:ilvl="7" w:tplc="040B0003">
      <w:start w:val="1"/>
      <w:numFmt w:val="bullet"/>
      <w:lvlText w:val="o"/>
      <w:lvlJc w:val="left"/>
      <w:pPr>
        <w:ind w:left="5400" w:hanging="360"/>
      </w:pPr>
      <w:rPr>
        <w:rFonts w:ascii="Courier New" w:hAnsi="Courier New" w:cs="Courier New" w:hint="default"/>
      </w:rPr>
    </w:lvl>
    <w:lvl w:ilvl="8" w:tplc="040B0005">
      <w:start w:val="1"/>
      <w:numFmt w:val="bullet"/>
      <w:lvlText w:val=""/>
      <w:lvlJc w:val="left"/>
      <w:pPr>
        <w:ind w:left="6120" w:hanging="360"/>
      </w:pPr>
      <w:rPr>
        <w:rFonts w:ascii="Wingdings" w:hAnsi="Wingdings" w:hint="default"/>
      </w:rPr>
    </w:lvl>
  </w:abstractNum>
  <w:abstractNum w:abstractNumId="17">
    <w:nsid w:val="73CB098C"/>
    <w:multiLevelType w:val="hybridMultilevel"/>
    <w:tmpl w:val="EDE65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CF64DEA"/>
    <w:multiLevelType w:val="multilevel"/>
    <w:tmpl w:val="4674609A"/>
    <w:lvl w:ilvl="0">
      <w:start w:val="1"/>
      <w:numFmt w:val="decimal"/>
      <w:lvlText w:val="%1."/>
      <w:lvlJc w:val="left"/>
      <w:pPr>
        <w:tabs>
          <w:tab w:val="num" w:pos="1134"/>
        </w:tabs>
        <w:ind w:left="1134" w:hanging="1134"/>
      </w:pPr>
      <w:rPr>
        <w:rFonts w:cs="Times New Roman" w:hint="default"/>
        <w:color w:val="FFFFFF"/>
      </w:rPr>
    </w:lvl>
    <w:lvl w:ilvl="1">
      <w:start w:val="6"/>
      <w:numFmt w:val="decimal"/>
      <w:lvlText w:val="TS.XII.C.%2"/>
      <w:lvlJc w:val="left"/>
      <w:pPr>
        <w:tabs>
          <w:tab w:val="num" w:pos="1531"/>
        </w:tabs>
        <w:ind w:left="1134" w:hanging="1134"/>
      </w:pPr>
      <w:rPr>
        <w:rFonts w:cs="Times New Roman" w:hint="default"/>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num w:numId="1">
    <w:abstractNumId w:val="6"/>
  </w:num>
  <w:num w:numId="2">
    <w:abstractNumId w:val="4"/>
  </w:num>
  <w:num w:numId="3">
    <w:abstractNumId w:val="9"/>
  </w:num>
  <w:num w:numId="4">
    <w:abstractNumId w:val="7"/>
  </w:num>
  <w:num w:numId="5">
    <w:abstractNumId w:val="0"/>
  </w:num>
  <w:num w:numId="6">
    <w:abstractNumId w:val="1"/>
  </w:num>
  <w:num w:numId="7">
    <w:abstractNumId w:val="14"/>
  </w:num>
  <w:num w:numId="8">
    <w:abstractNumId w:val="11"/>
  </w:num>
  <w:num w:numId="9">
    <w:abstractNumId w:val="7"/>
  </w:num>
  <w:num w:numId="10">
    <w:abstractNumId w:val="7"/>
  </w:num>
  <w:num w:numId="11">
    <w:abstractNumId w:val="7"/>
  </w:num>
  <w:num w:numId="12">
    <w:abstractNumId w:val="7"/>
  </w:num>
  <w:num w:numId="13">
    <w:abstractNumId w:val="3"/>
  </w:num>
  <w:num w:numId="14">
    <w:abstractNumId w:val="10"/>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2"/>
  </w:num>
  <w:num w:numId="18">
    <w:abstractNumId w:val="16"/>
  </w:num>
  <w:num w:numId="19">
    <w:abstractNumId w:val="2"/>
  </w:num>
  <w:num w:numId="20">
    <w:abstractNumId w:val="17"/>
  </w:num>
  <w:num w:numId="21">
    <w:abstractNumId w:val="8"/>
  </w:num>
  <w:num w:numId="22">
    <w:abstractNumId w:val="5"/>
  </w:num>
  <w:num w:numId="23">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09"/>
  <w:hyphenationZone w:val="425"/>
  <w:noPunctuationKerning/>
  <w:characterSpacingControl w:val="doNotCompress"/>
  <w:hdrShapeDefaults>
    <o:shapedefaults v:ext="edit" spidmax="2049">
      <o:colormru v:ext="edit" colors="#9c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43A"/>
    <w:rsid w:val="000014BC"/>
    <w:rsid w:val="000102E7"/>
    <w:rsid w:val="000109CD"/>
    <w:rsid w:val="00015293"/>
    <w:rsid w:val="00020EEB"/>
    <w:rsid w:val="000275CB"/>
    <w:rsid w:val="00032DB8"/>
    <w:rsid w:val="00040F83"/>
    <w:rsid w:val="000463E5"/>
    <w:rsid w:val="00052570"/>
    <w:rsid w:val="000536D7"/>
    <w:rsid w:val="000569A6"/>
    <w:rsid w:val="00061CF8"/>
    <w:rsid w:val="00066ABD"/>
    <w:rsid w:val="000772EB"/>
    <w:rsid w:val="0008066A"/>
    <w:rsid w:val="00082B03"/>
    <w:rsid w:val="00084B95"/>
    <w:rsid w:val="00084CDE"/>
    <w:rsid w:val="00086905"/>
    <w:rsid w:val="00096230"/>
    <w:rsid w:val="000A207B"/>
    <w:rsid w:val="000A6467"/>
    <w:rsid w:val="000A668D"/>
    <w:rsid w:val="000A7FAD"/>
    <w:rsid w:val="000B222E"/>
    <w:rsid w:val="000B623B"/>
    <w:rsid w:val="000C0AFF"/>
    <w:rsid w:val="000D0EC2"/>
    <w:rsid w:val="000D22C9"/>
    <w:rsid w:val="000D4F15"/>
    <w:rsid w:val="000E1EBF"/>
    <w:rsid w:val="000E3560"/>
    <w:rsid w:val="000E774E"/>
    <w:rsid w:val="000F0F5C"/>
    <w:rsid w:val="000F2C55"/>
    <w:rsid w:val="00104156"/>
    <w:rsid w:val="00122817"/>
    <w:rsid w:val="0012453F"/>
    <w:rsid w:val="00127290"/>
    <w:rsid w:val="0013011B"/>
    <w:rsid w:val="00132FB8"/>
    <w:rsid w:val="00137079"/>
    <w:rsid w:val="00141879"/>
    <w:rsid w:val="0014253C"/>
    <w:rsid w:val="00154177"/>
    <w:rsid w:val="0016158E"/>
    <w:rsid w:val="00176C5B"/>
    <w:rsid w:val="00184256"/>
    <w:rsid w:val="001847E2"/>
    <w:rsid w:val="00184B50"/>
    <w:rsid w:val="00184EBC"/>
    <w:rsid w:val="00196A0F"/>
    <w:rsid w:val="001A687E"/>
    <w:rsid w:val="001D155B"/>
    <w:rsid w:val="001D5489"/>
    <w:rsid w:val="001D650E"/>
    <w:rsid w:val="001F4F86"/>
    <w:rsid w:val="00201A05"/>
    <w:rsid w:val="00201DFA"/>
    <w:rsid w:val="0020411A"/>
    <w:rsid w:val="002063B1"/>
    <w:rsid w:val="002150B3"/>
    <w:rsid w:val="00217FDB"/>
    <w:rsid w:val="0022366B"/>
    <w:rsid w:val="002251D9"/>
    <w:rsid w:val="00226071"/>
    <w:rsid w:val="00226A74"/>
    <w:rsid w:val="00230110"/>
    <w:rsid w:val="00234A04"/>
    <w:rsid w:val="0023690E"/>
    <w:rsid w:val="00243997"/>
    <w:rsid w:val="00246899"/>
    <w:rsid w:val="00246E0E"/>
    <w:rsid w:val="002474C8"/>
    <w:rsid w:val="00247655"/>
    <w:rsid w:val="00250049"/>
    <w:rsid w:val="002532D9"/>
    <w:rsid w:val="00255476"/>
    <w:rsid w:val="00255FB8"/>
    <w:rsid w:val="00256630"/>
    <w:rsid w:val="0026595D"/>
    <w:rsid w:val="00265D27"/>
    <w:rsid w:val="002660D0"/>
    <w:rsid w:val="00267BC0"/>
    <w:rsid w:val="00270E5A"/>
    <w:rsid w:val="002715FB"/>
    <w:rsid w:val="002764B2"/>
    <w:rsid w:val="0028122B"/>
    <w:rsid w:val="00281F90"/>
    <w:rsid w:val="0028606A"/>
    <w:rsid w:val="00286857"/>
    <w:rsid w:val="0029094E"/>
    <w:rsid w:val="00291328"/>
    <w:rsid w:val="002A7A91"/>
    <w:rsid w:val="002B3E39"/>
    <w:rsid w:val="002B452F"/>
    <w:rsid w:val="002C479A"/>
    <w:rsid w:val="002D2414"/>
    <w:rsid w:val="002D383A"/>
    <w:rsid w:val="002D520F"/>
    <w:rsid w:val="002D61BC"/>
    <w:rsid w:val="002F40AF"/>
    <w:rsid w:val="003023D2"/>
    <w:rsid w:val="00302D8E"/>
    <w:rsid w:val="0030434D"/>
    <w:rsid w:val="00305ED0"/>
    <w:rsid w:val="0031002E"/>
    <w:rsid w:val="00310241"/>
    <w:rsid w:val="00312C21"/>
    <w:rsid w:val="003130F7"/>
    <w:rsid w:val="00317597"/>
    <w:rsid w:val="00327D59"/>
    <w:rsid w:val="00327E86"/>
    <w:rsid w:val="00330317"/>
    <w:rsid w:val="00330607"/>
    <w:rsid w:val="00332697"/>
    <w:rsid w:val="0033385B"/>
    <w:rsid w:val="00342456"/>
    <w:rsid w:val="003444E0"/>
    <w:rsid w:val="003503FB"/>
    <w:rsid w:val="0035230A"/>
    <w:rsid w:val="00352BC2"/>
    <w:rsid w:val="003722FF"/>
    <w:rsid w:val="0037283C"/>
    <w:rsid w:val="00381839"/>
    <w:rsid w:val="003819B3"/>
    <w:rsid w:val="00382664"/>
    <w:rsid w:val="0039488F"/>
    <w:rsid w:val="003A10ED"/>
    <w:rsid w:val="003B39D0"/>
    <w:rsid w:val="003C2F63"/>
    <w:rsid w:val="003D4F71"/>
    <w:rsid w:val="003D6081"/>
    <w:rsid w:val="003D7292"/>
    <w:rsid w:val="003D7905"/>
    <w:rsid w:val="003D7922"/>
    <w:rsid w:val="003E0F34"/>
    <w:rsid w:val="003E1FDD"/>
    <w:rsid w:val="003E2C82"/>
    <w:rsid w:val="003F4229"/>
    <w:rsid w:val="0040017D"/>
    <w:rsid w:val="0041199E"/>
    <w:rsid w:val="00412592"/>
    <w:rsid w:val="0042052E"/>
    <w:rsid w:val="00420BAA"/>
    <w:rsid w:val="00422456"/>
    <w:rsid w:val="0042306E"/>
    <w:rsid w:val="00423AD4"/>
    <w:rsid w:val="004260B2"/>
    <w:rsid w:val="00427866"/>
    <w:rsid w:val="004361DE"/>
    <w:rsid w:val="00441B9D"/>
    <w:rsid w:val="00445DD4"/>
    <w:rsid w:val="00447CC1"/>
    <w:rsid w:val="004546B5"/>
    <w:rsid w:val="00462425"/>
    <w:rsid w:val="004644CC"/>
    <w:rsid w:val="004647A0"/>
    <w:rsid w:val="00475A4A"/>
    <w:rsid w:val="00476D02"/>
    <w:rsid w:val="004932F0"/>
    <w:rsid w:val="004939DC"/>
    <w:rsid w:val="00495ACD"/>
    <w:rsid w:val="004A4F23"/>
    <w:rsid w:val="004A7657"/>
    <w:rsid w:val="004B2332"/>
    <w:rsid w:val="004C5DB6"/>
    <w:rsid w:val="004C7A2E"/>
    <w:rsid w:val="004D060E"/>
    <w:rsid w:val="004D0F19"/>
    <w:rsid w:val="004D14A8"/>
    <w:rsid w:val="004D60AB"/>
    <w:rsid w:val="004E1753"/>
    <w:rsid w:val="004E6899"/>
    <w:rsid w:val="004E70B7"/>
    <w:rsid w:val="004F7505"/>
    <w:rsid w:val="004F773B"/>
    <w:rsid w:val="005002D0"/>
    <w:rsid w:val="00501751"/>
    <w:rsid w:val="00502F54"/>
    <w:rsid w:val="00506B99"/>
    <w:rsid w:val="0051518C"/>
    <w:rsid w:val="00515300"/>
    <w:rsid w:val="00515BB7"/>
    <w:rsid w:val="005210A0"/>
    <w:rsid w:val="00524A6F"/>
    <w:rsid w:val="00533BA7"/>
    <w:rsid w:val="00537BC0"/>
    <w:rsid w:val="00542AE4"/>
    <w:rsid w:val="0054411E"/>
    <w:rsid w:val="00544B1D"/>
    <w:rsid w:val="0054540A"/>
    <w:rsid w:val="00545BA2"/>
    <w:rsid w:val="00547247"/>
    <w:rsid w:val="00547665"/>
    <w:rsid w:val="005514C6"/>
    <w:rsid w:val="00554C5F"/>
    <w:rsid w:val="005615DB"/>
    <w:rsid w:val="00566A3E"/>
    <w:rsid w:val="005671AC"/>
    <w:rsid w:val="00570075"/>
    <w:rsid w:val="005700E2"/>
    <w:rsid w:val="005716FF"/>
    <w:rsid w:val="00575D5F"/>
    <w:rsid w:val="00581ED1"/>
    <w:rsid w:val="0058372C"/>
    <w:rsid w:val="00584C25"/>
    <w:rsid w:val="00587EEE"/>
    <w:rsid w:val="0059322E"/>
    <w:rsid w:val="00593A77"/>
    <w:rsid w:val="00594F31"/>
    <w:rsid w:val="005976C7"/>
    <w:rsid w:val="005A66ED"/>
    <w:rsid w:val="005B3D66"/>
    <w:rsid w:val="005B5C9F"/>
    <w:rsid w:val="005C2F0B"/>
    <w:rsid w:val="005C5488"/>
    <w:rsid w:val="005D38B7"/>
    <w:rsid w:val="005D4C00"/>
    <w:rsid w:val="005F5FD3"/>
    <w:rsid w:val="005F77DD"/>
    <w:rsid w:val="00600336"/>
    <w:rsid w:val="006030A9"/>
    <w:rsid w:val="00604F93"/>
    <w:rsid w:val="00622547"/>
    <w:rsid w:val="00622E5F"/>
    <w:rsid w:val="006351C2"/>
    <w:rsid w:val="006364C5"/>
    <w:rsid w:val="00636536"/>
    <w:rsid w:val="0064086E"/>
    <w:rsid w:val="00644261"/>
    <w:rsid w:val="00647E0C"/>
    <w:rsid w:val="00651C58"/>
    <w:rsid w:val="006533D4"/>
    <w:rsid w:val="0066044C"/>
    <w:rsid w:val="00663027"/>
    <w:rsid w:val="00672BCA"/>
    <w:rsid w:val="00681A31"/>
    <w:rsid w:val="00683487"/>
    <w:rsid w:val="006852F0"/>
    <w:rsid w:val="00686B20"/>
    <w:rsid w:val="0069585B"/>
    <w:rsid w:val="006A0E2C"/>
    <w:rsid w:val="006A2DD8"/>
    <w:rsid w:val="006A624D"/>
    <w:rsid w:val="006B3849"/>
    <w:rsid w:val="006B6BBC"/>
    <w:rsid w:val="006C142C"/>
    <w:rsid w:val="006C2682"/>
    <w:rsid w:val="006C6E24"/>
    <w:rsid w:val="006D01E6"/>
    <w:rsid w:val="006D63DA"/>
    <w:rsid w:val="006D6C65"/>
    <w:rsid w:val="006E4308"/>
    <w:rsid w:val="006F4E29"/>
    <w:rsid w:val="006F7780"/>
    <w:rsid w:val="007023E8"/>
    <w:rsid w:val="00704D76"/>
    <w:rsid w:val="00704E76"/>
    <w:rsid w:val="00706435"/>
    <w:rsid w:val="00714DE7"/>
    <w:rsid w:val="00715C1C"/>
    <w:rsid w:val="007176DA"/>
    <w:rsid w:val="00732780"/>
    <w:rsid w:val="007332D1"/>
    <w:rsid w:val="00737A9C"/>
    <w:rsid w:val="0074210D"/>
    <w:rsid w:val="00742ECE"/>
    <w:rsid w:val="0074664F"/>
    <w:rsid w:val="0074767F"/>
    <w:rsid w:val="00747F36"/>
    <w:rsid w:val="00750C2B"/>
    <w:rsid w:val="00751167"/>
    <w:rsid w:val="0075672C"/>
    <w:rsid w:val="00762128"/>
    <w:rsid w:val="00762F49"/>
    <w:rsid w:val="00766B42"/>
    <w:rsid w:val="00774F92"/>
    <w:rsid w:val="0077611C"/>
    <w:rsid w:val="00777543"/>
    <w:rsid w:val="007829BF"/>
    <w:rsid w:val="00782B5C"/>
    <w:rsid w:val="00784547"/>
    <w:rsid w:val="0079271C"/>
    <w:rsid w:val="0079504D"/>
    <w:rsid w:val="007B31A3"/>
    <w:rsid w:val="007B5400"/>
    <w:rsid w:val="007D3AB3"/>
    <w:rsid w:val="007E09D7"/>
    <w:rsid w:val="007E4056"/>
    <w:rsid w:val="007E4319"/>
    <w:rsid w:val="007E4350"/>
    <w:rsid w:val="0080011A"/>
    <w:rsid w:val="008014F2"/>
    <w:rsid w:val="008038E7"/>
    <w:rsid w:val="0080417A"/>
    <w:rsid w:val="008109FD"/>
    <w:rsid w:val="00817A4D"/>
    <w:rsid w:val="00820B7A"/>
    <w:rsid w:val="00823AE5"/>
    <w:rsid w:val="0082416E"/>
    <w:rsid w:val="0082441D"/>
    <w:rsid w:val="008244F0"/>
    <w:rsid w:val="008259FF"/>
    <w:rsid w:val="0082605D"/>
    <w:rsid w:val="008310E9"/>
    <w:rsid w:val="00847FF1"/>
    <w:rsid w:val="00850326"/>
    <w:rsid w:val="00855C22"/>
    <w:rsid w:val="00856175"/>
    <w:rsid w:val="00862D2D"/>
    <w:rsid w:val="0086507E"/>
    <w:rsid w:val="008731CD"/>
    <w:rsid w:val="008756E5"/>
    <w:rsid w:val="008831ED"/>
    <w:rsid w:val="00886F8E"/>
    <w:rsid w:val="00891798"/>
    <w:rsid w:val="00893917"/>
    <w:rsid w:val="00896002"/>
    <w:rsid w:val="00896CFC"/>
    <w:rsid w:val="008A5209"/>
    <w:rsid w:val="008A5601"/>
    <w:rsid w:val="008A5809"/>
    <w:rsid w:val="008B7864"/>
    <w:rsid w:val="008C285E"/>
    <w:rsid w:val="008C3429"/>
    <w:rsid w:val="008C620B"/>
    <w:rsid w:val="008C76C2"/>
    <w:rsid w:val="008D3BBC"/>
    <w:rsid w:val="008D4793"/>
    <w:rsid w:val="008D61C4"/>
    <w:rsid w:val="008E0025"/>
    <w:rsid w:val="008E1ED5"/>
    <w:rsid w:val="008E5374"/>
    <w:rsid w:val="008E7FF0"/>
    <w:rsid w:val="008F3296"/>
    <w:rsid w:val="008F3A4B"/>
    <w:rsid w:val="008F48FE"/>
    <w:rsid w:val="00907097"/>
    <w:rsid w:val="0092348D"/>
    <w:rsid w:val="00924248"/>
    <w:rsid w:val="009263DD"/>
    <w:rsid w:val="00927412"/>
    <w:rsid w:val="0095576B"/>
    <w:rsid w:val="00960BB5"/>
    <w:rsid w:val="00963BB1"/>
    <w:rsid w:val="00967FBF"/>
    <w:rsid w:val="009736C7"/>
    <w:rsid w:val="00974415"/>
    <w:rsid w:val="00985BA7"/>
    <w:rsid w:val="0098611B"/>
    <w:rsid w:val="00993BF3"/>
    <w:rsid w:val="00996E44"/>
    <w:rsid w:val="009A4945"/>
    <w:rsid w:val="009A6CF4"/>
    <w:rsid w:val="009B5FAA"/>
    <w:rsid w:val="009C2F5F"/>
    <w:rsid w:val="009D3D97"/>
    <w:rsid w:val="009D4FD8"/>
    <w:rsid w:val="009D7B41"/>
    <w:rsid w:val="009F4145"/>
    <w:rsid w:val="00A01C80"/>
    <w:rsid w:val="00A05819"/>
    <w:rsid w:val="00A20EEE"/>
    <w:rsid w:val="00A224B1"/>
    <w:rsid w:val="00A2687D"/>
    <w:rsid w:val="00A32E3D"/>
    <w:rsid w:val="00A40CB2"/>
    <w:rsid w:val="00A5340A"/>
    <w:rsid w:val="00A5472F"/>
    <w:rsid w:val="00A54F8E"/>
    <w:rsid w:val="00A70346"/>
    <w:rsid w:val="00A719CD"/>
    <w:rsid w:val="00A7577B"/>
    <w:rsid w:val="00A7770C"/>
    <w:rsid w:val="00A850A7"/>
    <w:rsid w:val="00A856E2"/>
    <w:rsid w:val="00A87797"/>
    <w:rsid w:val="00A93498"/>
    <w:rsid w:val="00A94384"/>
    <w:rsid w:val="00A95306"/>
    <w:rsid w:val="00A97AA3"/>
    <w:rsid w:val="00A97E69"/>
    <w:rsid w:val="00AA33E6"/>
    <w:rsid w:val="00AA436F"/>
    <w:rsid w:val="00AB097A"/>
    <w:rsid w:val="00AB5E2F"/>
    <w:rsid w:val="00AB65F6"/>
    <w:rsid w:val="00AB776F"/>
    <w:rsid w:val="00AC31A9"/>
    <w:rsid w:val="00AC339F"/>
    <w:rsid w:val="00AD0667"/>
    <w:rsid w:val="00AD3D1D"/>
    <w:rsid w:val="00AD5D12"/>
    <w:rsid w:val="00AE1AF0"/>
    <w:rsid w:val="00AE2BDD"/>
    <w:rsid w:val="00AF26FD"/>
    <w:rsid w:val="00B066AF"/>
    <w:rsid w:val="00B11EC6"/>
    <w:rsid w:val="00B20EC2"/>
    <w:rsid w:val="00B277A6"/>
    <w:rsid w:val="00B3005C"/>
    <w:rsid w:val="00B34EA0"/>
    <w:rsid w:val="00B35590"/>
    <w:rsid w:val="00B35D21"/>
    <w:rsid w:val="00B37664"/>
    <w:rsid w:val="00B55547"/>
    <w:rsid w:val="00B56298"/>
    <w:rsid w:val="00B6108D"/>
    <w:rsid w:val="00B617AA"/>
    <w:rsid w:val="00B61A39"/>
    <w:rsid w:val="00B7446F"/>
    <w:rsid w:val="00B80B71"/>
    <w:rsid w:val="00B913DB"/>
    <w:rsid w:val="00BA58A6"/>
    <w:rsid w:val="00BB191D"/>
    <w:rsid w:val="00BB3802"/>
    <w:rsid w:val="00BB38C8"/>
    <w:rsid w:val="00BB5908"/>
    <w:rsid w:val="00BC1D22"/>
    <w:rsid w:val="00BD27E3"/>
    <w:rsid w:val="00BD67E4"/>
    <w:rsid w:val="00BE30EF"/>
    <w:rsid w:val="00BE6CE5"/>
    <w:rsid w:val="00BF5E93"/>
    <w:rsid w:val="00BF6E4C"/>
    <w:rsid w:val="00C01BCD"/>
    <w:rsid w:val="00C073CA"/>
    <w:rsid w:val="00C11D10"/>
    <w:rsid w:val="00C123D3"/>
    <w:rsid w:val="00C15C9C"/>
    <w:rsid w:val="00C21879"/>
    <w:rsid w:val="00C2464D"/>
    <w:rsid w:val="00C326FB"/>
    <w:rsid w:val="00C40528"/>
    <w:rsid w:val="00C40653"/>
    <w:rsid w:val="00C42523"/>
    <w:rsid w:val="00C479ED"/>
    <w:rsid w:val="00C50C82"/>
    <w:rsid w:val="00C51F17"/>
    <w:rsid w:val="00C5529D"/>
    <w:rsid w:val="00C63D18"/>
    <w:rsid w:val="00C67A59"/>
    <w:rsid w:val="00C7151B"/>
    <w:rsid w:val="00C7176E"/>
    <w:rsid w:val="00C8259C"/>
    <w:rsid w:val="00C85104"/>
    <w:rsid w:val="00C90888"/>
    <w:rsid w:val="00C93FB4"/>
    <w:rsid w:val="00CA5D82"/>
    <w:rsid w:val="00CB2771"/>
    <w:rsid w:val="00CB6155"/>
    <w:rsid w:val="00CC4D62"/>
    <w:rsid w:val="00CD35BB"/>
    <w:rsid w:val="00CD41BA"/>
    <w:rsid w:val="00CD78DD"/>
    <w:rsid w:val="00CE2846"/>
    <w:rsid w:val="00CE5CAF"/>
    <w:rsid w:val="00CF76C9"/>
    <w:rsid w:val="00CF7BB6"/>
    <w:rsid w:val="00D00A4C"/>
    <w:rsid w:val="00D01EF0"/>
    <w:rsid w:val="00D05321"/>
    <w:rsid w:val="00D0558E"/>
    <w:rsid w:val="00D12134"/>
    <w:rsid w:val="00D133AB"/>
    <w:rsid w:val="00D151AF"/>
    <w:rsid w:val="00D15722"/>
    <w:rsid w:val="00D21953"/>
    <w:rsid w:val="00D30DA5"/>
    <w:rsid w:val="00D3243A"/>
    <w:rsid w:val="00D33A04"/>
    <w:rsid w:val="00D5063B"/>
    <w:rsid w:val="00D51A2D"/>
    <w:rsid w:val="00D56E67"/>
    <w:rsid w:val="00D619B9"/>
    <w:rsid w:val="00D61DCD"/>
    <w:rsid w:val="00D64607"/>
    <w:rsid w:val="00D6608C"/>
    <w:rsid w:val="00D735D6"/>
    <w:rsid w:val="00D80341"/>
    <w:rsid w:val="00D92448"/>
    <w:rsid w:val="00D93CD4"/>
    <w:rsid w:val="00D94B90"/>
    <w:rsid w:val="00DA233F"/>
    <w:rsid w:val="00DA7A66"/>
    <w:rsid w:val="00DA7BDA"/>
    <w:rsid w:val="00DB3534"/>
    <w:rsid w:val="00DC52F1"/>
    <w:rsid w:val="00DC71B1"/>
    <w:rsid w:val="00DD1177"/>
    <w:rsid w:val="00DD4E3E"/>
    <w:rsid w:val="00DD6162"/>
    <w:rsid w:val="00DE4DB6"/>
    <w:rsid w:val="00E129A0"/>
    <w:rsid w:val="00E159D7"/>
    <w:rsid w:val="00E15E32"/>
    <w:rsid w:val="00E24033"/>
    <w:rsid w:val="00E33D6A"/>
    <w:rsid w:val="00E34F0E"/>
    <w:rsid w:val="00E37DEA"/>
    <w:rsid w:val="00E4132A"/>
    <w:rsid w:val="00E44730"/>
    <w:rsid w:val="00E50930"/>
    <w:rsid w:val="00E56F2B"/>
    <w:rsid w:val="00E602A6"/>
    <w:rsid w:val="00E60586"/>
    <w:rsid w:val="00E70060"/>
    <w:rsid w:val="00E71088"/>
    <w:rsid w:val="00E735A7"/>
    <w:rsid w:val="00E762A0"/>
    <w:rsid w:val="00E81050"/>
    <w:rsid w:val="00E86C14"/>
    <w:rsid w:val="00E91044"/>
    <w:rsid w:val="00E91AA5"/>
    <w:rsid w:val="00E94079"/>
    <w:rsid w:val="00E94C1F"/>
    <w:rsid w:val="00E97012"/>
    <w:rsid w:val="00E972C6"/>
    <w:rsid w:val="00EA0067"/>
    <w:rsid w:val="00EA10A0"/>
    <w:rsid w:val="00EA263B"/>
    <w:rsid w:val="00EB578D"/>
    <w:rsid w:val="00EB7331"/>
    <w:rsid w:val="00EC24B8"/>
    <w:rsid w:val="00EC7B6B"/>
    <w:rsid w:val="00ED5216"/>
    <w:rsid w:val="00ED7742"/>
    <w:rsid w:val="00EF0844"/>
    <w:rsid w:val="00EF583C"/>
    <w:rsid w:val="00EF5CBC"/>
    <w:rsid w:val="00EF5D7E"/>
    <w:rsid w:val="00F075E9"/>
    <w:rsid w:val="00F115A6"/>
    <w:rsid w:val="00F12762"/>
    <w:rsid w:val="00F214A7"/>
    <w:rsid w:val="00F25271"/>
    <w:rsid w:val="00F31EDC"/>
    <w:rsid w:val="00F35E21"/>
    <w:rsid w:val="00F368DD"/>
    <w:rsid w:val="00F4066A"/>
    <w:rsid w:val="00F43128"/>
    <w:rsid w:val="00F44226"/>
    <w:rsid w:val="00F45EE5"/>
    <w:rsid w:val="00F46A08"/>
    <w:rsid w:val="00F53FA3"/>
    <w:rsid w:val="00F556DF"/>
    <w:rsid w:val="00F61CFF"/>
    <w:rsid w:val="00F65BA7"/>
    <w:rsid w:val="00F6606A"/>
    <w:rsid w:val="00F728EB"/>
    <w:rsid w:val="00F752A4"/>
    <w:rsid w:val="00F75902"/>
    <w:rsid w:val="00F772FD"/>
    <w:rsid w:val="00F8727A"/>
    <w:rsid w:val="00F877DA"/>
    <w:rsid w:val="00F927A4"/>
    <w:rsid w:val="00F93439"/>
    <w:rsid w:val="00F9482F"/>
    <w:rsid w:val="00F95946"/>
    <w:rsid w:val="00F9706C"/>
    <w:rsid w:val="00FA098C"/>
    <w:rsid w:val="00FA4DFA"/>
    <w:rsid w:val="00FC0A25"/>
    <w:rsid w:val="00FC3D2C"/>
    <w:rsid w:val="00FD133C"/>
    <w:rsid w:val="00FD30BE"/>
    <w:rsid w:val="00FE1E6E"/>
    <w:rsid w:val="00FE5D27"/>
    <w:rsid w:val="00FE707C"/>
    <w:rsid w:val="00FF0E07"/>
    <w:rsid w:val="00FF3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9c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de-DE"/>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outlineLvl w:val="2"/>
    </w:pPr>
    <w:rPr>
      <w:rFonts w:ascii="Arial" w:hAnsi="Arial" w:cs="Arial"/>
      <w:b/>
      <w:bCs/>
      <w:lang w:eastAsia="en-US"/>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 w:val="20"/>
    </w:rPr>
  </w:style>
  <w:style w:type="paragraph" w:styleId="Header">
    <w:name w:val="header"/>
    <w:basedOn w:val="Normal"/>
    <w:pPr>
      <w:tabs>
        <w:tab w:val="center" w:pos="4320"/>
        <w:tab w:val="right" w:pos="8640"/>
      </w:tabs>
    </w:pPr>
    <w:rPr>
      <w:rFonts w:ascii="Arial" w:eastAsia="Arial Unicode MS" w:hAnsi="Arial" w:cs="Arial"/>
      <w:sz w:val="18"/>
      <w:szCs w:val="18"/>
      <w:lang w:eastAsia="en-US"/>
    </w:rPr>
  </w:style>
  <w:style w:type="paragraph" w:styleId="Footer">
    <w:name w:val="footer"/>
    <w:basedOn w:val="Normal"/>
    <w:pPr>
      <w:tabs>
        <w:tab w:val="center" w:pos="4536"/>
        <w:tab w:val="right" w:pos="9072"/>
      </w:tabs>
    </w:pPr>
  </w:style>
  <w:style w:type="character" w:styleId="PageNumber">
    <w:name w:val="page number"/>
    <w:basedOn w:val="DefaultParagraphFont"/>
  </w:style>
  <w:style w:type="paragraph" w:styleId="BodyTextIndent">
    <w:name w:val="Body Text Indent"/>
    <w:basedOn w:val="Normal"/>
    <w:pPr>
      <w:ind w:left="720"/>
    </w:pPr>
    <w:rPr>
      <w:rFonts w:ascii="Arial" w:hAnsi="Arial" w:cs="Arial"/>
      <w:lang w:eastAsia="en-US"/>
    </w:rPr>
  </w:style>
  <w:style w:type="paragraph" w:styleId="BodyText">
    <w:name w:val="Body Text"/>
    <w:basedOn w:val="Normal"/>
    <w:pPr>
      <w:spacing w:after="120"/>
    </w:pPr>
  </w:style>
  <w:style w:type="character" w:styleId="Hyperlink">
    <w:name w:val="Hyperlink"/>
    <w:rPr>
      <w:color w:val="0000FF"/>
      <w:u w:val="single"/>
    </w:rPr>
  </w:style>
  <w:style w:type="paragraph" w:styleId="BodyTextIndent2">
    <w:name w:val="Body Text Indent 2"/>
    <w:basedOn w:val="Normal"/>
    <w:pPr>
      <w:spacing w:after="120" w:line="480" w:lineRule="auto"/>
      <w:ind w:left="283"/>
    </w:pPr>
  </w:style>
  <w:style w:type="paragraph" w:customStyle="1" w:styleId="Subbulet">
    <w:name w:val="Subbulet"/>
    <w:basedOn w:val="Normal"/>
    <w:pPr>
      <w:numPr>
        <w:ilvl w:val="1"/>
        <w:numId w:val="1"/>
      </w:numPr>
      <w:overflowPunct w:val="0"/>
      <w:autoSpaceDE w:val="0"/>
      <w:autoSpaceDN w:val="0"/>
      <w:adjustRightInd w:val="0"/>
      <w:jc w:val="both"/>
      <w:textAlignment w:val="baseline"/>
    </w:pPr>
    <w:rPr>
      <w:sz w:val="26"/>
      <w:szCs w:val="26"/>
      <w:lang w:eastAsia="fr-FR"/>
    </w:rPr>
  </w:style>
  <w:style w:type="character" w:customStyle="1" w:styleId="SubbuletChar">
    <w:name w:val="Subbulet Char"/>
    <w:rPr>
      <w:noProof w:val="0"/>
      <w:sz w:val="26"/>
      <w:szCs w:val="26"/>
      <w:lang w:val="en-GB" w:eastAsia="fr-FR" w:bidi="ar-SA"/>
    </w:rPr>
  </w:style>
  <w:style w:type="paragraph" w:customStyle="1" w:styleId="ContinuousSquareBullet">
    <w:name w:val="Continuous Square Bullet"/>
    <w:basedOn w:val="Normal"/>
    <w:pPr>
      <w:numPr>
        <w:numId w:val="2"/>
      </w:numPr>
      <w:spacing w:after="280" w:line="280" w:lineRule="exact"/>
    </w:pPr>
    <w:rPr>
      <w:rFonts w:ascii="Arial" w:hAnsi="Arial"/>
      <w:sz w:val="23"/>
      <w:szCs w:val="20"/>
      <w:lang w:eastAsia="en-US"/>
    </w:rPr>
  </w:style>
  <w:style w:type="paragraph" w:styleId="BodyTextIndent3">
    <w:name w:val="Body Text Indent 3"/>
    <w:basedOn w:val="Normal"/>
    <w:pPr>
      <w:spacing w:after="120"/>
      <w:ind w:left="283"/>
    </w:pPr>
    <w:rPr>
      <w:sz w:val="16"/>
      <w:szCs w:val="16"/>
    </w:rPr>
  </w:style>
  <w:style w:type="paragraph" w:styleId="FootnoteText">
    <w:name w:val="footnote text"/>
    <w:basedOn w:val="Normal"/>
    <w:semiHidden/>
    <w:rPr>
      <w:szCs w:val="20"/>
      <w:lang w:val="nl-NL" w:eastAsia="nl-NL"/>
    </w:rPr>
  </w:style>
  <w:style w:type="character" w:styleId="FootnoteReference">
    <w:name w:val="footnote reference"/>
    <w:semiHidden/>
    <w:rPr>
      <w:vertAlign w:val="superscript"/>
    </w:rPr>
  </w:style>
  <w:style w:type="paragraph" w:styleId="BodyText3">
    <w:name w:val="Body Text 3"/>
    <w:basedOn w:val="Normal"/>
    <w:pPr>
      <w:spacing w:after="120"/>
    </w:pPr>
    <w:rPr>
      <w:sz w:val="16"/>
      <w:szCs w:val="16"/>
    </w:rPr>
  </w:style>
  <w:style w:type="paragraph" w:styleId="BodyText2">
    <w:name w:val="Body Text 2"/>
    <w:basedOn w:val="Normal"/>
    <w:pPr>
      <w:spacing w:after="120" w:line="480" w:lineRule="auto"/>
    </w:pPr>
  </w:style>
  <w:style w:type="paragraph" w:customStyle="1" w:styleId="Anglais">
    <w:name w:val="Anglais"/>
    <w:basedOn w:val="Normal"/>
    <w:rPr>
      <w:szCs w:val="20"/>
      <w:lang w:eastAsia="en-US"/>
    </w:rPr>
  </w:style>
  <w:style w:type="character" w:styleId="EndnoteReference">
    <w:name w:val="endnote reference"/>
    <w:semiHidden/>
    <w:rPr>
      <w:vertAlign w:val="superscript"/>
    </w:rPr>
  </w:style>
  <w:style w:type="paragraph" w:customStyle="1" w:styleId="BalloonText1">
    <w:name w:val="Balloon Text1"/>
    <w:basedOn w:val="Normal"/>
    <w:semiHidden/>
    <w:rPr>
      <w:rFonts w:ascii="Tahoma" w:hAnsi="Tahoma" w:cs="Tahoma"/>
      <w:sz w:val="16"/>
      <w:szCs w:val="16"/>
    </w:rPr>
  </w:style>
  <w:style w:type="paragraph" w:styleId="BalloonText">
    <w:name w:val="Balloon Text"/>
    <w:basedOn w:val="Normal"/>
    <w:semiHidden/>
    <w:rsid w:val="00CD78DD"/>
    <w:rPr>
      <w:rFonts w:ascii="Tahoma" w:hAnsi="Tahoma" w:cs="Tahoma"/>
      <w:sz w:val="16"/>
      <w:szCs w:val="16"/>
    </w:rPr>
  </w:style>
  <w:style w:type="paragraph" w:customStyle="1" w:styleId="FirmaSchlu">
    <w:name w:val="FirmaSchluß"/>
    <w:basedOn w:val="Normal"/>
    <w:pPr>
      <w:tabs>
        <w:tab w:val="center" w:pos="6237"/>
      </w:tabs>
      <w:autoSpaceDE w:val="0"/>
      <w:autoSpaceDN w:val="0"/>
      <w:adjustRightInd w:val="0"/>
      <w:ind w:left="705"/>
      <w:jc w:val="both"/>
    </w:pPr>
    <w:rPr>
      <w:rFonts w:ascii="Helv" w:hAnsi="Helv"/>
      <w:color w:val="000000"/>
      <w:szCs w:val="20"/>
    </w:rPr>
  </w:style>
  <w:style w:type="paragraph" w:customStyle="1" w:styleId="Noparagraphstyle">
    <w:name w:val="[No paragraph style]"/>
    <w:pPr>
      <w:autoSpaceDE w:val="0"/>
      <w:autoSpaceDN w:val="0"/>
      <w:adjustRightInd w:val="0"/>
      <w:spacing w:line="288" w:lineRule="auto"/>
      <w:textAlignment w:val="center"/>
    </w:pPr>
    <w:rPr>
      <w:color w:val="000000"/>
      <w:sz w:val="24"/>
      <w:szCs w:val="24"/>
      <w:lang w:val="fr-FR" w:eastAsia="fr-FR"/>
    </w:rPr>
  </w:style>
  <w:style w:type="paragraph" w:customStyle="1" w:styleId="Default">
    <w:name w:val="Default"/>
    <w:pPr>
      <w:autoSpaceDE w:val="0"/>
      <w:autoSpaceDN w:val="0"/>
      <w:adjustRightInd w:val="0"/>
    </w:pPr>
    <w:rPr>
      <w:rFonts w:ascii="Arial" w:hAnsi="Arial" w:cs="Arial"/>
      <w:color w:val="000000"/>
      <w:sz w:val="24"/>
      <w:szCs w:val="24"/>
      <w:lang w:val="de-DE" w:eastAsia="de-DE"/>
    </w:rPr>
  </w:style>
  <w:style w:type="paragraph" w:customStyle="1" w:styleId="minutesstyle">
    <w:name w:val="minutes style"/>
    <w:basedOn w:val="Normal"/>
    <w:rPr>
      <w:rFonts w:ascii="Arial" w:hAnsi="Arial"/>
      <w:szCs w:val="20"/>
      <w:lang w:eastAsia="en-US"/>
    </w:rPr>
  </w:style>
  <w:style w:type="character" w:customStyle="1" w:styleId="Heading5Char">
    <w:name w:val="Heading 5 Char"/>
    <w:rPr>
      <w:b/>
      <w:bCs/>
      <w:i/>
      <w:iCs/>
      <w:sz w:val="26"/>
      <w:szCs w:val="26"/>
      <w:lang w:val="de-DE" w:eastAsia="de-DE" w:bidi="ar-SA"/>
    </w:rPr>
  </w:style>
  <w:style w:type="paragraph" w:customStyle="1" w:styleId="Overskrift">
    <w:name w:val="Overskrift"/>
    <w:basedOn w:val="Normal"/>
    <w:next w:val="Normal"/>
    <w:pPr>
      <w:spacing w:after="240"/>
      <w:jc w:val="both"/>
    </w:pPr>
    <w:rPr>
      <w:b/>
      <w:szCs w:val="20"/>
    </w:rPr>
  </w:style>
  <w:style w:type="paragraph" w:customStyle="1" w:styleId="000">
    <w:name w:val="000"/>
    <w:aliases w:val="standaard"/>
    <w:basedOn w:val="Normal"/>
    <w:pPr>
      <w:overflowPunct w:val="0"/>
      <w:autoSpaceDE w:val="0"/>
      <w:autoSpaceDN w:val="0"/>
      <w:adjustRightInd w:val="0"/>
      <w:spacing w:line="280" w:lineRule="atLeast"/>
      <w:jc w:val="both"/>
      <w:textAlignment w:val="baseline"/>
    </w:pPr>
    <w:rPr>
      <w:szCs w:val="20"/>
      <w:lang w:val="en-US" w:eastAsia="en-US"/>
    </w:rPr>
  </w:style>
  <w:style w:type="paragraph" w:styleId="NormalIndent">
    <w:name w:val="Normal Indent"/>
    <w:basedOn w:val="Normal"/>
    <w:pPr>
      <w:spacing w:after="180" w:line="288" w:lineRule="auto"/>
      <w:ind w:left="709"/>
    </w:pPr>
    <w:rPr>
      <w:rFonts w:ascii="Arial" w:hAnsi="Arial"/>
      <w:noProof/>
      <w:sz w:val="20"/>
      <w:szCs w:val="20"/>
      <w:lang w:eastAsia="en-US"/>
    </w:rPr>
  </w:style>
  <w:style w:type="paragraph" w:customStyle="1" w:styleId="NormalBefore3pt">
    <w:name w:val="Normal + Before:  3 pt"/>
    <w:aliases w:val="After:  0 pt"/>
    <w:basedOn w:val="Normal"/>
    <w:pPr>
      <w:autoSpaceDE w:val="0"/>
      <w:autoSpaceDN w:val="0"/>
      <w:adjustRightInd w:val="0"/>
    </w:pPr>
    <w:rPr>
      <w:rFonts w:ascii="Arial" w:hAnsi="Arial"/>
      <w:sz w:val="20"/>
      <w:szCs w:val="20"/>
      <w:lang w:eastAsia="en-US"/>
    </w:rPr>
  </w:style>
  <w:style w:type="paragraph" w:customStyle="1" w:styleId="BodyText-CEA">
    <w:name w:val="Body Text - CEA"/>
    <w:basedOn w:val="Normal"/>
    <w:autoRedefine/>
    <w:rsid w:val="00243997"/>
    <w:pPr>
      <w:jc w:val="both"/>
    </w:pPr>
    <w:rPr>
      <w:rFonts w:ascii="Verdana" w:hAnsi="Verdana"/>
      <w:sz w:val="22"/>
      <w:szCs w:val="22"/>
    </w:rPr>
  </w:style>
  <w:style w:type="paragraph" w:customStyle="1" w:styleId="Heading2-CEA">
    <w:name w:val="Heading 2 - CEA"/>
    <w:basedOn w:val="Normal"/>
    <w:pPr>
      <w:overflowPunct w:val="0"/>
      <w:autoSpaceDE w:val="0"/>
      <w:autoSpaceDN w:val="0"/>
      <w:adjustRightInd w:val="0"/>
      <w:jc w:val="both"/>
      <w:textAlignment w:val="baseline"/>
    </w:pPr>
    <w:rPr>
      <w:rFonts w:ascii="Frutiger LT Com 45 Light" w:hAnsi="Frutiger LT Com 45 Light"/>
      <w:b/>
      <w:lang w:eastAsia="fr-FR"/>
    </w:rPr>
  </w:style>
  <w:style w:type="paragraph" w:customStyle="1" w:styleId="ACbodynormal">
    <w:name w:val="AC body normal"/>
    <w:rsid w:val="00BB3802"/>
    <w:pPr>
      <w:spacing w:before="100" w:after="100" w:line="200" w:lineRule="atLeast"/>
    </w:pPr>
    <w:rPr>
      <w:sz w:val="21"/>
      <w:lang w:eastAsia="en-US"/>
    </w:rPr>
  </w:style>
  <w:style w:type="character" w:customStyle="1" w:styleId="Heading1-CEACharCharCharCharCharCharCharCharCharCharCharChar">
    <w:name w:val="Heading 1 - CEA Char Char Char Char Char Char Char Char Char Char Char Char"/>
    <w:link w:val="Heading1-CEACharCharCharCharCharCharCharCharCharCharChar"/>
    <w:rsid w:val="00CC4D62"/>
    <w:rPr>
      <w:rFonts w:ascii="Frutiger LT Com 45 Light" w:hAnsi="Frutiger LT Com 45 Light"/>
      <w:b/>
      <w:color w:val="034EA2"/>
      <w:sz w:val="28"/>
      <w:szCs w:val="28"/>
      <w:lang w:val="en-GB" w:eastAsia="fr-FR" w:bidi="ar-SA"/>
    </w:rPr>
  </w:style>
  <w:style w:type="paragraph" w:customStyle="1" w:styleId="Heading1-CEACharCharCharCharCharCharCharCharCharCharChar">
    <w:name w:val="Heading 1 - CEA Char Char Char Char Char Char Char Char Char Char Char"/>
    <w:basedOn w:val="Normal"/>
    <w:link w:val="Heading1-CEACharCharCharCharCharCharCharCharCharCharCharChar"/>
    <w:autoRedefine/>
    <w:rsid w:val="00CC4D62"/>
    <w:pPr>
      <w:overflowPunct w:val="0"/>
      <w:autoSpaceDE w:val="0"/>
      <w:autoSpaceDN w:val="0"/>
      <w:adjustRightInd w:val="0"/>
      <w:jc w:val="both"/>
      <w:textAlignment w:val="baseline"/>
    </w:pPr>
    <w:rPr>
      <w:rFonts w:ascii="Frutiger LT Com 45 Light" w:hAnsi="Frutiger LT Com 45 Light"/>
      <w:b/>
      <w:color w:val="034EA2"/>
      <w:sz w:val="28"/>
      <w:szCs w:val="28"/>
      <w:lang w:eastAsia="fr-FR"/>
    </w:rPr>
  </w:style>
  <w:style w:type="paragraph" w:customStyle="1" w:styleId="List1-CEA">
    <w:name w:val="List 1 -  CEA"/>
    <w:basedOn w:val="Normal"/>
    <w:autoRedefine/>
    <w:rsid w:val="00CC4D62"/>
    <w:pPr>
      <w:autoSpaceDE w:val="0"/>
      <w:autoSpaceDN w:val="0"/>
      <w:adjustRightInd w:val="0"/>
      <w:jc w:val="both"/>
    </w:pPr>
    <w:rPr>
      <w:rFonts w:ascii="Frutiger LT Com 45 Light" w:hAnsi="Frutiger LT Com 45 Light"/>
      <w:sz w:val="20"/>
      <w:szCs w:val="20"/>
      <w:lang w:eastAsia="en-US"/>
    </w:rPr>
  </w:style>
  <w:style w:type="paragraph" w:customStyle="1" w:styleId="Heading1-CEA">
    <w:name w:val="Heading 1 - CEA"/>
    <w:basedOn w:val="Normal"/>
    <w:autoRedefine/>
    <w:rsid w:val="00622E5F"/>
    <w:pPr>
      <w:autoSpaceDE w:val="0"/>
      <w:autoSpaceDN w:val="0"/>
      <w:adjustRightInd w:val="0"/>
    </w:pPr>
    <w:rPr>
      <w:rFonts w:ascii="Frutiger LT Com 45 Light" w:hAnsi="Frutiger LT Com 45 Light"/>
      <w:b/>
      <w:color w:val="034EA2"/>
      <w:sz w:val="28"/>
      <w:szCs w:val="28"/>
      <w:lang w:eastAsia="en-US"/>
    </w:rPr>
  </w:style>
  <w:style w:type="paragraph" w:customStyle="1" w:styleId="Text">
    <w:name w:val="Text"/>
    <w:basedOn w:val="Normal"/>
    <w:rsid w:val="00226071"/>
    <w:pPr>
      <w:tabs>
        <w:tab w:val="left" w:pos="284"/>
      </w:tabs>
      <w:overflowPunct w:val="0"/>
      <w:autoSpaceDE w:val="0"/>
      <w:autoSpaceDN w:val="0"/>
      <w:adjustRightInd w:val="0"/>
      <w:spacing w:after="260"/>
      <w:jc w:val="both"/>
      <w:textAlignment w:val="baseline"/>
    </w:pPr>
    <w:rPr>
      <w:sz w:val="22"/>
      <w:szCs w:val="20"/>
      <w:lang w:eastAsia="en-US"/>
    </w:rPr>
  </w:style>
  <w:style w:type="paragraph" w:customStyle="1" w:styleId="Bullet">
    <w:name w:val="Bullet"/>
    <w:basedOn w:val="Normal"/>
    <w:rsid w:val="00226071"/>
    <w:pPr>
      <w:numPr>
        <w:numId w:val="3"/>
      </w:numPr>
      <w:tabs>
        <w:tab w:val="left" w:pos="284"/>
      </w:tabs>
      <w:overflowPunct w:val="0"/>
      <w:autoSpaceDE w:val="0"/>
      <w:autoSpaceDN w:val="0"/>
      <w:adjustRightInd w:val="0"/>
      <w:spacing w:after="260"/>
      <w:jc w:val="both"/>
      <w:textAlignment w:val="baseline"/>
    </w:pPr>
    <w:rPr>
      <w:sz w:val="22"/>
      <w:szCs w:val="20"/>
      <w:lang w:eastAsia="en-US"/>
    </w:rPr>
  </w:style>
  <w:style w:type="paragraph" w:customStyle="1" w:styleId="a">
    <w:name w:val="(a)"/>
    <w:basedOn w:val="BodyText"/>
    <w:rsid w:val="0030434D"/>
    <w:pPr>
      <w:spacing w:after="240"/>
      <w:ind w:left="720" w:hanging="720"/>
      <w:jc w:val="both"/>
    </w:pPr>
    <w:rPr>
      <w:lang w:eastAsia="en-US"/>
    </w:rPr>
  </w:style>
  <w:style w:type="paragraph" w:customStyle="1" w:styleId="i">
    <w:name w:val="(i)"/>
    <w:basedOn w:val="BodyText"/>
    <w:rsid w:val="0030434D"/>
    <w:pPr>
      <w:tabs>
        <w:tab w:val="right" w:pos="1296"/>
      </w:tabs>
      <w:spacing w:after="240"/>
      <w:ind w:left="1440" w:hanging="1440"/>
      <w:jc w:val="both"/>
    </w:pPr>
    <w:rPr>
      <w:lang w:eastAsia="en-US"/>
    </w:rPr>
  </w:style>
  <w:style w:type="character" w:styleId="CommentReference">
    <w:name w:val="annotation reference"/>
    <w:semiHidden/>
    <w:rsid w:val="0039488F"/>
    <w:rPr>
      <w:sz w:val="16"/>
      <w:szCs w:val="16"/>
    </w:rPr>
  </w:style>
  <w:style w:type="paragraph" w:styleId="CommentText">
    <w:name w:val="annotation text"/>
    <w:basedOn w:val="Normal"/>
    <w:semiHidden/>
    <w:rsid w:val="0039488F"/>
    <w:rPr>
      <w:sz w:val="20"/>
      <w:szCs w:val="20"/>
    </w:rPr>
  </w:style>
  <w:style w:type="paragraph" w:styleId="CommentSubject">
    <w:name w:val="annotation subject"/>
    <w:basedOn w:val="CommentText"/>
    <w:next w:val="CommentText"/>
    <w:semiHidden/>
    <w:rsid w:val="0039488F"/>
    <w:rPr>
      <w:b/>
      <w:bCs/>
    </w:rPr>
  </w:style>
  <w:style w:type="paragraph" w:customStyle="1" w:styleId="DocTitle">
    <w:name w:val="DocTitle"/>
    <w:basedOn w:val="Normal"/>
    <w:rsid w:val="00342456"/>
    <w:pPr>
      <w:pBdr>
        <w:top w:val="single" w:sz="4" w:space="1" w:color="auto"/>
        <w:left w:val="single" w:sz="4" w:space="4" w:color="auto"/>
        <w:bottom w:val="single" w:sz="4" w:space="1" w:color="auto"/>
        <w:right w:val="single" w:sz="4" w:space="4" w:color="auto"/>
      </w:pBdr>
      <w:spacing w:after="120"/>
      <w:jc w:val="center"/>
    </w:pPr>
    <w:rPr>
      <w:rFonts w:ascii="Verdana" w:eastAsia="MS Mincho" w:hAnsi="Verdana"/>
      <w:b/>
      <w:sz w:val="48"/>
      <w:szCs w:val="48"/>
      <w:lang w:eastAsia="ja-JP"/>
    </w:rPr>
  </w:style>
  <w:style w:type="paragraph" w:customStyle="1" w:styleId="Paragraph">
    <w:name w:val="Paragraph"/>
    <w:basedOn w:val="Normal"/>
    <w:rsid w:val="00C5529D"/>
    <w:pPr>
      <w:spacing w:after="120"/>
      <w:jc w:val="both"/>
    </w:pPr>
    <w:rPr>
      <w:rFonts w:ascii="Arial" w:eastAsia="Arial Unicode MS" w:hAnsi="Arial"/>
      <w:sz w:val="18"/>
      <w:szCs w:val="18"/>
      <w:lang w:eastAsia="nl-NL"/>
    </w:rPr>
  </w:style>
  <w:style w:type="paragraph" w:customStyle="1" w:styleId="Numberedparagraph">
    <w:name w:val="Numbered paragraph"/>
    <w:rsid w:val="008A5809"/>
    <w:pPr>
      <w:numPr>
        <w:numId w:val="4"/>
      </w:numPr>
      <w:spacing w:after="240" w:line="280" w:lineRule="atLeast"/>
      <w:jc w:val="both"/>
    </w:pPr>
    <w:rPr>
      <w:rFonts w:ascii="Arial" w:hAnsi="Arial"/>
      <w:sz w:val="22"/>
      <w:lang w:eastAsia="en-US"/>
    </w:rPr>
  </w:style>
  <w:style w:type="paragraph" w:customStyle="1" w:styleId="QISIndentCharCharChar">
    <w:name w:val="QISIndent Char Char Char"/>
    <w:basedOn w:val="Normal"/>
    <w:rsid w:val="008C3429"/>
    <w:pPr>
      <w:spacing w:after="240"/>
      <w:ind w:left="1134"/>
      <w:jc w:val="both"/>
    </w:pPr>
    <w:rPr>
      <w:rFonts w:ascii="Verdana" w:eastAsia="MS Mincho" w:hAnsi="Verdana"/>
      <w:sz w:val="22"/>
      <w:szCs w:val="20"/>
      <w:lang w:eastAsia="ja-JP"/>
    </w:rPr>
  </w:style>
  <w:style w:type="paragraph" w:customStyle="1" w:styleId="QISTextCharCharCharCharCharCharCharCharCharCharCharCharChar1CharChar">
    <w:name w:val="QISText Char Char Char Char Char Char Char Char Char Char Char Char Char1 Char Char"/>
    <w:basedOn w:val="Normal"/>
    <w:rsid w:val="006C6E24"/>
    <w:pPr>
      <w:numPr>
        <w:ilvl w:val="1"/>
        <w:numId w:val="14"/>
      </w:numPr>
      <w:spacing w:after="240"/>
      <w:jc w:val="both"/>
    </w:pPr>
    <w:rPr>
      <w:rFonts w:ascii="Verdana" w:eastAsia="MS Mincho" w:hAnsi="Verdana"/>
      <w:sz w:val="22"/>
      <w:szCs w:val="22"/>
      <w:lang w:eastAsia="ja-JP"/>
    </w:rPr>
  </w:style>
  <w:style w:type="table" w:styleId="TableGrid">
    <w:name w:val="Table Grid"/>
    <w:basedOn w:val="TableNormal"/>
    <w:rsid w:val="003D60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76C5B"/>
    <w:pPr>
      <w:ind w:left="720"/>
    </w:pPr>
    <w:rPr>
      <w:rFonts w:ascii="Calibri" w:eastAsiaTheme="minorHAns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de-DE"/>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outlineLvl w:val="2"/>
    </w:pPr>
    <w:rPr>
      <w:rFonts w:ascii="Arial" w:hAnsi="Arial" w:cs="Arial"/>
      <w:b/>
      <w:bCs/>
      <w:lang w:eastAsia="en-US"/>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 w:val="20"/>
    </w:rPr>
  </w:style>
  <w:style w:type="paragraph" w:styleId="Header">
    <w:name w:val="header"/>
    <w:basedOn w:val="Normal"/>
    <w:pPr>
      <w:tabs>
        <w:tab w:val="center" w:pos="4320"/>
        <w:tab w:val="right" w:pos="8640"/>
      </w:tabs>
    </w:pPr>
    <w:rPr>
      <w:rFonts w:ascii="Arial" w:eastAsia="Arial Unicode MS" w:hAnsi="Arial" w:cs="Arial"/>
      <w:sz w:val="18"/>
      <w:szCs w:val="18"/>
      <w:lang w:eastAsia="en-US"/>
    </w:rPr>
  </w:style>
  <w:style w:type="paragraph" w:styleId="Footer">
    <w:name w:val="footer"/>
    <w:basedOn w:val="Normal"/>
    <w:pPr>
      <w:tabs>
        <w:tab w:val="center" w:pos="4536"/>
        <w:tab w:val="right" w:pos="9072"/>
      </w:tabs>
    </w:pPr>
  </w:style>
  <w:style w:type="character" w:styleId="PageNumber">
    <w:name w:val="page number"/>
    <w:basedOn w:val="DefaultParagraphFont"/>
  </w:style>
  <w:style w:type="paragraph" w:styleId="BodyTextIndent">
    <w:name w:val="Body Text Indent"/>
    <w:basedOn w:val="Normal"/>
    <w:pPr>
      <w:ind w:left="720"/>
    </w:pPr>
    <w:rPr>
      <w:rFonts w:ascii="Arial" w:hAnsi="Arial" w:cs="Arial"/>
      <w:lang w:eastAsia="en-US"/>
    </w:rPr>
  </w:style>
  <w:style w:type="paragraph" w:styleId="BodyText">
    <w:name w:val="Body Text"/>
    <w:basedOn w:val="Normal"/>
    <w:pPr>
      <w:spacing w:after="120"/>
    </w:pPr>
  </w:style>
  <w:style w:type="character" w:styleId="Hyperlink">
    <w:name w:val="Hyperlink"/>
    <w:rPr>
      <w:color w:val="0000FF"/>
      <w:u w:val="single"/>
    </w:rPr>
  </w:style>
  <w:style w:type="paragraph" w:styleId="BodyTextIndent2">
    <w:name w:val="Body Text Indent 2"/>
    <w:basedOn w:val="Normal"/>
    <w:pPr>
      <w:spacing w:after="120" w:line="480" w:lineRule="auto"/>
      <w:ind w:left="283"/>
    </w:pPr>
  </w:style>
  <w:style w:type="paragraph" w:customStyle="1" w:styleId="Subbulet">
    <w:name w:val="Subbulet"/>
    <w:basedOn w:val="Normal"/>
    <w:pPr>
      <w:numPr>
        <w:ilvl w:val="1"/>
        <w:numId w:val="1"/>
      </w:numPr>
      <w:overflowPunct w:val="0"/>
      <w:autoSpaceDE w:val="0"/>
      <w:autoSpaceDN w:val="0"/>
      <w:adjustRightInd w:val="0"/>
      <w:jc w:val="both"/>
      <w:textAlignment w:val="baseline"/>
    </w:pPr>
    <w:rPr>
      <w:sz w:val="26"/>
      <w:szCs w:val="26"/>
      <w:lang w:eastAsia="fr-FR"/>
    </w:rPr>
  </w:style>
  <w:style w:type="character" w:customStyle="1" w:styleId="SubbuletChar">
    <w:name w:val="Subbulet Char"/>
    <w:rPr>
      <w:noProof w:val="0"/>
      <w:sz w:val="26"/>
      <w:szCs w:val="26"/>
      <w:lang w:val="en-GB" w:eastAsia="fr-FR" w:bidi="ar-SA"/>
    </w:rPr>
  </w:style>
  <w:style w:type="paragraph" w:customStyle="1" w:styleId="ContinuousSquareBullet">
    <w:name w:val="Continuous Square Bullet"/>
    <w:basedOn w:val="Normal"/>
    <w:pPr>
      <w:numPr>
        <w:numId w:val="2"/>
      </w:numPr>
      <w:spacing w:after="280" w:line="280" w:lineRule="exact"/>
    </w:pPr>
    <w:rPr>
      <w:rFonts w:ascii="Arial" w:hAnsi="Arial"/>
      <w:sz w:val="23"/>
      <w:szCs w:val="20"/>
      <w:lang w:eastAsia="en-US"/>
    </w:rPr>
  </w:style>
  <w:style w:type="paragraph" w:styleId="BodyTextIndent3">
    <w:name w:val="Body Text Indent 3"/>
    <w:basedOn w:val="Normal"/>
    <w:pPr>
      <w:spacing w:after="120"/>
      <w:ind w:left="283"/>
    </w:pPr>
    <w:rPr>
      <w:sz w:val="16"/>
      <w:szCs w:val="16"/>
    </w:rPr>
  </w:style>
  <w:style w:type="paragraph" w:styleId="FootnoteText">
    <w:name w:val="footnote text"/>
    <w:basedOn w:val="Normal"/>
    <w:semiHidden/>
    <w:rPr>
      <w:szCs w:val="20"/>
      <w:lang w:val="nl-NL" w:eastAsia="nl-NL"/>
    </w:rPr>
  </w:style>
  <w:style w:type="character" w:styleId="FootnoteReference">
    <w:name w:val="footnote reference"/>
    <w:semiHidden/>
    <w:rPr>
      <w:vertAlign w:val="superscript"/>
    </w:rPr>
  </w:style>
  <w:style w:type="paragraph" w:styleId="BodyText3">
    <w:name w:val="Body Text 3"/>
    <w:basedOn w:val="Normal"/>
    <w:pPr>
      <w:spacing w:after="120"/>
    </w:pPr>
    <w:rPr>
      <w:sz w:val="16"/>
      <w:szCs w:val="16"/>
    </w:rPr>
  </w:style>
  <w:style w:type="paragraph" w:styleId="BodyText2">
    <w:name w:val="Body Text 2"/>
    <w:basedOn w:val="Normal"/>
    <w:pPr>
      <w:spacing w:after="120" w:line="480" w:lineRule="auto"/>
    </w:pPr>
  </w:style>
  <w:style w:type="paragraph" w:customStyle="1" w:styleId="Anglais">
    <w:name w:val="Anglais"/>
    <w:basedOn w:val="Normal"/>
    <w:rPr>
      <w:szCs w:val="20"/>
      <w:lang w:eastAsia="en-US"/>
    </w:rPr>
  </w:style>
  <w:style w:type="character" w:styleId="EndnoteReference">
    <w:name w:val="endnote reference"/>
    <w:semiHidden/>
    <w:rPr>
      <w:vertAlign w:val="superscript"/>
    </w:rPr>
  </w:style>
  <w:style w:type="paragraph" w:customStyle="1" w:styleId="BalloonText1">
    <w:name w:val="Balloon Text1"/>
    <w:basedOn w:val="Normal"/>
    <w:semiHidden/>
    <w:rPr>
      <w:rFonts w:ascii="Tahoma" w:hAnsi="Tahoma" w:cs="Tahoma"/>
      <w:sz w:val="16"/>
      <w:szCs w:val="16"/>
    </w:rPr>
  </w:style>
  <w:style w:type="paragraph" w:styleId="BalloonText">
    <w:name w:val="Balloon Text"/>
    <w:basedOn w:val="Normal"/>
    <w:semiHidden/>
    <w:rsid w:val="00CD78DD"/>
    <w:rPr>
      <w:rFonts w:ascii="Tahoma" w:hAnsi="Tahoma" w:cs="Tahoma"/>
      <w:sz w:val="16"/>
      <w:szCs w:val="16"/>
    </w:rPr>
  </w:style>
  <w:style w:type="paragraph" w:customStyle="1" w:styleId="FirmaSchlu">
    <w:name w:val="FirmaSchluß"/>
    <w:basedOn w:val="Normal"/>
    <w:pPr>
      <w:tabs>
        <w:tab w:val="center" w:pos="6237"/>
      </w:tabs>
      <w:autoSpaceDE w:val="0"/>
      <w:autoSpaceDN w:val="0"/>
      <w:adjustRightInd w:val="0"/>
      <w:ind w:left="705"/>
      <w:jc w:val="both"/>
    </w:pPr>
    <w:rPr>
      <w:rFonts w:ascii="Helv" w:hAnsi="Helv"/>
      <w:color w:val="000000"/>
      <w:szCs w:val="20"/>
    </w:rPr>
  </w:style>
  <w:style w:type="paragraph" w:customStyle="1" w:styleId="Noparagraphstyle">
    <w:name w:val="[No paragraph style]"/>
    <w:pPr>
      <w:autoSpaceDE w:val="0"/>
      <w:autoSpaceDN w:val="0"/>
      <w:adjustRightInd w:val="0"/>
      <w:spacing w:line="288" w:lineRule="auto"/>
      <w:textAlignment w:val="center"/>
    </w:pPr>
    <w:rPr>
      <w:color w:val="000000"/>
      <w:sz w:val="24"/>
      <w:szCs w:val="24"/>
      <w:lang w:val="fr-FR" w:eastAsia="fr-FR"/>
    </w:rPr>
  </w:style>
  <w:style w:type="paragraph" w:customStyle="1" w:styleId="Default">
    <w:name w:val="Default"/>
    <w:pPr>
      <w:autoSpaceDE w:val="0"/>
      <w:autoSpaceDN w:val="0"/>
      <w:adjustRightInd w:val="0"/>
    </w:pPr>
    <w:rPr>
      <w:rFonts w:ascii="Arial" w:hAnsi="Arial" w:cs="Arial"/>
      <w:color w:val="000000"/>
      <w:sz w:val="24"/>
      <w:szCs w:val="24"/>
      <w:lang w:val="de-DE" w:eastAsia="de-DE"/>
    </w:rPr>
  </w:style>
  <w:style w:type="paragraph" w:customStyle="1" w:styleId="minutesstyle">
    <w:name w:val="minutes style"/>
    <w:basedOn w:val="Normal"/>
    <w:rPr>
      <w:rFonts w:ascii="Arial" w:hAnsi="Arial"/>
      <w:szCs w:val="20"/>
      <w:lang w:eastAsia="en-US"/>
    </w:rPr>
  </w:style>
  <w:style w:type="character" w:customStyle="1" w:styleId="Heading5Char">
    <w:name w:val="Heading 5 Char"/>
    <w:rPr>
      <w:b/>
      <w:bCs/>
      <w:i/>
      <w:iCs/>
      <w:sz w:val="26"/>
      <w:szCs w:val="26"/>
      <w:lang w:val="de-DE" w:eastAsia="de-DE" w:bidi="ar-SA"/>
    </w:rPr>
  </w:style>
  <w:style w:type="paragraph" w:customStyle="1" w:styleId="Overskrift">
    <w:name w:val="Overskrift"/>
    <w:basedOn w:val="Normal"/>
    <w:next w:val="Normal"/>
    <w:pPr>
      <w:spacing w:after="240"/>
      <w:jc w:val="both"/>
    </w:pPr>
    <w:rPr>
      <w:b/>
      <w:szCs w:val="20"/>
    </w:rPr>
  </w:style>
  <w:style w:type="paragraph" w:customStyle="1" w:styleId="000">
    <w:name w:val="000"/>
    <w:aliases w:val="standaard"/>
    <w:basedOn w:val="Normal"/>
    <w:pPr>
      <w:overflowPunct w:val="0"/>
      <w:autoSpaceDE w:val="0"/>
      <w:autoSpaceDN w:val="0"/>
      <w:adjustRightInd w:val="0"/>
      <w:spacing w:line="280" w:lineRule="atLeast"/>
      <w:jc w:val="both"/>
      <w:textAlignment w:val="baseline"/>
    </w:pPr>
    <w:rPr>
      <w:szCs w:val="20"/>
      <w:lang w:val="en-US" w:eastAsia="en-US"/>
    </w:rPr>
  </w:style>
  <w:style w:type="paragraph" w:styleId="NormalIndent">
    <w:name w:val="Normal Indent"/>
    <w:basedOn w:val="Normal"/>
    <w:pPr>
      <w:spacing w:after="180" w:line="288" w:lineRule="auto"/>
      <w:ind w:left="709"/>
    </w:pPr>
    <w:rPr>
      <w:rFonts w:ascii="Arial" w:hAnsi="Arial"/>
      <w:noProof/>
      <w:sz w:val="20"/>
      <w:szCs w:val="20"/>
      <w:lang w:eastAsia="en-US"/>
    </w:rPr>
  </w:style>
  <w:style w:type="paragraph" w:customStyle="1" w:styleId="NormalBefore3pt">
    <w:name w:val="Normal + Before:  3 pt"/>
    <w:aliases w:val="After:  0 pt"/>
    <w:basedOn w:val="Normal"/>
    <w:pPr>
      <w:autoSpaceDE w:val="0"/>
      <w:autoSpaceDN w:val="0"/>
      <w:adjustRightInd w:val="0"/>
    </w:pPr>
    <w:rPr>
      <w:rFonts w:ascii="Arial" w:hAnsi="Arial"/>
      <w:sz w:val="20"/>
      <w:szCs w:val="20"/>
      <w:lang w:eastAsia="en-US"/>
    </w:rPr>
  </w:style>
  <w:style w:type="paragraph" w:customStyle="1" w:styleId="BodyText-CEA">
    <w:name w:val="Body Text - CEA"/>
    <w:basedOn w:val="Normal"/>
    <w:autoRedefine/>
    <w:rsid w:val="00243997"/>
    <w:pPr>
      <w:jc w:val="both"/>
    </w:pPr>
    <w:rPr>
      <w:rFonts w:ascii="Verdana" w:hAnsi="Verdana"/>
      <w:sz w:val="22"/>
      <w:szCs w:val="22"/>
    </w:rPr>
  </w:style>
  <w:style w:type="paragraph" w:customStyle="1" w:styleId="Heading2-CEA">
    <w:name w:val="Heading 2 - CEA"/>
    <w:basedOn w:val="Normal"/>
    <w:pPr>
      <w:overflowPunct w:val="0"/>
      <w:autoSpaceDE w:val="0"/>
      <w:autoSpaceDN w:val="0"/>
      <w:adjustRightInd w:val="0"/>
      <w:jc w:val="both"/>
      <w:textAlignment w:val="baseline"/>
    </w:pPr>
    <w:rPr>
      <w:rFonts w:ascii="Frutiger LT Com 45 Light" w:hAnsi="Frutiger LT Com 45 Light"/>
      <w:b/>
      <w:lang w:eastAsia="fr-FR"/>
    </w:rPr>
  </w:style>
  <w:style w:type="paragraph" w:customStyle="1" w:styleId="ACbodynormal">
    <w:name w:val="AC body normal"/>
    <w:rsid w:val="00BB3802"/>
    <w:pPr>
      <w:spacing w:before="100" w:after="100" w:line="200" w:lineRule="atLeast"/>
    </w:pPr>
    <w:rPr>
      <w:sz w:val="21"/>
      <w:lang w:eastAsia="en-US"/>
    </w:rPr>
  </w:style>
  <w:style w:type="character" w:customStyle="1" w:styleId="Heading1-CEACharCharCharCharCharCharCharCharCharCharCharChar">
    <w:name w:val="Heading 1 - CEA Char Char Char Char Char Char Char Char Char Char Char Char"/>
    <w:link w:val="Heading1-CEACharCharCharCharCharCharCharCharCharCharChar"/>
    <w:rsid w:val="00CC4D62"/>
    <w:rPr>
      <w:rFonts w:ascii="Frutiger LT Com 45 Light" w:hAnsi="Frutiger LT Com 45 Light"/>
      <w:b/>
      <w:color w:val="034EA2"/>
      <w:sz w:val="28"/>
      <w:szCs w:val="28"/>
      <w:lang w:val="en-GB" w:eastAsia="fr-FR" w:bidi="ar-SA"/>
    </w:rPr>
  </w:style>
  <w:style w:type="paragraph" w:customStyle="1" w:styleId="Heading1-CEACharCharCharCharCharCharCharCharCharCharChar">
    <w:name w:val="Heading 1 - CEA Char Char Char Char Char Char Char Char Char Char Char"/>
    <w:basedOn w:val="Normal"/>
    <w:link w:val="Heading1-CEACharCharCharCharCharCharCharCharCharCharCharChar"/>
    <w:autoRedefine/>
    <w:rsid w:val="00CC4D62"/>
    <w:pPr>
      <w:overflowPunct w:val="0"/>
      <w:autoSpaceDE w:val="0"/>
      <w:autoSpaceDN w:val="0"/>
      <w:adjustRightInd w:val="0"/>
      <w:jc w:val="both"/>
      <w:textAlignment w:val="baseline"/>
    </w:pPr>
    <w:rPr>
      <w:rFonts w:ascii="Frutiger LT Com 45 Light" w:hAnsi="Frutiger LT Com 45 Light"/>
      <w:b/>
      <w:color w:val="034EA2"/>
      <w:sz w:val="28"/>
      <w:szCs w:val="28"/>
      <w:lang w:eastAsia="fr-FR"/>
    </w:rPr>
  </w:style>
  <w:style w:type="paragraph" w:customStyle="1" w:styleId="List1-CEA">
    <w:name w:val="List 1 -  CEA"/>
    <w:basedOn w:val="Normal"/>
    <w:autoRedefine/>
    <w:rsid w:val="00CC4D62"/>
    <w:pPr>
      <w:autoSpaceDE w:val="0"/>
      <w:autoSpaceDN w:val="0"/>
      <w:adjustRightInd w:val="0"/>
      <w:jc w:val="both"/>
    </w:pPr>
    <w:rPr>
      <w:rFonts w:ascii="Frutiger LT Com 45 Light" w:hAnsi="Frutiger LT Com 45 Light"/>
      <w:sz w:val="20"/>
      <w:szCs w:val="20"/>
      <w:lang w:eastAsia="en-US"/>
    </w:rPr>
  </w:style>
  <w:style w:type="paragraph" w:customStyle="1" w:styleId="Heading1-CEA">
    <w:name w:val="Heading 1 - CEA"/>
    <w:basedOn w:val="Normal"/>
    <w:autoRedefine/>
    <w:rsid w:val="00622E5F"/>
    <w:pPr>
      <w:autoSpaceDE w:val="0"/>
      <w:autoSpaceDN w:val="0"/>
      <w:adjustRightInd w:val="0"/>
    </w:pPr>
    <w:rPr>
      <w:rFonts w:ascii="Frutiger LT Com 45 Light" w:hAnsi="Frutiger LT Com 45 Light"/>
      <w:b/>
      <w:color w:val="034EA2"/>
      <w:sz w:val="28"/>
      <w:szCs w:val="28"/>
      <w:lang w:eastAsia="en-US"/>
    </w:rPr>
  </w:style>
  <w:style w:type="paragraph" w:customStyle="1" w:styleId="Text">
    <w:name w:val="Text"/>
    <w:basedOn w:val="Normal"/>
    <w:rsid w:val="00226071"/>
    <w:pPr>
      <w:tabs>
        <w:tab w:val="left" w:pos="284"/>
      </w:tabs>
      <w:overflowPunct w:val="0"/>
      <w:autoSpaceDE w:val="0"/>
      <w:autoSpaceDN w:val="0"/>
      <w:adjustRightInd w:val="0"/>
      <w:spacing w:after="260"/>
      <w:jc w:val="both"/>
      <w:textAlignment w:val="baseline"/>
    </w:pPr>
    <w:rPr>
      <w:sz w:val="22"/>
      <w:szCs w:val="20"/>
      <w:lang w:eastAsia="en-US"/>
    </w:rPr>
  </w:style>
  <w:style w:type="paragraph" w:customStyle="1" w:styleId="Bullet">
    <w:name w:val="Bullet"/>
    <w:basedOn w:val="Normal"/>
    <w:rsid w:val="00226071"/>
    <w:pPr>
      <w:numPr>
        <w:numId w:val="3"/>
      </w:numPr>
      <w:tabs>
        <w:tab w:val="left" w:pos="284"/>
      </w:tabs>
      <w:overflowPunct w:val="0"/>
      <w:autoSpaceDE w:val="0"/>
      <w:autoSpaceDN w:val="0"/>
      <w:adjustRightInd w:val="0"/>
      <w:spacing w:after="260"/>
      <w:jc w:val="both"/>
      <w:textAlignment w:val="baseline"/>
    </w:pPr>
    <w:rPr>
      <w:sz w:val="22"/>
      <w:szCs w:val="20"/>
      <w:lang w:eastAsia="en-US"/>
    </w:rPr>
  </w:style>
  <w:style w:type="paragraph" w:customStyle="1" w:styleId="a">
    <w:name w:val="(a)"/>
    <w:basedOn w:val="BodyText"/>
    <w:rsid w:val="0030434D"/>
    <w:pPr>
      <w:spacing w:after="240"/>
      <w:ind w:left="720" w:hanging="720"/>
      <w:jc w:val="both"/>
    </w:pPr>
    <w:rPr>
      <w:lang w:eastAsia="en-US"/>
    </w:rPr>
  </w:style>
  <w:style w:type="paragraph" w:customStyle="1" w:styleId="i">
    <w:name w:val="(i)"/>
    <w:basedOn w:val="BodyText"/>
    <w:rsid w:val="0030434D"/>
    <w:pPr>
      <w:tabs>
        <w:tab w:val="right" w:pos="1296"/>
      </w:tabs>
      <w:spacing w:after="240"/>
      <w:ind w:left="1440" w:hanging="1440"/>
      <w:jc w:val="both"/>
    </w:pPr>
    <w:rPr>
      <w:lang w:eastAsia="en-US"/>
    </w:rPr>
  </w:style>
  <w:style w:type="character" w:styleId="CommentReference">
    <w:name w:val="annotation reference"/>
    <w:semiHidden/>
    <w:rsid w:val="0039488F"/>
    <w:rPr>
      <w:sz w:val="16"/>
      <w:szCs w:val="16"/>
    </w:rPr>
  </w:style>
  <w:style w:type="paragraph" w:styleId="CommentText">
    <w:name w:val="annotation text"/>
    <w:basedOn w:val="Normal"/>
    <w:semiHidden/>
    <w:rsid w:val="0039488F"/>
    <w:rPr>
      <w:sz w:val="20"/>
      <w:szCs w:val="20"/>
    </w:rPr>
  </w:style>
  <w:style w:type="paragraph" w:styleId="CommentSubject">
    <w:name w:val="annotation subject"/>
    <w:basedOn w:val="CommentText"/>
    <w:next w:val="CommentText"/>
    <w:semiHidden/>
    <w:rsid w:val="0039488F"/>
    <w:rPr>
      <w:b/>
      <w:bCs/>
    </w:rPr>
  </w:style>
  <w:style w:type="paragraph" w:customStyle="1" w:styleId="DocTitle">
    <w:name w:val="DocTitle"/>
    <w:basedOn w:val="Normal"/>
    <w:rsid w:val="00342456"/>
    <w:pPr>
      <w:pBdr>
        <w:top w:val="single" w:sz="4" w:space="1" w:color="auto"/>
        <w:left w:val="single" w:sz="4" w:space="4" w:color="auto"/>
        <w:bottom w:val="single" w:sz="4" w:space="1" w:color="auto"/>
        <w:right w:val="single" w:sz="4" w:space="4" w:color="auto"/>
      </w:pBdr>
      <w:spacing w:after="120"/>
      <w:jc w:val="center"/>
    </w:pPr>
    <w:rPr>
      <w:rFonts w:ascii="Verdana" w:eastAsia="MS Mincho" w:hAnsi="Verdana"/>
      <w:b/>
      <w:sz w:val="48"/>
      <w:szCs w:val="48"/>
      <w:lang w:eastAsia="ja-JP"/>
    </w:rPr>
  </w:style>
  <w:style w:type="paragraph" w:customStyle="1" w:styleId="Paragraph">
    <w:name w:val="Paragraph"/>
    <w:basedOn w:val="Normal"/>
    <w:rsid w:val="00C5529D"/>
    <w:pPr>
      <w:spacing w:after="120"/>
      <w:jc w:val="both"/>
    </w:pPr>
    <w:rPr>
      <w:rFonts w:ascii="Arial" w:eastAsia="Arial Unicode MS" w:hAnsi="Arial"/>
      <w:sz w:val="18"/>
      <w:szCs w:val="18"/>
      <w:lang w:eastAsia="nl-NL"/>
    </w:rPr>
  </w:style>
  <w:style w:type="paragraph" w:customStyle="1" w:styleId="Numberedparagraph">
    <w:name w:val="Numbered paragraph"/>
    <w:rsid w:val="008A5809"/>
    <w:pPr>
      <w:numPr>
        <w:numId w:val="4"/>
      </w:numPr>
      <w:spacing w:after="240" w:line="280" w:lineRule="atLeast"/>
      <w:jc w:val="both"/>
    </w:pPr>
    <w:rPr>
      <w:rFonts w:ascii="Arial" w:hAnsi="Arial"/>
      <w:sz w:val="22"/>
      <w:lang w:eastAsia="en-US"/>
    </w:rPr>
  </w:style>
  <w:style w:type="paragraph" w:customStyle="1" w:styleId="QISIndentCharCharChar">
    <w:name w:val="QISIndent Char Char Char"/>
    <w:basedOn w:val="Normal"/>
    <w:rsid w:val="008C3429"/>
    <w:pPr>
      <w:spacing w:after="240"/>
      <w:ind w:left="1134"/>
      <w:jc w:val="both"/>
    </w:pPr>
    <w:rPr>
      <w:rFonts w:ascii="Verdana" w:eastAsia="MS Mincho" w:hAnsi="Verdana"/>
      <w:sz w:val="22"/>
      <w:szCs w:val="20"/>
      <w:lang w:eastAsia="ja-JP"/>
    </w:rPr>
  </w:style>
  <w:style w:type="paragraph" w:customStyle="1" w:styleId="QISTextCharCharCharCharCharCharCharCharCharCharCharCharChar1CharChar">
    <w:name w:val="QISText Char Char Char Char Char Char Char Char Char Char Char Char Char1 Char Char"/>
    <w:basedOn w:val="Normal"/>
    <w:rsid w:val="006C6E24"/>
    <w:pPr>
      <w:numPr>
        <w:ilvl w:val="1"/>
        <w:numId w:val="14"/>
      </w:numPr>
      <w:spacing w:after="240"/>
      <w:jc w:val="both"/>
    </w:pPr>
    <w:rPr>
      <w:rFonts w:ascii="Verdana" w:eastAsia="MS Mincho" w:hAnsi="Verdana"/>
      <w:sz w:val="22"/>
      <w:szCs w:val="22"/>
      <w:lang w:eastAsia="ja-JP"/>
    </w:rPr>
  </w:style>
  <w:style w:type="table" w:styleId="TableGrid">
    <w:name w:val="Table Grid"/>
    <w:basedOn w:val="TableNormal"/>
    <w:rsid w:val="003D60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76C5B"/>
    <w:pPr>
      <w:ind w:left="720"/>
    </w:pPr>
    <w:rPr>
      <w:rFonts w:ascii="Calibri" w:eastAsiaTheme="minorHAns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746776">
      <w:bodyDiv w:val="1"/>
      <w:marLeft w:val="0"/>
      <w:marRight w:val="0"/>
      <w:marTop w:val="0"/>
      <w:marBottom w:val="0"/>
      <w:divBdr>
        <w:top w:val="none" w:sz="0" w:space="0" w:color="auto"/>
        <w:left w:val="none" w:sz="0" w:space="0" w:color="auto"/>
        <w:bottom w:val="none" w:sz="0" w:space="0" w:color="auto"/>
        <w:right w:val="none" w:sz="0" w:space="0" w:color="auto"/>
      </w:divBdr>
    </w:div>
    <w:div w:id="661928958">
      <w:bodyDiv w:val="1"/>
      <w:marLeft w:val="0"/>
      <w:marRight w:val="0"/>
      <w:marTop w:val="0"/>
      <w:marBottom w:val="0"/>
      <w:divBdr>
        <w:top w:val="none" w:sz="0" w:space="0" w:color="auto"/>
        <w:left w:val="none" w:sz="0" w:space="0" w:color="auto"/>
        <w:bottom w:val="none" w:sz="0" w:space="0" w:color="auto"/>
        <w:right w:val="none" w:sz="0" w:space="0" w:color="auto"/>
      </w:divBdr>
    </w:div>
    <w:div w:id="869101596">
      <w:bodyDiv w:val="1"/>
      <w:marLeft w:val="0"/>
      <w:marRight w:val="0"/>
      <w:marTop w:val="0"/>
      <w:marBottom w:val="0"/>
      <w:divBdr>
        <w:top w:val="none" w:sz="0" w:space="0" w:color="auto"/>
        <w:left w:val="none" w:sz="0" w:space="0" w:color="auto"/>
        <w:bottom w:val="none" w:sz="0" w:space="0" w:color="auto"/>
        <w:right w:val="none" w:sz="0" w:space="0" w:color="auto"/>
      </w:divBdr>
    </w:div>
    <w:div w:id="1163857851">
      <w:bodyDiv w:val="1"/>
      <w:marLeft w:val="0"/>
      <w:marRight w:val="0"/>
      <w:marTop w:val="0"/>
      <w:marBottom w:val="0"/>
      <w:divBdr>
        <w:top w:val="none" w:sz="0" w:space="0" w:color="auto"/>
        <w:left w:val="none" w:sz="0" w:space="0" w:color="auto"/>
        <w:bottom w:val="none" w:sz="0" w:space="0" w:color="auto"/>
        <w:right w:val="none" w:sz="0" w:space="0" w:color="auto"/>
      </w:divBdr>
      <w:divsChild>
        <w:div w:id="1801073182">
          <w:marLeft w:val="0"/>
          <w:marRight w:val="0"/>
          <w:marTop w:val="0"/>
          <w:marBottom w:val="0"/>
          <w:divBdr>
            <w:top w:val="none" w:sz="0" w:space="0" w:color="auto"/>
            <w:left w:val="none" w:sz="0" w:space="0" w:color="auto"/>
            <w:bottom w:val="none" w:sz="0" w:space="0" w:color="auto"/>
            <w:right w:val="none" w:sz="0" w:space="0" w:color="auto"/>
          </w:divBdr>
        </w:div>
      </w:divsChild>
    </w:div>
    <w:div w:id="1261138427">
      <w:bodyDiv w:val="1"/>
      <w:marLeft w:val="0"/>
      <w:marRight w:val="0"/>
      <w:marTop w:val="0"/>
      <w:marBottom w:val="0"/>
      <w:divBdr>
        <w:top w:val="none" w:sz="0" w:space="0" w:color="auto"/>
        <w:left w:val="none" w:sz="0" w:space="0" w:color="auto"/>
        <w:bottom w:val="none" w:sz="0" w:space="0" w:color="auto"/>
        <w:right w:val="none" w:sz="0" w:space="0" w:color="auto"/>
      </w:divBdr>
    </w:div>
    <w:div w:id="1555308462">
      <w:bodyDiv w:val="1"/>
      <w:marLeft w:val="0"/>
      <w:marRight w:val="0"/>
      <w:marTop w:val="0"/>
      <w:marBottom w:val="0"/>
      <w:divBdr>
        <w:top w:val="none" w:sz="0" w:space="0" w:color="auto"/>
        <w:left w:val="none" w:sz="0" w:space="0" w:color="auto"/>
        <w:bottom w:val="none" w:sz="0" w:space="0" w:color="auto"/>
        <w:right w:val="none" w:sz="0" w:space="0" w:color="auto"/>
      </w:divBdr>
      <w:divsChild>
        <w:div w:id="1039091833">
          <w:marLeft w:val="0"/>
          <w:marRight w:val="0"/>
          <w:marTop w:val="0"/>
          <w:marBottom w:val="0"/>
          <w:divBdr>
            <w:top w:val="none" w:sz="0" w:space="0" w:color="auto"/>
            <w:left w:val="none" w:sz="0" w:space="0" w:color="auto"/>
            <w:bottom w:val="none" w:sz="0" w:space="0" w:color="auto"/>
            <w:right w:val="none" w:sz="0" w:space="0" w:color="auto"/>
          </w:divBdr>
        </w:div>
      </w:divsChild>
    </w:div>
    <w:div w:id="1616717545">
      <w:bodyDiv w:val="1"/>
      <w:marLeft w:val="0"/>
      <w:marRight w:val="0"/>
      <w:marTop w:val="0"/>
      <w:marBottom w:val="0"/>
      <w:divBdr>
        <w:top w:val="none" w:sz="0" w:space="0" w:color="auto"/>
        <w:left w:val="none" w:sz="0" w:space="0" w:color="auto"/>
        <w:bottom w:val="none" w:sz="0" w:space="0" w:color="auto"/>
        <w:right w:val="none" w:sz="0" w:space="0" w:color="auto"/>
      </w:divBdr>
      <w:divsChild>
        <w:div w:id="4500495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329E6-09BE-43B9-95DF-49082F029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1749</Words>
  <Characters>9246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ABI</vt:lpstr>
    </vt:vector>
  </TitlesOfParts>
  <Company>Ceiops</Company>
  <LinksUpToDate>false</LinksUpToDate>
  <CharactersWithSpaces>10974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ABI</dc:title>
  <dc:creator>Huijuan Liu</dc:creator>
  <cp:lastModifiedBy>Ecofin</cp:lastModifiedBy>
  <cp:revision>2</cp:revision>
  <cp:lastPrinted>2014-03-31T07:57:00Z</cp:lastPrinted>
  <dcterms:created xsi:type="dcterms:W3CDTF">2014-03-31T17:01:00Z</dcterms:created>
  <dcterms:modified xsi:type="dcterms:W3CDTF">2014-03-31T17:01:00Z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1287073073</vt:i4>
  </property>
  <property fmtid="{D5CDD505-2E9C-101B-9397-08002B2CF9AE}" pid="3" name="_NewReviewCycle">
    <vt:lpwstr/>
  </property>
  <property fmtid="{D5CDD505-2E9C-101B-9397-08002B2CF9AE}" pid="4" name="_EmailSubject">
    <vt:lpwstr>Stakeholder Consultation on EIOPA Technical Specifications for Preparatory Phase </vt:lpwstr>
  </property>
  <property fmtid="{D5CDD505-2E9C-101B-9397-08002B2CF9AE}" pid="5" name="_AuthorEmail">
    <vt:lpwstr>Huijuan.Liu@eiopa.europa.eu</vt:lpwstr>
  </property>
  <property fmtid="{D5CDD505-2E9C-101B-9397-08002B2CF9AE}" pid="6" name="_AuthorEmailDisplayName">
    <vt:lpwstr>Huijuan Liu</vt:lpwstr>
  </property>
  <property fmtid="{D5CDD505-2E9C-101B-9397-08002B2CF9AE}" pid="7" name="_ReviewingToolsShownOnce">
    <vt:lpwstr/>
  </property>
</Properties>
</file>