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E9" w:rsidRDefault="00AE14A3" w:rsidP="00127DD3">
      <w:pPr>
        <w:spacing w:after="0"/>
        <w:jc w:val="center"/>
        <w:rPr>
          <w:rFonts w:ascii="Verdana" w:hAnsi="Verdana" w:cs="Times New Roman"/>
          <w:b/>
          <w:sz w:val="17"/>
          <w:szCs w:val="17"/>
          <w:lang w:val="en-GB"/>
        </w:rPr>
      </w:pPr>
      <w:r>
        <w:rPr>
          <w:rFonts w:ascii="Verdana" w:hAnsi="Verdana" w:cs="Times New Roman"/>
          <w:b/>
          <w:sz w:val="17"/>
          <w:szCs w:val="17"/>
          <w:lang w:val="en-GB"/>
        </w:rPr>
        <w:t>Industry’s potential solutions to address concerns regarding the treatment of a range of long-term assets under draft Delegated Acts</w:t>
      </w:r>
    </w:p>
    <w:p w:rsidR="00AE14A3" w:rsidRDefault="00AE14A3" w:rsidP="00127DD3">
      <w:pPr>
        <w:spacing w:after="0"/>
        <w:jc w:val="center"/>
        <w:rPr>
          <w:rFonts w:ascii="Verdana" w:hAnsi="Verdana" w:cs="Times New Roman"/>
          <w:b/>
          <w:sz w:val="17"/>
          <w:szCs w:val="17"/>
          <w:lang w:val="en-GB"/>
        </w:rPr>
      </w:pPr>
    </w:p>
    <w:p w:rsidR="00AE14A3" w:rsidRPr="00AE14A3" w:rsidRDefault="00AE14A3" w:rsidP="00127DD3">
      <w:pPr>
        <w:spacing w:after="0"/>
        <w:jc w:val="both"/>
        <w:rPr>
          <w:rFonts w:ascii="Verdana" w:hAnsi="Verdana" w:cs="Times New Roman"/>
          <w:b/>
          <w:sz w:val="17"/>
          <w:szCs w:val="17"/>
          <w:lang w:val="en-GB"/>
        </w:rPr>
      </w:pPr>
    </w:p>
    <w:p w:rsidR="00EA1829" w:rsidRDefault="00EA1829" w:rsidP="00127DD3">
      <w:pPr>
        <w:spacing w:after="0"/>
        <w:jc w:val="both"/>
        <w:rPr>
          <w:rFonts w:ascii="Verdana" w:hAnsi="Verdana" w:cs="Times New Roman"/>
          <w:sz w:val="17"/>
          <w:szCs w:val="17"/>
          <w:lang w:val="en-GB"/>
        </w:rPr>
      </w:pPr>
      <w:r w:rsidRPr="00AE14A3">
        <w:rPr>
          <w:rFonts w:ascii="Verdana" w:hAnsi="Verdana" w:cs="Times New Roman"/>
          <w:sz w:val="17"/>
          <w:szCs w:val="17"/>
          <w:lang w:val="en-GB"/>
        </w:rPr>
        <w:t xml:space="preserve">Reviving long-term financing remains one of the most pressing policy issues in Europe. As the largest institutional investor, holding €8.4tn assets under management at the end of 2012, insurers are well positioned to </w:t>
      </w:r>
      <w:r w:rsidR="006E4AC1" w:rsidRPr="00AE14A3">
        <w:rPr>
          <w:rFonts w:ascii="Verdana" w:hAnsi="Verdana" w:cs="Times New Roman"/>
          <w:sz w:val="17"/>
          <w:szCs w:val="17"/>
          <w:lang w:val="en-GB"/>
        </w:rPr>
        <w:t>support</w:t>
      </w:r>
      <w:r w:rsidRPr="00AE14A3">
        <w:rPr>
          <w:rFonts w:ascii="Verdana" w:hAnsi="Verdana" w:cs="Times New Roman"/>
          <w:sz w:val="17"/>
          <w:szCs w:val="17"/>
          <w:lang w:val="en-GB"/>
        </w:rPr>
        <w:t xml:space="preserve"> long-term financing to the real economy, as their long-term liabilities enables them to hold long-term assets. </w:t>
      </w:r>
    </w:p>
    <w:p w:rsidR="00AE14A3" w:rsidRPr="00AE14A3" w:rsidRDefault="00AE14A3" w:rsidP="00127DD3">
      <w:pPr>
        <w:spacing w:after="0"/>
        <w:jc w:val="both"/>
        <w:rPr>
          <w:rFonts w:ascii="Verdana" w:hAnsi="Verdana" w:cs="Times New Roman"/>
          <w:sz w:val="17"/>
          <w:szCs w:val="17"/>
          <w:lang w:val="en-GB"/>
        </w:rPr>
      </w:pPr>
    </w:p>
    <w:p w:rsidR="00EA1829" w:rsidRDefault="00EA1829" w:rsidP="00127DD3">
      <w:pPr>
        <w:spacing w:after="0"/>
        <w:jc w:val="both"/>
        <w:rPr>
          <w:rFonts w:ascii="Verdana" w:hAnsi="Verdana" w:cs="Times New Roman"/>
          <w:sz w:val="17"/>
          <w:szCs w:val="17"/>
          <w:lang w:val="en-GB"/>
        </w:rPr>
      </w:pPr>
      <w:r w:rsidRPr="00AE14A3">
        <w:rPr>
          <w:rFonts w:ascii="Verdana" w:hAnsi="Verdana" w:cs="Times New Roman"/>
          <w:sz w:val="17"/>
          <w:szCs w:val="17"/>
          <w:lang w:val="en-GB"/>
        </w:rPr>
        <w:t>The currently foreseen capital charges for a range of long-term assets, such as infrastructure, SMEs or securitisations do not correctly reflect the real risks that insurers are exposed to when holding these long-term assets</w:t>
      </w:r>
      <w:r w:rsidR="00EA33DE" w:rsidRPr="00AE14A3">
        <w:rPr>
          <w:rFonts w:ascii="Verdana" w:hAnsi="Verdana" w:cs="Times New Roman"/>
          <w:sz w:val="17"/>
          <w:szCs w:val="17"/>
          <w:lang w:val="en-GB"/>
        </w:rPr>
        <w:t xml:space="preserve"> and </w:t>
      </w:r>
      <w:r w:rsidRPr="00AE14A3">
        <w:rPr>
          <w:rFonts w:ascii="Verdana" w:hAnsi="Verdana" w:cs="Times New Roman"/>
          <w:sz w:val="17"/>
          <w:szCs w:val="17"/>
          <w:lang w:val="en-GB"/>
        </w:rPr>
        <w:t>risk</w:t>
      </w:r>
      <w:r w:rsidR="00EA33DE" w:rsidRPr="00AE14A3">
        <w:rPr>
          <w:rFonts w:ascii="Verdana" w:hAnsi="Verdana" w:cs="Times New Roman"/>
          <w:sz w:val="17"/>
          <w:szCs w:val="17"/>
          <w:lang w:val="en-GB"/>
        </w:rPr>
        <w:t>s</w:t>
      </w:r>
      <w:r w:rsidRPr="00AE14A3">
        <w:rPr>
          <w:rFonts w:ascii="Verdana" w:hAnsi="Verdana" w:cs="Times New Roman"/>
          <w:sz w:val="17"/>
          <w:szCs w:val="17"/>
          <w:lang w:val="en-GB"/>
        </w:rPr>
        <w:t xml:space="preserve"> pushing insurers away from such investments. </w:t>
      </w:r>
    </w:p>
    <w:p w:rsidR="00AE14A3" w:rsidRPr="00AE14A3" w:rsidRDefault="00AE14A3" w:rsidP="00127DD3">
      <w:pPr>
        <w:spacing w:after="0"/>
        <w:jc w:val="both"/>
        <w:rPr>
          <w:rFonts w:ascii="Verdana" w:hAnsi="Verdana" w:cs="Times New Roman"/>
          <w:sz w:val="17"/>
          <w:szCs w:val="17"/>
          <w:lang w:val="en-GB"/>
        </w:rPr>
      </w:pPr>
    </w:p>
    <w:p w:rsidR="00EA33DE" w:rsidRPr="00AE14A3" w:rsidRDefault="00EA1829" w:rsidP="00127DD3">
      <w:pPr>
        <w:spacing w:after="0"/>
        <w:jc w:val="both"/>
        <w:rPr>
          <w:rFonts w:ascii="Verdana" w:hAnsi="Verdana" w:cs="Times New Roman"/>
          <w:sz w:val="17"/>
          <w:szCs w:val="17"/>
          <w:lang w:val="en-GB"/>
        </w:rPr>
      </w:pPr>
      <w:r w:rsidRPr="00AE14A3">
        <w:rPr>
          <w:rFonts w:ascii="Verdana" w:hAnsi="Verdana" w:cs="Times New Roman"/>
          <w:sz w:val="17"/>
          <w:szCs w:val="17"/>
          <w:lang w:val="en-GB"/>
        </w:rPr>
        <w:t>The Level 2 Delegated must support the political efforts to foster long-term investment and</w:t>
      </w:r>
      <w:r w:rsidR="00196D82" w:rsidRPr="00AE14A3">
        <w:rPr>
          <w:rFonts w:ascii="Verdana" w:hAnsi="Verdana" w:cs="Times New Roman"/>
          <w:sz w:val="17"/>
          <w:szCs w:val="17"/>
          <w:lang w:val="en-GB"/>
        </w:rPr>
        <w:t xml:space="preserve"> investment in the real economy. In order to achieve this, a number of changes are </w:t>
      </w:r>
      <w:r w:rsidR="00EA33DE" w:rsidRPr="00AE14A3">
        <w:rPr>
          <w:rFonts w:ascii="Verdana" w:hAnsi="Verdana" w:cs="Times New Roman"/>
          <w:sz w:val="17"/>
          <w:szCs w:val="17"/>
          <w:lang w:val="en-GB"/>
        </w:rPr>
        <w:t xml:space="preserve">proposed </w:t>
      </w:r>
      <w:r w:rsidR="00196D82" w:rsidRPr="00AE14A3">
        <w:rPr>
          <w:rFonts w:ascii="Verdana" w:hAnsi="Verdana" w:cs="Times New Roman"/>
          <w:sz w:val="17"/>
          <w:szCs w:val="17"/>
          <w:lang w:val="en-GB"/>
        </w:rPr>
        <w:t>to</w:t>
      </w:r>
      <w:r w:rsidR="00EA33DE" w:rsidRPr="00AE14A3">
        <w:rPr>
          <w:rFonts w:ascii="Verdana" w:hAnsi="Verdana" w:cs="Times New Roman"/>
          <w:sz w:val="17"/>
          <w:szCs w:val="17"/>
          <w:lang w:val="en-GB"/>
        </w:rPr>
        <w:t>:</w:t>
      </w:r>
    </w:p>
    <w:p w:rsidR="00EA33DE" w:rsidRPr="00AE14A3" w:rsidRDefault="00196D82" w:rsidP="00127DD3">
      <w:pPr>
        <w:pStyle w:val="ListParagraph"/>
        <w:numPr>
          <w:ilvl w:val="0"/>
          <w:numId w:val="11"/>
        </w:numPr>
        <w:spacing w:after="0"/>
        <w:jc w:val="both"/>
        <w:rPr>
          <w:rFonts w:ascii="Verdana" w:hAnsi="Verdana" w:cs="Times New Roman"/>
          <w:sz w:val="17"/>
          <w:szCs w:val="17"/>
          <w:lang w:val="en-GB"/>
        </w:rPr>
      </w:pPr>
      <w:r w:rsidRPr="00AE14A3">
        <w:rPr>
          <w:rFonts w:ascii="Verdana" w:hAnsi="Verdana" w:cs="Times New Roman"/>
          <w:sz w:val="17"/>
          <w:szCs w:val="17"/>
          <w:lang w:val="en-GB"/>
        </w:rPr>
        <w:t xml:space="preserve">better reflect the real risks triggered by a range of </w:t>
      </w:r>
      <w:bookmarkStart w:id="0" w:name="_GoBack"/>
      <w:bookmarkEnd w:id="0"/>
      <w:r w:rsidRPr="00AE14A3">
        <w:rPr>
          <w:rFonts w:ascii="Verdana" w:hAnsi="Verdana" w:cs="Times New Roman"/>
          <w:sz w:val="17"/>
          <w:szCs w:val="17"/>
          <w:lang w:val="en-GB"/>
        </w:rPr>
        <w:t>investments which have been recognised by recent European and global debates as extremely important for economic growth</w:t>
      </w:r>
      <w:r w:rsidR="00EA33DE" w:rsidRPr="00AE14A3">
        <w:rPr>
          <w:rFonts w:ascii="Verdana" w:hAnsi="Verdana" w:cs="Times New Roman"/>
          <w:sz w:val="17"/>
          <w:szCs w:val="17"/>
          <w:lang w:val="en-GB"/>
        </w:rPr>
        <w:t xml:space="preserve">; </w:t>
      </w:r>
      <w:r w:rsidR="00851A0C" w:rsidRPr="00AE14A3">
        <w:rPr>
          <w:rFonts w:ascii="Verdana" w:hAnsi="Verdana" w:cs="Times New Roman"/>
          <w:sz w:val="17"/>
          <w:szCs w:val="17"/>
          <w:lang w:val="en-GB"/>
        </w:rPr>
        <w:t>and</w:t>
      </w:r>
    </w:p>
    <w:p w:rsidR="00EA1829" w:rsidRPr="00AE14A3" w:rsidRDefault="00EA33DE" w:rsidP="00127DD3">
      <w:pPr>
        <w:pStyle w:val="ListParagraph"/>
        <w:numPr>
          <w:ilvl w:val="0"/>
          <w:numId w:val="11"/>
        </w:numPr>
        <w:spacing w:after="0"/>
        <w:jc w:val="both"/>
        <w:rPr>
          <w:rFonts w:ascii="Verdana" w:hAnsi="Verdana" w:cs="Times New Roman"/>
          <w:sz w:val="17"/>
          <w:szCs w:val="17"/>
          <w:lang w:val="en-GB"/>
        </w:rPr>
      </w:pPr>
      <w:proofErr w:type="gramStart"/>
      <w:r w:rsidRPr="00AE14A3">
        <w:rPr>
          <w:rFonts w:ascii="Verdana" w:hAnsi="Verdana" w:cs="Times New Roman"/>
          <w:sz w:val="17"/>
          <w:szCs w:val="17"/>
          <w:lang w:val="en-GB"/>
        </w:rPr>
        <w:t>enable</w:t>
      </w:r>
      <w:proofErr w:type="gramEnd"/>
      <w:r w:rsidRPr="00AE14A3">
        <w:rPr>
          <w:rFonts w:ascii="Verdana" w:hAnsi="Verdana" w:cs="Times New Roman"/>
          <w:sz w:val="17"/>
          <w:szCs w:val="17"/>
          <w:lang w:val="en-GB"/>
        </w:rPr>
        <w:t xml:space="preserve"> effective and deeper markets and data in these investments to develop</w:t>
      </w:r>
      <w:r w:rsidR="008D0FF9" w:rsidRPr="00AE14A3">
        <w:rPr>
          <w:rFonts w:ascii="Verdana" w:hAnsi="Verdana" w:cs="Times New Roman"/>
          <w:sz w:val="17"/>
          <w:szCs w:val="17"/>
          <w:lang w:val="en-GB"/>
        </w:rPr>
        <w:t>.</w:t>
      </w:r>
    </w:p>
    <w:p w:rsidR="00AE14A3" w:rsidRDefault="00AE14A3" w:rsidP="00127DD3">
      <w:pPr>
        <w:spacing w:after="0"/>
        <w:jc w:val="both"/>
        <w:rPr>
          <w:rFonts w:ascii="Verdana" w:hAnsi="Verdana" w:cs="Times New Roman"/>
          <w:sz w:val="17"/>
          <w:szCs w:val="17"/>
          <w:lang w:val="en-GB"/>
        </w:rPr>
      </w:pPr>
    </w:p>
    <w:p w:rsidR="00EA33DE" w:rsidRPr="00AE14A3" w:rsidRDefault="008D0FF9" w:rsidP="00127DD3">
      <w:pPr>
        <w:spacing w:after="0"/>
        <w:jc w:val="both"/>
        <w:rPr>
          <w:rFonts w:ascii="Verdana" w:hAnsi="Verdana" w:cs="Times New Roman"/>
          <w:sz w:val="17"/>
          <w:szCs w:val="17"/>
          <w:lang w:val="en-GB"/>
        </w:rPr>
      </w:pPr>
      <w:r w:rsidRPr="00AE14A3">
        <w:rPr>
          <w:rFonts w:ascii="Verdana" w:hAnsi="Verdana" w:cs="Times New Roman"/>
          <w:sz w:val="17"/>
          <w:szCs w:val="17"/>
          <w:lang w:val="en-GB"/>
        </w:rPr>
        <w:t>This paper looks at the following investments:</w:t>
      </w:r>
    </w:p>
    <w:p w:rsidR="00EA1829" w:rsidRPr="00AE14A3" w:rsidRDefault="008D0FF9" w:rsidP="00127DD3">
      <w:pPr>
        <w:pStyle w:val="ListParagraph"/>
        <w:numPr>
          <w:ilvl w:val="0"/>
          <w:numId w:val="11"/>
        </w:numPr>
        <w:spacing w:after="0"/>
        <w:jc w:val="both"/>
        <w:rPr>
          <w:rFonts w:ascii="Verdana" w:hAnsi="Verdana" w:cs="Times New Roman"/>
          <w:sz w:val="17"/>
          <w:szCs w:val="17"/>
          <w:lang w:val="en-GB"/>
        </w:rPr>
      </w:pPr>
      <w:r w:rsidRPr="00AE14A3">
        <w:rPr>
          <w:rFonts w:ascii="Verdana" w:hAnsi="Verdana" w:cs="Times New Roman"/>
          <w:b/>
          <w:sz w:val="17"/>
          <w:szCs w:val="17"/>
          <w:lang w:val="en-GB"/>
        </w:rPr>
        <w:t>Infrastructure</w:t>
      </w:r>
      <w:r w:rsidRPr="00AE14A3">
        <w:rPr>
          <w:rFonts w:ascii="Verdana" w:hAnsi="Verdana" w:cs="Times New Roman"/>
          <w:sz w:val="17"/>
          <w:szCs w:val="17"/>
          <w:lang w:val="en-GB"/>
        </w:rPr>
        <w:t xml:space="preserve">: </w:t>
      </w:r>
      <w:r w:rsidR="00EA1829" w:rsidRPr="00AE14A3">
        <w:rPr>
          <w:rFonts w:ascii="Verdana" w:hAnsi="Verdana" w:cs="Times New Roman"/>
          <w:sz w:val="17"/>
          <w:szCs w:val="17"/>
          <w:lang w:val="en-GB"/>
        </w:rPr>
        <w:t xml:space="preserve">There is evidence that </w:t>
      </w:r>
      <w:r w:rsidR="00EA1829" w:rsidRPr="00AE14A3">
        <w:rPr>
          <w:rFonts w:ascii="Verdana" w:hAnsi="Verdana" w:cs="Times New Roman"/>
          <w:b/>
          <w:sz w:val="17"/>
          <w:szCs w:val="17"/>
          <w:lang w:val="en-GB"/>
        </w:rPr>
        <w:t>infrastructure investments</w:t>
      </w:r>
      <w:r w:rsidR="00EA1829" w:rsidRPr="00AE14A3">
        <w:rPr>
          <w:rFonts w:ascii="Verdana" w:hAnsi="Verdana" w:cs="Times New Roman"/>
          <w:sz w:val="17"/>
          <w:szCs w:val="17"/>
          <w:lang w:val="en-GB"/>
        </w:rPr>
        <w:t xml:space="preserve"> react less (or even not at all) to general financial market movements due to their long-term nature and underlying exposures. There is also evidence that</w:t>
      </w:r>
      <w:r w:rsidR="00C255C0" w:rsidRPr="00AE14A3">
        <w:rPr>
          <w:rFonts w:ascii="Verdana" w:hAnsi="Verdana" w:cs="Times New Roman"/>
          <w:sz w:val="17"/>
          <w:szCs w:val="17"/>
          <w:lang w:val="en-GB"/>
        </w:rPr>
        <w:t xml:space="preserve"> </w:t>
      </w:r>
      <w:r w:rsidR="00EA1829" w:rsidRPr="00AE14A3">
        <w:rPr>
          <w:rFonts w:ascii="Verdana" w:hAnsi="Verdana" w:cs="Times New Roman"/>
          <w:sz w:val="17"/>
          <w:szCs w:val="17"/>
          <w:lang w:val="en-GB"/>
        </w:rPr>
        <w:t>the risks of default and/or recovery rates of infrastructure investments exhibit better performances than those of corporates. The calibration of capital charges for infrastructure investments have to allow for (</w:t>
      </w:r>
      <w:proofErr w:type="spellStart"/>
      <w:r w:rsidR="00EA1829" w:rsidRPr="00AE14A3">
        <w:rPr>
          <w:rFonts w:ascii="Verdana" w:hAnsi="Verdana" w:cs="Times New Roman"/>
          <w:sz w:val="17"/>
          <w:szCs w:val="17"/>
          <w:lang w:val="en-GB"/>
        </w:rPr>
        <w:t>i</w:t>
      </w:r>
      <w:proofErr w:type="spellEnd"/>
      <w:r w:rsidR="00EA1829" w:rsidRPr="00AE14A3">
        <w:rPr>
          <w:rFonts w:ascii="Verdana" w:hAnsi="Verdana" w:cs="Times New Roman"/>
          <w:sz w:val="17"/>
          <w:szCs w:val="17"/>
          <w:lang w:val="en-GB"/>
        </w:rPr>
        <w:t>) the recognition of the specificities of infrastructure and implicit lower investment risk, as well as for (ii) the recognition of the low correlation between infrastructure risk and other asset risks. Such an approach would require a definition of infrastructure</w:t>
      </w:r>
      <w:r w:rsidR="003F5F83" w:rsidRPr="00AE14A3">
        <w:rPr>
          <w:rFonts w:ascii="Verdana" w:hAnsi="Verdana" w:cs="Times New Roman"/>
          <w:sz w:val="17"/>
          <w:szCs w:val="17"/>
          <w:lang w:val="en-GB"/>
        </w:rPr>
        <w:t>,</w:t>
      </w:r>
      <w:r w:rsidR="00EA1829" w:rsidRPr="00AE14A3">
        <w:rPr>
          <w:rFonts w:ascii="Verdana" w:hAnsi="Verdana" w:cs="Times New Roman"/>
          <w:sz w:val="17"/>
          <w:szCs w:val="17"/>
          <w:lang w:val="en-GB"/>
        </w:rPr>
        <w:t xml:space="preserve"> along with simple approaches to improve the SCR calibration methodology. </w:t>
      </w:r>
    </w:p>
    <w:p w:rsidR="00EA1829" w:rsidRPr="00AE14A3" w:rsidRDefault="00EA1829" w:rsidP="00127DD3">
      <w:pPr>
        <w:pStyle w:val="ListParagraph"/>
        <w:numPr>
          <w:ilvl w:val="0"/>
          <w:numId w:val="11"/>
        </w:numPr>
        <w:spacing w:after="0"/>
        <w:jc w:val="both"/>
        <w:rPr>
          <w:rFonts w:ascii="Verdana" w:hAnsi="Verdana" w:cs="Times New Roman"/>
          <w:sz w:val="17"/>
          <w:szCs w:val="17"/>
          <w:lang w:val="en-GB"/>
        </w:rPr>
      </w:pPr>
      <w:r w:rsidRPr="00AE14A3">
        <w:rPr>
          <w:rFonts w:ascii="Verdana" w:hAnsi="Verdana" w:cs="Times New Roman"/>
          <w:b/>
          <w:sz w:val="17"/>
          <w:szCs w:val="17"/>
          <w:lang w:val="en-GB"/>
        </w:rPr>
        <w:t>Securitisation</w:t>
      </w:r>
      <w:r w:rsidR="00196D82" w:rsidRPr="00AE14A3">
        <w:rPr>
          <w:rFonts w:ascii="Verdana" w:hAnsi="Verdana" w:cs="Times New Roman"/>
          <w:b/>
          <w:sz w:val="17"/>
          <w:szCs w:val="17"/>
          <w:lang w:val="en-GB"/>
        </w:rPr>
        <w:t>s</w:t>
      </w:r>
      <w:r w:rsidRPr="00AE14A3">
        <w:rPr>
          <w:rFonts w:ascii="Verdana" w:hAnsi="Verdana" w:cs="Times New Roman"/>
          <w:b/>
          <w:sz w:val="17"/>
          <w:szCs w:val="17"/>
          <w:lang w:val="en-GB"/>
        </w:rPr>
        <w:t>:</w:t>
      </w:r>
      <w:r w:rsidRPr="00AE14A3">
        <w:rPr>
          <w:rFonts w:ascii="Verdana" w:hAnsi="Verdana" w:cs="Times New Roman"/>
          <w:sz w:val="17"/>
          <w:szCs w:val="17"/>
          <w:lang w:val="en-GB"/>
        </w:rPr>
        <w:t xml:space="preserve"> While we welcome recognition that high quality securitisations can and should be identified, the definition of the high quality “Type A” is restrictive</w:t>
      </w:r>
      <w:r w:rsidR="00FA2411" w:rsidRPr="00AE14A3">
        <w:rPr>
          <w:rFonts w:ascii="Verdana" w:hAnsi="Verdana" w:cs="Times New Roman"/>
          <w:sz w:val="17"/>
          <w:szCs w:val="17"/>
          <w:lang w:val="en-GB"/>
        </w:rPr>
        <w:t xml:space="preserve"> and </w:t>
      </w:r>
      <w:r w:rsidRPr="00AE14A3">
        <w:rPr>
          <w:rFonts w:ascii="Verdana" w:hAnsi="Verdana" w:cs="Times New Roman"/>
          <w:sz w:val="17"/>
          <w:szCs w:val="17"/>
          <w:lang w:val="en-GB"/>
        </w:rPr>
        <w:t xml:space="preserve">the calibrations proposed </w:t>
      </w:r>
      <w:r w:rsidR="00FA2411" w:rsidRPr="00AE14A3">
        <w:rPr>
          <w:rFonts w:ascii="Verdana" w:hAnsi="Verdana" w:cs="Times New Roman"/>
          <w:sz w:val="17"/>
          <w:szCs w:val="17"/>
          <w:lang w:val="en-GB"/>
        </w:rPr>
        <w:t>too</w:t>
      </w:r>
      <w:r w:rsidRPr="00AE14A3">
        <w:rPr>
          <w:rFonts w:ascii="Verdana" w:hAnsi="Verdana" w:cs="Times New Roman"/>
          <w:sz w:val="17"/>
          <w:szCs w:val="17"/>
          <w:lang w:val="en-GB"/>
        </w:rPr>
        <w:t xml:space="preserve"> high</w:t>
      </w:r>
      <w:r w:rsidR="00FA2411" w:rsidRPr="00AE14A3">
        <w:rPr>
          <w:rFonts w:ascii="Verdana" w:hAnsi="Verdana" w:cs="Times New Roman"/>
          <w:sz w:val="17"/>
          <w:szCs w:val="17"/>
          <w:lang w:val="en-GB"/>
        </w:rPr>
        <w:t xml:space="preserve">.  This </w:t>
      </w:r>
      <w:r w:rsidRPr="00AE14A3">
        <w:rPr>
          <w:rFonts w:ascii="Verdana" w:hAnsi="Verdana" w:cs="Times New Roman"/>
          <w:sz w:val="17"/>
          <w:szCs w:val="17"/>
          <w:lang w:val="en-GB"/>
        </w:rPr>
        <w:t xml:space="preserve">will </w:t>
      </w:r>
      <w:r w:rsidR="00FA2411" w:rsidRPr="00AE14A3">
        <w:rPr>
          <w:rFonts w:ascii="Verdana" w:hAnsi="Verdana" w:cs="Times New Roman"/>
          <w:sz w:val="17"/>
          <w:szCs w:val="17"/>
          <w:lang w:val="en-GB"/>
        </w:rPr>
        <w:t>restrict the ability of</w:t>
      </w:r>
      <w:r w:rsidRPr="00AE14A3">
        <w:rPr>
          <w:rFonts w:ascii="Verdana" w:hAnsi="Verdana" w:cs="Times New Roman"/>
          <w:sz w:val="17"/>
          <w:szCs w:val="17"/>
          <w:lang w:val="en-GB"/>
        </w:rPr>
        <w:t xml:space="preserve"> this asset class to be viable for insurance companies. For example, an AA 5-year securitisation will still get over 42% capital </w:t>
      </w:r>
      <w:proofErr w:type="gramStart"/>
      <w:r w:rsidRPr="00AE14A3">
        <w:rPr>
          <w:rFonts w:ascii="Verdana" w:hAnsi="Verdana" w:cs="Times New Roman"/>
          <w:sz w:val="17"/>
          <w:szCs w:val="17"/>
          <w:lang w:val="en-GB"/>
        </w:rPr>
        <w:t>charge</w:t>
      </w:r>
      <w:proofErr w:type="gramEnd"/>
      <w:r w:rsidRPr="00AE14A3">
        <w:rPr>
          <w:rFonts w:ascii="Verdana" w:hAnsi="Verdana" w:cs="Times New Roman"/>
          <w:sz w:val="17"/>
          <w:szCs w:val="17"/>
          <w:lang w:val="en-GB"/>
        </w:rPr>
        <w:t xml:space="preserve">. This should be compared to a total actual accumulative default rate during the crisis (2007 to 2013) of only 0.14%. </w:t>
      </w:r>
    </w:p>
    <w:p w:rsidR="00EA1829" w:rsidRPr="00AE14A3" w:rsidRDefault="00EA1829" w:rsidP="00127DD3">
      <w:pPr>
        <w:pStyle w:val="ListParagraph"/>
        <w:numPr>
          <w:ilvl w:val="0"/>
          <w:numId w:val="11"/>
        </w:numPr>
        <w:spacing w:after="0"/>
        <w:jc w:val="both"/>
        <w:rPr>
          <w:rFonts w:ascii="Verdana" w:hAnsi="Verdana" w:cs="Times New Roman"/>
          <w:sz w:val="17"/>
          <w:szCs w:val="17"/>
          <w:lang w:val="en-GB"/>
        </w:rPr>
      </w:pPr>
      <w:r w:rsidRPr="00AE14A3">
        <w:rPr>
          <w:rFonts w:ascii="Verdana" w:hAnsi="Verdana" w:cs="Times New Roman"/>
          <w:b/>
          <w:sz w:val="17"/>
          <w:szCs w:val="17"/>
          <w:lang w:val="en-GB"/>
        </w:rPr>
        <w:t>SME investments</w:t>
      </w:r>
      <w:r w:rsidRPr="00AE14A3">
        <w:rPr>
          <w:rFonts w:ascii="Verdana" w:hAnsi="Verdana" w:cs="Times New Roman"/>
          <w:sz w:val="17"/>
          <w:szCs w:val="17"/>
          <w:lang w:val="en-GB"/>
        </w:rPr>
        <w:t xml:space="preserve"> are </w:t>
      </w:r>
      <w:proofErr w:type="gramStart"/>
      <w:r w:rsidRPr="00AE14A3">
        <w:rPr>
          <w:rFonts w:ascii="Verdana" w:hAnsi="Verdana" w:cs="Times New Roman"/>
          <w:sz w:val="17"/>
          <w:szCs w:val="17"/>
          <w:lang w:val="en-GB"/>
        </w:rPr>
        <w:t>key</w:t>
      </w:r>
      <w:proofErr w:type="gramEnd"/>
      <w:r w:rsidRPr="00AE14A3">
        <w:rPr>
          <w:rFonts w:ascii="Verdana" w:hAnsi="Verdana" w:cs="Times New Roman"/>
          <w:sz w:val="17"/>
          <w:szCs w:val="17"/>
          <w:lang w:val="en-GB"/>
        </w:rPr>
        <w:t xml:space="preserve"> to funding economic growth in Europe. Insurers, via their long-term and illiquid liabilities, have the ability to hold such investments in their portfolios. The current calibrations do not appropriately take into account how the long-term nature of such investments and the risk mitigation </w:t>
      </w:r>
      <w:r w:rsidR="00FA2411" w:rsidRPr="00AE14A3">
        <w:rPr>
          <w:rFonts w:ascii="Verdana" w:hAnsi="Verdana" w:cs="Times New Roman"/>
          <w:sz w:val="17"/>
          <w:szCs w:val="17"/>
          <w:lang w:val="en-GB"/>
        </w:rPr>
        <w:t xml:space="preserve">features including </w:t>
      </w:r>
      <w:r w:rsidRPr="00AE14A3">
        <w:rPr>
          <w:rFonts w:ascii="Verdana" w:hAnsi="Verdana" w:cs="Times New Roman"/>
          <w:sz w:val="17"/>
          <w:szCs w:val="17"/>
          <w:lang w:val="en-GB"/>
        </w:rPr>
        <w:t xml:space="preserve">collateral </w:t>
      </w:r>
      <w:r w:rsidR="00FA2411" w:rsidRPr="00AE14A3">
        <w:rPr>
          <w:rFonts w:ascii="Verdana" w:hAnsi="Verdana" w:cs="Times New Roman"/>
          <w:sz w:val="17"/>
          <w:szCs w:val="17"/>
          <w:lang w:val="en-GB"/>
        </w:rPr>
        <w:t xml:space="preserve">that </w:t>
      </w:r>
      <w:r w:rsidRPr="00AE14A3">
        <w:rPr>
          <w:rFonts w:ascii="Verdana" w:hAnsi="Verdana" w:cs="Times New Roman"/>
          <w:sz w:val="17"/>
          <w:szCs w:val="17"/>
          <w:lang w:val="en-GB"/>
        </w:rPr>
        <w:t>can reduce the risk.</w:t>
      </w:r>
    </w:p>
    <w:p w:rsidR="00AE14A3" w:rsidRDefault="00AE14A3" w:rsidP="00AE14A3">
      <w:pPr>
        <w:autoSpaceDE w:val="0"/>
        <w:autoSpaceDN w:val="0"/>
        <w:adjustRightInd w:val="0"/>
        <w:spacing w:after="0"/>
        <w:jc w:val="both"/>
        <w:rPr>
          <w:rFonts w:ascii="Verdana" w:hAnsi="Verdana" w:cs="Times New Roman"/>
          <w:bCs/>
          <w:sz w:val="17"/>
          <w:szCs w:val="17"/>
          <w:lang w:val="en-GB"/>
        </w:rPr>
      </w:pPr>
    </w:p>
    <w:p w:rsidR="00A63E2F" w:rsidRPr="00AE14A3" w:rsidRDefault="00A63E2F" w:rsidP="00AE14A3">
      <w:pPr>
        <w:autoSpaceDE w:val="0"/>
        <w:autoSpaceDN w:val="0"/>
        <w:adjustRightInd w:val="0"/>
        <w:spacing w:after="0"/>
        <w:jc w:val="both"/>
        <w:rPr>
          <w:rFonts w:ascii="Verdana" w:hAnsi="Verdana" w:cs="Times New Roman"/>
          <w:bCs/>
          <w:sz w:val="17"/>
          <w:szCs w:val="17"/>
          <w:lang w:val="en-GB"/>
        </w:rPr>
      </w:pPr>
      <w:r w:rsidRPr="00AE14A3">
        <w:rPr>
          <w:rFonts w:ascii="Verdana" w:hAnsi="Verdana" w:cs="Times New Roman"/>
          <w:bCs/>
          <w:sz w:val="17"/>
          <w:szCs w:val="17"/>
          <w:lang w:val="en-GB"/>
        </w:rPr>
        <w:t xml:space="preserve">The industry proposes the following as potential solutions to address </w:t>
      </w:r>
      <w:r w:rsidR="00196D82" w:rsidRPr="00AE14A3">
        <w:rPr>
          <w:rFonts w:ascii="Verdana" w:hAnsi="Verdana" w:cs="Times New Roman"/>
          <w:bCs/>
          <w:sz w:val="17"/>
          <w:szCs w:val="17"/>
          <w:lang w:val="en-GB"/>
        </w:rPr>
        <w:t xml:space="preserve">some of the challenges mentioned above in </w:t>
      </w:r>
      <w:r w:rsidRPr="00AE14A3">
        <w:rPr>
          <w:rFonts w:ascii="Verdana" w:hAnsi="Verdana" w:cs="Times New Roman"/>
          <w:bCs/>
          <w:sz w:val="17"/>
          <w:szCs w:val="17"/>
          <w:lang w:val="en-GB"/>
        </w:rPr>
        <w:t xml:space="preserve">the </w:t>
      </w:r>
      <w:r w:rsidR="00196D82" w:rsidRPr="00AE14A3">
        <w:rPr>
          <w:rFonts w:ascii="Verdana" w:hAnsi="Verdana" w:cs="Times New Roman"/>
          <w:bCs/>
          <w:sz w:val="17"/>
          <w:szCs w:val="17"/>
          <w:lang w:val="en-GB"/>
        </w:rPr>
        <w:t>D</w:t>
      </w:r>
      <w:r w:rsidRPr="00AE14A3">
        <w:rPr>
          <w:rFonts w:ascii="Verdana" w:hAnsi="Verdana" w:cs="Times New Roman"/>
          <w:bCs/>
          <w:sz w:val="17"/>
          <w:szCs w:val="17"/>
          <w:lang w:val="en-GB"/>
        </w:rPr>
        <w:t xml:space="preserve">elegated </w:t>
      </w:r>
      <w:r w:rsidR="00196D82" w:rsidRPr="00AE14A3">
        <w:rPr>
          <w:rFonts w:ascii="Verdana" w:hAnsi="Verdana" w:cs="Times New Roman"/>
          <w:bCs/>
          <w:sz w:val="17"/>
          <w:szCs w:val="17"/>
          <w:lang w:val="en-GB"/>
        </w:rPr>
        <w:t>A</w:t>
      </w:r>
      <w:r w:rsidRPr="00AE14A3">
        <w:rPr>
          <w:rFonts w:ascii="Verdana" w:hAnsi="Verdana" w:cs="Times New Roman"/>
          <w:bCs/>
          <w:sz w:val="17"/>
          <w:szCs w:val="17"/>
          <w:lang w:val="en-GB"/>
        </w:rPr>
        <w:t xml:space="preserve">cts. The paper is split into two sections – </w:t>
      </w:r>
      <w:r w:rsidRPr="00AE14A3">
        <w:rPr>
          <w:rFonts w:ascii="Verdana" w:hAnsi="Verdana" w:cs="Times New Roman"/>
          <w:bCs/>
          <w:i/>
          <w:sz w:val="17"/>
          <w:szCs w:val="17"/>
          <w:lang w:val="en-GB"/>
        </w:rPr>
        <w:t>section 1</w:t>
      </w:r>
      <w:r w:rsidRPr="00AE14A3">
        <w:rPr>
          <w:rFonts w:ascii="Verdana" w:hAnsi="Verdana" w:cs="Times New Roman"/>
          <w:bCs/>
          <w:sz w:val="17"/>
          <w:szCs w:val="17"/>
          <w:lang w:val="en-GB"/>
        </w:rPr>
        <w:t xml:space="preserve"> which includes developed solutions proposed by the industry and </w:t>
      </w:r>
      <w:r w:rsidRPr="00AE14A3">
        <w:rPr>
          <w:rFonts w:ascii="Verdana" w:hAnsi="Verdana" w:cs="Times New Roman"/>
          <w:bCs/>
          <w:i/>
          <w:sz w:val="17"/>
          <w:szCs w:val="17"/>
          <w:lang w:val="en-GB"/>
        </w:rPr>
        <w:t>section 2</w:t>
      </w:r>
      <w:r w:rsidRPr="00AE14A3">
        <w:rPr>
          <w:rFonts w:ascii="Verdana" w:hAnsi="Verdana" w:cs="Times New Roman"/>
          <w:bCs/>
          <w:sz w:val="17"/>
          <w:szCs w:val="17"/>
          <w:lang w:val="en-GB"/>
        </w:rPr>
        <w:t xml:space="preserve"> which contains proposals that are being considered as options to further recognise particular investments in infrastructure </w:t>
      </w:r>
      <w:r w:rsidR="003F5F83" w:rsidRPr="00AE14A3">
        <w:rPr>
          <w:rFonts w:ascii="Verdana" w:hAnsi="Verdana" w:cs="Times New Roman"/>
          <w:bCs/>
          <w:sz w:val="17"/>
          <w:szCs w:val="17"/>
          <w:lang w:val="en-GB"/>
        </w:rPr>
        <w:t xml:space="preserve">and SME </w:t>
      </w:r>
      <w:r w:rsidRPr="00AE14A3">
        <w:rPr>
          <w:rFonts w:ascii="Verdana" w:hAnsi="Verdana" w:cs="Times New Roman"/>
          <w:bCs/>
          <w:sz w:val="17"/>
          <w:szCs w:val="17"/>
          <w:lang w:val="en-GB"/>
        </w:rPr>
        <w:t xml:space="preserve">equity for discussion.    </w:t>
      </w:r>
    </w:p>
    <w:p w:rsidR="00A63E2F" w:rsidRPr="00AE14A3" w:rsidRDefault="00A63E2F" w:rsidP="00127DD3">
      <w:pPr>
        <w:autoSpaceDE w:val="0"/>
        <w:autoSpaceDN w:val="0"/>
        <w:adjustRightInd w:val="0"/>
        <w:spacing w:after="0"/>
        <w:jc w:val="both"/>
        <w:rPr>
          <w:rFonts w:ascii="Verdana" w:hAnsi="Verdana" w:cs="Times New Roman"/>
          <w:b/>
          <w:sz w:val="17"/>
          <w:szCs w:val="17"/>
          <w:lang w:val="en-GB"/>
        </w:rPr>
      </w:pPr>
    </w:p>
    <w:p w:rsidR="00851A0C" w:rsidRPr="00AE14A3" w:rsidRDefault="00851A0C" w:rsidP="00127DD3">
      <w:pPr>
        <w:spacing w:after="0"/>
        <w:rPr>
          <w:rFonts w:ascii="Verdana" w:hAnsi="Verdana" w:cs="Times New Roman"/>
          <w:b/>
          <w:sz w:val="17"/>
          <w:szCs w:val="17"/>
          <w:lang w:val="en-GB"/>
        </w:rPr>
      </w:pPr>
      <w:r w:rsidRPr="00AE14A3">
        <w:rPr>
          <w:rFonts w:ascii="Verdana" w:hAnsi="Verdana" w:cs="Times New Roman"/>
          <w:b/>
          <w:sz w:val="17"/>
          <w:szCs w:val="17"/>
          <w:lang w:val="en-GB"/>
        </w:rPr>
        <w:br w:type="page"/>
      </w:r>
    </w:p>
    <w:p w:rsidR="00196D82" w:rsidRPr="00AE14A3" w:rsidRDefault="00196D82" w:rsidP="00AE14A3">
      <w:pPr>
        <w:autoSpaceDE w:val="0"/>
        <w:autoSpaceDN w:val="0"/>
        <w:adjustRightInd w:val="0"/>
        <w:spacing w:after="0"/>
        <w:jc w:val="both"/>
        <w:rPr>
          <w:rFonts w:ascii="Verdana" w:hAnsi="Verdana" w:cs="Times New Roman"/>
          <w:b/>
          <w:sz w:val="17"/>
          <w:szCs w:val="17"/>
          <w:lang w:val="en-GB"/>
        </w:rPr>
      </w:pPr>
    </w:p>
    <w:p w:rsidR="003F5F83" w:rsidRPr="00AE14A3" w:rsidRDefault="00A63E2F" w:rsidP="00127DD3">
      <w:pPr>
        <w:autoSpaceDE w:val="0"/>
        <w:autoSpaceDN w:val="0"/>
        <w:adjustRightInd w:val="0"/>
        <w:spacing w:after="0"/>
        <w:jc w:val="center"/>
        <w:rPr>
          <w:rFonts w:ascii="Verdana" w:hAnsi="Verdana" w:cs="Times New Roman"/>
          <w:b/>
          <w:i/>
          <w:sz w:val="17"/>
          <w:szCs w:val="17"/>
          <w:u w:val="single"/>
          <w:lang w:val="en-GB"/>
        </w:rPr>
      </w:pPr>
      <w:r w:rsidRPr="00AE14A3">
        <w:rPr>
          <w:rFonts w:ascii="Verdana" w:hAnsi="Verdana" w:cs="Times New Roman"/>
          <w:b/>
          <w:i/>
          <w:sz w:val="17"/>
          <w:szCs w:val="17"/>
          <w:u w:val="single"/>
          <w:lang w:val="en-GB"/>
        </w:rPr>
        <w:t>Section 1</w:t>
      </w:r>
    </w:p>
    <w:p w:rsidR="0001689B" w:rsidRPr="00AE14A3" w:rsidRDefault="0001689B" w:rsidP="00127DD3">
      <w:pPr>
        <w:autoSpaceDE w:val="0"/>
        <w:autoSpaceDN w:val="0"/>
        <w:adjustRightInd w:val="0"/>
        <w:spacing w:after="0"/>
        <w:jc w:val="center"/>
        <w:rPr>
          <w:rFonts w:ascii="Verdana" w:hAnsi="Verdana" w:cs="Times New Roman"/>
          <w:b/>
          <w:i/>
          <w:sz w:val="17"/>
          <w:szCs w:val="17"/>
          <w:u w:val="single"/>
          <w:lang w:val="en-GB"/>
        </w:rPr>
      </w:pPr>
    </w:p>
    <w:p w:rsidR="000D62E9" w:rsidRPr="00127DD3" w:rsidRDefault="003F5F83" w:rsidP="00851A0C">
      <w:pPr>
        <w:autoSpaceDE w:val="0"/>
        <w:autoSpaceDN w:val="0"/>
        <w:adjustRightInd w:val="0"/>
        <w:spacing w:after="0"/>
        <w:jc w:val="both"/>
        <w:rPr>
          <w:rFonts w:ascii="Verdana" w:hAnsi="Verdana" w:cs="Times New Roman"/>
          <w:sz w:val="17"/>
          <w:szCs w:val="17"/>
          <w:lang w:val="en-GB"/>
        </w:rPr>
      </w:pPr>
      <w:r w:rsidRPr="00127DD3">
        <w:rPr>
          <w:rFonts w:ascii="Verdana" w:hAnsi="Verdana" w:cs="Times New Roman"/>
          <w:noProof/>
          <w:sz w:val="17"/>
          <w:szCs w:val="17"/>
          <w:lang w:val="en-GB" w:eastAsia="en-GB"/>
        </w:rPr>
        <mc:AlternateContent>
          <mc:Choice Requires="wps">
            <w:drawing>
              <wp:anchor distT="0" distB="0" distL="114300" distR="114300" simplePos="0" relativeHeight="251659264" behindDoc="0" locked="0" layoutInCell="1" allowOverlap="1" wp14:anchorId="5882D99C" wp14:editId="2EE31E0C">
                <wp:simplePos x="0" y="0"/>
                <wp:positionH relativeFrom="column">
                  <wp:posOffset>-218309</wp:posOffset>
                </wp:positionH>
                <wp:positionV relativeFrom="paragraph">
                  <wp:posOffset>153993</wp:posOffset>
                </wp:positionV>
                <wp:extent cx="6211019" cy="1403985"/>
                <wp:effectExtent l="0" t="0" r="1841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019" cy="1403985"/>
                        </a:xfrm>
                        <a:prstGeom prst="rect">
                          <a:avLst/>
                        </a:prstGeom>
                        <a:solidFill>
                          <a:srgbClr val="FFFFFF"/>
                        </a:solidFill>
                        <a:ln w="9525">
                          <a:solidFill>
                            <a:srgbClr val="000000"/>
                          </a:solidFill>
                          <a:miter lim="800000"/>
                          <a:headEnd/>
                          <a:tailEnd/>
                        </a:ln>
                      </wps:spPr>
                      <wps:txbx>
                        <w:txbxContent>
                          <w:p w:rsidR="003F5F83" w:rsidRPr="00127DD3" w:rsidRDefault="003F5F83">
                            <w:pPr>
                              <w:rPr>
                                <w:rFonts w:ascii="Verdana" w:hAnsi="Verdana"/>
                                <w:sz w:val="17"/>
                                <w:szCs w:val="17"/>
                                <w:lang w:val="en-GB"/>
                              </w:rPr>
                            </w:pPr>
                            <w:r w:rsidRPr="00127DD3">
                              <w:rPr>
                                <w:rFonts w:ascii="Verdana" w:hAnsi="Verdana" w:cs="Times New Roman"/>
                                <w:sz w:val="17"/>
                                <w:szCs w:val="17"/>
                                <w:lang w:val="en-GB"/>
                              </w:rPr>
                              <w:t xml:space="preserve">A </w:t>
                            </w:r>
                            <w:r w:rsidRPr="00127DD3">
                              <w:rPr>
                                <w:rFonts w:ascii="Verdana" w:hAnsi="Verdana" w:cs="Times New Roman"/>
                                <w:b/>
                                <w:sz w:val="17"/>
                                <w:szCs w:val="17"/>
                                <w:lang w:val="en-GB"/>
                              </w:rPr>
                              <w:t xml:space="preserve">definition of infrastructure </w:t>
                            </w:r>
                            <w:r w:rsidRPr="00127DD3">
                              <w:rPr>
                                <w:rFonts w:ascii="Verdana" w:hAnsi="Verdana" w:cs="Times New Roman"/>
                                <w:sz w:val="17"/>
                                <w:szCs w:val="17"/>
                                <w:lang w:val="en-GB"/>
                              </w:rPr>
                              <w:t>is needed to enable the benefits and characteristics associated with infrastructure to be appropriately captured, to provide incentive for the development of opportunities for infrastructure investment and to allow further discussion on this topic, particularly as solutions are developed.  The following definition is proposed.  In addition to this definition, a recital is proposed to provide further context</w:t>
                            </w:r>
                            <w:r w:rsidR="00AE14A3">
                              <w:rPr>
                                <w:rFonts w:ascii="Verdana" w:hAnsi="Verdana" w:cs="Times New Roman"/>
                                <w:sz w:val="17"/>
                                <w:szCs w:val="17"/>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2pt;margin-top:12.15pt;width:489.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IDJQIAAEcEAAAOAAAAZHJzL2Uyb0RvYy54bWysU9uO2yAQfa/Uf0C8N75ssptYcVbbbFNV&#10;2l6k3X4AxjhGxQwFEjv9+g7Ym6a3l6o8IIYZDjPnzKxvh06Ro7BOgi5pNkspEZpDLfW+pJ+fdq+W&#10;lDjPdM0UaFHSk3D0dvPyxbo3hcihBVULSxBEu6I3JW29N0WSON6KjrkZGKHR2YDtmEfT7pPash7R&#10;O5XkaXqd9GBrY4EL5/D2fnTSTcRvGsH9x6ZxwhNVUszNx93GvQp7slmzYm+ZaSWf0mD/kEXHpMZP&#10;z1D3zDNysPI3qE5yCw4aP+PQJdA0kotYA1aTpb9U89gyI2ItSI4zZ5rc/4PlH46fLJF1Sa/SG0o0&#10;61CkJzF48hoGkgd+euMKDHs0GOgHvEadY63OPAD/4oiGbcv0XtxZC30rWI35ZeFlcvF0xHEBpOrf&#10;Q43fsIOHCDQ0tgvkIR0E0VGn01mbkArHy+s8y9JsRQlHXzZPr1bLRfyDFc/PjXX+rYCOhENJLYof&#10;4dnxwfmQDiueQ8JvDpSsd1KpaNh9tVWWHBk2yi6uCf2nMKVJX9LVIl+MDPwVIo3rTxCd9NjxSnYl&#10;XZ6DWBF4e6Pr2I+eSTWeMWWlJyIDdyOLfqiGSZgK6hNSamHsbJxEPLRgv1HSY1eX1H09MCsoUe80&#10;yrLK5vMwBtGYL25yNOylp7r0MM0RqqSekvG49XF0ImHmDuXbyUhs0HnMZMoVuzXyPU1WGIdLO0b9&#10;mP/NdwAAAP//AwBQSwMEFAAGAAgAAAAhAO5y8P3eAAAACgEAAA8AAABkcnMvZG93bnJldi54bWxM&#10;j8FuwjAMhu9Ie4fIk3ZBkEJTtnVN0YbEiRMdu4fGa6s1TkkClLdfOG1H259+f3+xHk3PLuh8Z0nC&#10;Yp4AQ6qt7qiRcPjczl6A+aBIq94SSrihh3X5MClUru2V9nipQsNiCPlcSWhDGHLOfd2iUX5uB6R4&#10;+7bOqBBH13Dt1DWGm54vk2TFjeoofmjVgJsW65/qbCSsTlU63X3pKe1v2w9Xm0xvDpmUT4/j+xuw&#10;gGP4g+GuH9WhjE5HeybtWS9hlgoRUQlLkQKLwKtIn4Ed74tMAC8L/r9C+QsAAP//AwBQSwECLQAU&#10;AAYACAAAACEAtoM4kv4AAADhAQAAEwAAAAAAAAAAAAAAAAAAAAAAW0NvbnRlbnRfVHlwZXNdLnht&#10;bFBLAQItABQABgAIAAAAIQA4/SH/1gAAAJQBAAALAAAAAAAAAAAAAAAAAC8BAABfcmVscy8ucmVs&#10;c1BLAQItABQABgAIAAAAIQCFHyIDJQIAAEcEAAAOAAAAAAAAAAAAAAAAAC4CAABkcnMvZTJvRG9j&#10;LnhtbFBLAQItABQABgAIAAAAIQDucvD93gAAAAoBAAAPAAAAAAAAAAAAAAAAAH8EAABkcnMvZG93&#10;bnJldi54bWxQSwUGAAAAAAQABADzAAAAigUAAAAA&#10;">
                <v:textbox style="mso-fit-shape-to-text:t">
                  <w:txbxContent>
                    <w:p w:rsidR="003F5F83" w:rsidRPr="00127DD3" w:rsidRDefault="003F5F83">
                      <w:pPr>
                        <w:rPr>
                          <w:rFonts w:ascii="Verdana" w:hAnsi="Verdana"/>
                          <w:sz w:val="17"/>
                          <w:szCs w:val="17"/>
                          <w:lang w:val="en-GB"/>
                        </w:rPr>
                      </w:pPr>
                      <w:r w:rsidRPr="00127DD3">
                        <w:rPr>
                          <w:rFonts w:ascii="Verdana" w:hAnsi="Verdana" w:cs="Times New Roman"/>
                          <w:sz w:val="17"/>
                          <w:szCs w:val="17"/>
                          <w:lang w:val="en-GB"/>
                        </w:rPr>
                        <w:t xml:space="preserve">A </w:t>
                      </w:r>
                      <w:r w:rsidRPr="00127DD3">
                        <w:rPr>
                          <w:rFonts w:ascii="Verdana" w:hAnsi="Verdana" w:cs="Times New Roman"/>
                          <w:b/>
                          <w:sz w:val="17"/>
                          <w:szCs w:val="17"/>
                          <w:lang w:val="en-GB"/>
                        </w:rPr>
                        <w:t xml:space="preserve">definition of infrastructure </w:t>
                      </w:r>
                      <w:r w:rsidRPr="00127DD3">
                        <w:rPr>
                          <w:rFonts w:ascii="Verdana" w:hAnsi="Verdana" w:cs="Times New Roman"/>
                          <w:sz w:val="17"/>
                          <w:szCs w:val="17"/>
                          <w:lang w:val="en-GB"/>
                        </w:rPr>
                        <w:t>is needed to enable the benefits and characteristics associated with infrastructure to be appropriately captured, to provide incentive for the development of opportunities for infrastructure investment and to allow further discussion on this topic, particularly as solutions are developed.  The following definition is proposed.  In addition to this definition, a recital is proposed to provide further context</w:t>
                      </w:r>
                      <w:r w:rsidR="00AE14A3">
                        <w:rPr>
                          <w:rFonts w:ascii="Verdana" w:hAnsi="Verdana" w:cs="Times New Roman"/>
                          <w:sz w:val="17"/>
                          <w:szCs w:val="17"/>
                          <w:lang w:val="en-GB"/>
                        </w:rPr>
                        <w:t>.</w:t>
                      </w:r>
                    </w:p>
                  </w:txbxContent>
                </v:textbox>
              </v:shape>
            </w:pict>
          </mc:Fallback>
        </mc:AlternateContent>
      </w:r>
    </w:p>
    <w:p w:rsidR="003F5F83" w:rsidRPr="00127DD3" w:rsidRDefault="003F5F83" w:rsidP="00851A0C">
      <w:pPr>
        <w:jc w:val="both"/>
        <w:rPr>
          <w:rFonts w:ascii="Verdana" w:hAnsi="Verdana" w:cs="Times New Roman"/>
          <w:sz w:val="17"/>
          <w:szCs w:val="17"/>
          <w:lang w:val="en-GB"/>
        </w:rPr>
      </w:pPr>
    </w:p>
    <w:p w:rsidR="003F5F83" w:rsidRPr="00127DD3" w:rsidRDefault="003F5F83" w:rsidP="00851A0C">
      <w:pPr>
        <w:jc w:val="both"/>
        <w:rPr>
          <w:rFonts w:ascii="Verdana" w:hAnsi="Verdana" w:cs="Times New Roman"/>
          <w:sz w:val="17"/>
          <w:szCs w:val="17"/>
          <w:lang w:val="en-GB"/>
        </w:rPr>
      </w:pPr>
    </w:p>
    <w:p w:rsidR="003F5F83" w:rsidRPr="00127DD3" w:rsidRDefault="003F5F83" w:rsidP="00851A0C">
      <w:pPr>
        <w:jc w:val="both"/>
        <w:rPr>
          <w:rFonts w:ascii="Verdana" w:hAnsi="Verdana" w:cs="Times New Roman"/>
          <w:sz w:val="17"/>
          <w:szCs w:val="17"/>
          <w:lang w:val="en-GB"/>
        </w:rPr>
      </w:pPr>
    </w:p>
    <w:p w:rsidR="003F5F83" w:rsidRPr="00127DD3" w:rsidRDefault="003F5F83" w:rsidP="00851A0C">
      <w:pPr>
        <w:jc w:val="both"/>
        <w:rPr>
          <w:rFonts w:ascii="Verdana" w:hAnsi="Verdana" w:cs="Times New Roman"/>
          <w:sz w:val="17"/>
          <w:szCs w:val="17"/>
          <w:lang w:val="en-GB"/>
        </w:rPr>
      </w:pPr>
      <w:r w:rsidRPr="00127DD3">
        <w:rPr>
          <w:rFonts w:ascii="Verdana" w:hAnsi="Verdana" w:cs="Times New Roman"/>
          <w:sz w:val="17"/>
          <w:szCs w:val="17"/>
          <w:lang w:val="en-GB"/>
        </w:rPr>
        <w:t>.</w:t>
      </w:r>
    </w:p>
    <w:p w:rsidR="003F5F83" w:rsidRPr="00127DD3" w:rsidRDefault="003F5F83" w:rsidP="00851A0C">
      <w:pPr>
        <w:autoSpaceDE w:val="0"/>
        <w:autoSpaceDN w:val="0"/>
        <w:adjustRightInd w:val="0"/>
        <w:spacing w:after="0"/>
        <w:jc w:val="both"/>
        <w:rPr>
          <w:rFonts w:ascii="Verdana" w:hAnsi="Verdana" w:cs="Times New Roman"/>
          <w:sz w:val="17"/>
          <w:szCs w:val="17"/>
          <w:lang w:val="en-GB"/>
        </w:rPr>
      </w:pPr>
    </w:p>
    <w:p w:rsidR="000D62E9" w:rsidRPr="00127DD3" w:rsidRDefault="000D62E9" w:rsidP="00851A0C">
      <w:pPr>
        <w:jc w:val="both"/>
        <w:rPr>
          <w:rFonts w:ascii="Verdana" w:hAnsi="Verdana" w:cs="Times New Roman"/>
          <w:sz w:val="17"/>
          <w:szCs w:val="17"/>
          <w:lang w:val="en-US"/>
        </w:rPr>
      </w:pPr>
      <w:r w:rsidRPr="00127DD3">
        <w:rPr>
          <w:rFonts w:ascii="Verdana" w:hAnsi="Verdana" w:cs="Times New Roman"/>
          <w:b/>
          <w:sz w:val="17"/>
          <w:szCs w:val="17"/>
          <w:lang w:val="en-GB"/>
        </w:rPr>
        <w:t xml:space="preserve">Article 1 </w:t>
      </w:r>
      <w:proofErr w:type="spellStart"/>
      <w:r w:rsidRPr="00127DD3">
        <w:rPr>
          <w:rFonts w:ascii="Verdana" w:hAnsi="Verdana" w:cs="Times New Roman"/>
          <w:b/>
          <w:sz w:val="17"/>
          <w:szCs w:val="17"/>
          <w:lang w:val="en-GB"/>
        </w:rPr>
        <w:t>bis</w:t>
      </w:r>
      <w:proofErr w:type="spellEnd"/>
    </w:p>
    <w:p w:rsidR="000D62E9" w:rsidRPr="00127DD3" w:rsidRDefault="000D62E9" w:rsidP="00851A0C">
      <w:pPr>
        <w:spacing w:after="120"/>
        <w:jc w:val="both"/>
        <w:rPr>
          <w:rFonts w:ascii="Verdana" w:hAnsi="Verdana" w:cs="Times New Roman"/>
          <w:sz w:val="17"/>
          <w:szCs w:val="17"/>
          <w:lang w:val="en-GB"/>
        </w:rPr>
      </w:pPr>
      <w:r w:rsidRPr="00127DD3">
        <w:rPr>
          <w:rFonts w:ascii="Verdana" w:hAnsi="Verdana" w:cs="Times New Roman"/>
          <w:sz w:val="17"/>
          <w:szCs w:val="17"/>
          <w:lang w:val="en-US"/>
        </w:rPr>
        <w:t xml:space="preserve">xx. ‘Infrastructure’ means assets including networks, facilities, utilities and installations that support the current or future functioning of a community or society, whether at local, regional, national, EU/EEA or international level, and exhibit specific economic and financial features relating to the credit risk, demand and competition as result of the function provided and restrictions on ownership and/or use of the assets. </w:t>
      </w:r>
    </w:p>
    <w:p w:rsidR="000D62E9" w:rsidRPr="00127DD3" w:rsidRDefault="000D62E9" w:rsidP="00851A0C">
      <w:pPr>
        <w:autoSpaceDE w:val="0"/>
        <w:autoSpaceDN w:val="0"/>
        <w:adjustRightInd w:val="0"/>
        <w:spacing w:after="0"/>
        <w:jc w:val="both"/>
        <w:rPr>
          <w:rFonts w:ascii="Verdana" w:hAnsi="Verdana" w:cs="Times New Roman"/>
          <w:sz w:val="17"/>
          <w:szCs w:val="17"/>
          <w:lang w:val="en-US"/>
        </w:rPr>
      </w:pPr>
      <w:r w:rsidRPr="00127DD3">
        <w:rPr>
          <w:rFonts w:ascii="Verdana" w:hAnsi="Verdana" w:cs="Times New Roman"/>
          <w:b/>
          <w:bCs/>
          <w:sz w:val="17"/>
          <w:szCs w:val="17"/>
          <w:lang w:val="en-US"/>
        </w:rPr>
        <w:t>Recital [xxx]</w:t>
      </w:r>
      <w:r w:rsidRPr="00127DD3">
        <w:rPr>
          <w:rFonts w:ascii="Verdana" w:hAnsi="Verdana" w:cs="Times New Roman"/>
          <w:sz w:val="17"/>
          <w:szCs w:val="17"/>
          <w:lang w:val="en-US"/>
        </w:rPr>
        <w:t>:</w:t>
      </w:r>
    </w:p>
    <w:p w:rsidR="000D62E9" w:rsidRPr="00127DD3" w:rsidRDefault="000D62E9" w:rsidP="00851A0C">
      <w:pPr>
        <w:autoSpaceDE w:val="0"/>
        <w:autoSpaceDN w:val="0"/>
        <w:adjustRightInd w:val="0"/>
        <w:spacing w:after="0"/>
        <w:jc w:val="both"/>
        <w:rPr>
          <w:rFonts w:ascii="Verdana" w:hAnsi="Verdana" w:cs="Times New Roman"/>
          <w:sz w:val="17"/>
          <w:szCs w:val="17"/>
          <w:lang w:val="en-US"/>
        </w:rPr>
      </w:pPr>
    </w:p>
    <w:p w:rsidR="00C255C0" w:rsidRPr="00127DD3" w:rsidRDefault="000D62E9" w:rsidP="00851A0C">
      <w:pPr>
        <w:pStyle w:val="CEAStandardHeading"/>
        <w:spacing w:line="276" w:lineRule="auto"/>
        <w:rPr>
          <w:rFonts w:cs="Times New Roman"/>
          <w:color w:val="auto"/>
          <w:sz w:val="17"/>
          <w:szCs w:val="17"/>
          <w:lang w:val="en-US"/>
        </w:rPr>
      </w:pPr>
      <w:r w:rsidRPr="00127DD3">
        <w:rPr>
          <w:rFonts w:cs="Times New Roman"/>
          <w:color w:val="auto"/>
          <w:sz w:val="17"/>
          <w:szCs w:val="17"/>
          <w:lang w:val="en-US"/>
        </w:rPr>
        <w:t xml:space="preserve">The definition of infrastructure should capture the broad range of assets such as </w:t>
      </w:r>
      <w:r w:rsidRPr="00127DD3">
        <w:rPr>
          <w:rFonts w:cs="Times New Roman"/>
          <w:color w:val="auto"/>
          <w:sz w:val="17"/>
          <w:szCs w:val="17"/>
        </w:rPr>
        <w:t xml:space="preserve">public institutional buildings (including corrective institutions and prisons, defence accommodation and training facilities, fire stations, schools, student accommodation, universities and other public buildings), social </w:t>
      </w:r>
      <w:r w:rsidR="003F5F83" w:rsidRPr="00127DD3">
        <w:rPr>
          <w:rFonts w:cs="Times New Roman"/>
          <w:color w:val="auto"/>
          <w:sz w:val="17"/>
          <w:szCs w:val="17"/>
        </w:rPr>
        <w:t>or retirement</w:t>
      </w:r>
      <w:r w:rsidR="00FA2411" w:rsidRPr="00127DD3">
        <w:rPr>
          <w:rFonts w:cs="Times New Roman"/>
          <w:color w:val="auto"/>
          <w:sz w:val="17"/>
          <w:szCs w:val="17"/>
        </w:rPr>
        <w:t xml:space="preserve"> </w:t>
      </w:r>
      <w:r w:rsidRPr="00127DD3">
        <w:rPr>
          <w:rFonts w:cs="Times New Roman"/>
          <w:color w:val="auto"/>
          <w:sz w:val="17"/>
          <w:szCs w:val="17"/>
        </w:rPr>
        <w:t>housing, car parking structures, combined heat and power plants and district heating systems, desalination plants, energy generation and power transmission, distribution and metering (including gas, hydro, nuclear, wind &amp; solar power installations, waste to energy conversion plants, interconnectors, pipelines), environmental facilities (parks, flood or tidal protection including dredging)</w:t>
      </w:r>
      <w:r w:rsidRPr="00127DD3" w:rsidDel="00272791">
        <w:rPr>
          <w:rFonts w:cs="Times New Roman"/>
          <w:color w:val="auto"/>
          <w:sz w:val="17"/>
          <w:szCs w:val="17"/>
        </w:rPr>
        <w:t xml:space="preserve">, </w:t>
      </w:r>
      <w:r w:rsidRPr="00127DD3">
        <w:rPr>
          <w:rFonts w:cs="Times New Roman"/>
          <w:color w:val="auto"/>
          <w:sz w:val="17"/>
          <w:szCs w:val="17"/>
        </w:rPr>
        <w:t xml:space="preserve">health care (including long-term care centres, mental health facilities, primary care and health care centres – including hospitals), information technology and communication systems (including broadband and cable, broadcast infrastructure including broadcast towers, telecom towers), large-scale civil engineering projects, renewable energies, storage facilities, street lighting, transportation and associated technologies (including airports, bridges, ports, roads, rail including high speed lines, rolling stock and locomotives), waste, research and development activities, water including waste water.  </w:t>
      </w:r>
      <w:r w:rsidRPr="00127DD3">
        <w:rPr>
          <w:rFonts w:cs="Times New Roman"/>
          <w:color w:val="auto"/>
          <w:sz w:val="17"/>
          <w:szCs w:val="17"/>
          <w:lang w:val="en-US"/>
        </w:rPr>
        <w:t>Often, a significant part of the revenues from such assets are subject to regulation or contractual clauses with a State authority. These characteristics result in common financial features which are predictable, steady and long-term cash flows.</w:t>
      </w:r>
    </w:p>
    <w:p w:rsidR="003F5F83" w:rsidRPr="00127DD3" w:rsidRDefault="003F5F83" w:rsidP="00851A0C">
      <w:pPr>
        <w:pStyle w:val="CEAStandardHeading"/>
        <w:spacing w:line="276" w:lineRule="auto"/>
        <w:rPr>
          <w:rFonts w:cs="Times New Roman"/>
          <w:b/>
          <w:color w:val="auto"/>
          <w:sz w:val="17"/>
          <w:szCs w:val="17"/>
        </w:rPr>
      </w:pPr>
    </w:p>
    <w:p w:rsidR="003F5F83" w:rsidRPr="00127DD3" w:rsidRDefault="00C255C0" w:rsidP="00851A0C">
      <w:pPr>
        <w:jc w:val="both"/>
        <w:rPr>
          <w:rFonts w:ascii="Verdana" w:hAnsi="Verdana" w:cs="Times New Roman"/>
          <w:b/>
          <w:sz w:val="17"/>
          <w:szCs w:val="17"/>
          <w:lang w:val="en-GB"/>
        </w:rPr>
      </w:pPr>
      <w:r w:rsidRPr="00127DD3">
        <w:rPr>
          <w:rFonts w:ascii="Verdana" w:hAnsi="Verdana" w:cs="Times New Roman"/>
          <w:noProof/>
          <w:sz w:val="17"/>
          <w:szCs w:val="17"/>
          <w:lang w:val="en-GB" w:eastAsia="en-GB"/>
        </w:rPr>
        <mc:AlternateContent>
          <mc:Choice Requires="wps">
            <w:drawing>
              <wp:anchor distT="0" distB="0" distL="114300" distR="114300" simplePos="0" relativeHeight="251663360" behindDoc="0" locked="0" layoutInCell="1" allowOverlap="1" wp14:anchorId="006E1B89" wp14:editId="1B2312A4">
                <wp:simplePos x="0" y="0"/>
                <wp:positionH relativeFrom="column">
                  <wp:posOffset>-218308</wp:posOffset>
                </wp:positionH>
                <wp:positionV relativeFrom="paragraph">
                  <wp:posOffset>35057</wp:posOffset>
                </wp:positionV>
                <wp:extent cx="6003949" cy="552090"/>
                <wp:effectExtent l="0" t="0" r="15875" b="196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49" cy="552090"/>
                        </a:xfrm>
                        <a:prstGeom prst="rect">
                          <a:avLst/>
                        </a:prstGeom>
                        <a:solidFill>
                          <a:srgbClr val="FFFFFF"/>
                        </a:solidFill>
                        <a:ln w="9525">
                          <a:solidFill>
                            <a:srgbClr val="000000"/>
                          </a:solidFill>
                          <a:miter lim="800000"/>
                          <a:headEnd/>
                          <a:tailEnd/>
                        </a:ln>
                      </wps:spPr>
                      <wps:txbx>
                        <w:txbxContent>
                          <w:p w:rsidR="00C255C0" w:rsidRPr="00127DD3" w:rsidRDefault="00C255C0" w:rsidP="00C255C0">
                            <w:pPr>
                              <w:rPr>
                                <w:rFonts w:ascii="Verdana" w:hAnsi="Verdana" w:cstheme="majorBidi"/>
                                <w:sz w:val="17"/>
                                <w:szCs w:val="17"/>
                                <w:lang w:val="en-GB"/>
                              </w:rPr>
                            </w:pPr>
                            <w:r w:rsidRPr="00127DD3">
                              <w:rPr>
                                <w:rFonts w:ascii="Verdana" w:hAnsi="Verdana" w:cstheme="majorBidi"/>
                                <w:sz w:val="17"/>
                                <w:szCs w:val="17"/>
                                <w:lang w:val="en-GB"/>
                              </w:rPr>
                              <w:t xml:space="preserve">The </w:t>
                            </w:r>
                            <w:r w:rsidRPr="00127DD3">
                              <w:rPr>
                                <w:rFonts w:ascii="Verdana" w:hAnsi="Verdana" w:cstheme="majorBidi"/>
                                <w:b/>
                                <w:sz w:val="17"/>
                                <w:szCs w:val="17"/>
                                <w:lang w:val="en-GB"/>
                              </w:rPr>
                              <w:t>treatment of infrastructure and SME bonds/loans</w:t>
                            </w:r>
                            <w:r w:rsidRPr="00127DD3">
                              <w:rPr>
                                <w:rFonts w:ascii="Verdana" w:hAnsi="Verdana" w:cstheme="majorBidi"/>
                                <w:sz w:val="17"/>
                                <w:szCs w:val="17"/>
                                <w:lang w:val="en-GB"/>
                              </w:rPr>
                              <w:t xml:space="preserve"> should allow the reflection of empirical evidence showing higher recover rates (compared to investments in corporate bonds), as well as the importance of risk mitigation tools such as collateral and/or guarantees.</w:t>
                            </w:r>
                          </w:p>
                          <w:p w:rsidR="00C255C0" w:rsidRPr="00A51230" w:rsidRDefault="00C255C0" w:rsidP="00C255C0">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2pt;margin-top:2.75pt;width:472.75pt;height:4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v0JgIAAEsEAAAOAAAAZHJzL2Uyb0RvYy54bWysVNtu2zAMfR+wfxD0vtjx4q4x4hRdugwD&#10;ugvQ7gNkWY6FSaImKbG7ry8lp2nQbS/D/CCIInV0eEh6dTVqRQ7CeQmmpvNZTokwHFppdjX9fr99&#10;c0mJD8y0TIERNX0Qnl6tX79aDbYSBfSgWuEIghhfDbamfQi2yjLPe6GZn4EVBp0dOM0Cmm6XtY4N&#10;iK5VVuT5RTaAa60DLrzH05vJSdcJv+sED1+7zotAVE2RW0irS2sT12y9YtXOMdtLfqTB/oGFZtLg&#10;oyeoGxYY2Tv5G5SW3IGHLsw46Ay6TnKRcsBs5vmLbO56ZkXKBcXx9iST/3+w/MvhmyOyrWlJiWEa&#10;S3QvxkDew0iKqM5gfYVBdxbDwojHWOWUqbe3wH94YmDTM7MT187B0AvWIrt5vJmdXZ1wfARphs/Q&#10;4jNsHyABjZ3TUToUgyA6VunhVJlIhePhRZ6/XS6WlHD0lWWRL1PpMlY93bbOh48CNImbmjqsfEJn&#10;h1sfIhtWPYXExzwo2W6lUslwu2ajHDkw7JJt+lICL8KUIUNNl2VRTgL8FSJP358gtAzY7krqml6e&#10;glgVZftg2tSMgUk17ZGyMkcdo3STiGFsxlSwJHLUuIH2AYV1MHU3TiNuenC/KBmws2vqf+6ZE5So&#10;TwaLs5wvFnEUkrEo3xVouHNPc+5hhiNUTQMl03YT0vhE3QxcYxE7mfR9ZnKkjB2bZD9OVxyJcztF&#10;Pf8D1o8AAAD//wMAUEsDBBQABgAIAAAAIQAP92UX3wAAAAgBAAAPAAAAZHJzL2Rvd25yZXYueG1s&#10;TI/NTsMwEITvSLyDtUhcUOukTf9CnAohgeAGpYKrG2+TiHgdbDcNb89ygtusZjTzbbEdbScG9KF1&#10;pCCdJiCQKmdaqhXs3x4maxAhajK6c4QKvjHAtry8KHRu3JlecdjFWnAJhVwraGLscylD1aDVYep6&#10;JPaOzlsd+fS1NF6fudx2cpYkS2l1S7zQ6B7vG6w+dyerYJ09DR/hef7yXi2P3SberIbHL6/U9dV4&#10;dwsi4hj/wvCLz+hQMtPBncgE0SmYzLOMowoWCxDsb9I0BXFgMctAloX8/0D5AwAA//8DAFBLAQIt&#10;ABQABgAIAAAAIQC2gziS/gAAAOEBAAATAAAAAAAAAAAAAAAAAAAAAABbQ29udGVudF9UeXBlc10u&#10;eG1sUEsBAi0AFAAGAAgAAAAhADj9If/WAAAAlAEAAAsAAAAAAAAAAAAAAAAALwEAAF9yZWxzLy5y&#10;ZWxzUEsBAi0AFAAGAAgAAAAhANuCS/QmAgAASwQAAA4AAAAAAAAAAAAAAAAALgIAAGRycy9lMm9E&#10;b2MueG1sUEsBAi0AFAAGAAgAAAAhAA/3ZRffAAAACAEAAA8AAAAAAAAAAAAAAAAAgAQAAGRycy9k&#10;b3ducmV2LnhtbFBLBQYAAAAABAAEAPMAAACMBQAAAAA=&#10;">
                <v:textbox>
                  <w:txbxContent>
                    <w:p w:rsidR="00C255C0" w:rsidRPr="00127DD3" w:rsidRDefault="00C255C0" w:rsidP="00C255C0">
                      <w:pPr>
                        <w:rPr>
                          <w:rFonts w:ascii="Verdana" w:hAnsi="Verdana" w:cstheme="majorBidi"/>
                          <w:sz w:val="17"/>
                          <w:szCs w:val="17"/>
                          <w:lang w:val="en-GB"/>
                        </w:rPr>
                      </w:pPr>
                      <w:r w:rsidRPr="00127DD3">
                        <w:rPr>
                          <w:rFonts w:ascii="Verdana" w:hAnsi="Verdana" w:cstheme="majorBidi"/>
                          <w:sz w:val="17"/>
                          <w:szCs w:val="17"/>
                          <w:lang w:val="en-GB"/>
                        </w:rPr>
                        <w:t xml:space="preserve">The </w:t>
                      </w:r>
                      <w:r w:rsidRPr="00127DD3">
                        <w:rPr>
                          <w:rFonts w:ascii="Verdana" w:hAnsi="Verdana" w:cstheme="majorBidi"/>
                          <w:b/>
                          <w:sz w:val="17"/>
                          <w:szCs w:val="17"/>
                          <w:lang w:val="en-GB"/>
                        </w:rPr>
                        <w:t>treatment of infrastructure and SME bonds/loans</w:t>
                      </w:r>
                      <w:r w:rsidRPr="00127DD3">
                        <w:rPr>
                          <w:rFonts w:ascii="Verdana" w:hAnsi="Verdana" w:cstheme="majorBidi"/>
                          <w:sz w:val="17"/>
                          <w:szCs w:val="17"/>
                          <w:lang w:val="en-GB"/>
                        </w:rPr>
                        <w:t xml:space="preserve"> should allow the reflection of empirical evidence showing higher recover rates (compared to investments in corporate bonds), as well as the importance of risk mitigation tools such as collateral and/or guarantees.</w:t>
                      </w:r>
                    </w:p>
                    <w:p w:rsidR="00C255C0" w:rsidRPr="00A51230" w:rsidRDefault="00C255C0" w:rsidP="00C255C0">
                      <w:pPr>
                        <w:rPr>
                          <w:lang w:val="en-GB"/>
                        </w:rPr>
                      </w:pPr>
                    </w:p>
                  </w:txbxContent>
                </v:textbox>
              </v:shape>
            </w:pict>
          </mc:Fallback>
        </mc:AlternateContent>
      </w:r>
    </w:p>
    <w:p w:rsidR="003F5F83" w:rsidRPr="00127DD3" w:rsidRDefault="003F5F83" w:rsidP="00851A0C">
      <w:pPr>
        <w:jc w:val="both"/>
        <w:rPr>
          <w:rFonts w:ascii="Verdana" w:hAnsi="Verdana" w:cs="Times New Roman"/>
          <w:b/>
          <w:sz w:val="17"/>
          <w:szCs w:val="17"/>
          <w:lang w:val="en-GB"/>
        </w:rPr>
      </w:pPr>
    </w:p>
    <w:p w:rsidR="003F5F83" w:rsidRPr="00127DD3" w:rsidRDefault="003F5F83" w:rsidP="00851A0C">
      <w:pPr>
        <w:jc w:val="both"/>
        <w:rPr>
          <w:rFonts w:ascii="Verdana" w:hAnsi="Verdana" w:cs="Times New Roman"/>
          <w:b/>
          <w:sz w:val="17"/>
          <w:szCs w:val="17"/>
          <w:lang w:val="en-GB"/>
        </w:rPr>
      </w:pPr>
    </w:p>
    <w:p w:rsidR="00CA6532" w:rsidRPr="00127DD3" w:rsidRDefault="00CA6532" w:rsidP="00851A0C">
      <w:pPr>
        <w:spacing w:after="120"/>
        <w:jc w:val="both"/>
        <w:rPr>
          <w:rFonts w:ascii="Verdana" w:hAnsi="Verdana" w:cs="Times New Roman"/>
          <w:sz w:val="17"/>
          <w:szCs w:val="17"/>
          <w:lang w:val="en-GB"/>
        </w:rPr>
      </w:pPr>
      <w:r w:rsidRPr="00127DD3">
        <w:rPr>
          <w:rFonts w:ascii="Verdana" w:hAnsi="Verdana" w:cs="Times New Roman"/>
          <w:sz w:val="17"/>
          <w:szCs w:val="17"/>
          <w:lang w:val="en-GB"/>
        </w:rPr>
        <w:t>Moody’s stud</w:t>
      </w:r>
      <w:r w:rsidR="00C255C0" w:rsidRPr="00127DD3">
        <w:rPr>
          <w:rFonts w:ascii="Verdana" w:hAnsi="Verdana" w:cs="Times New Roman"/>
          <w:sz w:val="17"/>
          <w:szCs w:val="17"/>
          <w:lang w:val="en-GB"/>
        </w:rPr>
        <w:t>y</w:t>
      </w:r>
      <w:r w:rsidRPr="00127DD3">
        <w:rPr>
          <w:rFonts w:ascii="Verdana" w:hAnsi="Verdana" w:cs="Times New Roman"/>
          <w:sz w:val="17"/>
          <w:szCs w:val="17"/>
          <w:lang w:val="en-GB"/>
        </w:rPr>
        <w:t xml:space="preserve"> show</w:t>
      </w:r>
      <w:r w:rsidR="00C255C0" w:rsidRPr="00127DD3">
        <w:rPr>
          <w:rFonts w:ascii="Verdana" w:hAnsi="Verdana" w:cs="Times New Roman"/>
          <w:sz w:val="17"/>
          <w:szCs w:val="17"/>
          <w:lang w:val="en-GB"/>
        </w:rPr>
        <w:t>s</w:t>
      </w:r>
      <w:r w:rsidRPr="00127DD3">
        <w:rPr>
          <w:rFonts w:ascii="Verdana" w:hAnsi="Verdana" w:cs="Times New Roman"/>
          <w:sz w:val="17"/>
          <w:szCs w:val="17"/>
          <w:lang w:val="en-GB"/>
        </w:rPr>
        <w:t xml:space="preserve"> that</w:t>
      </w:r>
    </w:p>
    <w:p w:rsidR="00CA6532" w:rsidRPr="00127DD3" w:rsidRDefault="00CA6532" w:rsidP="00851A0C">
      <w:pPr>
        <w:spacing w:after="120"/>
        <w:jc w:val="both"/>
        <w:rPr>
          <w:rFonts w:ascii="Verdana" w:hAnsi="Verdana" w:cs="Times New Roman"/>
          <w:sz w:val="17"/>
          <w:szCs w:val="17"/>
          <w:lang w:val="en-GB"/>
        </w:rPr>
      </w:pPr>
      <w:r w:rsidRPr="00127DD3">
        <w:rPr>
          <w:rFonts w:ascii="Verdana" w:hAnsi="Verdana" w:cs="Times New Roman"/>
          <w:sz w:val="17"/>
          <w:szCs w:val="17"/>
          <w:lang w:val="en-GB"/>
        </w:rPr>
        <w:t>•</w:t>
      </w:r>
      <w:r w:rsidRPr="00127DD3">
        <w:rPr>
          <w:rFonts w:ascii="Verdana" w:hAnsi="Verdana" w:cs="Times New Roman"/>
          <w:sz w:val="17"/>
          <w:szCs w:val="17"/>
          <w:lang w:val="en-GB"/>
        </w:rPr>
        <w:tab/>
        <w:t>The average historical recovery rate is significantly higher on Infra</w:t>
      </w:r>
      <w:r w:rsidR="00E10EA9" w:rsidRPr="00127DD3">
        <w:rPr>
          <w:rFonts w:ascii="Verdana" w:hAnsi="Verdana" w:cs="Times New Roman"/>
          <w:sz w:val="17"/>
          <w:szCs w:val="17"/>
          <w:lang w:val="en-GB"/>
        </w:rPr>
        <w:t>structure</w:t>
      </w:r>
      <w:r w:rsidRPr="00127DD3">
        <w:rPr>
          <w:rFonts w:ascii="Verdana" w:hAnsi="Verdana" w:cs="Times New Roman"/>
          <w:sz w:val="17"/>
          <w:szCs w:val="17"/>
          <w:lang w:val="en-GB"/>
        </w:rPr>
        <w:t xml:space="preserve"> </w:t>
      </w:r>
      <w:r w:rsidR="00C255C0" w:rsidRPr="00127DD3">
        <w:rPr>
          <w:rFonts w:ascii="Verdana" w:hAnsi="Verdana" w:cs="Times New Roman"/>
          <w:sz w:val="17"/>
          <w:szCs w:val="17"/>
          <w:lang w:val="en-GB"/>
        </w:rPr>
        <w:t xml:space="preserve">debt </w:t>
      </w:r>
      <w:r w:rsidRPr="00127DD3">
        <w:rPr>
          <w:rFonts w:ascii="Verdana" w:hAnsi="Verdana" w:cs="Times New Roman"/>
          <w:sz w:val="17"/>
          <w:szCs w:val="17"/>
          <w:lang w:val="en-GB"/>
        </w:rPr>
        <w:t xml:space="preserve">(in the range of </w:t>
      </w:r>
      <w:r w:rsidR="00BE49C6" w:rsidRPr="00127DD3">
        <w:rPr>
          <w:rFonts w:ascii="Verdana" w:hAnsi="Verdana" w:cs="Times New Roman"/>
          <w:sz w:val="17"/>
          <w:szCs w:val="17"/>
          <w:lang w:val="en-GB"/>
        </w:rPr>
        <w:t>65</w:t>
      </w:r>
      <w:r w:rsidRPr="00127DD3">
        <w:rPr>
          <w:rFonts w:ascii="Verdana" w:hAnsi="Verdana" w:cs="Times New Roman"/>
          <w:sz w:val="17"/>
          <w:szCs w:val="17"/>
          <w:lang w:val="en-GB"/>
        </w:rPr>
        <w:t>-80%) than on traditional corporate bonds,</w:t>
      </w:r>
    </w:p>
    <w:p w:rsidR="00CA6532" w:rsidRPr="00127DD3" w:rsidRDefault="00CA6532" w:rsidP="00851A0C">
      <w:pPr>
        <w:spacing w:after="120"/>
        <w:jc w:val="both"/>
        <w:rPr>
          <w:rFonts w:ascii="Verdana" w:hAnsi="Verdana" w:cs="Times New Roman"/>
          <w:sz w:val="17"/>
          <w:szCs w:val="17"/>
          <w:lang w:val="en-GB"/>
        </w:rPr>
      </w:pPr>
      <w:r w:rsidRPr="00127DD3">
        <w:rPr>
          <w:rFonts w:ascii="Verdana" w:hAnsi="Verdana" w:cs="Times New Roman"/>
          <w:sz w:val="17"/>
          <w:szCs w:val="17"/>
          <w:lang w:val="en-GB"/>
        </w:rPr>
        <w:t>•</w:t>
      </w:r>
      <w:r w:rsidRPr="00127DD3">
        <w:rPr>
          <w:rFonts w:ascii="Verdana" w:hAnsi="Verdana" w:cs="Times New Roman"/>
          <w:sz w:val="17"/>
          <w:szCs w:val="17"/>
          <w:lang w:val="en-GB"/>
        </w:rPr>
        <w:tab/>
        <w:t>For Infra</w:t>
      </w:r>
      <w:r w:rsidR="00E10EA9" w:rsidRPr="00127DD3">
        <w:rPr>
          <w:rFonts w:ascii="Verdana" w:hAnsi="Verdana" w:cs="Times New Roman"/>
          <w:sz w:val="17"/>
          <w:szCs w:val="17"/>
          <w:lang w:val="en-GB"/>
        </w:rPr>
        <w:t>structure</w:t>
      </w:r>
      <w:r w:rsidRPr="00127DD3">
        <w:rPr>
          <w:rFonts w:ascii="Verdana" w:hAnsi="Verdana" w:cs="Times New Roman"/>
          <w:sz w:val="17"/>
          <w:szCs w:val="17"/>
          <w:lang w:val="en-GB"/>
        </w:rPr>
        <w:t>, the recovery rate is independent of the average default rate whereas for bonds the ultimate recovery rates fall as default rates rise.</w:t>
      </w:r>
    </w:p>
    <w:p w:rsidR="007A4694" w:rsidRPr="00127DD3" w:rsidRDefault="00CA6532" w:rsidP="00851A0C">
      <w:pPr>
        <w:spacing w:after="120"/>
        <w:jc w:val="both"/>
        <w:rPr>
          <w:rFonts w:ascii="Verdana" w:hAnsi="Verdana" w:cs="Times New Roman"/>
          <w:sz w:val="17"/>
          <w:szCs w:val="17"/>
          <w:lang w:val="en-GB"/>
        </w:rPr>
      </w:pPr>
      <w:r w:rsidRPr="00127DD3">
        <w:rPr>
          <w:rFonts w:ascii="Verdana" w:hAnsi="Verdana" w:cs="Times New Roman"/>
          <w:sz w:val="17"/>
          <w:szCs w:val="17"/>
          <w:lang w:val="en-GB"/>
        </w:rPr>
        <w:t>Overall, this can justify that for equivalent residual duration, the risk charge on Infra</w:t>
      </w:r>
      <w:r w:rsidR="00E10EA9" w:rsidRPr="00127DD3">
        <w:rPr>
          <w:rFonts w:ascii="Verdana" w:hAnsi="Verdana" w:cs="Times New Roman"/>
          <w:sz w:val="17"/>
          <w:szCs w:val="17"/>
          <w:lang w:val="en-GB"/>
        </w:rPr>
        <w:t>structure</w:t>
      </w:r>
      <w:r w:rsidRPr="00127DD3">
        <w:rPr>
          <w:rFonts w:ascii="Verdana" w:hAnsi="Verdana" w:cs="Times New Roman"/>
          <w:sz w:val="17"/>
          <w:szCs w:val="17"/>
          <w:lang w:val="en-GB"/>
        </w:rPr>
        <w:t xml:space="preserve"> </w:t>
      </w:r>
      <w:r w:rsidR="00C255C0" w:rsidRPr="00127DD3">
        <w:rPr>
          <w:rFonts w:ascii="Verdana" w:hAnsi="Verdana" w:cs="Times New Roman"/>
          <w:sz w:val="17"/>
          <w:szCs w:val="17"/>
          <w:lang w:val="en-GB"/>
        </w:rPr>
        <w:t xml:space="preserve">bonds </w:t>
      </w:r>
      <w:r w:rsidRPr="00127DD3">
        <w:rPr>
          <w:rFonts w:ascii="Verdana" w:hAnsi="Verdana" w:cs="Times New Roman"/>
          <w:sz w:val="17"/>
          <w:szCs w:val="17"/>
          <w:lang w:val="en-GB"/>
        </w:rPr>
        <w:t>might be lower than traditional corporate bonds</w:t>
      </w:r>
      <w:r w:rsidR="008E7D53" w:rsidRPr="00127DD3">
        <w:rPr>
          <w:rFonts w:ascii="Verdana" w:hAnsi="Verdana" w:cs="Times New Roman"/>
          <w:sz w:val="17"/>
          <w:szCs w:val="17"/>
          <w:lang w:val="en-GB"/>
        </w:rPr>
        <w:t>.</w:t>
      </w:r>
      <w:r w:rsidRPr="00127DD3">
        <w:rPr>
          <w:rFonts w:ascii="Verdana" w:hAnsi="Verdana" w:cs="Times New Roman"/>
          <w:sz w:val="17"/>
          <w:szCs w:val="17"/>
          <w:lang w:val="en-GB"/>
        </w:rPr>
        <w:t xml:space="preserve"> </w:t>
      </w:r>
      <w:r w:rsidR="007A4694" w:rsidRPr="00127DD3">
        <w:rPr>
          <w:rFonts w:ascii="Verdana" w:hAnsi="Verdana" w:cs="Times New Roman"/>
          <w:sz w:val="17"/>
          <w:szCs w:val="17"/>
          <w:lang w:val="en-GB"/>
        </w:rPr>
        <w:t>Furthermore, any credit enhancement, from for example, the EIB in its project bond initiative, should be adequately captured in the charge on infrastructure debt instruments.</w:t>
      </w:r>
    </w:p>
    <w:p w:rsidR="00FA4B7C" w:rsidRPr="00127DD3" w:rsidRDefault="00CC4070" w:rsidP="00851A0C">
      <w:pPr>
        <w:jc w:val="both"/>
        <w:rPr>
          <w:rFonts w:ascii="Verdana" w:hAnsi="Verdana" w:cs="Times New Roman"/>
          <w:sz w:val="17"/>
          <w:szCs w:val="17"/>
          <w:lang w:val="en-GB"/>
        </w:rPr>
      </w:pPr>
      <w:r w:rsidRPr="00127DD3">
        <w:rPr>
          <w:rFonts w:ascii="Verdana" w:hAnsi="Verdana" w:cs="Times New Roman"/>
          <w:sz w:val="17"/>
          <w:szCs w:val="17"/>
          <w:lang w:val="en-GB"/>
        </w:rPr>
        <w:t>In the same way, EIOPA ignores higher recovery rate for</w:t>
      </w:r>
      <w:r w:rsidR="008E7D53" w:rsidRPr="00127DD3">
        <w:rPr>
          <w:rFonts w:ascii="Verdana" w:hAnsi="Verdana" w:cs="Times New Roman"/>
          <w:sz w:val="17"/>
          <w:szCs w:val="17"/>
          <w:lang w:val="en-GB"/>
        </w:rPr>
        <w:t xml:space="preserve"> infrastructure</w:t>
      </w:r>
      <w:r w:rsidRPr="00127DD3">
        <w:rPr>
          <w:rFonts w:ascii="Verdana" w:hAnsi="Verdana" w:cs="Times New Roman"/>
          <w:sz w:val="17"/>
          <w:szCs w:val="17"/>
          <w:lang w:val="en-GB"/>
        </w:rPr>
        <w:t xml:space="preserve"> loans </w:t>
      </w:r>
      <w:r w:rsidR="00D41130" w:rsidRPr="00127DD3">
        <w:rPr>
          <w:rFonts w:ascii="Verdana" w:hAnsi="Verdana" w:cs="Times New Roman"/>
          <w:sz w:val="17"/>
          <w:szCs w:val="17"/>
          <w:lang w:val="en-GB"/>
        </w:rPr>
        <w:t xml:space="preserve">in general and SMEs </w:t>
      </w:r>
      <w:r w:rsidRPr="00127DD3">
        <w:rPr>
          <w:rFonts w:ascii="Verdana" w:hAnsi="Verdana" w:cs="Times New Roman"/>
          <w:sz w:val="17"/>
          <w:szCs w:val="17"/>
          <w:lang w:val="en-GB"/>
        </w:rPr>
        <w:t>in particular compared to bonds, while structurally and historically there is some evidence that the defaults recovery rates are higher due to the existence of guarantees and/or senior level in the capital structure.</w:t>
      </w:r>
    </w:p>
    <w:p w:rsidR="00357209" w:rsidRPr="00127DD3" w:rsidRDefault="00357209" w:rsidP="00851A0C">
      <w:pPr>
        <w:jc w:val="both"/>
        <w:rPr>
          <w:rFonts w:ascii="Verdana" w:hAnsi="Verdana" w:cs="Times New Roman"/>
          <w:sz w:val="17"/>
          <w:szCs w:val="17"/>
          <w:lang w:val="en-GB"/>
        </w:rPr>
      </w:pPr>
      <w:r w:rsidRPr="00127DD3">
        <w:rPr>
          <w:rFonts w:ascii="Verdana" w:hAnsi="Verdana" w:cs="Times New Roman"/>
          <w:sz w:val="17"/>
          <w:szCs w:val="17"/>
          <w:lang w:val="en-GB"/>
        </w:rPr>
        <w:lastRenderedPageBreak/>
        <w:t xml:space="preserve">The following amendment proposal – namely (a) - would reflect such higher performances within the spread risk module and constitute a workable and easy fix solution. Alternatives are proposed under </w:t>
      </w:r>
      <w:r w:rsidR="00C255C0" w:rsidRPr="00127DD3">
        <w:rPr>
          <w:rFonts w:ascii="Verdana" w:hAnsi="Verdana" w:cs="Times New Roman"/>
          <w:sz w:val="17"/>
          <w:szCs w:val="17"/>
          <w:lang w:val="en-GB"/>
        </w:rPr>
        <w:t>(</w:t>
      </w:r>
      <w:r w:rsidRPr="00127DD3">
        <w:rPr>
          <w:rFonts w:ascii="Verdana" w:hAnsi="Verdana" w:cs="Times New Roman"/>
          <w:sz w:val="17"/>
          <w:szCs w:val="17"/>
          <w:lang w:val="en-GB"/>
        </w:rPr>
        <w:t>b</w:t>
      </w:r>
      <w:r w:rsidR="00C255C0" w:rsidRPr="00127DD3">
        <w:rPr>
          <w:rFonts w:ascii="Verdana" w:hAnsi="Verdana" w:cs="Times New Roman"/>
          <w:sz w:val="17"/>
          <w:szCs w:val="17"/>
          <w:lang w:val="en-GB"/>
        </w:rPr>
        <w:t>)</w:t>
      </w:r>
      <w:r w:rsidRPr="00127DD3">
        <w:rPr>
          <w:rFonts w:ascii="Verdana" w:hAnsi="Verdana" w:cs="Times New Roman"/>
          <w:sz w:val="17"/>
          <w:szCs w:val="17"/>
          <w:lang w:val="en-GB"/>
        </w:rPr>
        <w:t xml:space="preserve"> and </w:t>
      </w:r>
      <w:r w:rsidR="00C255C0" w:rsidRPr="00127DD3">
        <w:rPr>
          <w:rFonts w:ascii="Verdana" w:hAnsi="Verdana" w:cs="Times New Roman"/>
          <w:sz w:val="17"/>
          <w:szCs w:val="17"/>
          <w:lang w:val="en-GB"/>
        </w:rPr>
        <w:t>(</w:t>
      </w:r>
      <w:r w:rsidRPr="00127DD3">
        <w:rPr>
          <w:rFonts w:ascii="Verdana" w:hAnsi="Verdana" w:cs="Times New Roman"/>
          <w:sz w:val="17"/>
          <w:szCs w:val="17"/>
          <w:lang w:val="en-GB"/>
        </w:rPr>
        <w:t>c</w:t>
      </w:r>
      <w:r w:rsidR="00C255C0" w:rsidRPr="00127DD3">
        <w:rPr>
          <w:rFonts w:ascii="Verdana" w:hAnsi="Verdana" w:cs="Times New Roman"/>
          <w:sz w:val="17"/>
          <w:szCs w:val="17"/>
          <w:lang w:val="en-GB"/>
        </w:rPr>
        <w:t>)</w:t>
      </w:r>
      <w:r w:rsidRPr="00127DD3">
        <w:rPr>
          <w:rFonts w:ascii="Verdana" w:hAnsi="Verdana" w:cs="Times New Roman"/>
          <w:sz w:val="17"/>
          <w:szCs w:val="17"/>
          <w:lang w:val="en-GB"/>
        </w:rPr>
        <w:t xml:space="preserve"> in order to take into account </w:t>
      </w:r>
      <w:r w:rsidRPr="00127DD3">
        <w:rPr>
          <w:rFonts w:ascii="Verdana" w:hAnsi="Verdana" w:cs="Times New Roman"/>
          <w:sz w:val="17"/>
          <w:szCs w:val="17"/>
          <w:lang w:val="en-US"/>
        </w:rPr>
        <w:t>how the long-term nature of such investments</w:t>
      </w:r>
      <w:r w:rsidRPr="00127DD3">
        <w:rPr>
          <w:rFonts w:ascii="Verdana" w:hAnsi="Verdana" w:cs="Times New Roman"/>
          <w:sz w:val="17"/>
          <w:szCs w:val="17"/>
          <w:lang w:val="en-GB"/>
        </w:rPr>
        <w:t xml:space="preserve"> and risk-mitigating features </w:t>
      </w:r>
      <w:r w:rsidRPr="00127DD3">
        <w:rPr>
          <w:rFonts w:ascii="Verdana" w:hAnsi="Verdana" w:cs="Times New Roman"/>
          <w:sz w:val="17"/>
          <w:szCs w:val="17"/>
          <w:lang w:val="en-US"/>
        </w:rPr>
        <w:t>can reduce the actual risk that insurers are exposed to when investing in these assets</w:t>
      </w:r>
      <w:r w:rsidRPr="00127DD3">
        <w:rPr>
          <w:rFonts w:ascii="Verdana" w:hAnsi="Verdana" w:cs="Times New Roman"/>
          <w:sz w:val="17"/>
          <w:szCs w:val="17"/>
          <w:lang w:val="en-GB"/>
        </w:rPr>
        <w:t>.</w:t>
      </w:r>
    </w:p>
    <w:p w:rsidR="004F1CB0" w:rsidRPr="00127DD3" w:rsidRDefault="00CA6532" w:rsidP="00851A0C">
      <w:pPr>
        <w:jc w:val="both"/>
        <w:rPr>
          <w:rFonts w:ascii="Verdana" w:hAnsi="Verdana" w:cs="Times New Roman"/>
          <w:sz w:val="17"/>
          <w:szCs w:val="17"/>
          <w:u w:val="single"/>
          <w:lang w:val="en-GB"/>
        </w:rPr>
      </w:pPr>
      <w:r w:rsidRPr="00127DD3">
        <w:rPr>
          <w:rFonts w:ascii="Verdana" w:hAnsi="Verdana" w:cs="Times New Roman"/>
          <w:sz w:val="17"/>
          <w:szCs w:val="17"/>
          <w:u w:val="single"/>
          <w:lang w:val="en-GB"/>
        </w:rPr>
        <w:t>Amendment proposal</w:t>
      </w:r>
      <w:r w:rsidR="008D0FF9" w:rsidRPr="00127DD3">
        <w:rPr>
          <w:rFonts w:ascii="Verdana" w:hAnsi="Verdana" w:cs="Times New Roman"/>
          <w:sz w:val="17"/>
          <w:szCs w:val="17"/>
          <w:u w:val="single"/>
          <w:lang w:val="en-GB"/>
        </w:rPr>
        <w:t>s</w:t>
      </w:r>
      <w:r w:rsidRPr="00127DD3">
        <w:rPr>
          <w:rFonts w:ascii="Verdana" w:hAnsi="Verdana" w:cs="Times New Roman"/>
          <w:sz w:val="17"/>
          <w:szCs w:val="17"/>
          <w:u w:val="single"/>
          <w:lang w:val="en-GB"/>
        </w:rPr>
        <w:t>:</w:t>
      </w:r>
    </w:p>
    <w:p w:rsidR="005007D6" w:rsidRPr="00127DD3" w:rsidRDefault="008E7D53" w:rsidP="00851A0C">
      <w:pPr>
        <w:pStyle w:val="ListParagraph"/>
        <w:numPr>
          <w:ilvl w:val="0"/>
          <w:numId w:val="6"/>
        </w:numPr>
        <w:jc w:val="both"/>
        <w:rPr>
          <w:rFonts w:ascii="Verdana" w:hAnsi="Verdana" w:cs="Times New Roman"/>
          <w:sz w:val="17"/>
          <w:szCs w:val="17"/>
          <w:lang w:val="en-GB"/>
        </w:rPr>
      </w:pPr>
      <w:r w:rsidRPr="00127DD3">
        <w:rPr>
          <w:rFonts w:ascii="Verdana" w:hAnsi="Verdana" w:cs="Times New Roman"/>
          <w:b/>
          <w:bCs/>
          <w:sz w:val="17"/>
          <w:szCs w:val="17"/>
          <w:lang w:val="en-GB"/>
        </w:rPr>
        <w:t xml:space="preserve">Article 156 SR2 </w:t>
      </w:r>
      <w:r w:rsidR="00E10EA9" w:rsidRPr="00127DD3">
        <w:rPr>
          <w:rFonts w:ascii="Verdana" w:hAnsi="Verdana" w:cs="Times New Roman"/>
          <w:sz w:val="17"/>
          <w:szCs w:val="17"/>
          <w:lang w:val="en-GB"/>
        </w:rPr>
        <w:t xml:space="preserve">(Add) </w:t>
      </w:r>
      <w:r w:rsidR="00302E6E" w:rsidRPr="00127DD3">
        <w:rPr>
          <w:rFonts w:ascii="Verdana" w:hAnsi="Verdana" w:cs="Times New Roman"/>
          <w:sz w:val="17"/>
          <w:szCs w:val="17"/>
          <w:lang w:val="en-GB"/>
        </w:rPr>
        <w:t xml:space="preserve">4.bis Notwithstanding paragraphs 3 and 4, bonds </w:t>
      </w:r>
      <w:r w:rsidR="00CC4070" w:rsidRPr="00127DD3">
        <w:rPr>
          <w:rFonts w:ascii="Verdana" w:hAnsi="Verdana" w:cs="Times New Roman"/>
          <w:sz w:val="17"/>
          <w:szCs w:val="17"/>
          <w:lang w:val="en-GB"/>
        </w:rPr>
        <w:t>or</w:t>
      </w:r>
      <w:r w:rsidR="00302E6E" w:rsidRPr="00127DD3">
        <w:rPr>
          <w:rFonts w:ascii="Verdana" w:hAnsi="Verdana" w:cs="Times New Roman"/>
          <w:sz w:val="17"/>
          <w:szCs w:val="17"/>
          <w:lang w:val="en-GB"/>
        </w:rPr>
        <w:t xml:space="preserve"> loans</w:t>
      </w:r>
      <w:r w:rsidR="00903589" w:rsidRPr="00127DD3">
        <w:rPr>
          <w:rFonts w:ascii="Verdana" w:hAnsi="Verdana" w:cs="Times New Roman"/>
          <w:sz w:val="17"/>
          <w:szCs w:val="17"/>
          <w:lang w:val="en-GB"/>
        </w:rPr>
        <w:t xml:space="preserve"> to infrastructure </w:t>
      </w:r>
      <w:r w:rsidR="00D41130" w:rsidRPr="00127DD3">
        <w:rPr>
          <w:rFonts w:ascii="Verdana" w:hAnsi="Verdana" w:cs="Times New Roman"/>
          <w:sz w:val="17"/>
          <w:szCs w:val="17"/>
          <w:lang w:val="en-GB"/>
        </w:rPr>
        <w:t xml:space="preserve">or to small and medium-sized enterprises </w:t>
      </w:r>
      <w:r w:rsidR="00302E6E" w:rsidRPr="00127DD3">
        <w:rPr>
          <w:rFonts w:ascii="Verdana" w:hAnsi="Verdana" w:cs="Times New Roman"/>
          <w:sz w:val="17"/>
          <w:szCs w:val="17"/>
          <w:lang w:val="en-GB"/>
        </w:rPr>
        <w:t xml:space="preserve">shall be assigned a reduced risk factor </w:t>
      </w:r>
      <w:proofErr w:type="spellStart"/>
      <w:r w:rsidR="00302E6E" w:rsidRPr="00127DD3">
        <w:rPr>
          <w:rFonts w:ascii="Verdana" w:hAnsi="Verdana" w:cs="Times New Roman"/>
          <w:sz w:val="17"/>
          <w:szCs w:val="17"/>
          <w:lang w:val="en-GB"/>
        </w:rPr>
        <w:t>stress</w:t>
      </w:r>
      <w:r w:rsidR="00302E6E" w:rsidRPr="00127DD3">
        <w:rPr>
          <w:rFonts w:ascii="Verdana" w:hAnsi="Verdana" w:cs="Times New Roman"/>
          <w:sz w:val="17"/>
          <w:szCs w:val="17"/>
          <w:vertAlign w:val="subscript"/>
          <w:lang w:val="en-GB"/>
        </w:rPr>
        <w:t>reduced,i</w:t>
      </w:r>
      <w:proofErr w:type="spellEnd"/>
      <w:r w:rsidR="00302E6E" w:rsidRPr="00127DD3">
        <w:rPr>
          <w:rFonts w:ascii="Verdana" w:hAnsi="Verdana" w:cs="Times New Roman"/>
          <w:sz w:val="17"/>
          <w:szCs w:val="17"/>
          <w:lang w:val="en-GB"/>
        </w:rPr>
        <w:t xml:space="preserve"> as follows:</w:t>
      </w:r>
      <w:r w:rsidR="00302E6E" w:rsidRPr="00127DD3">
        <w:rPr>
          <w:rFonts w:ascii="Verdana" w:hAnsi="Verdana" w:cs="Times New Roman"/>
          <w:sz w:val="17"/>
          <w:szCs w:val="17"/>
          <w:lang w:val="en-GB"/>
        </w:rPr>
        <w:tab/>
      </w:r>
    </w:p>
    <w:p w:rsidR="00302E6E" w:rsidRPr="00127DD3" w:rsidRDefault="00445AB3" w:rsidP="00851A0C">
      <w:pPr>
        <w:jc w:val="both"/>
        <w:rPr>
          <w:rFonts w:ascii="Verdana" w:eastAsiaTheme="minorEastAsia" w:hAnsi="Verdana" w:cs="Times New Roman"/>
          <w:sz w:val="17"/>
          <w:szCs w:val="17"/>
          <w:lang w:val="en-GB"/>
        </w:rPr>
      </w:pPr>
      <m:oMathPara>
        <m:oMath>
          <m:sSub>
            <m:sSubPr>
              <m:ctrlPr>
                <w:rPr>
                  <w:rFonts w:ascii="Cambria Math" w:hAnsi="Cambria Math" w:cs="Times New Roman"/>
                  <w:i/>
                  <w:sz w:val="17"/>
                  <w:szCs w:val="17"/>
                  <w:lang w:val="en-GB"/>
                </w:rPr>
              </m:ctrlPr>
            </m:sSubPr>
            <m:e>
              <m:r>
                <w:rPr>
                  <w:rFonts w:ascii="Cambria Math" w:hAnsi="Cambria Math" w:cs="Times New Roman"/>
                  <w:sz w:val="17"/>
                  <w:szCs w:val="17"/>
                  <w:lang w:val="en-GB"/>
                </w:rPr>
                <m:t>stress</m:t>
              </m:r>
            </m:e>
            <m:sub>
              <m:r>
                <w:rPr>
                  <w:rFonts w:ascii="Cambria Math" w:hAnsi="Cambria Math" w:cs="Times New Roman"/>
                  <w:sz w:val="17"/>
                  <w:szCs w:val="17"/>
                  <w:lang w:val="en-GB"/>
                </w:rPr>
                <m:t>reduced,i</m:t>
              </m:r>
            </m:sub>
          </m:sSub>
          <m:r>
            <w:rPr>
              <w:rFonts w:ascii="Cambria Math" w:hAnsi="Cambria Math" w:cs="Times New Roman"/>
              <w:sz w:val="17"/>
              <w:szCs w:val="17"/>
              <w:lang w:val="en-GB"/>
            </w:rPr>
            <m:t>=</m:t>
          </m:r>
          <m:sSub>
            <m:sSubPr>
              <m:ctrlPr>
                <w:rPr>
                  <w:rFonts w:ascii="Cambria Math" w:hAnsi="Cambria Math" w:cs="Times New Roman"/>
                  <w:i/>
                  <w:sz w:val="17"/>
                  <w:szCs w:val="17"/>
                  <w:lang w:val="en-GB"/>
                </w:rPr>
              </m:ctrlPr>
            </m:sSubPr>
            <m:e>
              <m:r>
                <w:rPr>
                  <w:rFonts w:ascii="Cambria Math" w:hAnsi="Cambria Math" w:cs="Times New Roman"/>
                  <w:sz w:val="17"/>
                  <w:szCs w:val="17"/>
                  <w:lang w:val="en-GB"/>
                </w:rPr>
                <m:t>stress</m:t>
              </m:r>
            </m:e>
            <m:sub>
              <m:r>
                <w:rPr>
                  <w:rFonts w:ascii="Cambria Math" w:hAnsi="Cambria Math" w:cs="Times New Roman"/>
                  <w:sz w:val="17"/>
                  <w:szCs w:val="17"/>
                  <w:lang w:val="en-GB"/>
                </w:rPr>
                <m:t>i</m:t>
              </m:r>
            </m:sub>
          </m:sSub>
          <m:r>
            <w:rPr>
              <w:rFonts w:ascii="Cambria Math" w:hAnsi="Cambria Math" w:cs="Times New Roman"/>
              <w:sz w:val="17"/>
              <w:szCs w:val="17"/>
              <w:lang w:val="en-GB"/>
            </w:rPr>
            <m:t>×</m:t>
          </m:r>
          <m:f>
            <m:fPr>
              <m:ctrlPr>
                <w:rPr>
                  <w:rFonts w:ascii="Cambria Math" w:hAnsi="Cambria Math" w:cs="Times New Roman"/>
                  <w:i/>
                  <w:sz w:val="17"/>
                  <w:szCs w:val="17"/>
                  <w:lang w:val="en-GB"/>
                </w:rPr>
              </m:ctrlPr>
            </m:fPr>
            <m:num>
              <m:sSub>
                <m:sSubPr>
                  <m:ctrlPr>
                    <w:rPr>
                      <w:rFonts w:ascii="Cambria Math" w:hAnsi="Cambria Math" w:cs="Times New Roman"/>
                      <w:i/>
                      <w:sz w:val="17"/>
                      <w:szCs w:val="17"/>
                      <w:lang w:val="en-GB"/>
                    </w:rPr>
                  </m:ctrlPr>
                </m:sSubPr>
                <m:e>
                  <m:r>
                    <w:rPr>
                      <w:rFonts w:ascii="Cambria Math" w:hAnsi="Cambria Math" w:cs="Times New Roman"/>
                      <w:sz w:val="17"/>
                      <w:szCs w:val="17"/>
                      <w:lang w:val="en-GB"/>
                    </w:rPr>
                    <m:t>LGD</m:t>
                  </m:r>
                </m:e>
                <m:sub>
                  <m:r>
                    <w:rPr>
                      <w:rFonts w:ascii="Cambria Math" w:hAnsi="Cambria Math" w:cs="Times New Roman"/>
                      <w:sz w:val="17"/>
                      <w:szCs w:val="17"/>
                      <w:lang w:val="en-GB"/>
                    </w:rPr>
                    <m:t>specific</m:t>
                  </m:r>
                </m:sub>
              </m:sSub>
            </m:num>
            <m:den>
              <m:sSub>
                <m:sSubPr>
                  <m:ctrlPr>
                    <w:rPr>
                      <w:rFonts w:ascii="Cambria Math" w:hAnsi="Cambria Math" w:cs="Times New Roman"/>
                      <w:i/>
                      <w:sz w:val="17"/>
                      <w:szCs w:val="17"/>
                      <w:lang w:val="en-GB"/>
                    </w:rPr>
                  </m:ctrlPr>
                </m:sSubPr>
                <m:e>
                  <m:r>
                    <w:rPr>
                      <w:rFonts w:ascii="Cambria Math" w:hAnsi="Cambria Math" w:cs="Times New Roman"/>
                      <w:sz w:val="17"/>
                      <w:szCs w:val="17"/>
                      <w:lang w:val="en-GB"/>
                    </w:rPr>
                    <m:t>LGD</m:t>
                  </m:r>
                </m:e>
                <m:sub>
                  <m:r>
                    <w:rPr>
                      <w:rFonts w:ascii="Cambria Math" w:hAnsi="Cambria Math" w:cs="Times New Roman"/>
                      <w:sz w:val="17"/>
                      <w:szCs w:val="17"/>
                      <w:lang w:val="en-GB"/>
                    </w:rPr>
                    <m:t>other</m:t>
                  </m:r>
                </m:sub>
              </m:sSub>
            </m:den>
          </m:f>
        </m:oMath>
      </m:oMathPara>
    </w:p>
    <w:p w:rsidR="00302E6E" w:rsidRPr="00127DD3" w:rsidRDefault="00302E6E" w:rsidP="00851A0C">
      <w:pPr>
        <w:jc w:val="both"/>
        <w:rPr>
          <w:rFonts w:ascii="Verdana" w:eastAsiaTheme="minorEastAsia" w:hAnsi="Verdana" w:cs="Times New Roman"/>
          <w:sz w:val="17"/>
          <w:szCs w:val="17"/>
          <w:lang w:val="en-GB"/>
        </w:rPr>
      </w:pPr>
      <w:proofErr w:type="gramStart"/>
      <w:r w:rsidRPr="00127DD3">
        <w:rPr>
          <w:rFonts w:ascii="Verdana" w:eastAsiaTheme="minorEastAsia" w:hAnsi="Verdana" w:cs="Times New Roman"/>
          <w:sz w:val="17"/>
          <w:szCs w:val="17"/>
          <w:lang w:val="en-GB"/>
        </w:rPr>
        <w:t>where</w:t>
      </w:r>
      <w:proofErr w:type="gramEnd"/>
      <w:r w:rsidRPr="00127DD3">
        <w:rPr>
          <w:rFonts w:ascii="Verdana" w:eastAsiaTheme="minorEastAsia" w:hAnsi="Verdana" w:cs="Times New Roman"/>
          <w:sz w:val="17"/>
          <w:szCs w:val="17"/>
          <w:lang w:val="en-GB"/>
        </w:rPr>
        <w:t>:</w:t>
      </w:r>
    </w:p>
    <w:p w:rsidR="00302E6E" w:rsidRPr="00127DD3" w:rsidRDefault="00CB0D53" w:rsidP="00851A0C">
      <w:pPr>
        <w:pStyle w:val="ListParagraph"/>
        <w:numPr>
          <w:ilvl w:val="0"/>
          <w:numId w:val="1"/>
        </w:numPr>
        <w:jc w:val="both"/>
        <w:rPr>
          <w:rFonts w:ascii="Verdana" w:hAnsi="Verdana" w:cs="Times New Roman"/>
          <w:sz w:val="17"/>
          <w:szCs w:val="17"/>
          <w:lang w:val="en-GB"/>
        </w:rPr>
      </w:pPr>
      <w:proofErr w:type="spellStart"/>
      <w:r w:rsidRPr="00127DD3">
        <w:rPr>
          <w:rFonts w:ascii="Verdana" w:hAnsi="Verdana" w:cs="Times New Roman"/>
          <w:sz w:val="17"/>
          <w:szCs w:val="17"/>
          <w:lang w:val="en-GB"/>
        </w:rPr>
        <w:t>s</w:t>
      </w:r>
      <w:r w:rsidR="00302E6E" w:rsidRPr="00127DD3">
        <w:rPr>
          <w:rFonts w:ascii="Verdana" w:hAnsi="Verdana" w:cs="Times New Roman"/>
          <w:sz w:val="17"/>
          <w:szCs w:val="17"/>
          <w:lang w:val="en-GB"/>
        </w:rPr>
        <w:t>tress</w:t>
      </w:r>
      <w:r w:rsidR="00302E6E" w:rsidRPr="00127DD3">
        <w:rPr>
          <w:rFonts w:ascii="Verdana" w:hAnsi="Verdana" w:cs="Times New Roman"/>
          <w:sz w:val="17"/>
          <w:szCs w:val="17"/>
          <w:vertAlign w:val="subscript"/>
          <w:lang w:val="en-GB"/>
        </w:rPr>
        <w:t>i</w:t>
      </w:r>
      <w:proofErr w:type="spellEnd"/>
      <w:r w:rsidR="00302E6E" w:rsidRPr="00127DD3">
        <w:rPr>
          <w:rFonts w:ascii="Verdana" w:hAnsi="Verdana" w:cs="Times New Roman"/>
          <w:sz w:val="17"/>
          <w:szCs w:val="17"/>
          <w:lang w:val="en-GB"/>
        </w:rPr>
        <w:t xml:space="preserve"> denotes a function of the credit quality step </w:t>
      </w:r>
      <w:proofErr w:type="spellStart"/>
      <w:r w:rsidRPr="00127DD3">
        <w:rPr>
          <w:rFonts w:ascii="Verdana" w:hAnsi="Verdana" w:cs="Times New Roman"/>
          <w:sz w:val="17"/>
          <w:szCs w:val="17"/>
          <w:lang w:val="en-GB"/>
        </w:rPr>
        <w:t>i</w:t>
      </w:r>
      <w:proofErr w:type="spellEnd"/>
      <w:r w:rsidR="00302E6E" w:rsidRPr="00127DD3">
        <w:rPr>
          <w:rFonts w:ascii="Verdana" w:hAnsi="Verdana" w:cs="Times New Roman"/>
          <w:sz w:val="17"/>
          <w:szCs w:val="17"/>
          <w:lang w:val="en-GB"/>
        </w:rPr>
        <w:t xml:space="preserve"> and of the modified duration </w:t>
      </w:r>
      <w:r w:rsidRPr="00127DD3">
        <w:rPr>
          <w:rFonts w:ascii="Verdana" w:hAnsi="Verdana" w:cs="Times New Roman"/>
          <w:sz w:val="17"/>
          <w:szCs w:val="17"/>
          <w:lang w:val="en-GB"/>
        </w:rPr>
        <w:t xml:space="preserve">of the bond or loan </w:t>
      </w:r>
      <w:proofErr w:type="spellStart"/>
      <w:r w:rsidRPr="00127DD3">
        <w:rPr>
          <w:rFonts w:ascii="Verdana" w:hAnsi="Verdana" w:cs="Times New Roman"/>
          <w:sz w:val="17"/>
          <w:szCs w:val="17"/>
          <w:lang w:val="en-GB"/>
        </w:rPr>
        <w:t>i</w:t>
      </w:r>
      <w:proofErr w:type="spellEnd"/>
      <w:r w:rsidR="00FA4B7C" w:rsidRPr="00127DD3">
        <w:rPr>
          <w:rFonts w:ascii="Verdana" w:hAnsi="Verdana" w:cs="Times New Roman"/>
          <w:sz w:val="17"/>
          <w:szCs w:val="17"/>
          <w:lang w:val="en-GB"/>
        </w:rPr>
        <w:t xml:space="preserve">, as </w:t>
      </w:r>
      <w:r w:rsidRPr="00127DD3">
        <w:rPr>
          <w:rFonts w:ascii="Verdana" w:hAnsi="Verdana" w:cs="Times New Roman"/>
          <w:sz w:val="17"/>
          <w:szCs w:val="17"/>
          <w:lang w:val="en-GB"/>
        </w:rPr>
        <w:t xml:space="preserve">set out in paragraph </w:t>
      </w:r>
      <w:r w:rsidR="00D41130" w:rsidRPr="00127DD3">
        <w:rPr>
          <w:rFonts w:ascii="Verdana" w:hAnsi="Verdana" w:cs="Times New Roman"/>
          <w:sz w:val="17"/>
          <w:szCs w:val="17"/>
          <w:lang w:val="en-GB"/>
        </w:rPr>
        <w:t>3</w:t>
      </w:r>
      <w:r w:rsidRPr="00127DD3">
        <w:rPr>
          <w:rFonts w:ascii="Verdana" w:hAnsi="Verdana" w:cs="Times New Roman"/>
          <w:sz w:val="17"/>
          <w:szCs w:val="17"/>
          <w:lang w:val="en-GB"/>
        </w:rPr>
        <w:t xml:space="preserve"> or </w:t>
      </w:r>
      <w:r w:rsidR="00D41130" w:rsidRPr="00127DD3">
        <w:rPr>
          <w:rFonts w:ascii="Verdana" w:hAnsi="Verdana" w:cs="Times New Roman"/>
          <w:sz w:val="17"/>
          <w:szCs w:val="17"/>
          <w:lang w:val="en-GB"/>
        </w:rPr>
        <w:t>4</w:t>
      </w:r>
      <w:r w:rsidRPr="00127DD3">
        <w:rPr>
          <w:rFonts w:ascii="Verdana" w:hAnsi="Verdana" w:cs="Times New Roman"/>
          <w:sz w:val="17"/>
          <w:szCs w:val="17"/>
          <w:lang w:val="en-GB"/>
        </w:rPr>
        <w:t xml:space="preserve"> depending on whether a credit assessment by a denominated ECAI is available or not</w:t>
      </w:r>
      <w:r w:rsidR="00430380" w:rsidRPr="00127DD3">
        <w:rPr>
          <w:rFonts w:ascii="Verdana" w:hAnsi="Verdana" w:cs="Times New Roman"/>
          <w:sz w:val="17"/>
          <w:szCs w:val="17"/>
          <w:lang w:val="en-GB"/>
        </w:rPr>
        <w:t xml:space="preserve"> </w:t>
      </w:r>
      <w:r w:rsidRPr="00127DD3">
        <w:rPr>
          <w:rFonts w:ascii="Verdana" w:hAnsi="Verdana" w:cs="Times New Roman"/>
          <w:sz w:val="17"/>
          <w:szCs w:val="17"/>
          <w:lang w:val="en-GB"/>
        </w:rPr>
        <w:t>;</w:t>
      </w:r>
    </w:p>
    <w:p w:rsidR="00357209" w:rsidRPr="00127DD3" w:rsidRDefault="00CB0D53" w:rsidP="00851A0C">
      <w:pPr>
        <w:pStyle w:val="ListParagraph"/>
        <w:numPr>
          <w:ilvl w:val="0"/>
          <w:numId w:val="1"/>
        </w:numPr>
        <w:jc w:val="both"/>
        <w:rPr>
          <w:rFonts w:ascii="Verdana" w:hAnsi="Verdana" w:cs="Times New Roman"/>
          <w:sz w:val="17"/>
          <w:szCs w:val="17"/>
          <w:lang w:val="en-GB"/>
        </w:rPr>
      </w:pPr>
      <w:proofErr w:type="spellStart"/>
      <w:r w:rsidRPr="00127DD3">
        <w:rPr>
          <w:rFonts w:ascii="Verdana" w:hAnsi="Verdana" w:cs="Times New Roman"/>
          <w:sz w:val="17"/>
          <w:szCs w:val="17"/>
          <w:lang w:val="en-GB"/>
        </w:rPr>
        <w:t>LGD</w:t>
      </w:r>
      <w:r w:rsidR="00CC4070" w:rsidRPr="00127DD3">
        <w:rPr>
          <w:rFonts w:ascii="Verdana" w:hAnsi="Verdana" w:cs="Times New Roman"/>
          <w:sz w:val="17"/>
          <w:szCs w:val="17"/>
          <w:vertAlign w:val="subscript"/>
          <w:lang w:val="en-GB"/>
        </w:rPr>
        <w:t>specific</w:t>
      </w:r>
      <w:r w:rsidR="00430380" w:rsidRPr="00127DD3">
        <w:rPr>
          <w:rFonts w:ascii="Verdana" w:hAnsi="Verdana" w:cs="Times New Roman"/>
          <w:sz w:val="17"/>
          <w:szCs w:val="17"/>
          <w:vertAlign w:val="subscript"/>
          <w:lang w:val="en-GB"/>
        </w:rPr>
        <w:t>,i</w:t>
      </w:r>
      <w:proofErr w:type="spellEnd"/>
      <w:r w:rsidRPr="00127DD3">
        <w:rPr>
          <w:rFonts w:ascii="Verdana" w:hAnsi="Verdana" w:cs="Times New Roman"/>
          <w:sz w:val="17"/>
          <w:szCs w:val="17"/>
          <w:lang w:val="en-GB"/>
        </w:rPr>
        <w:t xml:space="preserve"> denotes the loss-given default</w:t>
      </w:r>
      <w:r w:rsidR="00430380" w:rsidRPr="00127DD3">
        <w:rPr>
          <w:rFonts w:ascii="Verdana" w:hAnsi="Verdana" w:cs="Times New Roman"/>
          <w:sz w:val="17"/>
          <w:szCs w:val="17"/>
          <w:lang w:val="en-GB"/>
        </w:rPr>
        <w:t xml:space="preserve"> for the bond or loan </w:t>
      </w:r>
      <w:r w:rsidR="00357209" w:rsidRPr="00127DD3">
        <w:rPr>
          <w:rFonts w:ascii="Verdana" w:hAnsi="Verdana" w:cs="Times New Roman"/>
          <w:sz w:val="17"/>
          <w:szCs w:val="17"/>
          <w:lang w:val="en-GB"/>
        </w:rPr>
        <w:t>belonging to one of the following categories:</w:t>
      </w:r>
    </w:p>
    <w:p w:rsidR="00357209" w:rsidRPr="00127DD3" w:rsidRDefault="00357209" w:rsidP="00851A0C">
      <w:pPr>
        <w:pStyle w:val="ListParagraph"/>
        <w:numPr>
          <w:ilvl w:val="1"/>
          <w:numId w:val="1"/>
        </w:numPr>
        <w:jc w:val="both"/>
        <w:rPr>
          <w:rFonts w:ascii="Verdana" w:hAnsi="Verdana" w:cs="Times New Roman"/>
          <w:sz w:val="17"/>
          <w:szCs w:val="17"/>
          <w:lang w:val="en-GB"/>
        </w:rPr>
      </w:pPr>
      <w:r w:rsidRPr="00127DD3">
        <w:rPr>
          <w:rFonts w:ascii="Verdana" w:hAnsi="Verdana" w:cs="Times New Roman"/>
          <w:sz w:val="17"/>
          <w:szCs w:val="17"/>
          <w:lang w:val="en-GB"/>
        </w:rPr>
        <w:t>Infrastructure bonds or loans ;</w:t>
      </w:r>
    </w:p>
    <w:p w:rsidR="00CB0D53" w:rsidRPr="00127DD3" w:rsidRDefault="00357209" w:rsidP="00851A0C">
      <w:pPr>
        <w:pStyle w:val="ListParagraph"/>
        <w:numPr>
          <w:ilvl w:val="1"/>
          <w:numId w:val="1"/>
        </w:numPr>
        <w:jc w:val="both"/>
        <w:rPr>
          <w:rFonts w:ascii="Verdana" w:hAnsi="Verdana" w:cs="Times New Roman"/>
          <w:sz w:val="17"/>
          <w:szCs w:val="17"/>
          <w:lang w:val="en-GB"/>
        </w:rPr>
      </w:pPr>
      <w:r w:rsidRPr="00127DD3">
        <w:rPr>
          <w:rFonts w:ascii="Verdana" w:hAnsi="Verdana" w:cs="Times New Roman"/>
          <w:sz w:val="17"/>
          <w:szCs w:val="17"/>
          <w:lang w:val="en-GB"/>
        </w:rPr>
        <w:t xml:space="preserve">Loans to small and medium-sized </w:t>
      </w:r>
      <w:r w:rsidR="00505C48" w:rsidRPr="00127DD3">
        <w:rPr>
          <w:rFonts w:ascii="Verdana" w:hAnsi="Verdana" w:cs="Times New Roman"/>
          <w:sz w:val="17"/>
          <w:szCs w:val="17"/>
          <w:lang w:val="en-GB"/>
        </w:rPr>
        <w:t>enterprises</w:t>
      </w:r>
      <w:r w:rsidR="00CC4070" w:rsidRPr="00127DD3">
        <w:rPr>
          <w:rFonts w:ascii="Verdana" w:hAnsi="Verdana" w:cs="Times New Roman"/>
          <w:sz w:val="17"/>
          <w:szCs w:val="17"/>
          <w:lang w:val="en-GB"/>
        </w:rPr>
        <w:t>.</w:t>
      </w:r>
      <w:r w:rsidR="00430380" w:rsidRPr="00127DD3">
        <w:rPr>
          <w:rFonts w:ascii="Verdana" w:hAnsi="Verdana" w:cs="Times New Roman"/>
          <w:sz w:val="17"/>
          <w:szCs w:val="17"/>
          <w:lang w:val="en-GB"/>
        </w:rPr>
        <w:t xml:space="preserve"> </w:t>
      </w:r>
    </w:p>
    <w:p w:rsidR="00CB0D53" w:rsidRPr="00127DD3" w:rsidRDefault="00CB0D53" w:rsidP="00851A0C">
      <w:pPr>
        <w:pStyle w:val="ListParagraph"/>
        <w:numPr>
          <w:ilvl w:val="0"/>
          <w:numId w:val="1"/>
        </w:numPr>
        <w:jc w:val="both"/>
        <w:rPr>
          <w:rFonts w:ascii="Verdana" w:hAnsi="Verdana" w:cs="Times New Roman"/>
          <w:sz w:val="17"/>
          <w:szCs w:val="17"/>
          <w:lang w:val="en-GB"/>
        </w:rPr>
      </w:pPr>
      <w:proofErr w:type="spellStart"/>
      <w:r w:rsidRPr="00127DD3">
        <w:rPr>
          <w:rFonts w:ascii="Verdana" w:hAnsi="Verdana" w:cs="Times New Roman"/>
          <w:sz w:val="17"/>
          <w:szCs w:val="17"/>
          <w:lang w:val="en-GB"/>
        </w:rPr>
        <w:t>LGD</w:t>
      </w:r>
      <w:r w:rsidR="00430380" w:rsidRPr="00127DD3">
        <w:rPr>
          <w:rFonts w:ascii="Verdana" w:hAnsi="Verdana" w:cs="Times New Roman"/>
          <w:sz w:val="17"/>
          <w:szCs w:val="17"/>
          <w:vertAlign w:val="subscript"/>
          <w:lang w:val="en-GB"/>
        </w:rPr>
        <w:t>other</w:t>
      </w:r>
      <w:proofErr w:type="gramStart"/>
      <w:r w:rsidR="00430380" w:rsidRPr="00127DD3">
        <w:rPr>
          <w:rFonts w:ascii="Verdana" w:hAnsi="Verdana" w:cs="Times New Roman"/>
          <w:sz w:val="17"/>
          <w:szCs w:val="17"/>
          <w:vertAlign w:val="subscript"/>
          <w:lang w:val="en-GB"/>
        </w:rPr>
        <w:t>,i</w:t>
      </w:r>
      <w:proofErr w:type="spellEnd"/>
      <w:proofErr w:type="gramEnd"/>
      <w:r w:rsidRPr="00127DD3">
        <w:rPr>
          <w:rFonts w:ascii="Verdana" w:hAnsi="Verdana" w:cs="Times New Roman"/>
          <w:sz w:val="17"/>
          <w:szCs w:val="17"/>
          <w:lang w:val="en-GB"/>
        </w:rPr>
        <w:t xml:space="preserve"> denotes the loss-given default </w:t>
      </w:r>
      <w:r w:rsidR="00430380" w:rsidRPr="00127DD3">
        <w:rPr>
          <w:rFonts w:ascii="Verdana" w:hAnsi="Verdana" w:cs="Times New Roman"/>
          <w:sz w:val="17"/>
          <w:szCs w:val="17"/>
          <w:lang w:val="en-GB"/>
        </w:rPr>
        <w:t>for bonds.</w:t>
      </w:r>
    </w:p>
    <w:p w:rsidR="00505C48" w:rsidRPr="00127DD3" w:rsidRDefault="00EA33DE"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For the purposes of this amendment proposal, the following could be used as an example of how to </w:t>
      </w:r>
      <w:proofErr w:type="spellStart"/>
      <w:r w:rsidRPr="00127DD3">
        <w:rPr>
          <w:rFonts w:ascii="Verdana" w:hAnsi="Verdana" w:cs="Times New Roman"/>
          <w:sz w:val="17"/>
          <w:szCs w:val="17"/>
          <w:lang w:val="en-GB"/>
        </w:rPr>
        <w:t>t</w:t>
      </w:r>
      <w:r w:rsidR="00505C48" w:rsidRPr="00127DD3">
        <w:rPr>
          <w:rFonts w:ascii="Verdana" w:hAnsi="Verdana" w:cs="Times New Roman"/>
          <w:sz w:val="17"/>
          <w:szCs w:val="17"/>
          <w:lang w:val="en-GB"/>
        </w:rPr>
        <w:t>o</w:t>
      </w:r>
      <w:proofErr w:type="spellEnd"/>
      <w:r w:rsidR="00505C48" w:rsidRPr="00127DD3">
        <w:rPr>
          <w:rFonts w:ascii="Verdana" w:hAnsi="Verdana" w:cs="Times New Roman"/>
          <w:sz w:val="17"/>
          <w:szCs w:val="17"/>
          <w:lang w:val="en-GB"/>
        </w:rPr>
        <w:t xml:space="preserve"> determine the LGD figures:</w:t>
      </w:r>
    </w:p>
    <w:p w:rsidR="00505C48" w:rsidRPr="00127DD3" w:rsidRDefault="00505C48" w:rsidP="00851A0C">
      <w:pPr>
        <w:pStyle w:val="ListParagraph"/>
        <w:numPr>
          <w:ilvl w:val="0"/>
          <w:numId w:val="10"/>
        </w:numPr>
        <w:jc w:val="both"/>
        <w:rPr>
          <w:rFonts w:ascii="Verdana" w:hAnsi="Verdana" w:cs="Times New Roman"/>
          <w:sz w:val="17"/>
          <w:szCs w:val="17"/>
          <w:lang w:val="en-GB"/>
        </w:rPr>
      </w:pPr>
      <w:r w:rsidRPr="00127DD3">
        <w:rPr>
          <w:rFonts w:ascii="Verdana" w:hAnsi="Verdana" w:cs="Times New Roman"/>
          <w:sz w:val="17"/>
          <w:szCs w:val="17"/>
          <w:lang w:val="en-GB"/>
        </w:rPr>
        <w:t xml:space="preserve">[20%;35%] for the infrastructure bonds or loans </w:t>
      </w:r>
      <w:proofErr w:type="spellStart"/>
      <w:r w:rsidRPr="00127DD3">
        <w:rPr>
          <w:rFonts w:ascii="Verdana" w:hAnsi="Verdana" w:cs="Times New Roman"/>
          <w:sz w:val="17"/>
          <w:szCs w:val="17"/>
          <w:lang w:val="en-GB"/>
        </w:rPr>
        <w:t>LGD</w:t>
      </w:r>
      <w:r w:rsidRPr="00127DD3">
        <w:rPr>
          <w:rFonts w:ascii="Verdana" w:hAnsi="Verdana" w:cs="Times New Roman"/>
          <w:sz w:val="17"/>
          <w:szCs w:val="17"/>
          <w:vertAlign w:val="subscript"/>
          <w:lang w:val="en-GB"/>
        </w:rPr>
        <w:t>specific</w:t>
      </w:r>
      <w:proofErr w:type="spellEnd"/>
      <w:r w:rsidRPr="00127DD3">
        <w:rPr>
          <w:rFonts w:ascii="Verdana" w:hAnsi="Verdana" w:cs="Times New Roman"/>
          <w:sz w:val="17"/>
          <w:szCs w:val="17"/>
          <w:lang w:val="en-GB"/>
        </w:rPr>
        <w:t xml:space="preserve"> as it is posted in the EIOPA technical report on standard formula for certain long term investments and based on the Moody’s study “Default rates and recovery rates for project finance bank loans 1983-2008” for the infrastructure and power industry sector </w:t>
      </w:r>
    </w:p>
    <w:p w:rsidR="008D0FF9" w:rsidRPr="00127DD3" w:rsidRDefault="00505C48" w:rsidP="00851A0C">
      <w:pPr>
        <w:pStyle w:val="ListParagraph"/>
        <w:numPr>
          <w:ilvl w:val="0"/>
          <w:numId w:val="10"/>
        </w:numPr>
        <w:jc w:val="both"/>
        <w:rPr>
          <w:rFonts w:ascii="Verdana" w:hAnsi="Verdana" w:cs="Times New Roman"/>
          <w:sz w:val="17"/>
          <w:szCs w:val="17"/>
          <w:u w:val="single"/>
          <w:lang w:val="en-GB"/>
        </w:rPr>
      </w:pPr>
      <w:r w:rsidRPr="00127DD3">
        <w:rPr>
          <w:rFonts w:ascii="Verdana" w:hAnsi="Verdana" w:cs="Times New Roman"/>
          <w:sz w:val="17"/>
          <w:szCs w:val="17"/>
          <w:lang w:val="en-GB"/>
        </w:rPr>
        <w:t xml:space="preserve">[35%;40%] for the SME loans </w:t>
      </w:r>
      <w:proofErr w:type="spellStart"/>
      <w:r w:rsidRPr="00127DD3">
        <w:rPr>
          <w:rFonts w:ascii="Verdana" w:hAnsi="Verdana" w:cs="Times New Roman"/>
          <w:sz w:val="17"/>
          <w:szCs w:val="17"/>
          <w:lang w:val="en-GB"/>
        </w:rPr>
        <w:t>LGD</w:t>
      </w:r>
      <w:r w:rsidRPr="00127DD3">
        <w:rPr>
          <w:rFonts w:ascii="Verdana" w:hAnsi="Verdana" w:cs="Times New Roman"/>
          <w:sz w:val="17"/>
          <w:szCs w:val="17"/>
          <w:vertAlign w:val="subscript"/>
          <w:lang w:val="en-GB"/>
        </w:rPr>
        <w:t>specific</w:t>
      </w:r>
      <w:proofErr w:type="spellEnd"/>
      <w:r w:rsidRPr="00127DD3">
        <w:rPr>
          <w:rFonts w:ascii="Verdana" w:hAnsi="Verdana" w:cs="Times New Roman"/>
          <w:sz w:val="17"/>
          <w:szCs w:val="17"/>
          <w:lang w:val="en-GB"/>
        </w:rPr>
        <w:t xml:space="preserve"> with respect to the Moody’s paper “</w:t>
      </w:r>
      <w:proofErr w:type="spellStart"/>
      <w:r w:rsidRPr="00127DD3">
        <w:rPr>
          <w:rFonts w:ascii="Verdana" w:hAnsi="Verdana" w:cs="Times New Roman"/>
          <w:sz w:val="17"/>
          <w:szCs w:val="17"/>
          <w:lang w:val="en-GB"/>
        </w:rPr>
        <w:t>Moodys</w:t>
      </w:r>
      <w:proofErr w:type="spellEnd"/>
      <w:r w:rsidRPr="00127DD3">
        <w:rPr>
          <w:rFonts w:ascii="Verdana" w:hAnsi="Verdana" w:cs="Times New Roman"/>
          <w:sz w:val="17"/>
          <w:szCs w:val="17"/>
          <w:lang w:val="en-GB"/>
        </w:rPr>
        <w:t xml:space="preserve"> global approach to rating SME Balance Sheet Securitizations”</w:t>
      </w:r>
    </w:p>
    <w:p w:rsidR="009C18A0" w:rsidRPr="00127DD3" w:rsidRDefault="00505C48" w:rsidP="00851A0C">
      <w:pPr>
        <w:pStyle w:val="ListParagraph"/>
        <w:numPr>
          <w:ilvl w:val="0"/>
          <w:numId w:val="10"/>
        </w:numPr>
        <w:jc w:val="both"/>
        <w:rPr>
          <w:rFonts w:ascii="Verdana" w:hAnsi="Verdana" w:cs="Times New Roman"/>
          <w:sz w:val="17"/>
          <w:szCs w:val="17"/>
          <w:u w:val="single"/>
          <w:lang w:val="en-GB"/>
        </w:rPr>
      </w:pPr>
      <w:r w:rsidRPr="00127DD3">
        <w:rPr>
          <w:rFonts w:ascii="Verdana" w:hAnsi="Verdana" w:cs="Times New Roman"/>
          <w:sz w:val="17"/>
          <w:szCs w:val="17"/>
          <w:lang w:val="en-GB"/>
        </w:rPr>
        <w:t xml:space="preserve">60% for the </w:t>
      </w:r>
      <w:proofErr w:type="spellStart"/>
      <w:r w:rsidRPr="00127DD3">
        <w:rPr>
          <w:rFonts w:ascii="Verdana" w:hAnsi="Verdana" w:cs="Times New Roman"/>
          <w:sz w:val="17"/>
          <w:szCs w:val="17"/>
          <w:lang w:val="en-GB"/>
        </w:rPr>
        <w:t>LGD</w:t>
      </w:r>
      <w:r w:rsidRPr="00127DD3">
        <w:rPr>
          <w:rFonts w:ascii="Verdana" w:hAnsi="Verdana" w:cs="Times New Roman"/>
          <w:sz w:val="17"/>
          <w:szCs w:val="17"/>
          <w:vertAlign w:val="subscript"/>
          <w:lang w:val="en-GB"/>
        </w:rPr>
        <w:t>other</w:t>
      </w:r>
      <w:proofErr w:type="spellEnd"/>
      <w:r w:rsidRPr="00127DD3">
        <w:rPr>
          <w:rFonts w:ascii="Verdana" w:hAnsi="Verdana" w:cs="Times New Roman"/>
          <w:sz w:val="17"/>
          <w:szCs w:val="17"/>
          <w:lang w:val="en-GB"/>
        </w:rPr>
        <w:t xml:space="preserve"> as it is the expected recovery rate for a BBB bond in the QIS 5 standard</w:t>
      </w:r>
    </w:p>
    <w:p w:rsidR="008D0FF9" w:rsidRPr="00127DD3" w:rsidRDefault="00760598" w:rsidP="00851A0C">
      <w:pPr>
        <w:rPr>
          <w:rFonts w:ascii="Verdana" w:hAnsi="Verdana" w:cs="Times New Roman"/>
          <w:sz w:val="17"/>
          <w:szCs w:val="17"/>
          <w:lang w:val="en-GB"/>
        </w:rPr>
      </w:pPr>
      <w:r w:rsidRPr="00127DD3">
        <w:rPr>
          <w:rFonts w:ascii="Verdana" w:hAnsi="Verdana" w:cs="Times New Roman"/>
          <w:sz w:val="17"/>
          <w:szCs w:val="17"/>
          <w:lang w:val="en-US"/>
        </w:rPr>
        <w:t xml:space="preserve">Two </w:t>
      </w:r>
      <w:r w:rsidR="009C58DD" w:rsidRPr="00127DD3">
        <w:rPr>
          <w:rFonts w:ascii="Verdana" w:hAnsi="Verdana" w:cs="Times New Roman"/>
          <w:sz w:val="17"/>
          <w:szCs w:val="17"/>
          <w:lang w:val="en-US"/>
        </w:rPr>
        <w:t>alternatives</w:t>
      </w:r>
      <w:r w:rsidRPr="00127DD3">
        <w:rPr>
          <w:rFonts w:ascii="Verdana" w:hAnsi="Verdana" w:cs="Times New Roman"/>
          <w:sz w:val="17"/>
          <w:szCs w:val="17"/>
          <w:lang w:val="en-US"/>
        </w:rPr>
        <w:t xml:space="preserve"> could be envisaged</w:t>
      </w:r>
      <w:r w:rsidR="008D0FF9" w:rsidRPr="00127DD3">
        <w:rPr>
          <w:rFonts w:ascii="Verdana" w:hAnsi="Verdana" w:cs="Times New Roman"/>
          <w:sz w:val="17"/>
          <w:szCs w:val="17"/>
          <w:lang w:val="en-US"/>
        </w:rPr>
        <w:t>:</w:t>
      </w:r>
    </w:p>
    <w:p w:rsidR="008D0FF9" w:rsidRPr="00127DD3" w:rsidRDefault="008D0FF9" w:rsidP="00851A0C">
      <w:pPr>
        <w:pStyle w:val="ListParagraph"/>
        <w:numPr>
          <w:ilvl w:val="0"/>
          <w:numId w:val="6"/>
        </w:numPr>
        <w:jc w:val="both"/>
        <w:rPr>
          <w:rFonts w:ascii="Verdana" w:hAnsi="Verdana" w:cs="Times New Roman"/>
          <w:b/>
          <w:bCs/>
          <w:sz w:val="17"/>
          <w:szCs w:val="17"/>
          <w:u w:val="single"/>
          <w:lang w:val="en-GB"/>
        </w:rPr>
      </w:pPr>
      <w:r w:rsidRPr="00127DD3">
        <w:rPr>
          <w:rFonts w:ascii="Verdana" w:hAnsi="Verdana" w:cs="Times New Roman"/>
          <w:b/>
          <w:bCs/>
          <w:sz w:val="17"/>
          <w:szCs w:val="17"/>
          <w:u w:val="single"/>
          <w:lang w:val="en-GB"/>
        </w:rPr>
        <w:t>Article 156</w:t>
      </w:r>
    </w:p>
    <w:p w:rsidR="00755325" w:rsidRPr="00127DD3" w:rsidRDefault="00755325" w:rsidP="00851A0C">
      <w:pPr>
        <w:jc w:val="both"/>
        <w:rPr>
          <w:rFonts w:ascii="Verdana" w:hAnsi="Verdana" w:cs="Times New Roman"/>
          <w:sz w:val="17"/>
          <w:szCs w:val="17"/>
          <w:lang w:val="en-GB"/>
        </w:rPr>
      </w:pPr>
      <w:r w:rsidRPr="00127DD3">
        <w:rPr>
          <w:rFonts w:ascii="Verdana" w:hAnsi="Verdana" w:cs="Times New Roman"/>
          <w:sz w:val="17"/>
          <w:szCs w:val="17"/>
          <w:lang w:val="en-GB"/>
        </w:rPr>
        <w:t>For unrated and unlisted loans for which there is no quoted market price in active markets available, the value of the loan should be adjusted to reflect the risk adjusted value of a guarantee</w:t>
      </w:r>
      <w:r w:rsidR="00357209" w:rsidRPr="00127DD3">
        <w:rPr>
          <w:rFonts w:ascii="Verdana" w:hAnsi="Verdana" w:cs="Times New Roman"/>
          <w:sz w:val="17"/>
          <w:szCs w:val="17"/>
          <w:lang w:val="en-GB"/>
        </w:rPr>
        <w:t>, security</w:t>
      </w:r>
      <w:r w:rsidRPr="00127DD3">
        <w:rPr>
          <w:rFonts w:ascii="Verdana" w:hAnsi="Verdana" w:cs="Times New Roman"/>
          <w:sz w:val="17"/>
          <w:szCs w:val="17"/>
          <w:lang w:val="en-GB"/>
        </w:rPr>
        <w:t xml:space="preserve"> or collateral.</w:t>
      </w:r>
    </w:p>
    <w:p w:rsidR="008D0FF9" w:rsidRPr="00127DD3" w:rsidRDefault="008D0FF9" w:rsidP="00851A0C">
      <w:pPr>
        <w:pStyle w:val="ListParagraph"/>
        <w:numPr>
          <w:ilvl w:val="0"/>
          <w:numId w:val="6"/>
        </w:numPr>
        <w:jc w:val="both"/>
        <w:rPr>
          <w:rFonts w:ascii="Verdana" w:hAnsi="Verdana" w:cs="Times New Roman"/>
          <w:sz w:val="17"/>
          <w:szCs w:val="17"/>
          <w:u w:val="single"/>
          <w:lang w:val="en-GB"/>
        </w:rPr>
      </w:pPr>
      <w:r w:rsidRPr="00127DD3">
        <w:rPr>
          <w:rFonts w:ascii="Verdana" w:hAnsi="Verdana" w:cs="Times New Roman"/>
          <w:b/>
          <w:bCs/>
          <w:sz w:val="17"/>
          <w:szCs w:val="17"/>
          <w:u w:val="single"/>
          <w:lang w:val="en-GB"/>
        </w:rPr>
        <w:t xml:space="preserve">Article 174 </w:t>
      </w:r>
    </w:p>
    <w:p w:rsidR="00755325" w:rsidRPr="00127DD3" w:rsidRDefault="00755325" w:rsidP="00851A0C">
      <w:pPr>
        <w:jc w:val="both"/>
        <w:rPr>
          <w:rFonts w:ascii="Verdana" w:hAnsi="Verdana" w:cs="Times New Roman"/>
          <w:sz w:val="17"/>
          <w:szCs w:val="17"/>
          <w:lang w:val="en-GB"/>
        </w:rPr>
      </w:pPr>
      <w:r w:rsidRPr="00127DD3">
        <w:rPr>
          <w:rFonts w:ascii="Verdana" w:hAnsi="Verdana" w:cs="Times New Roman"/>
          <w:sz w:val="17"/>
          <w:szCs w:val="17"/>
          <w:lang w:val="en-GB" w:eastAsia="en-GB"/>
        </w:rPr>
        <w:t>(</w:t>
      </w:r>
      <w:proofErr w:type="gramStart"/>
      <w:r w:rsidRPr="00127DD3">
        <w:rPr>
          <w:rFonts w:ascii="Verdana" w:hAnsi="Verdana" w:cs="Times New Roman"/>
          <w:sz w:val="17"/>
          <w:szCs w:val="17"/>
          <w:lang w:val="en-GB" w:eastAsia="en-GB"/>
        </w:rPr>
        <w:t>add</w:t>
      </w:r>
      <w:proofErr w:type="gramEnd"/>
      <w:r w:rsidRPr="00127DD3">
        <w:rPr>
          <w:rFonts w:ascii="Verdana" w:hAnsi="Verdana" w:cs="Times New Roman"/>
          <w:sz w:val="17"/>
          <w:szCs w:val="17"/>
          <w:lang w:val="en-GB" w:eastAsia="en-GB"/>
        </w:rPr>
        <w:t xml:space="preserve"> to Article 174) Mortgage loans, </w:t>
      </w:r>
      <w:r w:rsidR="00760598" w:rsidRPr="00127DD3">
        <w:rPr>
          <w:rFonts w:ascii="Verdana" w:hAnsi="Verdana" w:cs="Times New Roman"/>
          <w:sz w:val="17"/>
          <w:szCs w:val="17"/>
          <w:lang w:val="en-GB" w:eastAsia="en-GB"/>
        </w:rPr>
        <w:t xml:space="preserve">small and medium size enterprise </w:t>
      </w:r>
      <w:r w:rsidRPr="00127DD3">
        <w:rPr>
          <w:rFonts w:ascii="Verdana" w:hAnsi="Verdana" w:cs="Times New Roman"/>
          <w:sz w:val="17"/>
          <w:szCs w:val="17"/>
          <w:lang w:val="en-GB" w:eastAsia="en-GB"/>
        </w:rPr>
        <w:t>loans and infrastructure debt shall be treated as type 2 exposures under the counterparty default risk module.</w:t>
      </w:r>
    </w:p>
    <w:p w:rsidR="00755325" w:rsidRPr="00127DD3" w:rsidRDefault="00C255C0" w:rsidP="00851A0C">
      <w:pPr>
        <w:jc w:val="both"/>
        <w:rPr>
          <w:rFonts w:ascii="Verdana" w:hAnsi="Verdana" w:cs="Times New Roman"/>
          <w:b/>
          <w:sz w:val="17"/>
          <w:szCs w:val="17"/>
          <w:lang w:val="en-GB"/>
        </w:rPr>
      </w:pPr>
      <w:r w:rsidRPr="00127DD3">
        <w:rPr>
          <w:rFonts w:ascii="Verdana" w:hAnsi="Verdana" w:cs="Times New Roman"/>
          <w:noProof/>
          <w:sz w:val="17"/>
          <w:szCs w:val="17"/>
          <w:lang w:val="en-GB" w:eastAsia="en-GB"/>
        </w:rPr>
        <mc:AlternateContent>
          <mc:Choice Requires="wps">
            <w:drawing>
              <wp:anchor distT="0" distB="0" distL="114300" distR="114300" simplePos="0" relativeHeight="251665408" behindDoc="0" locked="0" layoutInCell="1" allowOverlap="1" wp14:anchorId="394C9704" wp14:editId="4A4A34F7">
                <wp:simplePos x="0" y="0"/>
                <wp:positionH relativeFrom="column">
                  <wp:posOffset>-63033</wp:posOffset>
                </wp:positionH>
                <wp:positionV relativeFrom="paragraph">
                  <wp:posOffset>183982</wp:posOffset>
                </wp:positionV>
                <wp:extent cx="6003925" cy="431321"/>
                <wp:effectExtent l="0" t="0" r="15875" b="260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431321"/>
                        </a:xfrm>
                        <a:prstGeom prst="rect">
                          <a:avLst/>
                        </a:prstGeom>
                        <a:solidFill>
                          <a:srgbClr val="FFFFFF"/>
                        </a:solidFill>
                        <a:ln w="9525">
                          <a:solidFill>
                            <a:srgbClr val="000000"/>
                          </a:solidFill>
                          <a:miter lim="800000"/>
                          <a:headEnd/>
                          <a:tailEnd/>
                        </a:ln>
                      </wps:spPr>
                      <wps:txbx>
                        <w:txbxContent>
                          <w:p w:rsidR="00C255C0" w:rsidRPr="00127DD3" w:rsidRDefault="00C255C0" w:rsidP="00C255C0">
                            <w:pPr>
                              <w:rPr>
                                <w:rFonts w:ascii="Verdana" w:hAnsi="Verdana" w:cstheme="majorBidi"/>
                                <w:sz w:val="17"/>
                                <w:szCs w:val="17"/>
                                <w:lang w:val="en-GB"/>
                              </w:rPr>
                            </w:pPr>
                            <w:r w:rsidRPr="00127DD3">
                              <w:rPr>
                                <w:rFonts w:ascii="Verdana" w:hAnsi="Verdana" w:cstheme="majorBidi"/>
                                <w:sz w:val="17"/>
                                <w:szCs w:val="17"/>
                                <w:lang w:val="en-GB"/>
                              </w:rPr>
                              <w:t xml:space="preserve">While a split between high and low quality </w:t>
                            </w:r>
                            <w:r w:rsidRPr="00127DD3">
                              <w:rPr>
                                <w:rFonts w:ascii="Verdana" w:hAnsi="Verdana" w:cstheme="majorBidi"/>
                                <w:b/>
                                <w:sz w:val="17"/>
                                <w:szCs w:val="17"/>
                                <w:lang w:val="en-GB"/>
                              </w:rPr>
                              <w:t>securitisations</w:t>
                            </w:r>
                            <w:r w:rsidRPr="00127DD3">
                              <w:rPr>
                                <w:rFonts w:ascii="Verdana" w:hAnsi="Verdana" w:cstheme="majorBidi"/>
                                <w:sz w:val="17"/>
                                <w:szCs w:val="17"/>
                                <w:lang w:val="en-GB"/>
                              </w:rPr>
                              <w:t xml:space="preserve"> is necessary and welcome, the approach and the new proposed capital charges remain punitive.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95pt;margin-top:14.5pt;width:472.75pt;height:3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WFJAIAAEsEAAAOAAAAZHJzL2Uyb0RvYy54bWysVNtu2zAMfR+wfxD0vthxLmuMOEWXLsOA&#10;7gK0+wBZlmNhkqhJSuzu60vJaRZ0wx6G+UEQReqIPIf0+nrQihyF8xJMRaeTnBJhODTS7Cv67WH3&#10;5ooSH5hpmAIjKvooPL3evH617m0pCuhANcIRBDG+7G1FuxBsmWWed0IzPwErDDpbcJoFNN0+axzr&#10;EV2rrMjzZdaDa6wDLrzH09vRSTcJv20FD1/a1otAVEUxt5BWl9Y6rtlmzcq9Y7aT/JQG+4csNJMG&#10;Hz1D3bLAyMHJ36C05A48tGHCQWfQtpKLVANWM81fVHPfMStSLUiOt2ea/P+D5Z+PXx2RTUWXlBim&#10;UaIHMQTyDgZSRHZ660sMurcYFgY8RpVTpd7eAf/uiYFtx8xe3DgHfSdYg9lN483s4uqI4yNI3X+C&#10;Bp9hhwAJaGidjtQhGQTRUaXHszIxFY6HyzyfrYoFJRx989l0VoxPsPL5tnU+fBCgSdxU1KHyCZ0d&#10;73yI2bDyOSQ+5kHJZieVSobb11vlyJFhl+zSlwp4EaYM6Su6WmAef4fI0/cnCC0DtruSuqJX5yBW&#10;RtremyY1Y2BSjXtMWZkTj5G6kcQw1EMS7CxPDc0jEutg7G6cRtx04H5S0mNnV9T/ODAnKFEfDYqz&#10;ms7ncRSSMV+8LdBwl5760sMMR6iKBkrG7Tak8YkMGLhBEVuZ+I1qj5mcUsaOTbSfpiuOxKWdon79&#10;AzZPAAAA//8DAFBLAwQUAAYACAAAACEANhracN4AAAAIAQAADwAAAGRycy9kb3ducmV2LnhtbEyP&#10;wU7DMBBE70j8g7VIXFDr0EKoQ5wKIYHoDQqCqxtvk4h4HWw3DX/PcoLbjmY0+6ZcT64XI4bYedJw&#10;Oc9AINXedtRoeHt9mK1AxGTImt4TavjGCOvq9KQ0hfVHesFxmxrBJRQLo6FNaSikjHWLzsS5H5DY&#10;2/vgTGIZGmmDOXK56+Uiy3LpTEf8oTUD3rdYf24PTsPq6mn8iJvl83ud73uVLm7Gx6+g9fnZdHcL&#10;IuGU/sLwi8/oUDHTzh/IRtFrmCnFSQ0LxZPYV8vrHMSOj1yBrEr5f0D1AwAA//8DAFBLAQItABQA&#10;BgAIAAAAIQC2gziS/gAAAOEBAAATAAAAAAAAAAAAAAAAAAAAAABbQ29udGVudF9UeXBlc10ueG1s&#10;UEsBAi0AFAAGAAgAAAAhADj9If/WAAAAlAEAAAsAAAAAAAAAAAAAAAAALwEAAF9yZWxzLy5yZWxz&#10;UEsBAi0AFAAGAAgAAAAhADl/JYUkAgAASwQAAA4AAAAAAAAAAAAAAAAALgIAAGRycy9lMm9Eb2Mu&#10;eG1sUEsBAi0AFAAGAAgAAAAhADYa2nDeAAAACAEAAA8AAAAAAAAAAAAAAAAAfgQAAGRycy9kb3du&#10;cmV2LnhtbFBLBQYAAAAABAAEAPMAAACJBQAAAAA=&#10;">
                <v:textbox>
                  <w:txbxContent>
                    <w:p w:rsidR="00C255C0" w:rsidRPr="00127DD3" w:rsidRDefault="00C255C0" w:rsidP="00C255C0">
                      <w:pPr>
                        <w:rPr>
                          <w:rFonts w:ascii="Verdana" w:hAnsi="Verdana" w:cstheme="majorBidi"/>
                          <w:sz w:val="17"/>
                          <w:szCs w:val="17"/>
                          <w:lang w:val="en-GB"/>
                        </w:rPr>
                      </w:pPr>
                      <w:r w:rsidRPr="00127DD3">
                        <w:rPr>
                          <w:rFonts w:ascii="Verdana" w:hAnsi="Verdana" w:cstheme="majorBidi"/>
                          <w:sz w:val="17"/>
                          <w:szCs w:val="17"/>
                          <w:lang w:val="en-GB"/>
                        </w:rPr>
                        <w:t xml:space="preserve">While a split between high and low quality </w:t>
                      </w:r>
                      <w:r w:rsidRPr="00127DD3">
                        <w:rPr>
                          <w:rFonts w:ascii="Verdana" w:hAnsi="Verdana" w:cstheme="majorBidi"/>
                          <w:b/>
                          <w:sz w:val="17"/>
                          <w:szCs w:val="17"/>
                          <w:lang w:val="en-GB"/>
                        </w:rPr>
                        <w:t>securitisations</w:t>
                      </w:r>
                      <w:r w:rsidRPr="00127DD3">
                        <w:rPr>
                          <w:rFonts w:ascii="Verdana" w:hAnsi="Verdana" w:cstheme="majorBidi"/>
                          <w:sz w:val="17"/>
                          <w:szCs w:val="17"/>
                          <w:lang w:val="en-GB"/>
                        </w:rPr>
                        <w:t xml:space="preserve"> is necessary and welcome, the approach and the new proposed capital charges remain punitive. </w:t>
                      </w:r>
                    </w:p>
                  </w:txbxContent>
                </v:textbox>
              </v:shape>
            </w:pict>
          </mc:Fallback>
        </mc:AlternateContent>
      </w:r>
    </w:p>
    <w:p w:rsidR="00C255C0" w:rsidRPr="00127DD3" w:rsidRDefault="00C255C0" w:rsidP="00851A0C">
      <w:pPr>
        <w:jc w:val="both"/>
        <w:rPr>
          <w:rFonts w:ascii="Verdana" w:hAnsi="Verdana" w:cs="Times New Roman"/>
          <w:b/>
          <w:sz w:val="17"/>
          <w:szCs w:val="17"/>
          <w:lang w:val="en-GB"/>
        </w:rPr>
      </w:pPr>
    </w:p>
    <w:p w:rsidR="00C255C0" w:rsidRPr="00127DD3" w:rsidRDefault="00C255C0" w:rsidP="00851A0C">
      <w:pPr>
        <w:jc w:val="both"/>
        <w:rPr>
          <w:rFonts w:ascii="Verdana" w:hAnsi="Verdana" w:cs="Times New Roman"/>
          <w:b/>
          <w:sz w:val="17"/>
          <w:szCs w:val="17"/>
          <w:lang w:val="en-GB"/>
        </w:rPr>
      </w:pPr>
    </w:p>
    <w:p w:rsidR="008D0FF9" w:rsidRPr="00127DD3" w:rsidRDefault="008D0FF9" w:rsidP="00851A0C">
      <w:pPr>
        <w:jc w:val="both"/>
        <w:rPr>
          <w:rFonts w:ascii="Verdana" w:hAnsi="Verdana" w:cs="Times New Roman"/>
          <w:sz w:val="17"/>
          <w:szCs w:val="17"/>
          <w:lang w:val="en-GB"/>
        </w:rPr>
      </w:pPr>
      <w:r w:rsidRPr="00127DD3">
        <w:rPr>
          <w:rFonts w:ascii="Verdana" w:hAnsi="Verdana" w:cs="Times New Roman"/>
          <w:sz w:val="17"/>
          <w:szCs w:val="17"/>
          <w:lang w:val="en-GB"/>
        </w:rPr>
        <w:t>A number of challenges emerge from the currently foreseen treatment of securitisations:</w:t>
      </w:r>
    </w:p>
    <w:p w:rsidR="00AB4EFE"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1.</w:t>
      </w:r>
      <w:r w:rsidR="00AB4EFE" w:rsidRPr="00127DD3">
        <w:rPr>
          <w:rFonts w:ascii="Verdana" w:hAnsi="Verdana" w:cs="Times New Roman"/>
          <w:b/>
          <w:bCs/>
          <w:sz w:val="17"/>
          <w:szCs w:val="17"/>
          <w:lang w:val="en-GB"/>
        </w:rPr>
        <w:t xml:space="preserve"> Proposed EIOPA capital charges do not reflect the inherent risk of high quality securitized assets.</w:t>
      </w:r>
    </w:p>
    <w:p w:rsidR="008E7D53" w:rsidRPr="00127DD3" w:rsidRDefault="00AB4EFE" w:rsidP="00851A0C">
      <w:pPr>
        <w:jc w:val="both"/>
        <w:rPr>
          <w:rFonts w:ascii="Verdana" w:hAnsi="Verdana" w:cs="Times New Roman"/>
          <w:sz w:val="17"/>
          <w:szCs w:val="17"/>
          <w:lang w:val="en-GB"/>
        </w:rPr>
      </w:pPr>
      <w:r w:rsidRPr="00127DD3">
        <w:rPr>
          <w:rFonts w:ascii="Verdana" w:hAnsi="Verdana" w:cs="Times New Roman"/>
          <w:sz w:val="17"/>
          <w:szCs w:val="17"/>
          <w:lang w:val="en-GB"/>
        </w:rPr>
        <w:t>The corresponding high capital charges are largely due to high volatility experienced during the last crisis and resulting from leveraged investment vehicles involvement in the market.</w:t>
      </w:r>
      <w:r w:rsidR="00E93BAA" w:rsidRPr="00127DD3">
        <w:rPr>
          <w:rFonts w:ascii="Verdana" w:hAnsi="Verdana" w:cs="Times New Roman"/>
          <w:sz w:val="17"/>
          <w:szCs w:val="17"/>
          <w:lang w:val="en-GB"/>
        </w:rPr>
        <w:t xml:space="preserve"> </w:t>
      </w:r>
      <w:r w:rsidR="00903589" w:rsidRPr="00127DD3">
        <w:rPr>
          <w:rFonts w:ascii="Verdana" w:hAnsi="Verdana" w:cs="Times New Roman"/>
          <w:sz w:val="17"/>
          <w:szCs w:val="17"/>
          <w:lang w:val="en-GB"/>
        </w:rPr>
        <w:t>H</w:t>
      </w:r>
      <w:r w:rsidRPr="00127DD3">
        <w:rPr>
          <w:rFonts w:ascii="Verdana" w:hAnsi="Verdana" w:cs="Times New Roman"/>
          <w:sz w:val="17"/>
          <w:szCs w:val="17"/>
          <w:lang w:val="en-GB"/>
        </w:rPr>
        <w:t>owever,</w:t>
      </w:r>
      <w:r w:rsidR="00E93BAA" w:rsidRPr="00127DD3">
        <w:rPr>
          <w:rFonts w:ascii="Verdana" w:hAnsi="Verdana" w:cs="Times New Roman"/>
          <w:sz w:val="17"/>
          <w:szCs w:val="17"/>
          <w:lang w:val="en-GB"/>
        </w:rPr>
        <w:t xml:space="preserve"> </w:t>
      </w:r>
      <w:r w:rsidRPr="00127DD3">
        <w:rPr>
          <w:rFonts w:ascii="Verdana" w:hAnsi="Verdana" w:cs="Times New Roman"/>
          <w:sz w:val="17"/>
          <w:szCs w:val="17"/>
          <w:lang w:val="en-GB"/>
        </w:rPr>
        <w:t xml:space="preserve">thanks to </w:t>
      </w:r>
      <w:proofErr w:type="gramStart"/>
      <w:r w:rsidRPr="00127DD3">
        <w:rPr>
          <w:rFonts w:ascii="Verdana" w:hAnsi="Verdana" w:cs="Times New Roman"/>
          <w:sz w:val="17"/>
          <w:szCs w:val="17"/>
          <w:lang w:val="en-GB"/>
        </w:rPr>
        <w:lastRenderedPageBreak/>
        <w:t>increased</w:t>
      </w:r>
      <w:proofErr w:type="gramEnd"/>
      <w:r w:rsidRPr="00127DD3">
        <w:rPr>
          <w:rFonts w:ascii="Verdana" w:hAnsi="Verdana" w:cs="Times New Roman"/>
          <w:sz w:val="17"/>
          <w:szCs w:val="17"/>
          <w:lang w:val="en-GB"/>
        </w:rPr>
        <w:t xml:space="preserve"> regulatory and market initiatives, the global securitization market experiences sharp changes since 2007/2008 among which:</w:t>
      </w:r>
    </w:p>
    <w:p w:rsidR="00AB4EFE" w:rsidRPr="00127DD3" w:rsidRDefault="00AB4EFE" w:rsidP="00851A0C">
      <w:pPr>
        <w:pStyle w:val="ListParagraph"/>
        <w:numPr>
          <w:ilvl w:val="0"/>
          <w:numId w:val="3"/>
        </w:numPr>
        <w:jc w:val="both"/>
        <w:rPr>
          <w:rFonts w:ascii="Verdana" w:hAnsi="Verdana" w:cs="Times New Roman"/>
          <w:sz w:val="17"/>
          <w:szCs w:val="17"/>
          <w:lang w:val="en-GB"/>
        </w:rPr>
      </w:pPr>
      <w:r w:rsidRPr="00127DD3">
        <w:rPr>
          <w:rFonts w:ascii="Verdana" w:hAnsi="Verdana" w:cs="Times New Roman"/>
          <w:sz w:val="17"/>
          <w:szCs w:val="17"/>
          <w:lang w:val="en-GB"/>
        </w:rPr>
        <w:t>the exit of leveraged investment vehicles from the market that were responsible for most of the volatility,</w:t>
      </w:r>
    </w:p>
    <w:p w:rsidR="008E7D53" w:rsidRPr="00127DD3" w:rsidRDefault="00AB4EFE" w:rsidP="00851A0C">
      <w:pPr>
        <w:pStyle w:val="ListParagraph"/>
        <w:numPr>
          <w:ilvl w:val="0"/>
          <w:numId w:val="3"/>
        </w:numPr>
        <w:jc w:val="both"/>
        <w:rPr>
          <w:rFonts w:ascii="Verdana" w:hAnsi="Verdana" w:cs="Times New Roman"/>
          <w:sz w:val="17"/>
          <w:szCs w:val="17"/>
          <w:lang w:val="en-GB"/>
        </w:rPr>
      </w:pPr>
      <w:r w:rsidRPr="00127DD3">
        <w:rPr>
          <w:rFonts w:ascii="Verdana" w:hAnsi="Verdana" w:cs="Times New Roman"/>
          <w:sz w:val="17"/>
          <w:szCs w:val="17"/>
          <w:lang w:val="en-GB"/>
        </w:rPr>
        <w:t>the setup of obligatory underlying risk retention and collateral quality market-label that ensure interest alignment between originators and investors</w:t>
      </w:r>
      <w:r w:rsidR="008E7D53" w:rsidRPr="00127DD3">
        <w:rPr>
          <w:rFonts w:ascii="Verdana" w:hAnsi="Verdana" w:cs="Times New Roman"/>
          <w:sz w:val="17"/>
          <w:szCs w:val="17"/>
          <w:lang w:val="en-GB"/>
        </w:rPr>
        <w:t>,</w:t>
      </w:r>
    </w:p>
    <w:p w:rsidR="008E7D53" w:rsidRPr="00127DD3" w:rsidRDefault="00AB4EFE" w:rsidP="00851A0C">
      <w:pPr>
        <w:pStyle w:val="ListParagraph"/>
        <w:numPr>
          <w:ilvl w:val="0"/>
          <w:numId w:val="3"/>
        </w:numPr>
        <w:jc w:val="both"/>
        <w:rPr>
          <w:rFonts w:ascii="Verdana" w:hAnsi="Verdana" w:cs="Times New Roman"/>
          <w:sz w:val="17"/>
          <w:szCs w:val="17"/>
          <w:lang w:val="en-GB"/>
        </w:rPr>
      </w:pPr>
      <w:proofErr w:type="gramStart"/>
      <w:r w:rsidRPr="00127DD3">
        <w:rPr>
          <w:rFonts w:ascii="Verdana" w:hAnsi="Verdana" w:cs="Times New Roman"/>
          <w:sz w:val="17"/>
          <w:szCs w:val="17"/>
          <w:lang w:val="en-GB"/>
        </w:rPr>
        <w:t>transparency</w:t>
      </w:r>
      <w:proofErr w:type="gramEnd"/>
      <w:r w:rsidRPr="00127DD3">
        <w:rPr>
          <w:rFonts w:ascii="Verdana" w:hAnsi="Verdana" w:cs="Times New Roman"/>
          <w:sz w:val="17"/>
          <w:szCs w:val="17"/>
          <w:lang w:val="en-GB"/>
        </w:rPr>
        <w:t xml:space="preserve"> initiatives requiring loan level data disclosure.</w:t>
      </w:r>
    </w:p>
    <w:p w:rsidR="00CC0148" w:rsidRPr="00127DD3" w:rsidRDefault="00CC0148"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The proposed calibration does not give credit to these significant changes of the securitisation market since 2007. </w:t>
      </w:r>
    </w:p>
    <w:p w:rsidR="00CC0148" w:rsidRPr="00127DD3" w:rsidRDefault="00CC0148" w:rsidP="00851A0C">
      <w:pPr>
        <w:pStyle w:val="ListParagraph"/>
        <w:ind w:left="0"/>
        <w:jc w:val="both"/>
        <w:rPr>
          <w:rFonts w:ascii="Verdana" w:hAnsi="Verdana" w:cs="Times New Roman"/>
          <w:sz w:val="17"/>
          <w:szCs w:val="17"/>
          <w:lang w:val="en-GB"/>
        </w:rPr>
      </w:pPr>
      <w:r w:rsidRPr="00127DD3">
        <w:rPr>
          <w:rFonts w:ascii="Verdana" w:hAnsi="Verdana" w:cs="Times New Roman"/>
          <w:sz w:val="17"/>
          <w:szCs w:val="17"/>
          <w:lang w:val="en-GB"/>
        </w:rPr>
        <w:t>We recommend to adjust the calibration for the exceptional volatility experienced in 2007 and to recognise that spread performance experienced by the securitization market in the past years are very similar to corporate bonds</w:t>
      </w:r>
      <w:r w:rsidR="00AB4EFE" w:rsidRPr="00127DD3">
        <w:rPr>
          <w:rFonts w:ascii="Verdana" w:hAnsi="Verdana" w:cs="Times New Roman"/>
          <w:sz w:val="17"/>
          <w:szCs w:val="17"/>
          <w:lang w:val="en-GB"/>
        </w:rPr>
        <w:t>.</w:t>
      </w:r>
    </w:p>
    <w:p w:rsidR="008E7D53" w:rsidRPr="00127DD3" w:rsidRDefault="008E7D53" w:rsidP="00851A0C">
      <w:pPr>
        <w:pStyle w:val="ListParagraph"/>
        <w:ind w:left="360"/>
        <w:jc w:val="both"/>
        <w:rPr>
          <w:rFonts w:ascii="Verdana" w:hAnsi="Verdana" w:cs="Times New Roman"/>
          <w:sz w:val="17"/>
          <w:szCs w:val="17"/>
          <w:lang w:val="en-GB"/>
        </w:rPr>
      </w:pPr>
    </w:p>
    <w:p w:rsidR="00CC0148" w:rsidRPr="00127DD3" w:rsidRDefault="00CC0148" w:rsidP="00851A0C">
      <w:pPr>
        <w:pStyle w:val="ListParagraph"/>
        <w:ind w:left="0"/>
        <w:jc w:val="both"/>
        <w:rPr>
          <w:rFonts w:ascii="Verdana" w:hAnsi="Verdana" w:cs="Times New Roman"/>
          <w:sz w:val="17"/>
          <w:szCs w:val="17"/>
          <w:lang w:val="en-GB"/>
        </w:rPr>
      </w:pPr>
      <w:r w:rsidRPr="00127DD3">
        <w:rPr>
          <w:rFonts w:ascii="Verdana" w:hAnsi="Verdana" w:cs="Times New Roman"/>
          <w:sz w:val="17"/>
          <w:szCs w:val="17"/>
          <w:lang w:val="en-GB"/>
        </w:rPr>
        <w:t>Calibration should be similar to corporate bonds</w:t>
      </w:r>
      <w:r w:rsidR="008D0FF9" w:rsidRPr="00127DD3">
        <w:rPr>
          <w:rFonts w:ascii="Verdana" w:hAnsi="Verdana" w:cs="Times New Roman"/>
          <w:sz w:val="17"/>
          <w:szCs w:val="17"/>
          <w:lang w:val="en-GB"/>
        </w:rPr>
        <w:t>:</w:t>
      </w:r>
      <w:r w:rsidRPr="00127DD3">
        <w:rPr>
          <w:rFonts w:ascii="Verdana" w:hAnsi="Verdana" w:cs="Times New Roman"/>
          <w:sz w:val="17"/>
          <w:szCs w:val="17"/>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4076"/>
      </w:tblGrid>
      <w:tr w:rsidR="00851A0C" w:rsidRPr="00445AB3" w:rsidTr="00AB5F9A">
        <w:tc>
          <w:tcPr>
            <w:tcW w:w="4076" w:type="dxa"/>
            <w:shd w:val="clear" w:color="auto" w:fill="C2D69B"/>
          </w:tcPr>
          <w:p w:rsidR="00CC0148" w:rsidRPr="00127DD3" w:rsidRDefault="00CC0148" w:rsidP="00851A0C">
            <w:pPr>
              <w:jc w:val="both"/>
              <w:rPr>
                <w:rFonts w:ascii="Verdana" w:eastAsia="Calibri" w:hAnsi="Verdana" w:cs="Times New Roman"/>
                <w:b/>
                <w:sz w:val="17"/>
                <w:szCs w:val="17"/>
                <w:lang w:val="en-GB"/>
              </w:rPr>
            </w:pPr>
            <w:r w:rsidRPr="00127DD3">
              <w:rPr>
                <w:rFonts w:ascii="Verdana" w:eastAsia="Calibri" w:hAnsi="Verdana" w:cs="Times New Roman"/>
                <w:b/>
                <w:sz w:val="17"/>
                <w:szCs w:val="17"/>
                <w:lang w:val="en-GB"/>
              </w:rPr>
              <w:t>Credit rating</w:t>
            </w:r>
          </w:p>
        </w:tc>
        <w:tc>
          <w:tcPr>
            <w:tcW w:w="4076" w:type="dxa"/>
            <w:shd w:val="clear" w:color="auto" w:fill="C2D69B"/>
          </w:tcPr>
          <w:p w:rsidR="00CC0148" w:rsidRPr="00127DD3" w:rsidRDefault="00CC0148" w:rsidP="00851A0C">
            <w:pPr>
              <w:jc w:val="both"/>
              <w:rPr>
                <w:rFonts w:ascii="Verdana" w:eastAsia="Calibri" w:hAnsi="Verdana" w:cs="Times New Roman"/>
                <w:b/>
                <w:sz w:val="17"/>
                <w:szCs w:val="17"/>
                <w:lang w:val="en-GB"/>
              </w:rPr>
            </w:pPr>
            <w:r w:rsidRPr="00127DD3">
              <w:rPr>
                <w:rFonts w:ascii="Verdana" w:eastAsia="Calibri" w:hAnsi="Verdana" w:cs="Times New Roman"/>
                <w:b/>
                <w:sz w:val="17"/>
                <w:szCs w:val="17"/>
                <w:lang w:val="en-GB"/>
              </w:rPr>
              <w:t xml:space="preserve">Capital charge </w:t>
            </w:r>
            <w:r w:rsidR="0001689B" w:rsidRPr="00127DD3">
              <w:rPr>
                <w:rFonts w:ascii="Verdana" w:eastAsia="Calibri" w:hAnsi="Verdana" w:cs="Times New Roman"/>
                <w:b/>
                <w:sz w:val="17"/>
                <w:szCs w:val="17"/>
                <w:lang w:val="en-GB"/>
              </w:rPr>
              <w:t xml:space="preserve">(per year of duration) </w:t>
            </w:r>
            <w:r w:rsidRPr="00127DD3">
              <w:rPr>
                <w:rFonts w:ascii="Verdana" w:eastAsia="Calibri" w:hAnsi="Verdana" w:cs="Times New Roman"/>
                <w:b/>
                <w:sz w:val="17"/>
                <w:szCs w:val="17"/>
                <w:lang w:val="en-GB"/>
              </w:rPr>
              <w:t>for Type A securitisations</w:t>
            </w:r>
          </w:p>
        </w:tc>
      </w:tr>
      <w:tr w:rsidR="00851A0C" w:rsidRPr="00127DD3" w:rsidTr="00AB5F9A">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AAA</w:t>
            </w:r>
          </w:p>
        </w:tc>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0.9-1.1%</w:t>
            </w:r>
          </w:p>
        </w:tc>
      </w:tr>
      <w:tr w:rsidR="00851A0C" w:rsidRPr="00127DD3" w:rsidTr="00AB5F9A">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AA</w:t>
            </w:r>
          </w:p>
        </w:tc>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1.1-1.4%</w:t>
            </w:r>
          </w:p>
        </w:tc>
      </w:tr>
      <w:tr w:rsidR="00851A0C" w:rsidRPr="00127DD3" w:rsidTr="00AB5F9A">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A</w:t>
            </w:r>
          </w:p>
        </w:tc>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1.4-2.5%</w:t>
            </w:r>
          </w:p>
        </w:tc>
      </w:tr>
      <w:tr w:rsidR="00851A0C" w:rsidRPr="00127DD3" w:rsidTr="00AB5F9A">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BBB</w:t>
            </w:r>
          </w:p>
        </w:tc>
        <w:tc>
          <w:tcPr>
            <w:tcW w:w="4076" w:type="dxa"/>
            <w:shd w:val="clear" w:color="auto" w:fill="auto"/>
          </w:tcPr>
          <w:p w:rsidR="00CC0148" w:rsidRPr="00127DD3" w:rsidRDefault="00CC0148" w:rsidP="00851A0C">
            <w:pPr>
              <w:jc w:val="both"/>
              <w:rPr>
                <w:rFonts w:ascii="Verdana" w:eastAsia="Calibri" w:hAnsi="Verdana" w:cs="Times New Roman"/>
                <w:sz w:val="17"/>
                <w:szCs w:val="17"/>
                <w:lang w:val="en-GB"/>
              </w:rPr>
            </w:pPr>
            <w:r w:rsidRPr="00127DD3">
              <w:rPr>
                <w:rFonts w:ascii="Verdana" w:eastAsia="Calibri" w:hAnsi="Verdana" w:cs="Times New Roman"/>
                <w:sz w:val="17"/>
                <w:szCs w:val="17"/>
                <w:lang w:val="en-GB"/>
              </w:rPr>
              <w:t>2.5-4.5%</w:t>
            </w:r>
          </w:p>
        </w:tc>
      </w:tr>
    </w:tbl>
    <w:p w:rsidR="00CC0148" w:rsidRPr="00127DD3" w:rsidRDefault="00CC0148" w:rsidP="00851A0C">
      <w:pPr>
        <w:pStyle w:val="ListParagraph"/>
        <w:ind w:left="360"/>
        <w:jc w:val="both"/>
        <w:rPr>
          <w:rFonts w:ascii="Verdana" w:hAnsi="Verdana" w:cs="Times New Roman"/>
          <w:sz w:val="17"/>
          <w:szCs w:val="17"/>
          <w:lang w:val="en-GB"/>
        </w:rPr>
      </w:pPr>
    </w:p>
    <w:p w:rsidR="00CA6532" w:rsidRPr="00127DD3" w:rsidRDefault="008E7D53" w:rsidP="00851A0C">
      <w:pPr>
        <w:jc w:val="both"/>
        <w:rPr>
          <w:rFonts w:ascii="Verdana" w:hAnsi="Verdana" w:cs="Times New Roman"/>
          <w:sz w:val="17"/>
          <w:szCs w:val="17"/>
          <w:lang w:val="en-GB"/>
        </w:rPr>
      </w:pPr>
      <w:r w:rsidRPr="00127DD3">
        <w:rPr>
          <w:rFonts w:ascii="Verdana" w:hAnsi="Verdana" w:cs="Times New Roman"/>
          <w:b/>
          <w:bCs/>
          <w:sz w:val="17"/>
          <w:szCs w:val="17"/>
          <w:lang w:val="en-GB"/>
        </w:rPr>
        <w:t xml:space="preserve">2. </w:t>
      </w:r>
      <w:r w:rsidR="00AB4EFE" w:rsidRPr="00127DD3">
        <w:rPr>
          <w:rFonts w:ascii="Verdana" w:hAnsi="Verdana" w:cs="Times New Roman"/>
          <w:b/>
          <w:bCs/>
          <w:sz w:val="17"/>
          <w:szCs w:val="17"/>
          <w:lang w:val="en-GB"/>
        </w:rPr>
        <w:t xml:space="preserve">Junior tranches of category </w:t>
      </w:r>
      <w:r w:rsidR="00903589" w:rsidRPr="00127DD3">
        <w:rPr>
          <w:rFonts w:ascii="Verdana" w:hAnsi="Verdana" w:cs="Times New Roman"/>
          <w:b/>
          <w:bCs/>
          <w:sz w:val="17"/>
          <w:szCs w:val="17"/>
          <w:lang w:val="en-GB"/>
        </w:rPr>
        <w:t>1</w:t>
      </w:r>
      <w:r w:rsidR="00AB4EFE" w:rsidRPr="00127DD3">
        <w:rPr>
          <w:rFonts w:ascii="Verdana" w:hAnsi="Verdana" w:cs="Times New Roman"/>
          <w:b/>
          <w:bCs/>
          <w:sz w:val="17"/>
          <w:szCs w:val="17"/>
          <w:lang w:val="en-GB"/>
        </w:rPr>
        <w:t xml:space="preserve"> securitizations are included in category </w:t>
      </w:r>
      <w:r w:rsidR="00903589" w:rsidRPr="00127DD3">
        <w:rPr>
          <w:rFonts w:ascii="Verdana" w:hAnsi="Verdana" w:cs="Times New Roman"/>
          <w:b/>
          <w:bCs/>
          <w:sz w:val="17"/>
          <w:szCs w:val="17"/>
          <w:lang w:val="en-GB"/>
        </w:rPr>
        <w:t>2</w:t>
      </w:r>
      <w:r w:rsidR="00AB4EFE" w:rsidRPr="00127DD3">
        <w:rPr>
          <w:rFonts w:ascii="Verdana" w:hAnsi="Verdana" w:cs="Times New Roman"/>
          <w:b/>
          <w:bCs/>
          <w:sz w:val="17"/>
          <w:szCs w:val="17"/>
          <w:lang w:val="en-GB"/>
        </w:rPr>
        <w:t xml:space="preserve"> only because of their junior status</w:t>
      </w:r>
      <w:r w:rsidR="00E93BAA" w:rsidRPr="00127DD3">
        <w:rPr>
          <w:rFonts w:ascii="Verdana" w:hAnsi="Verdana" w:cs="Times New Roman"/>
          <w:b/>
          <w:bCs/>
          <w:sz w:val="17"/>
          <w:szCs w:val="17"/>
          <w:lang w:val="en-GB"/>
        </w:rPr>
        <w:t>.</w:t>
      </w:r>
      <w:r w:rsidR="00AB4EFE" w:rsidRPr="00127DD3">
        <w:rPr>
          <w:rFonts w:ascii="Verdana" w:hAnsi="Verdana" w:cs="Times New Roman"/>
          <w:sz w:val="17"/>
          <w:szCs w:val="17"/>
          <w:lang w:val="en-GB"/>
        </w:rPr>
        <w:t xml:space="preserve"> </w:t>
      </w:r>
      <w:r w:rsidR="00CA6532" w:rsidRPr="00127DD3">
        <w:rPr>
          <w:rFonts w:ascii="Verdana" w:hAnsi="Verdana" w:cs="Times New Roman"/>
          <w:b/>
          <w:bCs/>
          <w:sz w:val="17"/>
          <w:szCs w:val="17"/>
          <w:lang w:val="en-GB"/>
        </w:rPr>
        <w:t xml:space="preserve">We recommend to exclude High Quality Non Senior securitization from Type B since High Quality Non Senior securitization have been showing much better performance than non-High Quality Securitization both from a credit and spread perspective since the financial crisis. </w:t>
      </w:r>
      <w:r w:rsidR="00CA6532" w:rsidRPr="00127DD3">
        <w:rPr>
          <w:rFonts w:ascii="Verdana" w:hAnsi="Verdana" w:cs="Times New Roman"/>
          <w:sz w:val="17"/>
          <w:szCs w:val="17"/>
          <w:lang w:val="en-GB"/>
        </w:rPr>
        <w:t>Switching from type B to type A the high quality ABS mezzanine would make sense as there is less and less evidence of significant deviation of spread volatility performance between high quality ABS mezzanine tranches and high quality ABS senior tranches.</w:t>
      </w:r>
    </w:p>
    <w:p w:rsidR="00AB4EFE" w:rsidRPr="00127DD3" w:rsidRDefault="00AB4EFE" w:rsidP="00851A0C">
      <w:pPr>
        <w:jc w:val="both"/>
        <w:rPr>
          <w:rFonts w:ascii="Verdana" w:eastAsia="Calibri" w:hAnsi="Verdana" w:cs="Times New Roman"/>
          <w:sz w:val="17"/>
          <w:szCs w:val="17"/>
          <w:lang w:val="en-GB" w:eastAsia="fr-FR"/>
        </w:rPr>
      </w:pPr>
      <w:r w:rsidRPr="00127DD3">
        <w:rPr>
          <w:rFonts w:ascii="Verdana" w:hAnsi="Verdana" w:cs="Times New Roman"/>
          <w:b/>
          <w:bCs/>
          <w:sz w:val="17"/>
          <w:szCs w:val="17"/>
          <w:lang w:val="en-GB"/>
        </w:rPr>
        <w:t>3</w:t>
      </w:r>
      <w:r w:rsidR="00E93BAA" w:rsidRPr="00127DD3">
        <w:rPr>
          <w:rFonts w:ascii="Verdana" w:hAnsi="Verdana" w:cs="Times New Roman"/>
          <w:b/>
          <w:bCs/>
          <w:sz w:val="17"/>
          <w:szCs w:val="17"/>
          <w:lang w:val="en-GB"/>
        </w:rPr>
        <w:t xml:space="preserve">. </w:t>
      </w:r>
      <w:r w:rsidRPr="00127DD3">
        <w:rPr>
          <w:rFonts w:ascii="Verdana" w:hAnsi="Verdana" w:cs="Times New Roman"/>
          <w:b/>
          <w:bCs/>
          <w:sz w:val="17"/>
          <w:szCs w:val="17"/>
          <w:lang w:val="en-GB"/>
        </w:rPr>
        <w:t>We recommend to include loans granted to non SME corporate</w:t>
      </w:r>
      <w:r w:rsidR="00E93BAA" w:rsidRPr="00127DD3">
        <w:rPr>
          <w:rFonts w:ascii="Verdana" w:hAnsi="Verdana" w:cs="Times New Roman"/>
          <w:b/>
          <w:bCs/>
          <w:sz w:val="17"/>
          <w:szCs w:val="17"/>
          <w:lang w:val="en-GB"/>
        </w:rPr>
        <w:t xml:space="preserve"> </w:t>
      </w:r>
      <w:r w:rsidRPr="00127DD3">
        <w:rPr>
          <w:rFonts w:ascii="Verdana" w:hAnsi="Verdana" w:cs="Times New Roman"/>
          <w:b/>
          <w:bCs/>
          <w:sz w:val="17"/>
          <w:szCs w:val="17"/>
          <w:lang w:val="en-GB"/>
        </w:rPr>
        <w:t>(</w:t>
      </w:r>
      <w:r w:rsidR="00D43F20" w:rsidRPr="00127DD3">
        <w:rPr>
          <w:rFonts w:ascii="Verdana" w:hAnsi="Verdana" w:cs="Times New Roman"/>
          <w:b/>
          <w:bCs/>
          <w:sz w:val="17"/>
          <w:szCs w:val="17"/>
          <w:lang w:val="en-GB"/>
        </w:rPr>
        <w:t>i</w:t>
      </w:r>
      <w:r w:rsidR="00E93BAA" w:rsidRPr="00127DD3">
        <w:rPr>
          <w:rFonts w:ascii="Verdana" w:hAnsi="Verdana" w:cs="Times New Roman"/>
          <w:b/>
          <w:bCs/>
          <w:sz w:val="17"/>
          <w:szCs w:val="17"/>
          <w:lang w:val="en-GB"/>
        </w:rPr>
        <w:t>.</w:t>
      </w:r>
      <w:r w:rsidR="00D43F20" w:rsidRPr="00127DD3">
        <w:rPr>
          <w:rFonts w:ascii="Verdana" w:hAnsi="Verdana" w:cs="Times New Roman"/>
          <w:b/>
          <w:bCs/>
          <w:sz w:val="17"/>
          <w:szCs w:val="17"/>
          <w:lang w:val="en-GB"/>
        </w:rPr>
        <w:t>e</w:t>
      </w:r>
      <w:r w:rsidR="00E93BAA" w:rsidRPr="00127DD3">
        <w:rPr>
          <w:rFonts w:ascii="Verdana" w:hAnsi="Verdana" w:cs="Times New Roman"/>
          <w:b/>
          <w:bCs/>
          <w:sz w:val="17"/>
          <w:szCs w:val="17"/>
          <w:lang w:val="en-GB"/>
        </w:rPr>
        <w:t>.</w:t>
      </w:r>
      <w:r w:rsidR="00D43F20" w:rsidRPr="00127DD3">
        <w:rPr>
          <w:rFonts w:ascii="Verdana" w:hAnsi="Verdana" w:cs="Times New Roman"/>
          <w:b/>
          <w:bCs/>
          <w:sz w:val="17"/>
          <w:szCs w:val="17"/>
          <w:lang w:val="en-GB"/>
        </w:rPr>
        <w:t xml:space="preserve"> loans granted to large corporate </w:t>
      </w:r>
      <w:r w:rsidRPr="00127DD3">
        <w:rPr>
          <w:rFonts w:ascii="Verdana" w:hAnsi="Verdana" w:cs="Times New Roman"/>
          <w:b/>
          <w:bCs/>
          <w:sz w:val="17"/>
          <w:szCs w:val="17"/>
          <w:lang w:val="en-GB"/>
        </w:rPr>
        <w:t xml:space="preserve">CLOs) in category A </w:t>
      </w:r>
      <w:r w:rsidR="00D43F20" w:rsidRPr="00127DD3">
        <w:rPr>
          <w:rFonts w:ascii="Verdana" w:hAnsi="Verdana" w:cs="Times New Roman"/>
          <w:b/>
          <w:bCs/>
          <w:sz w:val="17"/>
          <w:szCs w:val="17"/>
          <w:lang w:val="en-GB"/>
        </w:rPr>
        <w:t>securitizations</w:t>
      </w:r>
      <w:r w:rsidRPr="00127DD3">
        <w:rPr>
          <w:rFonts w:ascii="Verdana" w:hAnsi="Verdana" w:cs="Times New Roman"/>
          <w:b/>
          <w:bCs/>
          <w:sz w:val="17"/>
          <w:szCs w:val="17"/>
          <w:lang w:val="en-GB"/>
        </w:rPr>
        <w:t xml:space="preserve">. </w:t>
      </w:r>
      <w:r w:rsidRPr="00127DD3">
        <w:rPr>
          <w:rFonts w:ascii="Verdana" w:hAnsi="Verdana" w:cs="Times New Roman"/>
          <w:sz w:val="17"/>
          <w:szCs w:val="17"/>
          <w:lang w:val="en-GB"/>
        </w:rPr>
        <w:t xml:space="preserve">Loans granted to large corporate and included in CLOs have similar </w:t>
      </w:r>
      <w:r w:rsidR="00D43F20" w:rsidRPr="00127DD3">
        <w:rPr>
          <w:rFonts w:ascii="Verdana" w:hAnsi="Verdana" w:cs="Times New Roman"/>
          <w:sz w:val="17"/>
          <w:szCs w:val="17"/>
          <w:lang w:val="en-GB"/>
        </w:rPr>
        <w:t xml:space="preserve">or better </w:t>
      </w:r>
      <w:r w:rsidRPr="00127DD3">
        <w:rPr>
          <w:rFonts w:ascii="Verdana" w:hAnsi="Verdana" w:cs="Times New Roman"/>
          <w:sz w:val="17"/>
          <w:szCs w:val="17"/>
          <w:lang w:val="en-GB"/>
        </w:rPr>
        <w:t xml:space="preserve">risk profile than SME loans. CLOs </w:t>
      </w:r>
      <w:r w:rsidR="00CC0148" w:rsidRPr="00127DD3">
        <w:rPr>
          <w:rFonts w:ascii="Verdana" w:hAnsi="Verdana" w:cs="Times New Roman"/>
          <w:sz w:val="17"/>
          <w:szCs w:val="17"/>
          <w:lang w:val="en-GB"/>
        </w:rPr>
        <w:t xml:space="preserve">have demonstrated </w:t>
      </w:r>
      <w:r w:rsidR="00D43F20" w:rsidRPr="00127DD3">
        <w:rPr>
          <w:rFonts w:ascii="Verdana" w:hAnsi="Verdana" w:cs="Times New Roman"/>
          <w:sz w:val="17"/>
          <w:szCs w:val="17"/>
          <w:lang w:val="en-GB"/>
        </w:rPr>
        <w:t>higher performances vs CDOS. Mor</w:t>
      </w:r>
      <w:r w:rsidR="00E93BAA" w:rsidRPr="00127DD3">
        <w:rPr>
          <w:rFonts w:ascii="Verdana" w:hAnsi="Verdana" w:cs="Times New Roman"/>
          <w:sz w:val="17"/>
          <w:szCs w:val="17"/>
          <w:lang w:val="en-GB"/>
        </w:rPr>
        <w:t>e</w:t>
      </w:r>
      <w:r w:rsidR="00D43F20" w:rsidRPr="00127DD3">
        <w:rPr>
          <w:rFonts w:ascii="Verdana" w:hAnsi="Verdana" w:cs="Times New Roman"/>
          <w:sz w:val="17"/>
          <w:szCs w:val="17"/>
          <w:lang w:val="en-GB"/>
        </w:rPr>
        <w:t xml:space="preserve">over </w:t>
      </w:r>
      <w:r w:rsidR="00CC0148" w:rsidRPr="00127DD3">
        <w:rPr>
          <w:rFonts w:ascii="Verdana" w:hAnsi="Verdana" w:cs="Times New Roman"/>
          <w:sz w:val="17"/>
          <w:szCs w:val="17"/>
          <w:lang w:val="en-GB"/>
        </w:rPr>
        <w:t xml:space="preserve">CLOS downgrades </w:t>
      </w:r>
      <w:r w:rsidR="00D43F20" w:rsidRPr="00127DD3">
        <w:rPr>
          <w:rFonts w:ascii="Verdana" w:hAnsi="Verdana" w:cs="Times New Roman"/>
          <w:sz w:val="17"/>
          <w:szCs w:val="17"/>
          <w:lang w:val="en-GB"/>
        </w:rPr>
        <w:t xml:space="preserve">which occurred </w:t>
      </w:r>
      <w:r w:rsidR="00CC0148" w:rsidRPr="00127DD3">
        <w:rPr>
          <w:rFonts w:ascii="Verdana" w:hAnsi="Verdana" w:cs="Times New Roman"/>
          <w:sz w:val="17"/>
          <w:szCs w:val="17"/>
          <w:lang w:val="en-GB"/>
        </w:rPr>
        <w:t xml:space="preserve">during the crisis were </w:t>
      </w:r>
      <w:r w:rsidRPr="00127DD3">
        <w:rPr>
          <w:rFonts w:ascii="Verdana" w:hAnsi="Verdana" w:cs="Times New Roman"/>
          <w:sz w:val="17"/>
          <w:szCs w:val="17"/>
          <w:lang w:val="en-GB"/>
        </w:rPr>
        <w:t>mainly due to rating agency methodology changes and not linked to credit performances of the underlying pool of loans. Indeed, for a large majority of CLO, initial ratings have been reinstated since then.</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 Therefore we do not see evidence to differentiate CLOs of corporates from CLOS of SMEs and recommend including CLOs of corporate loans into type A.</w:t>
      </w:r>
    </w:p>
    <w:p w:rsidR="00E10EA9" w:rsidRPr="00127DD3" w:rsidRDefault="00CC0148" w:rsidP="00851A0C">
      <w:pPr>
        <w:jc w:val="both"/>
        <w:rPr>
          <w:rFonts w:ascii="Verdana" w:hAnsi="Verdana" w:cs="Times New Roman"/>
          <w:sz w:val="17"/>
          <w:szCs w:val="17"/>
          <w:lang w:val="en-GB"/>
        </w:rPr>
      </w:pPr>
      <w:r w:rsidRPr="00127DD3">
        <w:rPr>
          <w:rFonts w:ascii="Verdana" w:hAnsi="Verdana" w:cs="Times New Roman"/>
          <w:b/>
          <w:bCs/>
          <w:sz w:val="17"/>
          <w:szCs w:val="17"/>
          <w:lang w:val="en-GB"/>
        </w:rPr>
        <w:t>4</w:t>
      </w:r>
      <w:r w:rsidR="0001689B" w:rsidRPr="00127DD3">
        <w:rPr>
          <w:rFonts w:ascii="Verdana" w:hAnsi="Verdana" w:cs="Times New Roman"/>
          <w:b/>
          <w:bCs/>
          <w:sz w:val="17"/>
          <w:szCs w:val="17"/>
          <w:lang w:val="en-GB"/>
        </w:rPr>
        <w:t xml:space="preserve">. </w:t>
      </w:r>
      <w:r w:rsidR="00E10EA9" w:rsidRPr="00127DD3">
        <w:rPr>
          <w:rFonts w:ascii="Verdana" w:hAnsi="Verdana" w:cs="Times New Roman"/>
          <w:b/>
          <w:bCs/>
          <w:sz w:val="17"/>
          <w:szCs w:val="17"/>
          <w:lang w:val="en-GB"/>
        </w:rPr>
        <w:t>The current proposal includes a large number of criteria to define high quality securitizations. We believe that this list of criteria should be simplified.</w:t>
      </w:r>
      <w:r w:rsidR="00E10EA9" w:rsidRPr="00127DD3">
        <w:rPr>
          <w:rFonts w:ascii="Verdana" w:hAnsi="Verdana" w:cs="Times New Roman"/>
          <w:sz w:val="17"/>
          <w:szCs w:val="17"/>
          <w:lang w:val="en-GB"/>
        </w:rPr>
        <w:t xml:space="preserve"> A high quality securitization should be mainly defined based on the quality of the underlying pool. </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This is the purpose of the criteria: asset class eligibility and related collateral characteristics.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Criteria related to claw back, servicing or information disclosure</w:t>
      </w:r>
      <w:r w:rsidR="004F1CB0" w:rsidRPr="00127DD3">
        <w:rPr>
          <w:rFonts w:ascii="Verdana" w:hAnsi="Verdana" w:cs="Times New Roman"/>
          <w:sz w:val="17"/>
          <w:szCs w:val="17"/>
          <w:lang w:val="en-GB"/>
        </w:rPr>
        <w:t>,</w:t>
      </w:r>
      <w:r w:rsidRPr="00127DD3">
        <w:rPr>
          <w:rFonts w:ascii="Verdana" w:hAnsi="Verdana" w:cs="Times New Roman"/>
          <w:sz w:val="17"/>
          <w:szCs w:val="17"/>
          <w:lang w:val="en-GB"/>
        </w:rPr>
        <w:t xml:space="preserve"> </w:t>
      </w:r>
      <w:proofErr w:type="spellStart"/>
      <w:r w:rsidRPr="00127DD3">
        <w:rPr>
          <w:rFonts w:ascii="Verdana" w:hAnsi="Verdana" w:cs="Times New Roman"/>
          <w:sz w:val="17"/>
          <w:szCs w:val="17"/>
          <w:lang w:val="en-GB"/>
        </w:rPr>
        <w:t>etc</w:t>
      </w:r>
      <w:proofErr w:type="spellEnd"/>
      <w:r w:rsidRPr="00127DD3">
        <w:rPr>
          <w:rFonts w:ascii="Verdana" w:hAnsi="Verdana" w:cs="Times New Roman"/>
          <w:sz w:val="17"/>
          <w:szCs w:val="17"/>
          <w:lang w:val="en-GB"/>
        </w:rPr>
        <w:t xml:space="preserve"> are important but not fully necessary in a regulation. We believe that regulators should </w:t>
      </w:r>
      <w:proofErr w:type="spellStart"/>
      <w:r w:rsidRPr="00127DD3">
        <w:rPr>
          <w:rFonts w:ascii="Verdana" w:hAnsi="Verdana" w:cs="Times New Roman"/>
          <w:sz w:val="17"/>
          <w:szCs w:val="17"/>
          <w:lang w:val="en-GB"/>
        </w:rPr>
        <w:t>favor</w:t>
      </w:r>
      <w:proofErr w:type="spellEnd"/>
      <w:r w:rsidRPr="00127DD3">
        <w:rPr>
          <w:rFonts w:ascii="Verdana" w:hAnsi="Verdana" w:cs="Times New Roman"/>
          <w:sz w:val="17"/>
          <w:szCs w:val="17"/>
          <w:lang w:val="en-GB"/>
        </w:rPr>
        <w:t xml:space="preserve"> flexible mechanisms to define and control the criteria, and set up a Primed Collateralized Securities (PCS) type label. </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Criteria should not be enshrined in the regulation to avoid freezing the evolution of the market.</w:t>
      </w:r>
    </w:p>
    <w:p w:rsidR="00CA6532" w:rsidRPr="00127DD3" w:rsidRDefault="00CA6532" w:rsidP="00851A0C">
      <w:pPr>
        <w:jc w:val="both"/>
        <w:rPr>
          <w:rFonts w:ascii="Verdana" w:hAnsi="Verdana" w:cs="Times New Roman"/>
          <w:bCs/>
          <w:sz w:val="17"/>
          <w:szCs w:val="17"/>
          <w:u w:val="single"/>
          <w:lang w:val="en-GB"/>
        </w:rPr>
      </w:pPr>
      <w:r w:rsidRPr="00127DD3">
        <w:rPr>
          <w:rFonts w:ascii="Verdana" w:hAnsi="Verdana" w:cs="Times New Roman"/>
          <w:bCs/>
          <w:sz w:val="17"/>
          <w:szCs w:val="17"/>
          <w:u w:val="single"/>
          <w:lang w:val="en-GB"/>
        </w:rPr>
        <w:lastRenderedPageBreak/>
        <w:t>Amendment</w:t>
      </w:r>
      <w:r w:rsidR="00E10EA9" w:rsidRPr="00127DD3">
        <w:rPr>
          <w:rFonts w:ascii="Verdana" w:hAnsi="Verdana" w:cs="Times New Roman"/>
          <w:bCs/>
          <w:sz w:val="17"/>
          <w:szCs w:val="17"/>
          <w:u w:val="single"/>
          <w:lang w:val="en-GB"/>
        </w:rPr>
        <w:t>s</w:t>
      </w:r>
      <w:r w:rsidRPr="00127DD3">
        <w:rPr>
          <w:rFonts w:ascii="Verdana" w:hAnsi="Verdana" w:cs="Times New Roman"/>
          <w:bCs/>
          <w:sz w:val="17"/>
          <w:szCs w:val="17"/>
          <w:u w:val="single"/>
          <w:lang w:val="en-GB"/>
        </w:rPr>
        <w:t xml:space="preserve"> proposal:</w:t>
      </w:r>
    </w:p>
    <w:p w:rsidR="00430380" w:rsidRPr="00127DD3" w:rsidRDefault="008E7D53" w:rsidP="00851A0C">
      <w:pPr>
        <w:jc w:val="both"/>
        <w:rPr>
          <w:rFonts w:ascii="Verdana" w:hAnsi="Verdana" w:cs="Times New Roman"/>
          <w:sz w:val="17"/>
          <w:szCs w:val="17"/>
          <w:lang w:val="en-GB"/>
        </w:rPr>
      </w:pPr>
      <w:r w:rsidRPr="00127DD3">
        <w:rPr>
          <w:rFonts w:ascii="Verdana" w:hAnsi="Verdana" w:cs="Times New Roman"/>
          <w:b/>
          <w:bCs/>
          <w:sz w:val="17"/>
          <w:szCs w:val="17"/>
          <w:lang w:val="en-GB"/>
        </w:rPr>
        <w:t xml:space="preserve">Article 159 </w:t>
      </w:r>
      <w:proofErr w:type="gramStart"/>
      <w:r w:rsidRPr="00127DD3">
        <w:rPr>
          <w:rFonts w:ascii="Verdana" w:hAnsi="Verdana" w:cs="Times New Roman"/>
          <w:b/>
          <w:bCs/>
          <w:sz w:val="17"/>
          <w:szCs w:val="17"/>
          <w:lang w:val="en-GB"/>
        </w:rPr>
        <w:t>SR3</w:t>
      </w:r>
      <w:r w:rsidR="00430380" w:rsidRPr="00127DD3">
        <w:rPr>
          <w:rFonts w:ascii="Verdana" w:hAnsi="Verdana" w:cs="Times New Roman"/>
          <w:sz w:val="17"/>
          <w:szCs w:val="17"/>
          <w:lang w:val="en-GB"/>
        </w:rPr>
        <w:t>[</w:t>
      </w:r>
      <w:proofErr w:type="gramEnd"/>
      <w:r w:rsidR="00430380" w:rsidRPr="00127DD3">
        <w:rPr>
          <w:rFonts w:ascii="Verdana" w:hAnsi="Verdana" w:cs="Times New Roman"/>
          <w:sz w:val="17"/>
          <w:szCs w:val="17"/>
          <w:lang w:val="en-GB"/>
        </w:rPr>
        <w:t>…]</w:t>
      </w:r>
    </w:p>
    <w:p w:rsidR="00430380" w:rsidRPr="00127DD3" w:rsidRDefault="00430380" w:rsidP="00851A0C">
      <w:pPr>
        <w:jc w:val="both"/>
        <w:rPr>
          <w:rFonts w:ascii="Verdana" w:hAnsi="Verdana" w:cs="Times New Roman"/>
          <w:sz w:val="17"/>
          <w:szCs w:val="17"/>
          <w:lang w:val="en-GB"/>
        </w:rPr>
      </w:pPr>
      <w:r w:rsidRPr="00127DD3">
        <w:rPr>
          <w:rFonts w:ascii="Verdana" w:hAnsi="Verdana" w:cs="Times New Roman"/>
          <w:sz w:val="17"/>
          <w:szCs w:val="17"/>
          <w:lang w:val="en-GB"/>
        </w:rPr>
        <w:t>2. Type 1 securitisations shall include exposures to securitisations that meet the following criteria:</w:t>
      </w:r>
    </w:p>
    <w:p w:rsidR="00430380" w:rsidRPr="00127DD3" w:rsidRDefault="00430380" w:rsidP="00851A0C">
      <w:pPr>
        <w:jc w:val="both"/>
        <w:rPr>
          <w:rFonts w:ascii="Verdana" w:hAnsi="Verdana" w:cs="Times New Roman"/>
          <w:sz w:val="17"/>
          <w:szCs w:val="17"/>
          <w:lang w:val="en-GB"/>
        </w:rPr>
      </w:pPr>
      <w:r w:rsidRPr="00127DD3">
        <w:rPr>
          <w:rFonts w:ascii="Verdana" w:hAnsi="Verdana" w:cs="Times New Roman"/>
          <w:sz w:val="17"/>
          <w:szCs w:val="17"/>
          <w:lang w:val="en-GB"/>
        </w:rPr>
        <w:t>(a)</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the</w:t>
      </w:r>
      <w:proofErr w:type="gramEnd"/>
      <w:r w:rsidRPr="00127DD3">
        <w:rPr>
          <w:rFonts w:ascii="Verdana" w:hAnsi="Verdana" w:cs="Times New Roman"/>
          <w:sz w:val="17"/>
          <w:szCs w:val="17"/>
          <w:lang w:val="en-GB"/>
        </w:rPr>
        <w:t xml:space="preserve"> exposure has been assigned to credit quality step 3 or better;</w:t>
      </w:r>
    </w:p>
    <w:p w:rsidR="00430380" w:rsidRPr="00127DD3" w:rsidRDefault="00430380" w:rsidP="00851A0C">
      <w:pPr>
        <w:jc w:val="both"/>
        <w:rPr>
          <w:rFonts w:ascii="Verdana" w:hAnsi="Verdana" w:cs="Times New Roman"/>
          <w:sz w:val="17"/>
          <w:szCs w:val="17"/>
          <w:lang w:val="en-GB"/>
        </w:rPr>
      </w:pPr>
      <w:r w:rsidRPr="00127DD3">
        <w:rPr>
          <w:rFonts w:ascii="Verdana" w:hAnsi="Verdana" w:cs="Times New Roman"/>
          <w:sz w:val="17"/>
          <w:szCs w:val="17"/>
          <w:lang w:val="en-GB"/>
        </w:rPr>
        <w:t>(b)</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the</w:t>
      </w:r>
      <w:proofErr w:type="gramEnd"/>
      <w:r w:rsidRPr="00127DD3">
        <w:rPr>
          <w:rFonts w:ascii="Verdana" w:hAnsi="Verdana" w:cs="Times New Roman"/>
          <w:sz w:val="17"/>
          <w:szCs w:val="17"/>
          <w:lang w:val="en-GB"/>
        </w:rPr>
        <w:t xml:space="preserve"> securitisation is listed in a regulated market of a country which is a member of the EEA or the OECD;</w:t>
      </w:r>
    </w:p>
    <w:p w:rsidR="00430380" w:rsidRPr="00127DD3" w:rsidRDefault="00CA6532" w:rsidP="00851A0C">
      <w:pPr>
        <w:jc w:val="both"/>
        <w:rPr>
          <w:rFonts w:ascii="Verdana" w:hAnsi="Verdana" w:cs="Times New Roman"/>
          <w:sz w:val="17"/>
          <w:szCs w:val="17"/>
          <w:lang w:val="en-GB"/>
        </w:rPr>
      </w:pPr>
      <w:r w:rsidRPr="00127DD3" w:rsidDel="00CA6532">
        <w:rPr>
          <w:rFonts w:ascii="Verdana" w:hAnsi="Verdana" w:cs="Times New Roman"/>
          <w:sz w:val="17"/>
          <w:szCs w:val="17"/>
          <w:lang w:val="en-GB"/>
        </w:rPr>
        <w:t xml:space="preserve"> </w:t>
      </w:r>
      <w:r w:rsidR="00430380" w:rsidRPr="00127DD3">
        <w:rPr>
          <w:rFonts w:ascii="Verdana" w:hAnsi="Verdana" w:cs="Times New Roman"/>
          <w:sz w:val="17"/>
          <w:szCs w:val="17"/>
          <w:lang w:val="en-GB"/>
        </w:rPr>
        <w:t>(d)</w:t>
      </w:r>
      <w:r w:rsidR="00430380" w:rsidRPr="00127DD3">
        <w:rPr>
          <w:rFonts w:ascii="Verdana" w:hAnsi="Verdana" w:cs="Times New Roman"/>
          <w:sz w:val="17"/>
          <w:szCs w:val="17"/>
          <w:lang w:val="en-GB"/>
        </w:rPr>
        <w:tab/>
      </w:r>
      <w:proofErr w:type="gramStart"/>
      <w:r w:rsidR="00430380" w:rsidRPr="00127DD3">
        <w:rPr>
          <w:rFonts w:ascii="Verdana" w:hAnsi="Verdana" w:cs="Times New Roman"/>
          <w:sz w:val="17"/>
          <w:szCs w:val="17"/>
          <w:lang w:val="en-GB"/>
        </w:rPr>
        <w:t>the</w:t>
      </w:r>
      <w:proofErr w:type="gramEnd"/>
      <w:r w:rsidR="00430380" w:rsidRPr="00127DD3">
        <w:rPr>
          <w:rFonts w:ascii="Verdana" w:hAnsi="Verdana" w:cs="Times New Roman"/>
          <w:sz w:val="17"/>
          <w:szCs w:val="17"/>
          <w:lang w:val="en-GB"/>
        </w:rPr>
        <w:t xml:space="preserve"> underlying assets have been acquired by the SSPE in a manner that is enforceable against any third party and are beyond the reach of the seller (originator or sponsor) and its creditors including in the event of the seller's insolvency; </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(g)</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all</w:t>
      </w:r>
      <w:proofErr w:type="gramEnd"/>
      <w:r w:rsidRPr="00127DD3">
        <w:rPr>
          <w:rFonts w:ascii="Verdana" w:hAnsi="Verdana" w:cs="Times New Roman"/>
          <w:sz w:val="17"/>
          <w:szCs w:val="17"/>
          <w:lang w:val="en-GB"/>
        </w:rPr>
        <w:t xml:space="preserve"> the assets underlying the securitisation belong to only one of the following categories: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w:t>
      </w:r>
      <w:proofErr w:type="spellStart"/>
      <w:r w:rsidRPr="00127DD3">
        <w:rPr>
          <w:rFonts w:ascii="Verdana" w:hAnsi="Verdana" w:cs="Times New Roman"/>
          <w:sz w:val="17"/>
          <w:szCs w:val="17"/>
          <w:lang w:val="en-GB"/>
        </w:rPr>
        <w:t>i</w:t>
      </w:r>
      <w:proofErr w:type="spellEnd"/>
      <w:r w:rsidRPr="00127DD3">
        <w:rPr>
          <w:rFonts w:ascii="Verdana" w:hAnsi="Verdana" w:cs="Times New Roman"/>
          <w:sz w:val="17"/>
          <w:szCs w:val="17"/>
          <w:lang w:val="en-GB"/>
        </w:rPr>
        <w:t>)</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residential</w:t>
      </w:r>
      <w:proofErr w:type="gramEnd"/>
      <w:r w:rsidRPr="00127DD3">
        <w:rPr>
          <w:rFonts w:ascii="Verdana" w:hAnsi="Verdana" w:cs="Times New Roman"/>
          <w:sz w:val="17"/>
          <w:szCs w:val="17"/>
          <w:lang w:val="en-GB"/>
        </w:rPr>
        <w:t xml:space="preserve"> mortgages;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(ii)</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loans</w:t>
      </w:r>
      <w:proofErr w:type="gramEnd"/>
      <w:r w:rsidRPr="00127DD3">
        <w:rPr>
          <w:rFonts w:ascii="Verdana" w:hAnsi="Verdana" w:cs="Times New Roman"/>
          <w:sz w:val="17"/>
          <w:szCs w:val="17"/>
          <w:lang w:val="en-GB"/>
        </w:rPr>
        <w:t xml:space="preserve"> to corporates including small and medium-sized enterprises;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 xml:space="preserve">(iii) </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auto</w:t>
      </w:r>
      <w:proofErr w:type="gramEnd"/>
      <w:r w:rsidRPr="00127DD3">
        <w:rPr>
          <w:rFonts w:ascii="Verdana" w:hAnsi="Verdana" w:cs="Times New Roman"/>
          <w:sz w:val="17"/>
          <w:szCs w:val="17"/>
          <w:lang w:val="en-GB"/>
        </w:rPr>
        <w:t xml:space="preserve"> loans;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 xml:space="preserve">(iv) </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leased</w:t>
      </w:r>
      <w:proofErr w:type="gramEnd"/>
      <w:r w:rsidRPr="00127DD3">
        <w:rPr>
          <w:rFonts w:ascii="Verdana" w:hAnsi="Verdana" w:cs="Times New Roman"/>
          <w:sz w:val="17"/>
          <w:szCs w:val="17"/>
          <w:lang w:val="en-GB"/>
        </w:rPr>
        <w:t xml:space="preserve"> property;</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(v)</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consumer</w:t>
      </w:r>
      <w:proofErr w:type="gramEnd"/>
      <w:r w:rsidRPr="00127DD3">
        <w:rPr>
          <w:rFonts w:ascii="Verdana" w:hAnsi="Verdana" w:cs="Times New Roman"/>
          <w:sz w:val="17"/>
          <w:szCs w:val="17"/>
          <w:lang w:val="en-GB"/>
        </w:rPr>
        <w:t xml:space="preserve"> loans;</w:t>
      </w:r>
    </w:p>
    <w:p w:rsidR="00E10EA9" w:rsidRPr="00127DD3" w:rsidRDefault="00E10EA9" w:rsidP="00851A0C">
      <w:pPr>
        <w:jc w:val="both"/>
        <w:rPr>
          <w:rFonts w:ascii="Verdana" w:hAnsi="Verdana" w:cs="Times New Roman"/>
          <w:sz w:val="17"/>
          <w:szCs w:val="17"/>
          <w:lang w:val="en-GB"/>
        </w:rPr>
      </w:pPr>
      <w:r w:rsidRPr="00127DD3">
        <w:rPr>
          <w:rFonts w:ascii="Verdana" w:hAnsi="Verdana" w:cs="Times New Roman"/>
          <w:sz w:val="17"/>
          <w:szCs w:val="17"/>
          <w:lang w:val="en-GB"/>
        </w:rPr>
        <w:tab/>
        <w:t>(vi)</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credit</w:t>
      </w:r>
      <w:proofErr w:type="gramEnd"/>
      <w:r w:rsidRPr="00127DD3">
        <w:rPr>
          <w:rFonts w:ascii="Verdana" w:hAnsi="Verdana" w:cs="Times New Roman"/>
          <w:sz w:val="17"/>
          <w:szCs w:val="17"/>
          <w:lang w:val="en-GB"/>
        </w:rPr>
        <w:t xml:space="preserve"> card receivables.</w:t>
      </w:r>
    </w:p>
    <w:p w:rsidR="00E10EA9" w:rsidRPr="00127DD3" w:rsidRDefault="00E10EA9" w:rsidP="00851A0C">
      <w:pPr>
        <w:ind w:left="708"/>
        <w:jc w:val="both"/>
        <w:rPr>
          <w:rFonts w:ascii="Verdana" w:hAnsi="Verdana" w:cs="Times New Roman"/>
          <w:sz w:val="17"/>
          <w:szCs w:val="17"/>
          <w:lang w:val="en-GB"/>
        </w:rPr>
      </w:pPr>
      <w:r w:rsidRPr="00127DD3">
        <w:rPr>
          <w:rFonts w:ascii="Verdana" w:hAnsi="Verdana" w:cs="Times New Roman"/>
          <w:sz w:val="17"/>
          <w:szCs w:val="17"/>
          <w:lang w:val="en-GB"/>
        </w:rPr>
        <w:t>The pool of underlying assets may only include derivatives if these are used strictly for hedging currency risk and interest rate risk.</w:t>
      </w:r>
    </w:p>
    <w:p w:rsidR="00415B4B" w:rsidRPr="00127DD3" w:rsidRDefault="00415B4B" w:rsidP="00851A0C">
      <w:pPr>
        <w:jc w:val="both"/>
        <w:rPr>
          <w:rFonts w:ascii="Verdana" w:hAnsi="Verdana" w:cs="Times New Roman"/>
          <w:sz w:val="17"/>
          <w:szCs w:val="17"/>
          <w:lang w:val="en-US"/>
        </w:rPr>
      </w:pPr>
      <w:r w:rsidRPr="00127DD3">
        <w:rPr>
          <w:rFonts w:ascii="Verdana" w:hAnsi="Verdana" w:cs="Times New Roman"/>
          <w:sz w:val="17"/>
          <w:szCs w:val="17"/>
          <w:lang w:val="en-US"/>
        </w:rPr>
        <w:t>[…]</w:t>
      </w:r>
    </w:p>
    <w:p w:rsidR="00CA6532" w:rsidRPr="00127DD3" w:rsidRDefault="00CA6532" w:rsidP="00851A0C">
      <w:pPr>
        <w:jc w:val="both"/>
        <w:rPr>
          <w:rFonts w:ascii="Verdana" w:hAnsi="Verdana" w:cs="Times New Roman"/>
          <w:b/>
          <w:sz w:val="17"/>
          <w:szCs w:val="17"/>
          <w:lang w:val="en-US"/>
        </w:rPr>
      </w:pPr>
      <w:r w:rsidRPr="00127DD3">
        <w:rPr>
          <w:rFonts w:ascii="Verdana" w:hAnsi="Verdana" w:cs="Times New Roman"/>
          <w:b/>
          <w:sz w:val="17"/>
          <w:szCs w:val="17"/>
          <w:lang w:val="en-US"/>
        </w:rPr>
        <w:t>Article 159bis</w:t>
      </w:r>
    </w:p>
    <w:p w:rsidR="00CA6532" w:rsidRPr="00127DD3" w:rsidRDefault="00CA6532" w:rsidP="00851A0C">
      <w:pPr>
        <w:jc w:val="both"/>
        <w:rPr>
          <w:rFonts w:ascii="Verdana" w:hAnsi="Verdana" w:cs="Times New Roman"/>
          <w:sz w:val="17"/>
          <w:szCs w:val="17"/>
          <w:lang w:val="en-GB"/>
        </w:rPr>
      </w:pPr>
      <w:r w:rsidRPr="00127DD3">
        <w:rPr>
          <w:rFonts w:ascii="Verdana" w:hAnsi="Verdana" w:cs="Times New Roman"/>
          <w:sz w:val="17"/>
          <w:szCs w:val="17"/>
          <w:lang w:val="en-GB"/>
        </w:rPr>
        <w:t>As senior securitization tranches benefit from protection against underlying collateral risk, we would recommend capping senior securitization charges to the capital charges that apply to the underlying collateral.</w:t>
      </w:r>
    </w:p>
    <w:p w:rsidR="00CA6532" w:rsidRPr="00127DD3" w:rsidRDefault="00CA6532" w:rsidP="00851A0C">
      <w:pPr>
        <w:jc w:val="both"/>
        <w:rPr>
          <w:rFonts w:ascii="Verdana" w:hAnsi="Verdana" w:cs="Times New Roman"/>
          <w:sz w:val="17"/>
          <w:szCs w:val="17"/>
          <w:u w:val="single"/>
          <w:lang w:val="en-GB"/>
        </w:rPr>
      </w:pPr>
      <w:r w:rsidRPr="00127DD3">
        <w:rPr>
          <w:rFonts w:ascii="Verdana" w:hAnsi="Verdana" w:cs="Times New Roman"/>
          <w:sz w:val="17"/>
          <w:szCs w:val="17"/>
          <w:u w:val="single"/>
          <w:lang w:val="en-GB"/>
        </w:rPr>
        <w:t>Amendment proposal:</w:t>
      </w:r>
    </w:p>
    <w:p w:rsidR="00CA6532" w:rsidRPr="00127DD3" w:rsidRDefault="003605D0"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(Add) </w:t>
      </w:r>
      <w:r w:rsidR="00CA6532" w:rsidRPr="00127DD3">
        <w:rPr>
          <w:rFonts w:ascii="Verdana" w:hAnsi="Verdana" w:cs="Times New Roman"/>
          <w:sz w:val="17"/>
          <w:szCs w:val="17"/>
          <w:lang w:val="en-GB"/>
        </w:rPr>
        <w:t>1bis. Notwithstanding paragraph 1, the capital requirement for spread risk on type 1 securitisations shall not exceed the capital requirement for assets underlying the securitisation.</w:t>
      </w:r>
    </w:p>
    <w:p w:rsidR="00851A0C" w:rsidRPr="00127DD3" w:rsidRDefault="00851A0C">
      <w:pPr>
        <w:rPr>
          <w:rFonts w:ascii="Verdana" w:hAnsi="Verdana" w:cs="Times New Roman"/>
          <w:sz w:val="17"/>
          <w:szCs w:val="17"/>
          <w:lang w:val="en-GB"/>
        </w:rPr>
      </w:pPr>
      <w:r w:rsidRPr="00127DD3">
        <w:rPr>
          <w:rFonts w:ascii="Verdana" w:hAnsi="Verdana" w:cs="Times New Roman"/>
          <w:sz w:val="17"/>
          <w:szCs w:val="17"/>
          <w:lang w:val="en-GB"/>
        </w:rPr>
        <w:br w:type="page"/>
      </w:r>
    </w:p>
    <w:p w:rsidR="003F5F83" w:rsidRPr="00127DD3" w:rsidRDefault="003F5F83" w:rsidP="00851A0C">
      <w:pPr>
        <w:jc w:val="both"/>
        <w:rPr>
          <w:rFonts w:ascii="Verdana" w:hAnsi="Verdana" w:cs="Times New Roman"/>
          <w:sz w:val="17"/>
          <w:szCs w:val="17"/>
          <w:lang w:val="en-GB"/>
        </w:rPr>
      </w:pPr>
    </w:p>
    <w:p w:rsidR="0001689B" w:rsidRPr="00127DD3" w:rsidRDefault="00A63E2F" w:rsidP="00851A0C">
      <w:pPr>
        <w:jc w:val="center"/>
        <w:rPr>
          <w:rFonts w:ascii="Verdana" w:hAnsi="Verdana" w:cs="Times New Roman"/>
          <w:b/>
          <w:i/>
          <w:sz w:val="17"/>
          <w:szCs w:val="17"/>
          <w:u w:val="single"/>
          <w:lang w:val="en-US"/>
        </w:rPr>
      </w:pPr>
      <w:r w:rsidRPr="00127DD3">
        <w:rPr>
          <w:rFonts w:ascii="Verdana" w:hAnsi="Verdana" w:cs="Times New Roman"/>
          <w:b/>
          <w:i/>
          <w:sz w:val="17"/>
          <w:szCs w:val="17"/>
          <w:u w:val="single"/>
          <w:lang w:val="en-US"/>
        </w:rPr>
        <w:t>Section 2</w:t>
      </w:r>
    </w:p>
    <w:p w:rsidR="00804D59" w:rsidRPr="00127DD3" w:rsidRDefault="000D62E9" w:rsidP="00851A0C">
      <w:pPr>
        <w:jc w:val="both"/>
        <w:rPr>
          <w:rFonts w:ascii="Verdana" w:hAnsi="Verdana" w:cs="Times New Roman"/>
          <w:bCs/>
          <w:sz w:val="17"/>
          <w:szCs w:val="17"/>
          <w:lang w:val="en-US"/>
        </w:rPr>
      </w:pPr>
      <w:r w:rsidRPr="00127DD3">
        <w:rPr>
          <w:rFonts w:ascii="Verdana" w:hAnsi="Verdana" w:cs="Times New Roman"/>
          <w:bCs/>
          <w:sz w:val="17"/>
          <w:szCs w:val="17"/>
          <w:lang w:val="en-US"/>
        </w:rPr>
        <w:t xml:space="preserve">In addition to the proposals set out above </w:t>
      </w:r>
      <w:r w:rsidR="006E4AC1" w:rsidRPr="00127DD3">
        <w:rPr>
          <w:rFonts w:ascii="Verdana" w:hAnsi="Verdana" w:cs="Times New Roman"/>
          <w:bCs/>
          <w:sz w:val="17"/>
          <w:szCs w:val="17"/>
          <w:lang w:val="en-US"/>
        </w:rPr>
        <w:t xml:space="preserve">in section 1 </w:t>
      </w:r>
      <w:r w:rsidRPr="00127DD3">
        <w:rPr>
          <w:rFonts w:ascii="Verdana" w:hAnsi="Verdana" w:cs="Times New Roman"/>
          <w:bCs/>
          <w:sz w:val="17"/>
          <w:szCs w:val="17"/>
          <w:lang w:val="en-US"/>
        </w:rPr>
        <w:t>to make changes to the Delegated Acts to</w:t>
      </w:r>
      <w:r w:rsidR="00A63E2F" w:rsidRPr="00127DD3">
        <w:rPr>
          <w:rFonts w:ascii="Verdana" w:hAnsi="Verdana" w:cs="Times New Roman"/>
          <w:bCs/>
          <w:sz w:val="17"/>
          <w:szCs w:val="17"/>
          <w:lang w:val="en-US"/>
        </w:rPr>
        <w:t xml:space="preserve"> enable appropriate recognition of infrastructure and SME loans and bonds as well as high quality </w:t>
      </w:r>
      <w:proofErr w:type="spellStart"/>
      <w:r w:rsidR="00A63E2F" w:rsidRPr="00127DD3">
        <w:rPr>
          <w:rFonts w:ascii="Verdana" w:hAnsi="Verdana" w:cs="Times New Roman"/>
          <w:bCs/>
          <w:sz w:val="17"/>
          <w:szCs w:val="17"/>
          <w:lang w:val="en-US"/>
        </w:rPr>
        <w:t>securitisations</w:t>
      </w:r>
      <w:proofErr w:type="spellEnd"/>
      <w:r w:rsidR="00A63E2F" w:rsidRPr="00127DD3">
        <w:rPr>
          <w:rFonts w:ascii="Verdana" w:hAnsi="Verdana" w:cs="Times New Roman"/>
          <w:bCs/>
          <w:sz w:val="17"/>
          <w:szCs w:val="17"/>
          <w:lang w:val="en-US"/>
        </w:rPr>
        <w:t xml:space="preserve">, the following possibilities are also being explored as potential avenues for </w:t>
      </w:r>
      <w:r w:rsidR="00617DB0" w:rsidRPr="00127DD3">
        <w:rPr>
          <w:rFonts w:ascii="Verdana" w:hAnsi="Verdana" w:cs="Times New Roman"/>
          <w:bCs/>
          <w:sz w:val="17"/>
          <w:szCs w:val="17"/>
          <w:lang w:val="en-US"/>
        </w:rPr>
        <w:t xml:space="preserve">an appropriate </w:t>
      </w:r>
      <w:r w:rsidR="00A63E2F" w:rsidRPr="00127DD3">
        <w:rPr>
          <w:rFonts w:ascii="Verdana" w:hAnsi="Verdana" w:cs="Times New Roman"/>
          <w:bCs/>
          <w:sz w:val="17"/>
          <w:szCs w:val="17"/>
          <w:lang w:val="en-US"/>
        </w:rPr>
        <w:t xml:space="preserve">recognition of infrastructure </w:t>
      </w:r>
      <w:r w:rsidR="00617DB0" w:rsidRPr="00127DD3">
        <w:rPr>
          <w:rFonts w:ascii="Verdana" w:hAnsi="Verdana" w:cs="Times New Roman"/>
          <w:bCs/>
          <w:sz w:val="17"/>
          <w:szCs w:val="17"/>
          <w:lang w:val="en-US"/>
        </w:rPr>
        <w:t xml:space="preserve">and SME </w:t>
      </w:r>
      <w:r w:rsidR="00A63E2F" w:rsidRPr="00127DD3">
        <w:rPr>
          <w:rFonts w:ascii="Verdana" w:hAnsi="Verdana" w:cs="Times New Roman"/>
          <w:bCs/>
          <w:sz w:val="17"/>
          <w:szCs w:val="17"/>
          <w:lang w:val="en-US"/>
        </w:rPr>
        <w:t>equity investments. These are under consideration and included for the sake of completeness.</w:t>
      </w:r>
    </w:p>
    <w:p w:rsidR="00617DB0" w:rsidRPr="00127DD3" w:rsidRDefault="00617DB0" w:rsidP="00851A0C">
      <w:pPr>
        <w:jc w:val="both"/>
        <w:rPr>
          <w:rFonts w:ascii="Verdana" w:hAnsi="Verdana" w:cs="Times New Roman"/>
          <w:bCs/>
          <w:sz w:val="17"/>
          <w:szCs w:val="17"/>
          <w:lang w:val="en-US"/>
        </w:rPr>
      </w:pPr>
      <w:r w:rsidRPr="00127DD3">
        <w:rPr>
          <w:rFonts w:ascii="Verdana" w:hAnsi="Verdana" w:cs="Times New Roman"/>
          <w:noProof/>
          <w:sz w:val="17"/>
          <w:szCs w:val="17"/>
          <w:lang w:val="en-GB" w:eastAsia="en-GB"/>
        </w:rPr>
        <mc:AlternateContent>
          <mc:Choice Requires="wps">
            <w:drawing>
              <wp:anchor distT="0" distB="0" distL="114300" distR="114300" simplePos="0" relativeHeight="251667456" behindDoc="0" locked="0" layoutInCell="1" allowOverlap="1" wp14:anchorId="514E1CDF" wp14:editId="3CB67C3E">
                <wp:simplePos x="0" y="0"/>
                <wp:positionH relativeFrom="column">
                  <wp:posOffset>-71659</wp:posOffset>
                </wp:positionH>
                <wp:positionV relativeFrom="paragraph">
                  <wp:posOffset>130355</wp:posOffset>
                </wp:positionV>
                <wp:extent cx="6003925" cy="897147"/>
                <wp:effectExtent l="0" t="0" r="15875"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897147"/>
                        </a:xfrm>
                        <a:prstGeom prst="rect">
                          <a:avLst/>
                        </a:prstGeom>
                        <a:solidFill>
                          <a:srgbClr val="FFFFFF"/>
                        </a:solidFill>
                        <a:ln w="9525">
                          <a:solidFill>
                            <a:srgbClr val="000000"/>
                          </a:solidFill>
                          <a:miter lim="800000"/>
                          <a:headEnd/>
                          <a:tailEnd/>
                        </a:ln>
                      </wps:spPr>
                      <wps:txbx>
                        <w:txbxContent>
                          <w:p w:rsidR="00617DB0" w:rsidRPr="00127DD3" w:rsidRDefault="00617DB0" w:rsidP="00617DB0">
                            <w:pPr>
                              <w:rPr>
                                <w:rFonts w:ascii="Verdana" w:hAnsi="Verdana" w:cs="Times New Roman"/>
                                <w:sz w:val="17"/>
                                <w:szCs w:val="17"/>
                                <w:lang w:val="en-GB"/>
                              </w:rPr>
                            </w:pPr>
                            <w:r w:rsidRPr="00127DD3">
                              <w:rPr>
                                <w:rFonts w:ascii="Verdana" w:hAnsi="Verdana" w:cs="Times New Roman"/>
                                <w:b/>
                                <w:sz w:val="17"/>
                                <w:szCs w:val="17"/>
                                <w:lang w:val="en-GB"/>
                              </w:rPr>
                              <w:t>Unlisted equity investments in infrastructure</w:t>
                            </w:r>
                            <w:r w:rsidRPr="00127DD3">
                              <w:rPr>
                                <w:rFonts w:ascii="Verdana" w:hAnsi="Verdana" w:cs="Times New Roman"/>
                                <w:sz w:val="17"/>
                                <w:szCs w:val="17"/>
                                <w:lang w:val="en-GB"/>
                              </w:rPr>
                              <w:t xml:space="preserve"> are not subject to short-term trading and have to be valued based on their future net returns. Under Solvency II, however, equity investments in infrastructure are still assigned to the same high risk factor as hedge funds or commodities of up to 59% for equity risk type 2. Unlisted equity infrastructure should be subject to a new sub-module “unlisted equity infrastructure risk” with a risk factor set at a prudent level of 22%</w:t>
                            </w:r>
                          </w:p>
                          <w:p w:rsidR="00617DB0" w:rsidRPr="00A51230" w:rsidRDefault="00617DB0" w:rsidP="00617DB0">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65pt;margin-top:10.25pt;width:472.75pt;height:7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iBJQIAAEsEAAAOAAAAZHJzL2Uyb0RvYy54bWysVNtu2zAMfR+wfxD0vthJk6Yx4hRdugwD&#10;ugvQ7gNoWY6FSaInKbG7ry+lpGl2wR6G+UEQJerw8JD08nowmu2l8wptycejnDNpBdbKbkv+9WHz&#10;5oozH8DWoNHKkj9Kz69Xr18t+66QE2xR19IxArG+6LuStyF0RZZ50UoDfoSdtHTZoDMQyHTbrHbQ&#10;E7rR2STPL7MeXd05FNJ7Or09XPJVwm8aKcLnpvEyMF1y4hbS6tJaxTVbLaHYOuhaJY404B9YGFCW&#10;gp6gbiEA2zn1G5RRwqHHJowEmgybRgmZcqBsxvkv2dy30MmUC4nju5NM/v/Bik/7L46puuRzziwY&#10;KtGDHAJ7iwObRHX6zhfkdN+RWxjomKqcMvXdHYpvnllct2C38sY57FsJNbEbx5fZ2dMDjo8gVf8R&#10;awoDu4AJaGicidKRGIzQqUqPp8pEKoIOL/P8YjGZcSbo7moxH0/nKQQUz68758N7iYbFTckdVT6h&#10;w/7Oh8gGimeXGMyjVvVGaZ0Mt63W2rE9UJds0ndE/8lNW9aXfDEjHn+HyNP3JwijArW7VoayODlB&#10;EWV7Z+vUjAGUPuyJsrZHHaN0BxHDUA2pYBcxQNS4wvqRhHV46G6aRtq06H5w1lNnl9x/34GTnOkP&#10;loqzGE+ncRSSMZ3NJ2S485vq/AasIKiSB84O23VI4xMVsHhDRWxU0veFyZEydWyS/ThdcSTO7eT1&#10;8g9YPQEAAP//AwBQSwMEFAAGAAgAAAAhAPuaBaXgAAAACgEAAA8AAABkcnMvZG93bnJldi54bWxM&#10;j8tOwzAQRfdI/IM1SGxQ6zxKSEOcCiGB6A4Kgq0bu0mEPQ62m4a/Z1jBcnSP7j1Tb2Zr2KR9GBwK&#10;SJcJMI2tUwN2At5eHxYlsBAlKmkcagHfOsCmOT+rZaXcCV/0tIsdoxIMlRTQxzhWnIe211aGpRs1&#10;UnZw3spIp++48vJE5dbwLEkKbuWAtNDLUd/3uv3cHa2AcvU0fYRt/vzeFgezjlc30+OXF+LyYr67&#10;BRb1HP9g+NUndWjIae+OqAIzAhZpmhMqIEuugRGwzlcZsD2RRVoCb2r+/4XmBwAA//8DAFBLAQIt&#10;ABQABgAIAAAAIQC2gziS/gAAAOEBAAATAAAAAAAAAAAAAAAAAAAAAABbQ29udGVudF9UeXBlc10u&#10;eG1sUEsBAi0AFAAGAAgAAAAhADj9If/WAAAAlAEAAAsAAAAAAAAAAAAAAAAALwEAAF9yZWxzLy5y&#10;ZWxzUEsBAi0AFAAGAAgAAAAhAOyW6IElAgAASwQAAA4AAAAAAAAAAAAAAAAALgIAAGRycy9lMm9E&#10;b2MueG1sUEsBAi0AFAAGAAgAAAAhAPuaBaXgAAAACgEAAA8AAAAAAAAAAAAAAAAAfwQAAGRycy9k&#10;b3ducmV2LnhtbFBLBQYAAAAABAAEAPMAAACMBQAAAAA=&#10;">
                <v:textbox>
                  <w:txbxContent>
                    <w:p w:rsidR="00617DB0" w:rsidRPr="00127DD3" w:rsidRDefault="00617DB0" w:rsidP="00617DB0">
                      <w:pPr>
                        <w:rPr>
                          <w:rFonts w:ascii="Verdana" w:hAnsi="Verdana" w:cs="Times New Roman"/>
                          <w:sz w:val="17"/>
                          <w:szCs w:val="17"/>
                          <w:lang w:val="en-GB"/>
                        </w:rPr>
                      </w:pPr>
                      <w:r w:rsidRPr="00127DD3">
                        <w:rPr>
                          <w:rFonts w:ascii="Verdana" w:hAnsi="Verdana" w:cs="Times New Roman"/>
                          <w:b/>
                          <w:sz w:val="17"/>
                          <w:szCs w:val="17"/>
                          <w:lang w:val="en-GB"/>
                        </w:rPr>
                        <w:t>Unlisted equity investments in infrastructure</w:t>
                      </w:r>
                      <w:r w:rsidRPr="00127DD3">
                        <w:rPr>
                          <w:rFonts w:ascii="Verdana" w:hAnsi="Verdana" w:cs="Times New Roman"/>
                          <w:sz w:val="17"/>
                          <w:szCs w:val="17"/>
                          <w:lang w:val="en-GB"/>
                        </w:rPr>
                        <w:t xml:space="preserve"> are not subject to short-term trading and have to be valued based on their future net returns. Under Solvency II, however, equity investments in infrastructure are still assigned to the same high risk factor as hedge funds or commodities of up to 59% for equity risk type 2. Unlisted equity infrastructure should be subject to a new sub-module “unlisted equity infrastructure risk” with a risk factor set at a prudent level of 22%</w:t>
                      </w:r>
                    </w:p>
                    <w:p w:rsidR="00617DB0" w:rsidRPr="00A51230" w:rsidRDefault="00617DB0" w:rsidP="00617DB0">
                      <w:pPr>
                        <w:rPr>
                          <w:lang w:val="en-GB"/>
                        </w:rPr>
                      </w:pPr>
                    </w:p>
                  </w:txbxContent>
                </v:textbox>
              </v:shape>
            </w:pict>
          </mc:Fallback>
        </mc:AlternateContent>
      </w:r>
    </w:p>
    <w:p w:rsidR="00617DB0" w:rsidRPr="00127DD3" w:rsidRDefault="00617DB0" w:rsidP="00851A0C">
      <w:pPr>
        <w:jc w:val="both"/>
        <w:rPr>
          <w:rFonts w:ascii="Verdana" w:hAnsi="Verdana" w:cs="Times New Roman"/>
          <w:bCs/>
          <w:sz w:val="17"/>
          <w:szCs w:val="17"/>
          <w:lang w:val="en-US"/>
        </w:rPr>
      </w:pPr>
    </w:p>
    <w:p w:rsidR="00617DB0" w:rsidRPr="00127DD3" w:rsidRDefault="00617DB0" w:rsidP="00851A0C">
      <w:pPr>
        <w:jc w:val="both"/>
        <w:rPr>
          <w:rFonts w:ascii="Verdana" w:hAnsi="Verdana" w:cs="Times New Roman"/>
          <w:bCs/>
          <w:sz w:val="17"/>
          <w:szCs w:val="17"/>
          <w:lang w:val="en-US"/>
        </w:rPr>
      </w:pPr>
    </w:p>
    <w:p w:rsidR="003570D8" w:rsidRPr="00127DD3" w:rsidRDefault="003570D8" w:rsidP="00851A0C">
      <w:pPr>
        <w:jc w:val="both"/>
        <w:rPr>
          <w:rFonts w:ascii="Verdana" w:hAnsi="Verdana" w:cs="Times New Roman"/>
          <w:b/>
          <w:sz w:val="17"/>
          <w:szCs w:val="17"/>
          <w:lang w:val="en-US"/>
        </w:rPr>
      </w:pPr>
      <w:r w:rsidRPr="00127DD3">
        <w:rPr>
          <w:rFonts w:ascii="Verdana" w:hAnsi="Verdana" w:cs="Times New Roman"/>
          <w:b/>
          <w:sz w:val="17"/>
          <w:szCs w:val="17"/>
          <w:lang w:val="en-US"/>
        </w:rPr>
        <w:t>Unlisted infrastructure equity</w:t>
      </w:r>
      <w:r w:rsidR="006D4A88" w:rsidRPr="00127DD3">
        <w:rPr>
          <w:rFonts w:ascii="Verdana" w:hAnsi="Verdana" w:cs="Times New Roman"/>
          <w:b/>
          <w:sz w:val="17"/>
          <w:szCs w:val="17"/>
          <w:lang w:val="en-US"/>
        </w:rPr>
        <w:t xml:space="preserve"> – Article 143</w:t>
      </w:r>
    </w:p>
    <w:p w:rsidR="00AE14A3" w:rsidRDefault="00AE14A3" w:rsidP="00851A0C">
      <w:pPr>
        <w:jc w:val="both"/>
        <w:rPr>
          <w:rFonts w:ascii="Verdana" w:hAnsi="Verdana" w:cs="Times New Roman"/>
          <w:sz w:val="17"/>
          <w:szCs w:val="17"/>
          <w:lang w:val="en-GB"/>
        </w:rPr>
      </w:pPr>
    </w:p>
    <w:p w:rsidR="006D4A88" w:rsidRPr="00127DD3" w:rsidRDefault="00804D59" w:rsidP="00851A0C">
      <w:pPr>
        <w:jc w:val="both"/>
        <w:rPr>
          <w:rFonts w:ascii="Verdana" w:hAnsi="Verdana" w:cs="Times New Roman"/>
          <w:sz w:val="17"/>
          <w:szCs w:val="17"/>
          <w:lang w:val="en-GB"/>
        </w:rPr>
      </w:pPr>
      <w:r w:rsidRPr="00127DD3">
        <w:rPr>
          <w:rFonts w:ascii="Verdana" w:hAnsi="Verdana" w:cs="Times New Roman"/>
          <w:sz w:val="17"/>
          <w:szCs w:val="17"/>
          <w:lang w:val="en-GB"/>
        </w:rPr>
        <w:t>A</w:t>
      </w:r>
      <w:r w:rsidR="006D4A88" w:rsidRPr="00127DD3">
        <w:rPr>
          <w:rFonts w:ascii="Verdana" w:hAnsi="Verdana" w:cs="Times New Roman"/>
          <w:sz w:val="17"/>
          <w:szCs w:val="17"/>
          <w:lang w:val="en-GB"/>
        </w:rPr>
        <w:t xml:space="preserve"> distinction between listed and unlisted </w:t>
      </w:r>
      <w:r w:rsidR="002F1392" w:rsidRPr="00127DD3">
        <w:rPr>
          <w:rFonts w:ascii="Verdana" w:hAnsi="Verdana" w:cs="Times New Roman"/>
          <w:sz w:val="17"/>
          <w:szCs w:val="17"/>
          <w:lang w:val="en-GB"/>
        </w:rPr>
        <w:t xml:space="preserve">equity </w:t>
      </w:r>
      <w:r w:rsidR="006D4A88" w:rsidRPr="00127DD3">
        <w:rPr>
          <w:rFonts w:ascii="Verdana" w:hAnsi="Verdana" w:cs="Times New Roman"/>
          <w:sz w:val="17"/>
          <w:szCs w:val="17"/>
          <w:lang w:val="en-GB"/>
        </w:rPr>
        <w:t>infrastructure</w:t>
      </w:r>
      <w:r w:rsidR="002F1392" w:rsidRPr="00127DD3">
        <w:rPr>
          <w:rFonts w:ascii="Verdana" w:hAnsi="Verdana" w:cs="Times New Roman"/>
          <w:sz w:val="17"/>
          <w:szCs w:val="17"/>
          <w:lang w:val="en-GB"/>
        </w:rPr>
        <w:t xml:space="preserve"> investment</w:t>
      </w:r>
      <w:r w:rsidR="006D4A88" w:rsidRPr="00127DD3">
        <w:rPr>
          <w:rFonts w:ascii="Verdana" w:hAnsi="Verdana" w:cs="Times New Roman"/>
          <w:sz w:val="17"/>
          <w:szCs w:val="17"/>
          <w:lang w:val="en-GB"/>
        </w:rPr>
        <w:t xml:space="preserve"> is crucial. While listed </w:t>
      </w:r>
      <w:r w:rsidR="002F1392" w:rsidRPr="00127DD3">
        <w:rPr>
          <w:rFonts w:ascii="Verdana" w:hAnsi="Verdana" w:cs="Times New Roman"/>
          <w:sz w:val="17"/>
          <w:szCs w:val="17"/>
          <w:lang w:val="en-GB"/>
        </w:rPr>
        <w:t xml:space="preserve">equity </w:t>
      </w:r>
      <w:r w:rsidR="006D4A88" w:rsidRPr="00127DD3">
        <w:rPr>
          <w:rFonts w:ascii="Verdana" w:hAnsi="Verdana" w:cs="Times New Roman"/>
          <w:sz w:val="17"/>
          <w:szCs w:val="17"/>
          <w:lang w:val="en-GB"/>
        </w:rPr>
        <w:t>infrastructure’s characteristics are similar to global equity, the returns of unlisted</w:t>
      </w:r>
      <w:r w:rsidR="002F1392" w:rsidRPr="00127DD3">
        <w:rPr>
          <w:rFonts w:ascii="Verdana" w:hAnsi="Verdana" w:cs="Times New Roman"/>
          <w:sz w:val="17"/>
          <w:szCs w:val="17"/>
          <w:lang w:val="en-GB"/>
        </w:rPr>
        <w:t xml:space="preserve"> equity</w:t>
      </w:r>
      <w:r w:rsidR="006D4A88" w:rsidRPr="00127DD3">
        <w:rPr>
          <w:rFonts w:ascii="Verdana" w:hAnsi="Verdana" w:cs="Times New Roman"/>
          <w:sz w:val="17"/>
          <w:szCs w:val="17"/>
          <w:lang w:val="en-GB"/>
        </w:rPr>
        <w:t xml:space="preserve"> infrastructure exhibit much lower volatility and are uncorrelated with both listed</w:t>
      </w:r>
      <w:r w:rsidR="002F1392" w:rsidRPr="00127DD3">
        <w:rPr>
          <w:rFonts w:ascii="Verdana" w:hAnsi="Verdana" w:cs="Times New Roman"/>
          <w:sz w:val="17"/>
          <w:szCs w:val="17"/>
          <w:lang w:val="en-GB"/>
        </w:rPr>
        <w:t xml:space="preserve"> equity</w:t>
      </w:r>
      <w:r w:rsidR="006D4A88" w:rsidRPr="00127DD3">
        <w:rPr>
          <w:rFonts w:ascii="Verdana" w:hAnsi="Verdana" w:cs="Times New Roman"/>
          <w:sz w:val="17"/>
          <w:szCs w:val="17"/>
          <w:lang w:val="en-GB"/>
        </w:rPr>
        <w:t xml:space="preserve"> infrastructure and global equity. Therefore, the current treatment is not appropriate. </w:t>
      </w:r>
      <w:r w:rsidR="003C67CF" w:rsidRPr="00127DD3">
        <w:rPr>
          <w:rFonts w:ascii="Verdana" w:hAnsi="Verdana" w:cs="Times New Roman"/>
          <w:sz w:val="17"/>
          <w:szCs w:val="17"/>
          <w:lang w:val="en-GB"/>
        </w:rPr>
        <w:t>U</w:t>
      </w:r>
      <w:r w:rsidR="002F1392" w:rsidRPr="00127DD3">
        <w:rPr>
          <w:rFonts w:ascii="Verdana" w:hAnsi="Verdana" w:cs="Times New Roman"/>
          <w:sz w:val="17"/>
          <w:szCs w:val="17"/>
          <w:lang w:val="en-GB"/>
        </w:rPr>
        <w:t xml:space="preserve">nlisted equity infrastructure </w:t>
      </w:r>
      <w:r w:rsidR="006D4A88" w:rsidRPr="00127DD3">
        <w:rPr>
          <w:rFonts w:ascii="Verdana" w:hAnsi="Verdana" w:cs="Times New Roman"/>
          <w:sz w:val="17"/>
          <w:szCs w:val="17"/>
          <w:lang w:val="en-GB"/>
        </w:rPr>
        <w:t>should be subject to a new sub-module “</w:t>
      </w:r>
      <w:r w:rsidR="002F1392" w:rsidRPr="00127DD3">
        <w:rPr>
          <w:rFonts w:ascii="Verdana" w:hAnsi="Verdana" w:cs="Times New Roman"/>
          <w:sz w:val="17"/>
          <w:szCs w:val="17"/>
          <w:lang w:val="en-GB"/>
        </w:rPr>
        <w:t xml:space="preserve">unlisted equity </w:t>
      </w:r>
      <w:r w:rsidR="006D4A88" w:rsidRPr="00127DD3">
        <w:rPr>
          <w:rFonts w:ascii="Verdana" w:hAnsi="Verdana" w:cs="Times New Roman"/>
          <w:sz w:val="17"/>
          <w:szCs w:val="17"/>
          <w:lang w:val="en-GB"/>
        </w:rPr>
        <w:t>infrastructure risk”</w:t>
      </w:r>
      <w:r w:rsidR="002F1392" w:rsidRPr="00127DD3">
        <w:rPr>
          <w:rFonts w:ascii="Verdana" w:hAnsi="Verdana" w:cs="Times New Roman"/>
          <w:sz w:val="17"/>
          <w:szCs w:val="17"/>
          <w:lang w:val="en-GB"/>
        </w:rPr>
        <w:t xml:space="preserve"> with a </w:t>
      </w:r>
      <w:r w:rsidR="006D4A88" w:rsidRPr="00127DD3">
        <w:rPr>
          <w:rFonts w:ascii="Verdana" w:hAnsi="Verdana" w:cs="Times New Roman"/>
          <w:sz w:val="17"/>
          <w:szCs w:val="17"/>
          <w:lang w:val="en-GB"/>
        </w:rPr>
        <w:t>risk factor set at a prudent level of 22%</w:t>
      </w:r>
      <w:r w:rsidR="004373F9" w:rsidRPr="00127DD3">
        <w:rPr>
          <w:rStyle w:val="FootnoteReference"/>
          <w:rFonts w:ascii="Verdana" w:hAnsi="Verdana" w:cs="Times New Roman"/>
          <w:sz w:val="17"/>
          <w:szCs w:val="17"/>
          <w:lang w:val="en-GB"/>
        </w:rPr>
        <w:footnoteReference w:id="1"/>
      </w:r>
      <w:r w:rsidR="006D4A88" w:rsidRPr="00127DD3">
        <w:rPr>
          <w:rFonts w:ascii="Verdana" w:hAnsi="Verdana" w:cs="Times New Roman"/>
          <w:sz w:val="17"/>
          <w:szCs w:val="17"/>
          <w:lang w:val="en-GB"/>
        </w:rPr>
        <w:t xml:space="preserve"> (in line with the treatment applied to</w:t>
      </w:r>
      <w:r w:rsidR="002F1392" w:rsidRPr="00127DD3">
        <w:rPr>
          <w:rFonts w:ascii="Verdana" w:hAnsi="Verdana" w:cs="Times New Roman"/>
          <w:sz w:val="17"/>
          <w:szCs w:val="17"/>
          <w:lang w:val="en-GB"/>
        </w:rPr>
        <w:t xml:space="preserve"> equity</w:t>
      </w:r>
      <w:r w:rsidR="006D4A88" w:rsidRPr="00127DD3">
        <w:rPr>
          <w:rFonts w:ascii="Verdana" w:hAnsi="Verdana" w:cs="Times New Roman"/>
          <w:sz w:val="17"/>
          <w:szCs w:val="17"/>
          <w:lang w:val="en-GB"/>
        </w:rPr>
        <w:t xml:space="preserve"> investments of strategic nature).</w:t>
      </w:r>
    </w:p>
    <w:p w:rsidR="006D4A88" w:rsidRPr="00127DD3" w:rsidRDefault="006D4A88" w:rsidP="00851A0C">
      <w:pPr>
        <w:jc w:val="both"/>
        <w:rPr>
          <w:rFonts w:ascii="Verdana" w:hAnsi="Verdana" w:cs="Times New Roman"/>
          <w:sz w:val="17"/>
          <w:szCs w:val="17"/>
          <w:u w:val="single"/>
          <w:lang w:val="en-US"/>
        </w:rPr>
      </w:pPr>
      <w:r w:rsidRPr="00127DD3">
        <w:rPr>
          <w:rFonts w:ascii="Verdana" w:hAnsi="Verdana" w:cs="Times New Roman"/>
          <w:sz w:val="17"/>
          <w:szCs w:val="17"/>
          <w:u w:val="single"/>
          <w:lang w:val="en-US"/>
        </w:rPr>
        <w:t>Amendment proposal:</w:t>
      </w:r>
    </w:p>
    <w:p w:rsidR="003570D8" w:rsidRPr="00127DD3" w:rsidRDefault="003570D8" w:rsidP="00851A0C">
      <w:pPr>
        <w:jc w:val="both"/>
        <w:rPr>
          <w:rFonts w:ascii="Verdana" w:hAnsi="Verdana" w:cs="Times New Roman"/>
          <w:b/>
          <w:sz w:val="17"/>
          <w:szCs w:val="17"/>
          <w:lang w:val="en-US"/>
        </w:rPr>
      </w:pPr>
      <w:r w:rsidRPr="00127DD3">
        <w:rPr>
          <w:rFonts w:ascii="Verdana" w:hAnsi="Verdana" w:cs="Times New Roman"/>
          <w:b/>
          <w:sz w:val="17"/>
          <w:szCs w:val="17"/>
          <w:lang w:val="en-US"/>
        </w:rPr>
        <w:t>Article 143 MR2</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(Art. 105(5) of Directive 2009/138/EC)</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1.</w:t>
      </w:r>
      <w:r w:rsidRPr="00127DD3">
        <w:rPr>
          <w:rFonts w:ascii="Verdana" w:hAnsi="Verdana" w:cs="Times New Roman"/>
          <w:sz w:val="17"/>
          <w:szCs w:val="17"/>
          <w:lang w:val="en-GB"/>
        </w:rPr>
        <w:tab/>
        <w:t>The capital requirement for market risk referred to in Article 105(5) of Directive 2009/138/EC shall include a component for infrastructure risk and be equal to the following:</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 </w:t>
      </w:r>
      <w:proofErr w:type="gramStart"/>
      <w:r w:rsidRPr="00127DD3">
        <w:rPr>
          <w:rFonts w:ascii="Verdana" w:hAnsi="Verdana" w:cs="Times New Roman"/>
          <w:sz w:val="17"/>
          <w:szCs w:val="17"/>
          <w:lang w:val="en-GB"/>
        </w:rPr>
        <w:t>where</w:t>
      </w:r>
      <w:proofErr w:type="gramEnd"/>
      <w:r w:rsidRPr="00127DD3">
        <w:rPr>
          <w:rFonts w:ascii="Verdana" w:hAnsi="Verdana" w:cs="Times New Roman"/>
          <w:sz w:val="17"/>
          <w:szCs w:val="17"/>
          <w:lang w:val="en-GB"/>
        </w:rPr>
        <w:t>:</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(a)</w:t>
      </w:r>
      <w:r w:rsidRPr="00127DD3">
        <w:rPr>
          <w:rFonts w:ascii="Verdana" w:hAnsi="Verdana" w:cs="Times New Roman"/>
          <w:sz w:val="17"/>
          <w:szCs w:val="17"/>
          <w:lang w:val="en-GB"/>
        </w:rPr>
        <w:tab/>
      </w:r>
      <w:proofErr w:type="gramStart"/>
      <w:r w:rsidRPr="00127DD3">
        <w:rPr>
          <w:rFonts w:ascii="Verdana" w:hAnsi="Verdana" w:cs="Times New Roman"/>
          <w:sz w:val="17"/>
          <w:szCs w:val="17"/>
          <w:lang w:val="en-GB"/>
        </w:rPr>
        <w:t>the</w:t>
      </w:r>
      <w:proofErr w:type="gramEnd"/>
      <w:r w:rsidRPr="00127DD3">
        <w:rPr>
          <w:rFonts w:ascii="Verdana" w:hAnsi="Verdana" w:cs="Times New Roman"/>
          <w:sz w:val="17"/>
          <w:szCs w:val="17"/>
          <w:lang w:val="en-GB"/>
        </w:rPr>
        <w:t xml:space="preserve"> sum covers all possible combinations </w:t>
      </w:r>
      <w:proofErr w:type="spellStart"/>
      <w:r w:rsidRPr="00127DD3">
        <w:rPr>
          <w:rFonts w:ascii="Verdana" w:hAnsi="Verdana" w:cs="Times New Roman"/>
          <w:sz w:val="17"/>
          <w:szCs w:val="17"/>
          <w:lang w:val="en-GB"/>
        </w:rPr>
        <w:t>i,j</w:t>
      </w:r>
      <w:proofErr w:type="spellEnd"/>
      <w:r w:rsidRPr="00127DD3">
        <w:rPr>
          <w:rFonts w:ascii="Verdana" w:hAnsi="Verdana" w:cs="Times New Roman"/>
          <w:sz w:val="17"/>
          <w:szCs w:val="17"/>
          <w:lang w:val="en-GB"/>
        </w:rPr>
        <w:t xml:space="preserve"> of sub-modules of the market risk module;</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(b)</w:t>
      </w:r>
      <w:r w:rsidRPr="00127DD3">
        <w:rPr>
          <w:rFonts w:ascii="Verdana" w:hAnsi="Verdana" w:cs="Times New Roman"/>
          <w:sz w:val="17"/>
          <w:szCs w:val="17"/>
          <w:lang w:val="en-GB"/>
        </w:rPr>
        <w:tab/>
      </w:r>
      <w:proofErr w:type="spellStart"/>
      <w:proofErr w:type="gramStart"/>
      <w:r w:rsidRPr="00127DD3">
        <w:rPr>
          <w:rFonts w:ascii="Verdana" w:hAnsi="Verdana" w:cs="Times New Roman"/>
          <w:sz w:val="17"/>
          <w:szCs w:val="17"/>
          <w:lang w:val="en-GB"/>
        </w:rPr>
        <w:t>Corr</w:t>
      </w:r>
      <w:proofErr w:type="spellEnd"/>
      <w:r w:rsidRPr="00127DD3">
        <w:rPr>
          <w:rFonts w:ascii="Verdana" w:hAnsi="Verdana" w:cs="Times New Roman"/>
          <w:sz w:val="17"/>
          <w:szCs w:val="17"/>
          <w:lang w:val="en-GB"/>
        </w:rPr>
        <w:t>(</w:t>
      </w:r>
      <w:proofErr w:type="spellStart"/>
      <w:proofErr w:type="gramEnd"/>
      <w:r w:rsidRPr="00127DD3">
        <w:rPr>
          <w:rFonts w:ascii="Verdana" w:hAnsi="Verdana" w:cs="Times New Roman"/>
          <w:sz w:val="17"/>
          <w:szCs w:val="17"/>
          <w:lang w:val="en-GB"/>
        </w:rPr>
        <w:t>i,j</w:t>
      </w:r>
      <w:proofErr w:type="spellEnd"/>
      <w:r w:rsidRPr="00127DD3">
        <w:rPr>
          <w:rFonts w:ascii="Verdana" w:hAnsi="Verdana" w:cs="Times New Roman"/>
          <w:sz w:val="17"/>
          <w:szCs w:val="17"/>
          <w:lang w:val="en-GB"/>
        </w:rPr>
        <w:t xml:space="preserve">) denotes the correlation parameter for market risk for sub-modules </w:t>
      </w:r>
      <w:proofErr w:type="spellStart"/>
      <w:r w:rsidRPr="00127DD3">
        <w:rPr>
          <w:rFonts w:ascii="Verdana" w:hAnsi="Verdana" w:cs="Times New Roman"/>
          <w:sz w:val="17"/>
          <w:szCs w:val="17"/>
          <w:lang w:val="en-GB"/>
        </w:rPr>
        <w:t>i</w:t>
      </w:r>
      <w:proofErr w:type="spellEnd"/>
      <w:r w:rsidRPr="00127DD3">
        <w:rPr>
          <w:rFonts w:ascii="Verdana" w:hAnsi="Verdana" w:cs="Times New Roman"/>
          <w:sz w:val="17"/>
          <w:szCs w:val="17"/>
          <w:lang w:val="en-GB"/>
        </w:rPr>
        <w:t xml:space="preserve"> and j;</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(c)</w:t>
      </w:r>
      <w:r w:rsidRPr="00127DD3">
        <w:rPr>
          <w:rFonts w:ascii="Verdana" w:hAnsi="Verdana" w:cs="Times New Roman"/>
          <w:sz w:val="17"/>
          <w:szCs w:val="17"/>
          <w:lang w:val="en-GB"/>
        </w:rPr>
        <w:tab/>
      </w:r>
      <w:proofErr w:type="spellStart"/>
      <w:r w:rsidRPr="00127DD3">
        <w:rPr>
          <w:rFonts w:ascii="Verdana" w:hAnsi="Verdana" w:cs="Times New Roman"/>
          <w:sz w:val="17"/>
          <w:szCs w:val="17"/>
          <w:lang w:val="en-GB"/>
        </w:rPr>
        <w:t>SCRi</w:t>
      </w:r>
      <w:proofErr w:type="spellEnd"/>
      <w:r w:rsidRPr="00127DD3">
        <w:rPr>
          <w:rFonts w:ascii="Verdana" w:hAnsi="Verdana" w:cs="Times New Roman"/>
          <w:sz w:val="17"/>
          <w:szCs w:val="17"/>
          <w:lang w:val="en-GB"/>
        </w:rPr>
        <w:t xml:space="preserve"> and </w:t>
      </w:r>
      <w:proofErr w:type="spellStart"/>
      <w:r w:rsidRPr="00127DD3">
        <w:rPr>
          <w:rFonts w:ascii="Verdana" w:hAnsi="Verdana" w:cs="Times New Roman"/>
          <w:sz w:val="17"/>
          <w:szCs w:val="17"/>
          <w:lang w:val="en-GB"/>
        </w:rPr>
        <w:t>SCRj</w:t>
      </w:r>
      <w:proofErr w:type="spellEnd"/>
      <w:r w:rsidRPr="00127DD3">
        <w:rPr>
          <w:rFonts w:ascii="Verdana" w:hAnsi="Verdana" w:cs="Times New Roman"/>
          <w:sz w:val="17"/>
          <w:szCs w:val="17"/>
          <w:lang w:val="en-GB"/>
        </w:rPr>
        <w:t xml:space="preserve"> denote the capital requirements for sub-modules </w:t>
      </w:r>
      <w:proofErr w:type="spellStart"/>
      <w:r w:rsidRPr="00127DD3">
        <w:rPr>
          <w:rFonts w:ascii="Verdana" w:hAnsi="Verdana" w:cs="Times New Roman"/>
          <w:sz w:val="17"/>
          <w:szCs w:val="17"/>
          <w:lang w:val="en-GB"/>
        </w:rPr>
        <w:t>i</w:t>
      </w:r>
      <w:proofErr w:type="spellEnd"/>
      <w:r w:rsidRPr="00127DD3">
        <w:rPr>
          <w:rFonts w:ascii="Verdana" w:hAnsi="Verdana" w:cs="Times New Roman"/>
          <w:sz w:val="17"/>
          <w:szCs w:val="17"/>
          <w:lang w:val="en-GB"/>
        </w:rPr>
        <w:t xml:space="preserve"> and j respectively.</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2.</w:t>
      </w:r>
      <w:r w:rsidRPr="00127DD3">
        <w:rPr>
          <w:rFonts w:ascii="Verdana" w:hAnsi="Verdana" w:cs="Times New Roman"/>
          <w:sz w:val="17"/>
          <w:szCs w:val="17"/>
          <w:lang w:val="en-GB"/>
        </w:rPr>
        <w:tab/>
        <w:t xml:space="preserve">The correlation parameter </w:t>
      </w:r>
      <w:proofErr w:type="spellStart"/>
      <w:proofErr w:type="gramStart"/>
      <w:r w:rsidRPr="00127DD3">
        <w:rPr>
          <w:rFonts w:ascii="Verdana" w:hAnsi="Verdana" w:cs="Times New Roman"/>
          <w:sz w:val="17"/>
          <w:szCs w:val="17"/>
          <w:lang w:val="en-GB"/>
        </w:rPr>
        <w:t>Corr</w:t>
      </w:r>
      <w:proofErr w:type="spellEnd"/>
      <w:r w:rsidRPr="00127DD3">
        <w:rPr>
          <w:rFonts w:ascii="Verdana" w:hAnsi="Verdana" w:cs="Times New Roman"/>
          <w:sz w:val="17"/>
          <w:szCs w:val="17"/>
          <w:lang w:val="en-GB"/>
        </w:rPr>
        <w:t>(</w:t>
      </w:r>
      <w:proofErr w:type="spellStart"/>
      <w:proofErr w:type="gramEnd"/>
      <w:r w:rsidRPr="00127DD3">
        <w:rPr>
          <w:rFonts w:ascii="Verdana" w:hAnsi="Verdana" w:cs="Times New Roman"/>
          <w:sz w:val="17"/>
          <w:szCs w:val="17"/>
          <w:lang w:val="en-GB"/>
        </w:rPr>
        <w:t>i,j</w:t>
      </w:r>
      <w:proofErr w:type="spellEnd"/>
      <w:r w:rsidRPr="00127DD3">
        <w:rPr>
          <w:rFonts w:ascii="Verdana" w:hAnsi="Verdana" w:cs="Times New Roman"/>
          <w:sz w:val="17"/>
          <w:szCs w:val="17"/>
          <w:lang w:val="en-GB"/>
        </w:rPr>
        <w:t xml:space="preserve">) referred to in paragraph 2 shall be equal to the item set out in row </w:t>
      </w:r>
      <w:proofErr w:type="spellStart"/>
      <w:r w:rsidRPr="00127DD3">
        <w:rPr>
          <w:rFonts w:ascii="Verdana" w:hAnsi="Verdana" w:cs="Times New Roman"/>
          <w:sz w:val="17"/>
          <w:szCs w:val="17"/>
          <w:lang w:val="en-GB"/>
        </w:rPr>
        <w:t>i</w:t>
      </w:r>
      <w:proofErr w:type="spellEnd"/>
      <w:r w:rsidRPr="00127DD3">
        <w:rPr>
          <w:rFonts w:ascii="Verdana" w:hAnsi="Verdana" w:cs="Times New Roman"/>
          <w:sz w:val="17"/>
          <w:szCs w:val="17"/>
          <w:lang w:val="en-GB"/>
        </w:rPr>
        <w:t xml:space="preserve"> and in column j of the following correlation matrix: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5"/>
        <w:gridCol w:w="948"/>
        <w:gridCol w:w="910"/>
        <w:gridCol w:w="1003"/>
        <w:gridCol w:w="923"/>
        <w:gridCol w:w="1409"/>
        <w:gridCol w:w="994"/>
        <w:gridCol w:w="1545"/>
      </w:tblGrid>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l2br w:val="single" w:sz="4" w:space="0" w:color="000000"/>
            </w:tcBorders>
            <w:hideMark/>
          </w:tcPr>
          <w:p w:rsidR="003570D8" w:rsidRPr="00127DD3" w:rsidRDefault="003570D8" w:rsidP="00851A0C">
            <w:pPr>
              <w:spacing w:before="120" w:after="120"/>
              <w:jc w:val="both"/>
              <w:rPr>
                <w:rFonts w:ascii="Verdana" w:eastAsia="Times New Roman" w:hAnsi="Verdana" w:cs="Times New Roman"/>
                <w:i/>
                <w:sz w:val="17"/>
                <w:szCs w:val="17"/>
                <w:lang w:val="de-DE"/>
              </w:rPr>
            </w:pPr>
            <w:r w:rsidRPr="00127DD3">
              <w:rPr>
                <w:rFonts w:ascii="Verdana" w:eastAsia="Times New Roman" w:hAnsi="Verdana" w:cs="Times New Roman"/>
                <w:i/>
                <w:sz w:val="17"/>
                <w:szCs w:val="17"/>
                <w:lang w:val="de-DE"/>
              </w:rPr>
              <w:t>j</w:t>
            </w:r>
          </w:p>
          <w:p w:rsidR="003570D8" w:rsidRPr="00127DD3" w:rsidRDefault="003570D8" w:rsidP="00851A0C">
            <w:pPr>
              <w:spacing w:before="120" w:after="120"/>
              <w:jc w:val="both"/>
              <w:rPr>
                <w:rFonts w:ascii="Verdana" w:eastAsia="Times New Roman" w:hAnsi="Verdana" w:cs="Times New Roman"/>
                <w:i/>
                <w:sz w:val="17"/>
                <w:szCs w:val="17"/>
                <w:lang w:val="de-DE"/>
              </w:rPr>
            </w:pPr>
            <w:r w:rsidRPr="00127DD3">
              <w:rPr>
                <w:rFonts w:ascii="Verdana" w:eastAsia="Times New Roman" w:hAnsi="Verdana" w:cs="Times New Roman"/>
                <w:i/>
                <w:sz w:val="17"/>
                <w:szCs w:val="17"/>
                <w:lang w:val="de-DE"/>
              </w:rPr>
              <w:t>i</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Interest rate</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Equity</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Property</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Spread</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Concentration</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Currency</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5B0BA9"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Unlisted i</w:t>
            </w:r>
            <w:r w:rsidR="003570D8" w:rsidRPr="00127DD3">
              <w:rPr>
                <w:rFonts w:ascii="Verdana" w:eastAsia="Times New Roman" w:hAnsi="Verdana" w:cs="Times New Roman"/>
                <w:b/>
                <w:i/>
                <w:sz w:val="17"/>
                <w:szCs w:val="17"/>
                <w:lang w:val="de-DE"/>
              </w:rPr>
              <w:t>nfrastructure</w:t>
            </w:r>
            <w:r w:rsidRPr="00127DD3">
              <w:rPr>
                <w:rFonts w:ascii="Verdana" w:eastAsia="Times New Roman" w:hAnsi="Verdana" w:cs="Times New Roman"/>
                <w:b/>
                <w:i/>
                <w:sz w:val="17"/>
                <w:szCs w:val="17"/>
                <w:lang w:val="de-DE"/>
              </w:rPr>
              <w:t xml:space="preserve"> equity</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Interest rate</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Equity</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0.75</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0.75</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lastRenderedPageBreak/>
              <w:t>Property</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0.75</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0.5</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Spread</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A</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0.75</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0.5</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Concentration</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Currency</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0.25</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sz w:val="17"/>
                <w:szCs w:val="17"/>
                <w:lang w:val="de-DE"/>
              </w:rPr>
            </w:pPr>
            <w:r w:rsidRPr="00127DD3">
              <w:rPr>
                <w:rFonts w:ascii="Verdana" w:eastAsia="Times New Roman" w:hAnsi="Verdana" w:cs="Times New Roman"/>
                <w:sz w:val="17"/>
                <w:szCs w:val="17"/>
                <w:lang w:val="de-DE"/>
              </w:rPr>
              <w:t>1</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r>
      <w:tr w:rsidR="00851A0C" w:rsidRPr="00127DD3" w:rsidTr="003570D8">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5B0BA9"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Unlisted i</w:t>
            </w:r>
            <w:r w:rsidR="003570D8" w:rsidRPr="00127DD3">
              <w:rPr>
                <w:rFonts w:ascii="Verdana" w:eastAsia="Times New Roman" w:hAnsi="Verdana" w:cs="Times New Roman"/>
                <w:b/>
                <w:i/>
                <w:sz w:val="17"/>
                <w:szCs w:val="17"/>
                <w:lang w:val="de-DE"/>
              </w:rPr>
              <w:t>nfrastructure</w:t>
            </w:r>
            <w:r w:rsidRPr="00127DD3">
              <w:rPr>
                <w:rFonts w:ascii="Verdana" w:eastAsia="Times New Roman" w:hAnsi="Verdana" w:cs="Times New Roman"/>
                <w:b/>
                <w:i/>
                <w:sz w:val="17"/>
                <w:szCs w:val="17"/>
                <w:lang w:val="de-DE"/>
              </w:rPr>
              <w:t xml:space="preserve"> equity</w:t>
            </w:r>
          </w:p>
        </w:tc>
        <w:tc>
          <w:tcPr>
            <w:tcW w:w="948"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91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100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923"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1350"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0</w:t>
            </w:r>
          </w:p>
        </w:tc>
        <w:tc>
          <w:tcPr>
            <w:tcW w:w="994" w:type="dxa"/>
            <w:tcBorders>
              <w:top w:val="single" w:sz="4" w:space="0" w:color="000000"/>
              <w:left w:val="single" w:sz="4" w:space="0" w:color="000000"/>
              <w:bottom w:val="single" w:sz="4" w:space="0" w:color="000000"/>
              <w:right w:val="single" w:sz="4" w:space="0" w:color="000000"/>
            </w:tcBorders>
            <w:hideMark/>
          </w:tcPr>
          <w:p w:rsidR="003570D8" w:rsidRPr="00127DD3" w:rsidRDefault="003570D8" w:rsidP="00851A0C">
            <w:pPr>
              <w:spacing w:before="120" w:after="120"/>
              <w:jc w:val="both"/>
              <w:rPr>
                <w:rFonts w:ascii="Verdana" w:eastAsia="Times New Roman" w:hAnsi="Verdana" w:cs="Times New Roman"/>
                <w:b/>
                <w:i/>
                <w:sz w:val="17"/>
                <w:szCs w:val="17"/>
                <w:lang w:val="de-DE"/>
              </w:rPr>
            </w:pPr>
            <w:r w:rsidRPr="00127DD3">
              <w:rPr>
                <w:rFonts w:ascii="Verdana" w:eastAsia="Times New Roman" w:hAnsi="Verdana" w:cs="Times New Roman"/>
                <w:b/>
                <w:i/>
                <w:sz w:val="17"/>
                <w:szCs w:val="17"/>
                <w:lang w:val="de-DE"/>
              </w:rPr>
              <w:t>1</w:t>
            </w:r>
          </w:p>
        </w:tc>
      </w:tr>
    </w:tbl>
    <w:p w:rsidR="003570D8" w:rsidRPr="00127DD3" w:rsidRDefault="003570D8" w:rsidP="00851A0C">
      <w:pPr>
        <w:jc w:val="both"/>
        <w:rPr>
          <w:rFonts w:ascii="Verdana" w:hAnsi="Verdana" w:cs="Times New Roman"/>
          <w:sz w:val="17"/>
          <w:szCs w:val="17"/>
        </w:rPr>
      </w:pP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SUBSECTION X</w:t>
      </w:r>
    </w:p>
    <w:p w:rsidR="003570D8" w:rsidRPr="00127DD3" w:rsidRDefault="005B0BA9"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UNLISTED </w:t>
      </w:r>
      <w:r w:rsidR="003570D8" w:rsidRPr="00127DD3">
        <w:rPr>
          <w:rFonts w:ascii="Verdana" w:hAnsi="Verdana" w:cs="Times New Roman"/>
          <w:sz w:val="17"/>
          <w:szCs w:val="17"/>
          <w:lang w:val="en-GB"/>
        </w:rPr>
        <w:t>INFRASTRUCTURE</w:t>
      </w:r>
      <w:r w:rsidRPr="00127DD3">
        <w:rPr>
          <w:rFonts w:ascii="Verdana" w:hAnsi="Verdana" w:cs="Times New Roman"/>
          <w:sz w:val="17"/>
          <w:szCs w:val="17"/>
          <w:lang w:val="en-GB"/>
        </w:rPr>
        <w:t xml:space="preserve"> EQUITY RISK SUB-MODULE</w:t>
      </w:r>
    </w:p>
    <w:p w:rsidR="003570D8" w:rsidRPr="00127DD3" w:rsidRDefault="003570D8" w:rsidP="00851A0C">
      <w:pPr>
        <w:jc w:val="both"/>
        <w:rPr>
          <w:rFonts w:ascii="Verdana" w:hAnsi="Verdana" w:cs="Times New Roman"/>
          <w:b/>
          <w:sz w:val="17"/>
          <w:szCs w:val="17"/>
          <w:lang w:val="en-GB"/>
        </w:rPr>
      </w:pPr>
      <w:r w:rsidRPr="00127DD3">
        <w:rPr>
          <w:rFonts w:ascii="Verdana" w:hAnsi="Verdana" w:cs="Times New Roman"/>
          <w:b/>
          <w:sz w:val="17"/>
          <w:szCs w:val="17"/>
          <w:lang w:val="en-GB"/>
        </w:rPr>
        <w:t>Article XXX</w:t>
      </w:r>
    </w:p>
    <w:p w:rsidR="003570D8" w:rsidRPr="00127DD3" w:rsidRDefault="003570D8" w:rsidP="00851A0C">
      <w:pPr>
        <w:jc w:val="both"/>
        <w:rPr>
          <w:rFonts w:ascii="Verdana" w:hAnsi="Verdana" w:cs="Times New Roman"/>
          <w:sz w:val="17"/>
          <w:szCs w:val="17"/>
          <w:lang w:val="en-GB"/>
        </w:rPr>
      </w:pPr>
      <w:r w:rsidRPr="00127DD3">
        <w:rPr>
          <w:rFonts w:ascii="Verdana" w:hAnsi="Verdana" w:cs="Times New Roman"/>
          <w:sz w:val="17"/>
          <w:szCs w:val="17"/>
          <w:lang w:val="en-GB"/>
        </w:rPr>
        <w:t xml:space="preserve">The capital requirement for </w:t>
      </w:r>
      <w:r w:rsidR="005B0BA9" w:rsidRPr="00127DD3">
        <w:rPr>
          <w:rFonts w:ascii="Verdana" w:hAnsi="Verdana" w:cs="Times New Roman"/>
          <w:sz w:val="17"/>
          <w:szCs w:val="17"/>
          <w:lang w:val="en-GB"/>
        </w:rPr>
        <w:t xml:space="preserve">unlisted </w:t>
      </w:r>
      <w:r w:rsidRPr="00127DD3">
        <w:rPr>
          <w:rFonts w:ascii="Verdana" w:hAnsi="Verdana" w:cs="Times New Roman"/>
          <w:sz w:val="17"/>
          <w:szCs w:val="17"/>
          <w:lang w:val="en-GB"/>
        </w:rPr>
        <w:t>infrastructure</w:t>
      </w:r>
      <w:r w:rsidR="005B0BA9" w:rsidRPr="00127DD3">
        <w:rPr>
          <w:rFonts w:ascii="Verdana" w:hAnsi="Verdana" w:cs="Times New Roman"/>
          <w:sz w:val="17"/>
          <w:szCs w:val="17"/>
          <w:lang w:val="en-GB"/>
        </w:rPr>
        <w:t xml:space="preserve"> equity</w:t>
      </w:r>
      <w:r w:rsidRPr="00127DD3">
        <w:rPr>
          <w:rFonts w:ascii="Verdana" w:hAnsi="Verdana" w:cs="Times New Roman"/>
          <w:sz w:val="17"/>
          <w:szCs w:val="17"/>
          <w:lang w:val="en-GB"/>
        </w:rPr>
        <w:t xml:space="preserve"> risk shall be equal to the loss in the basic own funds that would result from</w:t>
      </w:r>
      <w:r w:rsidR="001E64B5" w:rsidRPr="00127DD3">
        <w:rPr>
          <w:rFonts w:ascii="Verdana" w:hAnsi="Verdana" w:cs="Times New Roman"/>
          <w:sz w:val="17"/>
          <w:szCs w:val="17"/>
          <w:lang w:val="en-GB"/>
        </w:rPr>
        <w:t xml:space="preserve"> an instantaneous decrease of 22</w:t>
      </w:r>
      <w:r w:rsidRPr="00127DD3">
        <w:rPr>
          <w:rFonts w:ascii="Verdana" w:hAnsi="Verdana" w:cs="Times New Roman"/>
          <w:sz w:val="17"/>
          <w:szCs w:val="17"/>
          <w:lang w:val="en-GB"/>
        </w:rPr>
        <w:t>% in the value of the assets</w:t>
      </w:r>
      <w:r w:rsidR="005B0BA9" w:rsidRPr="00127DD3">
        <w:rPr>
          <w:rFonts w:ascii="Verdana" w:hAnsi="Verdana" w:cs="Times New Roman"/>
          <w:sz w:val="17"/>
          <w:szCs w:val="17"/>
          <w:lang w:val="en-GB"/>
        </w:rPr>
        <w:t>.</w:t>
      </w:r>
    </w:p>
    <w:p w:rsidR="00617DB0" w:rsidRPr="00127DD3" w:rsidRDefault="00617DB0" w:rsidP="00851A0C">
      <w:pPr>
        <w:jc w:val="both"/>
        <w:rPr>
          <w:rFonts w:ascii="Verdana" w:hAnsi="Verdana" w:cs="Times New Roman"/>
          <w:b/>
          <w:sz w:val="17"/>
          <w:szCs w:val="17"/>
          <w:lang w:val="en-GB"/>
        </w:rPr>
      </w:pPr>
      <w:r w:rsidRPr="00127DD3">
        <w:rPr>
          <w:rFonts w:ascii="Verdana" w:hAnsi="Verdana" w:cs="Times New Roman"/>
          <w:noProof/>
          <w:sz w:val="17"/>
          <w:szCs w:val="17"/>
          <w:lang w:val="en-GB" w:eastAsia="en-GB"/>
        </w:rPr>
        <mc:AlternateContent>
          <mc:Choice Requires="wps">
            <w:drawing>
              <wp:anchor distT="0" distB="0" distL="114300" distR="114300" simplePos="0" relativeHeight="251669504" behindDoc="0" locked="0" layoutInCell="1" allowOverlap="1" wp14:anchorId="525AF62C" wp14:editId="06A2DF0A">
                <wp:simplePos x="0" y="0"/>
                <wp:positionH relativeFrom="column">
                  <wp:posOffset>-114791</wp:posOffset>
                </wp:positionH>
                <wp:positionV relativeFrom="paragraph">
                  <wp:posOffset>103062</wp:posOffset>
                </wp:positionV>
                <wp:extent cx="6003925" cy="439947"/>
                <wp:effectExtent l="0" t="0" r="15875" b="177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439947"/>
                        </a:xfrm>
                        <a:prstGeom prst="rect">
                          <a:avLst/>
                        </a:prstGeom>
                        <a:solidFill>
                          <a:srgbClr val="FFFFFF"/>
                        </a:solidFill>
                        <a:ln w="9525">
                          <a:solidFill>
                            <a:srgbClr val="000000"/>
                          </a:solidFill>
                          <a:miter lim="800000"/>
                          <a:headEnd/>
                          <a:tailEnd/>
                        </a:ln>
                      </wps:spPr>
                      <wps:txbx>
                        <w:txbxContent>
                          <w:p w:rsidR="00617DB0" w:rsidRPr="00127DD3" w:rsidRDefault="00617DB0" w:rsidP="00617DB0">
                            <w:pPr>
                              <w:rPr>
                                <w:rFonts w:ascii="Verdana" w:hAnsi="Verdana" w:cs="Times New Roman"/>
                                <w:b/>
                                <w:sz w:val="17"/>
                                <w:szCs w:val="17"/>
                                <w:lang w:val="en-GB"/>
                              </w:rPr>
                            </w:pPr>
                            <w:r w:rsidRPr="00127DD3">
                              <w:rPr>
                                <w:rFonts w:ascii="Verdana" w:hAnsi="Verdana" w:cs="Times New Roman"/>
                                <w:b/>
                                <w:sz w:val="17"/>
                                <w:szCs w:val="17"/>
                                <w:lang w:val="en-GB"/>
                              </w:rPr>
                              <w:t xml:space="preserve">SME equity investments </w:t>
                            </w:r>
                            <w:r w:rsidRPr="00127DD3">
                              <w:rPr>
                                <w:rFonts w:ascii="Verdana" w:hAnsi="Verdana" w:cs="Times New Roman"/>
                                <w:sz w:val="17"/>
                                <w:szCs w:val="17"/>
                                <w:lang w:val="en-GB"/>
                              </w:rPr>
                              <w:t xml:space="preserve">are currently given a treatment similar to that of hedge funds, which significantly </w:t>
                            </w:r>
                            <w:proofErr w:type="spellStart"/>
                            <w:r w:rsidRPr="00127DD3">
                              <w:rPr>
                                <w:rFonts w:ascii="Verdana" w:hAnsi="Verdana" w:cs="Times New Roman"/>
                                <w:sz w:val="17"/>
                                <w:szCs w:val="17"/>
                                <w:lang w:val="en-GB"/>
                              </w:rPr>
                              <w:t>disincentivises</w:t>
                            </w:r>
                            <w:proofErr w:type="spellEnd"/>
                            <w:r w:rsidRPr="00127DD3">
                              <w:rPr>
                                <w:rFonts w:ascii="Verdana" w:hAnsi="Verdana" w:cs="Times New Roman"/>
                                <w:sz w:val="17"/>
                                <w:szCs w:val="17"/>
                                <w:lang w:val="en-GB"/>
                              </w:rPr>
                              <w:t xml:space="preserve"> insurers’ investments in this asset class. </w:t>
                            </w:r>
                          </w:p>
                          <w:p w:rsidR="00617DB0" w:rsidRPr="00A51230" w:rsidRDefault="00617DB0" w:rsidP="00617DB0">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9.05pt;margin-top:8.1pt;width:472.7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FiJAIAAEsEAAAOAAAAZHJzL2Uyb0RvYy54bWysVNtu2zAMfR+wfxD0vthJnXYx4hRdugwD&#10;ugvQ7gNoWY6FSaInKbG7rx+lpGl2wR6G+UEQJerw8JD08no0mu2l8wptxaeTnDNpBTbKbiv+5WHz&#10;6jVnPoBtQKOVFX+Unl+vXr5YDn0pZ9ihbqRjBGJ9OfQV70LoyyzzopMG/AR7aemyRWcgkOm2WeNg&#10;IHSjs1meX2YDuqZ3KKT3dHp7uOSrhN+2UoRPbetlYLrixC2k1aW1jmu2WkK5ddB3ShxpwD+wMKAs&#10;BT1B3UIAtnPqNyijhEOPbZgINBm2rRIy5UDZTPNfsrnvoJcpFxLH9yeZ/P+DFR/3nx1TTcWpUBYM&#10;lehBjoG9wZHNojpD70tyuu/JLYx0TFVOmfr+DsVXzyyuO7BbeeMcDp2EhthN48vs7OkBx0eQeviA&#10;DYWBXcAENLbOROlIDEboVKXHU2UiFUGHl3l+sZjNORN0V1wsFsVVCgHl0+ve+fBOomFxU3FHlU/o&#10;sL/zIbKB8sklBvOoVbNRWifDbeu1dmwP1CWb9B3Rf3LTlg0VX8yJx98h8vT9CcKoQO2ulSG9T05Q&#10;Rtne2iY1YwClD3uirO1RxyjdQcQw1mMqWBEDRI1rbB5JWIeH7qZppE2H7jtnA3V2xf23HTjJmX5v&#10;qTiLaVHEUUhGMb+akeHOb+rzG7CCoCoeODts1yGNT1TA4g0VsVVJ32cmR8rUsUn243TFkTi3k9fz&#10;P2D1AwAA//8DAFBLAwQUAAYACAAAACEAGdYYn+AAAAAJAQAADwAAAGRycy9kb3ducmV2LnhtbEyP&#10;wU7DMBBE70j8g7VIXFDrJLRpGuJUCAkENyhVubqxm0TY62C7afh7lhMcVzN687baTNawUfvQOxSQ&#10;zhNgGhunemwF7N4fZwWwECUqaRxqAd86wKa+vKhkqdwZ3/S4jS0jCIZSCuhiHErOQ9NpK8PcDRop&#10;OzpvZaTTt1x5eSa4NTxLkpxb2SMtdHLQD51uPrcnK6BYPI8f4eX2dd/kR7OON6vx6csLcX013d8B&#10;i3qKf2X41Sd1qMnp4E6oAjMCZmmRUpWCPANGhXW2WgA7EH25BF5X/P8H9Q8AAAD//wMAUEsBAi0A&#10;FAAGAAgAAAAhALaDOJL+AAAA4QEAABMAAAAAAAAAAAAAAAAAAAAAAFtDb250ZW50X1R5cGVzXS54&#10;bWxQSwECLQAUAAYACAAAACEAOP0h/9YAAACUAQAACwAAAAAAAAAAAAAAAAAvAQAAX3JlbHMvLnJl&#10;bHNQSwECLQAUAAYACAAAACEAbjJRYiQCAABLBAAADgAAAAAAAAAAAAAAAAAuAgAAZHJzL2Uyb0Rv&#10;Yy54bWxQSwECLQAUAAYACAAAACEAGdYYn+AAAAAJAQAADwAAAAAAAAAAAAAAAAB+BAAAZHJzL2Rv&#10;d25yZXYueG1sUEsFBgAAAAAEAAQA8wAAAIsFAAAAAA==&#10;">
                <v:textbox>
                  <w:txbxContent>
                    <w:p w:rsidR="00617DB0" w:rsidRPr="00127DD3" w:rsidRDefault="00617DB0" w:rsidP="00617DB0">
                      <w:pPr>
                        <w:rPr>
                          <w:rFonts w:ascii="Verdana" w:hAnsi="Verdana" w:cs="Times New Roman"/>
                          <w:b/>
                          <w:sz w:val="17"/>
                          <w:szCs w:val="17"/>
                          <w:lang w:val="en-GB"/>
                        </w:rPr>
                      </w:pPr>
                      <w:r w:rsidRPr="00127DD3">
                        <w:rPr>
                          <w:rFonts w:ascii="Verdana" w:hAnsi="Verdana" w:cs="Times New Roman"/>
                          <w:b/>
                          <w:sz w:val="17"/>
                          <w:szCs w:val="17"/>
                          <w:lang w:val="en-GB"/>
                        </w:rPr>
                        <w:t xml:space="preserve">SME equity investments </w:t>
                      </w:r>
                      <w:r w:rsidRPr="00127DD3">
                        <w:rPr>
                          <w:rFonts w:ascii="Verdana" w:hAnsi="Verdana" w:cs="Times New Roman"/>
                          <w:sz w:val="17"/>
                          <w:szCs w:val="17"/>
                          <w:lang w:val="en-GB"/>
                        </w:rPr>
                        <w:t xml:space="preserve">are currently given a treatment similar to that of hedge funds, which significantly </w:t>
                      </w:r>
                      <w:proofErr w:type="spellStart"/>
                      <w:r w:rsidRPr="00127DD3">
                        <w:rPr>
                          <w:rFonts w:ascii="Verdana" w:hAnsi="Verdana" w:cs="Times New Roman"/>
                          <w:sz w:val="17"/>
                          <w:szCs w:val="17"/>
                          <w:lang w:val="en-GB"/>
                        </w:rPr>
                        <w:t>disincentivises</w:t>
                      </w:r>
                      <w:proofErr w:type="spellEnd"/>
                      <w:r w:rsidRPr="00127DD3">
                        <w:rPr>
                          <w:rFonts w:ascii="Verdana" w:hAnsi="Verdana" w:cs="Times New Roman"/>
                          <w:sz w:val="17"/>
                          <w:szCs w:val="17"/>
                          <w:lang w:val="en-GB"/>
                        </w:rPr>
                        <w:t xml:space="preserve"> insurers’ investments in this asset class. </w:t>
                      </w:r>
                    </w:p>
                    <w:p w:rsidR="00617DB0" w:rsidRPr="00A51230" w:rsidRDefault="00617DB0" w:rsidP="00617DB0">
                      <w:pPr>
                        <w:rPr>
                          <w:lang w:val="en-GB"/>
                        </w:rPr>
                      </w:pPr>
                    </w:p>
                  </w:txbxContent>
                </v:textbox>
              </v:shape>
            </w:pict>
          </mc:Fallback>
        </mc:AlternateContent>
      </w:r>
    </w:p>
    <w:p w:rsidR="00617DB0" w:rsidRPr="00127DD3" w:rsidRDefault="00617DB0" w:rsidP="00851A0C">
      <w:pPr>
        <w:jc w:val="both"/>
        <w:rPr>
          <w:rFonts w:ascii="Verdana" w:hAnsi="Verdana" w:cs="Times New Roman"/>
          <w:b/>
          <w:sz w:val="17"/>
          <w:szCs w:val="17"/>
          <w:lang w:val="en-GB"/>
        </w:rPr>
      </w:pPr>
    </w:p>
    <w:p w:rsidR="00617DB0" w:rsidRPr="00127DD3" w:rsidRDefault="00617DB0" w:rsidP="00851A0C">
      <w:pPr>
        <w:jc w:val="both"/>
        <w:rPr>
          <w:rFonts w:ascii="Verdana" w:hAnsi="Verdana" w:cs="Times New Roman"/>
          <w:b/>
          <w:sz w:val="17"/>
          <w:szCs w:val="17"/>
          <w:lang w:val="en-GB"/>
        </w:rPr>
      </w:pPr>
    </w:p>
    <w:p w:rsidR="00804D59" w:rsidRPr="00127DD3" w:rsidRDefault="005B0BA9" w:rsidP="00851A0C">
      <w:pPr>
        <w:autoSpaceDE w:val="0"/>
        <w:autoSpaceDN w:val="0"/>
        <w:adjustRightInd w:val="0"/>
        <w:spacing w:after="0"/>
        <w:jc w:val="both"/>
        <w:rPr>
          <w:rFonts w:ascii="Verdana" w:hAnsi="Verdana" w:cs="Times New Roman"/>
          <w:sz w:val="17"/>
          <w:szCs w:val="17"/>
          <w:lang w:val="en-GB"/>
        </w:rPr>
      </w:pPr>
      <w:r w:rsidRPr="00127DD3">
        <w:rPr>
          <w:rFonts w:ascii="Verdana" w:hAnsi="Verdana" w:cs="Times New Roman"/>
          <w:sz w:val="17"/>
          <w:szCs w:val="17"/>
          <w:lang w:val="en-GB"/>
        </w:rPr>
        <w:t>Equity i</w:t>
      </w:r>
      <w:r w:rsidR="00804D59" w:rsidRPr="00127DD3">
        <w:rPr>
          <w:rFonts w:ascii="Verdana" w:hAnsi="Verdana" w:cs="Times New Roman"/>
          <w:sz w:val="17"/>
          <w:szCs w:val="17"/>
          <w:lang w:val="en-GB"/>
        </w:rPr>
        <w:t>nvestments in unlisted SMEs are illiquid and generally long-term. The currently foreseen capital charge for such investments is 49% (similar to investments in hedge funds). The long-term and illiquid nature of such investments should be recognised by</w:t>
      </w:r>
      <w:r w:rsidR="00A77972" w:rsidRPr="00127DD3">
        <w:rPr>
          <w:rFonts w:ascii="Verdana" w:hAnsi="Verdana" w:cs="Times New Roman"/>
          <w:sz w:val="17"/>
          <w:szCs w:val="17"/>
          <w:lang w:val="en-GB"/>
        </w:rPr>
        <w:t xml:space="preserve"> an appropriate treatment of such assets. The capital charge for unlisted SME equity should be set at 22% (similar to the charge applied to investments of strategic nature).</w:t>
      </w:r>
    </w:p>
    <w:p w:rsidR="00804D59" w:rsidRPr="00127DD3" w:rsidRDefault="00804D59" w:rsidP="00851A0C">
      <w:pPr>
        <w:autoSpaceDE w:val="0"/>
        <w:autoSpaceDN w:val="0"/>
        <w:adjustRightInd w:val="0"/>
        <w:spacing w:after="0"/>
        <w:jc w:val="both"/>
        <w:rPr>
          <w:rFonts w:ascii="Verdana" w:hAnsi="Verdana" w:cs="Times New Roman"/>
          <w:sz w:val="17"/>
          <w:szCs w:val="17"/>
          <w:lang w:val="en-GB"/>
        </w:rPr>
      </w:pPr>
    </w:p>
    <w:p w:rsidR="003C67CF" w:rsidRPr="00127DD3" w:rsidRDefault="003C67CF" w:rsidP="00851A0C">
      <w:pPr>
        <w:spacing w:after="0"/>
        <w:jc w:val="both"/>
        <w:rPr>
          <w:rFonts w:ascii="Verdana" w:hAnsi="Verdana" w:cs="Times New Roman"/>
          <w:b/>
          <w:sz w:val="17"/>
          <w:szCs w:val="17"/>
          <w:lang w:val="en-GB"/>
        </w:rPr>
      </w:pPr>
      <w:r w:rsidRPr="00127DD3">
        <w:rPr>
          <w:rFonts w:ascii="Verdana" w:hAnsi="Verdana" w:cs="Times New Roman"/>
          <w:b/>
          <w:sz w:val="17"/>
          <w:szCs w:val="17"/>
          <w:lang w:val="en-GB"/>
        </w:rPr>
        <w:t>Article 149 ER1</w:t>
      </w:r>
    </w:p>
    <w:p w:rsidR="00A77972" w:rsidRPr="00127DD3" w:rsidRDefault="00A77972" w:rsidP="00851A0C">
      <w:pPr>
        <w:spacing w:after="0"/>
        <w:ind w:left="851" w:hanging="851"/>
        <w:jc w:val="both"/>
        <w:rPr>
          <w:rFonts w:ascii="Verdana" w:hAnsi="Verdana" w:cs="Times New Roman"/>
          <w:sz w:val="17"/>
          <w:szCs w:val="17"/>
          <w:lang w:val="en-GB"/>
        </w:rPr>
      </w:pPr>
      <w:r w:rsidRPr="00127DD3">
        <w:rPr>
          <w:rFonts w:ascii="Verdana" w:hAnsi="Verdana" w:cs="Times New Roman"/>
          <w:sz w:val="17"/>
          <w:szCs w:val="17"/>
          <w:lang w:val="en-GB"/>
        </w:rPr>
        <w:t xml:space="preserve">The equity risk sub-module referred to in point (b) of Article 105(5) of Directive 2009/138/EC shall </w:t>
      </w:r>
    </w:p>
    <w:p w:rsidR="00A77972" w:rsidRPr="00127DD3" w:rsidRDefault="00A77972" w:rsidP="00851A0C">
      <w:pPr>
        <w:spacing w:after="0"/>
        <w:ind w:left="851" w:hanging="851"/>
        <w:jc w:val="both"/>
        <w:rPr>
          <w:rFonts w:ascii="Verdana" w:hAnsi="Verdana" w:cs="Times New Roman"/>
          <w:sz w:val="17"/>
          <w:szCs w:val="17"/>
          <w:lang w:val="en-GB"/>
        </w:rPr>
      </w:pPr>
      <w:proofErr w:type="gramStart"/>
      <w:r w:rsidRPr="00127DD3">
        <w:rPr>
          <w:rFonts w:ascii="Verdana" w:hAnsi="Verdana" w:cs="Times New Roman"/>
          <w:sz w:val="17"/>
          <w:szCs w:val="17"/>
          <w:lang w:val="en-GB"/>
        </w:rPr>
        <w:t>include</w:t>
      </w:r>
      <w:proofErr w:type="gramEnd"/>
      <w:r w:rsidRPr="00127DD3">
        <w:rPr>
          <w:rFonts w:ascii="Verdana" w:hAnsi="Verdana" w:cs="Times New Roman"/>
          <w:sz w:val="17"/>
          <w:szCs w:val="17"/>
          <w:lang w:val="en-GB"/>
        </w:rPr>
        <w:t xml:space="preserve"> a risk sub-module for type 3 equities, which includes equity investments in SMEs and</w:t>
      </w:r>
    </w:p>
    <w:p w:rsidR="00A77972" w:rsidRPr="00127DD3" w:rsidRDefault="00A77972" w:rsidP="00851A0C">
      <w:pPr>
        <w:spacing w:after="0"/>
        <w:ind w:left="851" w:hanging="851"/>
        <w:jc w:val="both"/>
        <w:rPr>
          <w:rFonts w:ascii="Verdana" w:hAnsi="Verdana" w:cs="Times New Roman"/>
          <w:sz w:val="17"/>
          <w:szCs w:val="17"/>
          <w:lang w:val="en-GB"/>
        </w:rPr>
      </w:pPr>
      <w:proofErr w:type="gramStart"/>
      <w:r w:rsidRPr="00127DD3">
        <w:rPr>
          <w:rFonts w:ascii="Verdana" w:hAnsi="Verdana" w:cs="Times New Roman"/>
          <w:sz w:val="17"/>
          <w:szCs w:val="17"/>
          <w:lang w:val="en-GB"/>
        </w:rPr>
        <w:t>ELTIF.</w:t>
      </w:r>
      <w:proofErr w:type="gramEnd"/>
      <w:r w:rsidRPr="00127DD3">
        <w:rPr>
          <w:rFonts w:ascii="Verdana" w:hAnsi="Verdana" w:cs="Times New Roman"/>
          <w:sz w:val="17"/>
          <w:szCs w:val="17"/>
          <w:lang w:val="en-GB"/>
        </w:rPr>
        <w:t xml:space="preserve"> </w:t>
      </w:r>
    </w:p>
    <w:p w:rsidR="00773DE6" w:rsidRPr="00127DD3" w:rsidRDefault="00773DE6" w:rsidP="00851A0C">
      <w:pPr>
        <w:spacing w:after="0"/>
        <w:ind w:left="851" w:hanging="851"/>
        <w:jc w:val="both"/>
        <w:rPr>
          <w:rFonts w:ascii="Verdana" w:eastAsia="Times New Roman" w:hAnsi="Verdana" w:cs="Times New Roman"/>
          <w:sz w:val="17"/>
          <w:szCs w:val="17"/>
          <w:lang w:val="en-GB"/>
        </w:rPr>
      </w:pPr>
    </w:p>
    <w:p w:rsidR="00A77972" w:rsidRPr="00127DD3" w:rsidRDefault="00A77972" w:rsidP="00851A0C">
      <w:pPr>
        <w:spacing w:after="0"/>
        <w:ind w:left="851" w:hanging="851"/>
        <w:jc w:val="both"/>
        <w:rPr>
          <w:rFonts w:ascii="Verdana" w:eastAsia="Times New Roman" w:hAnsi="Verdana" w:cs="Times New Roman"/>
          <w:b/>
          <w:sz w:val="17"/>
          <w:szCs w:val="17"/>
          <w:lang w:val="en-GB"/>
        </w:rPr>
      </w:pPr>
      <w:r w:rsidRPr="00127DD3">
        <w:rPr>
          <w:rFonts w:ascii="Verdana" w:eastAsia="Times New Roman" w:hAnsi="Verdana" w:cs="Times New Roman"/>
          <w:b/>
          <w:sz w:val="17"/>
          <w:szCs w:val="17"/>
          <w:lang w:val="en-GB"/>
        </w:rPr>
        <w:t>Article 150 ER3</w:t>
      </w:r>
    </w:p>
    <w:p w:rsidR="00773DE6" w:rsidRPr="00127DD3" w:rsidRDefault="00A77972" w:rsidP="00851A0C">
      <w:pPr>
        <w:spacing w:after="0"/>
        <w:ind w:left="851" w:hanging="851"/>
        <w:jc w:val="both"/>
        <w:rPr>
          <w:rFonts w:ascii="Verdana" w:eastAsia="Times New Roman" w:hAnsi="Verdana" w:cs="Times New Roman"/>
          <w:sz w:val="17"/>
          <w:szCs w:val="17"/>
          <w:lang w:val="en-GB"/>
        </w:rPr>
      </w:pPr>
      <w:r w:rsidRPr="00127DD3">
        <w:rPr>
          <w:rFonts w:ascii="Verdana" w:eastAsia="Times New Roman" w:hAnsi="Verdana" w:cs="Times New Roman"/>
          <w:sz w:val="17"/>
          <w:szCs w:val="17"/>
          <w:lang w:val="x-none"/>
        </w:rPr>
        <w:t xml:space="preserve">The capital requirement for type </w:t>
      </w:r>
      <w:r w:rsidRPr="00127DD3">
        <w:rPr>
          <w:rFonts w:ascii="Verdana" w:eastAsia="Times New Roman" w:hAnsi="Verdana" w:cs="Times New Roman"/>
          <w:sz w:val="17"/>
          <w:szCs w:val="17"/>
          <w:lang w:val="en-GB"/>
        </w:rPr>
        <w:t>3</w:t>
      </w:r>
      <w:r w:rsidRPr="00127DD3">
        <w:rPr>
          <w:rFonts w:ascii="Verdana" w:eastAsia="Times New Roman" w:hAnsi="Verdana" w:cs="Times New Roman"/>
          <w:sz w:val="17"/>
          <w:szCs w:val="17"/>
          <w:lang w:val="x-none"/>
        </w:rPr>
        <w:t xml:space="preserve"> equities referred to in Article ER1 shall be equal to the loss</w:t>
      </w:r>
      <w:r w:rsidR="00773DE6" w:rsidRPr="00127DD3">
        <w:rPr>
          <w:rFonts w:ascii="Verdana" w:eastAsia="Times New Roman" w:hAnsi="Verdana" w:cs="Times New Roman"/>
          <w:sz w:val="17"/>
          <w:szCs w:val="17"/>
          <w:lang w:val="en-GB"/>
        </w:rPr>
        <w:t xml:space="preserve"> </w:t>
      </w:r>
      <w:r w:rsidR="00773DE6" w:rsidRPr="00127DD3">
        <w:rPr>
          <w:rFonts w:ascii="Verdana" w:eastAsia="Times New Roman" w:hAnsi="Verdana" w:cs="Times New Roman"/>
          <w:sz w:val="17"/>
          <w:szCs w:val="17"/>
          <w:lang w:val="x-none"/>
        </w:rPr>
        <w:t>in the</w:t>
      </w:r>
    </w:p>
    <w:p w:rsidR="00773DE6" w:rsidRPr="00127DD3" w:rsidRDefault="00A77972" w:rsidP="00851A0C">
      <w:pPr>
        <w:spacing w:after="0"/>
        <w:ind w:left="851" w:hanging="851"/>
        <w:jc w:val="both"/>
        <w:rPr>
          <w:rFonts w:ascii="Verdana" w:eastAsia="Times New Roman" w:hAnsi="Verdana" w:cs="Times New Roman"/>
          <w:sz w:val="17"/>
          <w:szCs w:val="17"/>
          <w:lang w:val="en-GB"/>
        </w:rPr>
      </w:pPr>
      <w:r w:rsidRPr="00127DD3">
        <w:rPr>
          <w:rFonts w:ascii="Verdana" w:eastAsia="Times New Roman" w:hAnsi="Verdana" w:cs="Times New Roman"/>
          <w:sz w:val="17"/>
          <w:szCs w:val="17"/>
          <w:lang w:val="x-none"/>
        </w:rPr>
        <w:t>basic own funds that would result from an instantaneous decrease</w:t>
      </w:r>
      <w:r w:rsidRPr="00127DD3">
        <w:rPr>
          <w:rFonts w:ascii="Verdana" w:eastAsia="Times New Roman" w:hAnsi="Verdana" w:cs="Times New Roman"/>
          <w:sz w:val="17"/>
          <w:szCs w:val="17"/>
          <w:lang w:val="en-GB"/>
        </w:rPr>
        <w:t xml:space="preserve"> equal to 22 % in the</w:t>
      </w:r>
      <w:r w:rsidR="00773DE6" w:rsidRPr="00127DD3">
        <w:rPr>
          <w:rFonts w:ascii="Verdana" w:eastAsia="Times New Roman" w:hAnsi="Verdana" w:cs="Times New Roman"/>
          <w:sz w:val="17"/>
          <w:szCs w:val="17"/>
          <w:lang w:val="en-GB"/>
        </w:rPr>
        <w:t xml:space="preserve"> </w:t>
      </w:r>
      <w:r w:rsidRPr="00127DD3">
        <w:rPr>
          <w:rFonts w:ascii="Verdana" w:eastAsia="Times New Roman" w:hAnsi="Verdana" w:cs="Times New Roman"/>
          <w:sz w:val="17"/>
          <w:szCs w:val="17"/>
          <w:lang w:val="en-GB"/>
        </w:rPr>
        <w:t>value of type 3</w:t>
      </w:r>
    </w:p>
    <w:p w:rsidR="00A77972" w:rsidRPr="00127DD3" w:rsidRDefault="00A77972" w:rsidP="00851A0C">
      <w:pPr>
        <w:spacing w:after="0"/>
        <w:ind w:left="851" w:hanging="851"/>
        <w:jc w:val="both"/>
        <w:rPr>
          <w:rFonts w:ascii="Verdana" w:eastAsia="Times New Roman" w:hAnsi="Verdana" w:cs="Times New Roman"/>
          <w:sz w:val="17"/>
          <w:szCs w:val="17"/>
          <w:lang w:val="en-GB"/>
        </w:rPr>
      </w:pPr>
      <w:proofErr w:type="gramStart"/>
      <w:r w:rsidRPr="00127DD3">
        <w:rPr>
          <w:rFonts w:ascii="Verdana" w:eastAsia="Times New Roman" w:hAnsi="Verdana" w:cs="Times New Roman"/>
          <w:sz w:val="17"/>
          <w:szCs w:val="17"/>
          <w:lang w:val="en-GB"/>
        </w:rPr>
        <w:t>equity</w:t>
      </w:r>
      <w:proofErr w:type="gramEnd"/>
      <w:r w:rsidRPr="00127DD3">
        <w:rPr>
          <w:rFonts w:ascii="Verdana" w:eastAsia="Times New Roman" w:hAnsi="Verdana" w:cs="Times New Roman"/>
          <w:sz w:val="17"/>
          <w:szCs w:val="17"/>
          <w:lang w:val="en-GB"/>
        </w:rPr>
        <w:t xml:space="preserve"> investments.</w:t>
      </w:r>
    </w:p>
    <w:p w:rsidR="006D4A88" w:rsidRPr="00127DD3" w:rsidRDefault="006D4A88" w:rsidP="00851A0C">
      <w:pPr>
        <w:jc w:val="both"/>
        <w:rPr>
          <w:rFonts w:ascii="Verdana" w:hAnsi="Verdana" w:cs="Times New Roman"/>
          <w:sz w:val="17"/>
          <w:szCs w:val="17"/>
          <w:lang w:val="en-GB"/>
        </w:rPr>
      </w:pPr>
    </w:p>
    <w:sectPr w:rsidR="006D4A88" w:rsidRPr="00127DD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58" w:rsidRDefault="00000458" w:rsidP="00CC4070">
      <w:pPr>
        <w:spacing w:after="0" w:line="240" w:lineRule="auto"/>
      </w:pPr>
      <w:r>
        <w:separator/>
      </w:r>
    </w:p>
  </w:endnote>
  <w:endnote w:type="continuationSeparator" w:id="0">
    <w:p w:rsidR="00000458" w:rsidRDefault="00000458" w:rsidP="00CC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37833"/>
      <w:docPartObj>
        <w:docPartGallery w:val="Page Numbers (Bottom of Page)"/>
        <w:docPartUnique/>
      </w:docPartObj>
    </w:sdtPr>
    <w:sdtEndPr/>
    <w:sdtContent>
      <w:p w:rsidR="00CC4070" w:rsidRDefault="00CC4070">
        <w:pPr>
          <w:pStyle w:val="Footer"/>
          <w:jc w:val="right"/>
        </w:pPr>
        <w:r>
          <w:fldChar w:fldCharType="begin"/>
        </w:r>
        <w:r>
          <w:instrText>PAGE   \* MERGEFORMAT</w:instrText>
        </w:r>
        <w:r>
          <w:fldChar w:fldCharType="separate"/>
        </w:r>
        <w:r w:rsidR="00445AB3">
          <w:rPr>
            <w:noProof/>
          </w:rPr>
          <w:t>7</w:t>
        </w:r>
        <w:r>
          <w:fldChar w:fldCharType="end"/>
        </w:r>
      </w:p>
    </w:sdtContent>
  </w:sdt>
  <w:p w:rsidR="00CC4070" w:rsidRDefault="00CC4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58" w:rsidRDefault="00000458" w:rsidP="00CC4070">
      <w:pPr>
        <w:spacing w:after="0" w:line="240" w:lineRule="auto"/>
      </w:pPr>
      <w:r>
        <w:separator/>
      </w:r>
    </w:p>
  </w:footnote>
  <w:footnote w:type="continuationSeparator" w:id="0">
    <w:p w:rsidR="00000458" w:rsidRDefault="00000458" w:rsidP="00CC4070">
      <w:pPr>
        <w:spacing w:after="0" w:line="240" w:lineRule="auto"/>
      </w:pPr>
      <w:r>
        <w:continuationSeparator/>
      </w:r>
    </w:p>
  </w:footnote>
  <w:footnote w:id="1">
    <w:p w:rsidR="004373F9" w:rsidRPr="00127DD3" w:rsidRDefault="004373F9" w:rsidP="004373F9">
      <w:pPr>
        <w:rPr>
          <w:rFonts w:ascii="Verdana" w:eastAsia="Times New Roman" w:hAnsi="Verdana" w:cs="Times New Roman"/>
          <w:sz w:val="16"/>
          <w:szCs w:val="16"/>
          <w:lang w:val="en-GB" w:eastAsia="en-GB"/>
        </w:rPr>
      </w:pPr>
      <w:r w:rsidRPr="00127DD3">
        <w:rPr>
          <w:rStyle w:val="FootnoteReference"/>
          <w:rFonts w:ascii="Verdana" w:hAnsi="Verdana" w:cs="Times New Roman"/>
          <w:sz w:val="16"/>
          <w:szCs w:val="16"/>
        </w:rPr>
        <w:footnoteRef/>
      </w:r>
      <w:r w:rsidRPr="00127DD3">
        <w:rPr>
          <w:rFonts w:ascii="Verdana" w:hAnsi="Verdana" w:cs="Times New Roman"/>
          <w:sz w:val="16"/>
          <w:szCs w:val="16"/>
          <w:lang w:val="en-GB"/>
        </w:rPr>
        <w:t xml:space="preserve"> Similar proposal was referenced as background note in EIOPA’s final paper on the calibration of long-term investments (</w:t>
      </w:r>
      <w:r w:rsidRPr="00127DD3">
        <w:rPr>
          <w:rFonts w:ascii="Verdana" w:eastAsia="Times New Roman" w:hAnsi="Verdana" w:cs="Times New Roman"/>
          <w:sz w:val="16"/>
          <w:szCs w:val="16"/>
          <w:lang w:val="en-GB" w:eastAsia="en-GB"/>
        </w:rPr>
        <w:t>Blanc-</w:t>
      </w:r>
      <w:proofErr w:type="spellStart"/>
      <w:r w:rsidRPr="00127DD3">
        <w:rPr>
          <w:rFonts w:ascii="Verdana" w:eastAsia="Times New Roman" w:hAnsi="Verdana" w:cs="Times New Roman"/>
          <w:sz w:val="16"/>
          <w:szCs w:val="16"/>
          <w:lang w:val="en-GB" w:eastAsia="en-GB"/>
        </w:rPr>
        <w:t>Brude</w:t>
      </w:r>
      <w:proofErr w:type="spellEnd"/>
      <w:r w:rsidRPr="00127DD3">
        <w:rPr>
          <w:rFonts w:ascii="Verdana" w:eastAsia="Times New Roman" w:hAnsi="Verdana" w:cs="Times New Roman"/>
          <w:sz w:val="16"/>
          <w:szCs w:val="16"/>
          <w:lang w:val="en-GB" w:eastAsia="en-GB"/>
        </w:rPr>
        <w:t xml:space="preserve">, F. (2013): Towards Efficient Benchmarks for Infrastructure Equity Investments. EDHEC Risk Institute) </w:t>
      </w:r>
    </w:p>
    <w:p w:rsidR="004373F9" w:rsidRPr="009E08CD" w:rsidRDefault="004373F9">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6" type="#_x0000_t75" style="width:11.25pt;height:11.25pt" o:bullet="t">
        <v:imagedata r:id="rId1" o:title="CEA - Bullets Rounded Squares_BulletLevel1_forMS"/>
      </v:shape>
    </w:pict>
  </w:numPicBullet>
  <w:abstractNum w:abstractNumId="0">
    <w:nsid w:val="022625BF"/>
    <w:multiLevelType w:val="hybridMultilevel"/>
    <w:tmpl w:val="A1A250DA"/>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E822F1"/>
    <w:multiLevelType w:val="hybridMultilevel"/>
    <w:tmpl w:val="65306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9E5FC6"/>
    <w:multiLevelType w:val="hybridMultilevel"/>
    <w:tmpl w:val="DF44D1EE"/>
    <w:lvl w:ilvl="0" w:tplc="F9FCFAA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FC7403"/>
    <w:multiLevelType w:val="hybridMultilevel"/>
    <w:tmpl w:val="66427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39A276E"/>
    <w:multiLevelType w:val="hybridMultilevel"/>
    <w:tmpl w:val="DF44D1EE"/>
    <w:lvl w:ilvl="0" w:tplc="F9FCFAA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91135C"/>
    <w:multiLevelType w:val="hybridMultilevel"/>
    <w:tmpl w:val="818C55E4"/>
    <w:lvl w:ilvl="0" w:tplc="8E8E467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964893"/>
    <w:multiLevelType w:val="hybridMultilevel"/>
    <w:tmpl w:val="B15C8566"/>
    <w:lvl w:ilvl="0" w:tplc="8DCC4654">
      <w:start w:val="1"/>
      <w:numFmt w:val="lowerLetter"/>
      <w:lvlText w:val="(%1)"/>
      <w:lvlJc w:val="left"/>
      <w:pPr>
        <w:ind w:left="720" w:hanging="360"/>
      </w:pPr>
      <w:rPr>
        <w:rFonts w:eastAsiaTheme="minorEastAsia" w:hint="default"/>
      </w:rPr>
    </w:lvl>
    <w:lvl w:ilvl="1" w:tplc="040C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805CBC"/>
    <w:multiLevelType w:val="hybridMultilevel"/>
    <w:tmpl w:val="398AC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5250EF4"/>
    <w:multiLevelType w:val="hybridMultilevel"/>
    <w:tmpl w:val="CF488268"/>
    <w:lvl w:ilvl="0" w:tplc="9176F1E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730304CD"/>
    <w:multiLevelType w:val="hybridMultilevel"/>
    <w:tmpl w:val="A07C22E2"/>
    <w:lvl w:ilvl="0" w:tplc="BC187BF4">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DE624B"/>
    <w:multiLevelType w:val="hybridMultilevel"/>
    <w:tmpl w:val="10748928"/>
    <w:lvl w:ilvl="0" w:tplc="61741AFC">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0"/>
  </w:num>
  <w:num w:numId="5">
    <w:abstractNumId w:val="5"/>
  </w:num>
  <w:num w:numId="6">
    <w:abstractNumId w:val="2"/>
  </w:num>
  <w:num w:numId="7">
    <w:abstractNumId w:val="4"/>
  </w:num>
  <w:num w:numId="8">
    <w:abstractNumId w:val="1"/>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6E"/>
    <w:rsid w:val="00000458"/>
    <w:rsid w:val="0001689B"/>
    <w:rsid w:val="00020482"/>
    <w:rsid w:val="0005206D"/>
    <w:rsid w:val="00064D41"/>
    <w:rsid w:val="000D62E9"/>
    <w:rsid w:val="000E219F"/>
    <w:rsid w:val="00127DD3"/>
    <w:rsid w:val="00196D82"/>
    <w:rsid w:val="001E64B5"/>
    <w:rsid w:val="00204A50"/>
    <w:rsid w:val="002177FA"/>
    <w:rsid w:val="00222395"/>
    <w:rsid w:val="00260B3C"/>
    <w:rsid w:val="002F1392"/>
    <w:rsid w:val="00302E6E"/>
    <w:rsid w:val="003570D8"/>
    <w:rsid w:val="00357209"/>
    <w:rsid w:val="003605D0"/>
    <w:rsid w:val="00373E37"/>
    <w:rsid w:val="003877F7"/>
    <w:rsid w:val="0039256B"/>
    <w:rsid w:val="00396C91"/>
    <w:rsid w:val="003A2113"/>
    <w:rsid w:val="003C67CF"/>
    <w:rsid w:val="003F5F83"/>
    <w:rsid w:val="00415B4B"/>
    <w:rsid w:val="00430380"/>
    <w:rsid w:val="004373F9"/>
    <w:rsid w:val="00445AB3"/>
    <w:rsid w:val="004755F0"/>
    <w:rsid w:val="004E0392"/>
    <w:rsid w:val="004F1CB0"/>
    <w:rsid w:val="005007D6"/>
    <w:rsid w:val="00505C48"/>
    <w:rsid w:val="005115A7"/>
    <w:rsid w:val="00534D47"/>
    <w:rsid w:val="005A6292"/>
    <w:rsid w:val="005B0BA9"/>
    <w:rsid w:val="00617DB0"/>
    <w:rsid w:val="006728F0"/>
    <w:rsid w:val="00677169"/>
    <w:rsid w:val="006D4A88"/>
    <w:rsid w:val="006D655A"/>
    <w:rsid w:val="006E4AC1"/>
    <w:rsid w:val="006F3134"/>
    <w:rsid w:val="00703967"/>
    <w:rsid w:val="00755325"/>
    <w:rsid w:val="00760598"/>
    <w:rsid w:val="00773DE6"/>
    <w:rsid w:val="00795CD7"/>
    <w:rsid w:val="007A4694"/>
    <w:rsid w:val="007E2AC3"/>
    <w:rsid w:val="00804D59"/>
    <w:rsid w:val="00851A0C"/>
    <w:rsid w:val="00867D6F"/>
    <w:rsid w:val="00896B07"/>
    <w:rsid w:val="008D0FF9"/>
    <w:rsid w:val="008E7D53"/>
    <w:rsid w:val="008F53F1"/>
    <w:rsid w:val="00903589"/>
    <w:rsid w:val="00921BE9"/>
    <w:rsid w:val="0093622E"/>
    <w:rsid w:val="009C18A0"/>
    <w:rsid w:val="009C58DD"/>
    <w:rsid w:val="009E08CD"/>
    <w:rsid w:val="00A61351"/>
    <w:rsid w:val="00A63E2F"/>
    <w:rsid w:val="00A77972"/>
    <w:rsid w:val="00AA1900"/>
    <w:rsid w:val="00AB4EFE"/>
    <w:rsid w:val="00AC5635"/>
    <w:rsid w:val="00AE14A3"/>
    <w:rsid w:val="00AF3354"/>
    <w:rsid w:val="00BA74EC"/>
    <w:rsid w:val="00BE49C6"/>
    <w:rsid w:val="00C02911"/>
    <w:rsid w:val="00C07AEC"/>
    <w:rsid w:val="00C1219C"/>
    <w:rsid w:val="00C13F25"/>
    <w:rsid w:val="00C15738"/>
    <w:rsid w:val="00C255C0"/>
    <w:rsid w:val="00CA6532"/>
    <w:rsid w:val="00CB0D53"/>
    <w:rsid w:val="00CB2EBA"/>
    <w:rsid w:val="00CC0148"/>
    <w:rsid w:val="00CC4070"/>
    <w:rsid w:val="00CD73D3"/>
    <w:rsid w:val="00D13B17"/>
    <w:rsid w:val="00D41130"/>
    <w:rsid w:val="00D43F20"/>
    <w:rsid w:val="00D5426F"/>
    <w:rsid w:val="00E011CA"/>
    <w:rsid w:val="00E10EA9"/>
    <w:rsid w:val="00E44887"/>
    <w:rsid w:val="00E44F36"/>
    <w:rsid w:val="00E80A80"/>
    <w:rsid w:val="00E828A9"/>
    <w:rsid w:val="00E93BAA"/>
    <w:rsid w:val="00EA1829"/>
    <w:rsid w:val="00EA33DE"/>
    <w:rsid w:val="00EA492D"/>
    <w:rsid w:val="00EF4B60"/>
    <w:rsid w:val="00FA2411"/>
    <w:rsid w:val="00FA4B7C"/>
    <w:rsid w:val="00FD7C8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5F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2E6E"/>
    <w:rPr>
      <w:color w:val="808080"/>
    </w:rPr>
  </w:style>
  <w:style w:type="paragraph" w:styleId="BalloonText">
    <w:name w:val="Balloon Text"/>
    <w:basedOn w:val="Normal"/>
    <w:link w:val="BalloonTextChar"/>
    <w:uiPriority w:val="99"/>
    <w:semiHidden/>
    <w:unhideWhenUsed/>
    <w:rsid w:val="0030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E6E"/>
    <w:rPr>
      <w:rFonts w:ascii="Tahoma" w:hAnsi="Tahoma" w:cs="Tahoma"/>
      <w:sz w:val="16"/>
      <w:szCs w:val="16"/>
    </w:rPr>
  </w:style>
  <w:style w:type="paragraph" w:styleId="ListParagraph">
    <w:name w:val="List Paragraph"/>
    <w:basedOn w:val="Normal"/>
    <w:uiPriority w:val="34"/>
    <w:qFormat/>
    <w:rsid w:val="00302E6E"/>
    <w:pPr>
      <w:ind w:left="720"/>
      <w:contextualSpacing/>
    </w:pPr>
  </w:style>
  <w:style w:type="paragraph" w:styleId="Header">
    <w:name w:val="header"/>
    <w:basedOn w:val="Normal"/>
    <w:link w:val="HeaderChar"/>
    <w:uiPriority w:val="99"/>
    <w:unhideWhenUsed/>
    <w:rsid w:val="00CC40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4070"/>
  </w:style>
  <w:style w:type="paragraph" w:styleId="Footer">
    <w:name w:val="footer"/>
    <w:basedOn w:val="Normal"/>
    <w:link w:val="FooterChar"/>
    <w:uiPriority w:val="99"/>
    <w:unhideWhenUsed/>
    <w:rsid w:val="00CC40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4070"/>
  </w:style>
  <w:style w:type="character" w:styleId="CommentReference">
    <w:name w:val="annotation reference"/>
    <w:basedOn w:val="DefaultParagraphFont"/>
    <w:uiPriority w:val="99"/>
    <w:semiHidden/>
    <w:unhideWhenUsed/>
    <w:rsid w:val="00534D47"/>
    <w:rPr>
      <w:sz w:val="16"/>
      <w:szCs w:val="16"/>
    </w:rPr>
  </w:style>
  <w:style w:type="paragraph" w:styleId="CommentText">
    <w:name w:val="annotation text"/>
    <w:basedOn w:val="Normal"/>
    <w:link w:val="CommentTextChar"/>
    <w:uiPriority w:val="99"/>
    <w:semiHidden/>
    <w:unhideWhenUsed/>
    <w:rsid w:val="00534D47"/>
    <w:pPr>
      <w:spacing w:line="240" w:lineRule="auto"/>
    </w:pPr>
    <w:rPr>
      <w:sz w:val="20"/>
      <w:szCs w:val="20"/>
    </w:rPr>
  </w:style>
  <w:style w:type="character" w:customStyle="1" w:styleId="CommentTextChar">
    <w:name w:val="Comment Text Char"/>
    <w:basedOn w:val="DefaultParagraphFont"/>
    <w:link w:val="CommentText"/>
    <w:uiPriority w:val="99"/>
    <w:semiHidden/>
    <w:rsid w:val="00534D47"/>
    <w:rPr>
      <w:sz w:val="20"/>
      <w:szCs w:val="20"/>
    </w:rPr>
  </w:style>
  <w:style w:type="paragraph" w:styleId="CommentSubject">
    <w:name w:val="annotation subject"/>
    <w:basedOn w:val="CommentText"/>
    <w:next w:val="CommentText"/>
    <w:link w:val="CommentSubjectChar"/>
    <w:uiPriority w:val="99"/>
    <w:semiHidden/>
    <w:unhideWhenUsed/>
    <w:rsid w:val="00534D47"/>
    <w:rPr>
      <w:b/>
      <w:bCs/>
    </w:rPr>
  </w:style>
  <w:style w:type="character" w:customStyle="1" w:styleId="CommentSubjectChar">
    <w:name w:val="Comment Subject Char"/>
    <w:basedOn w:val="CommentTextChar"/>
    <w:link w:val="CommentSubject"/>
    <w:uiPriority w:val="99"/>
    <w:semiHidden/>
    <w:rsid w:val="00534D47"/>
    <w:rPr>
      <w:b/>
      <w:bCs/>
      <w:sz w:val="20"/>
      <w:szCs w:val="20"/>
    </w:rPr>
  </w:style>
  <w:style w:type="paragraph" w:customStyle="1" w:styleId="CEAStandardHeading">
    <w:name w:val="CEA Standard Heading"/>
    <w:basedOn w:val="Normal"/>
    <w:qFormat/>
    <w:rsid w:val="00755325"/>
    <w:pPr>
      <w:autoSpaceDE w:val="0"/>
      <w:autoSpaceDN w:val="0"/>
      <w:adjustRightInd w:val="0"/>
      <w:spacing w:after="0" w:line="288" w:lineRule="auto"/>
      <w:jc w:val="both"/>
      <w:textAlignment w:val="center"/>
    </w:pPr>
    <w:rPr>
      <w:rFonts w:ascii="Verdana" w:eastAsia="Times New Roman" w:hAnsi="Verdana" w:cs="Arial"/>
      <w:color w:val="002957"/>
      <w:sz w:val="20"/>
      <w:lang w:val="en-GB"/>
    </w:rPr>
  </w:style>
  <w:style w:type="paragraph" w:styleId="FootnoteText">
    <w:name w:val="footnote text"/>
    <w:basedOn w:val="Normal"/>
    <w:link w:val="FootnoteTextChar"/>
    <w:uiPriority w:val="99"/>
    <w:semiHidden/>
    <w:unhideWhenUsed/>
    <w:rsid w:val="00437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3F9"/>
    <w:rPr>
      <w:sz w:val="20"/>
      <w:szCs w:val="20"/>
    </w:rPr>
  </w:style>
  <w:style w:type="character" w:styleId="FootnoteReference">
    <w:name w:val="footnote reference"/>
    <w:basedOn w:val="DefaultParagraphFont"/>
    <w:uiPriority w:val="99"/>
    <w:semiHidden/>
    <w:unhideWhenUsed/>
    <w:rsid w:val="004373F9"/>
    <w:rPr>
      <w:vertAlign w:val="superscript"/>
    </w:rPr>
  </w:style>
  <w:style w:type="character" w:customStyle="1" w:styleId="highlight">
    <w:name w:val="highlight"/>
    <w:basedOn w:val="DefaultParagraphFont"/>
    <w:rsid w:val="004373F9"/>
  </w:style>
  <w:style w:type="paragraph" w:styleId="Revision">
    <w:name w:val="Revision"/>
    <w:hidden/>
    <w:uiPriority w:val="99"/>
    <w:semiHidden/>
    <w:rsid w:val="00196D82"/>
    <w:pPr>
      <w:spacing w:after="0" w:line="240" w:lineRule="auto"/>
    </w:pPr>
  </w:style>
  <w:style w:type="character" w:customStyle="1" w:styleId="Heading1Char">
    <w:name w:val="Heading 1 Char"/>
    <w:basedOn w:val="DefaultParagraphFont"/>
    <w:link w:val="Heading1"/>
    <w:uiPriority w:val="9"/>
    <w:rsid w:val="003F5F8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5F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2E6E"/>
    <w:rPr>
      <w:color w:val="808080"/>
    </w:rPr>
  </w:style>
  <w:style w:type="paragraph" w:styleId="BalloonText">
    <w:name w:val="Balloon Text"/>
    <w:basedOn w:val="Normal"/>
    <w:link w:val="BalloonTextChar"/>
    <w:uiPriority w:val="99"/>
    <w:semiHidden/>
    <w:unhideWhenUsed/>
    <w:rsid w:val="0030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E6E"/>
    <w:rPr>
      <w:rFonts w:ascii="Tahoma" w:hAnsi="Tahoma" w:cs="Tahoma"/>
      <w:sz w:val="16"/>
      <w:szCs w:val="16"/>
    </w:rPr>
  </w:style>
  <w:style w:type="paragraph" w:styleId="ListParagraph">
    <w:name w:val="List Paragraph"/>
    <w:basedOn w:val="Normal"/>
    <w:uiPriority w:val="34"/>
    <w:qFormat/>
    <w:rsid w:val="00302E6E"/>
    <w:pPr>
      <w:ind w:left="720"/>
      <w:contextualSpacing/>
    </w:pPr>
  </w:style>
  <w:style w:type="paragraph" w:styleId="Header">
    <w:name w:val="header"/>
    <w:basedOn w:val="Normal"/>
    <w:link w:val="HeaderChar"/>
    <w:uiPriority w:val="99"/>
    <w:unhideWhenUsed/>
    <w:rsid w:val="00CC40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4070"/>
  </w:style>
  <w:style w:type="paragraph" w:styleId="Footer">
    <w:name w:val="footer"/>
    <w:basedOn w:val="Normal"/>
    <w:link w:val="FooterChar"/>
    <w:uiPriority w:val="99"/>
    <w:unhideWhenUsed/>
    <w:rsid w:val="00CC40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4070"/>
  </w:style>
  <w:style w:type="character" w:styleId="CommentReference">
    <w:name w:val="annotation reference"/>
    <w:basedOn w:val="DefaultParagraphFont"/>
    <w:uiPriority w:val="99"/>
    <w:semiHidden/>
    <w:unhideWhenUsed/>
    <w:rsid w:val="00534D47"/>
    <w:rPr>
      <w:sz w:val="16"/>
      <w:szCs w:val="16"/>
    </w:rPr>
  </w:style>
  <w:style w:type="paragraph" w:styleId="CommentText">
    <w:name w:val="annotation text"/>
    <w:basedOn w:val="Normal"/>
    <w:link w:val="CommentTextChar"/>
    <w:uiPriority w:val="99"/>
    <w:semiHidden/>
    <w:unhideWhenUsed/>
    <w:rsid w:val="00534D47"/>
    <w:pPr>
      <w:spacing w:line="240" w:lineRule="auto"/>
    </w:pPr>
    <w:rPr>
      <w:sz w:val="20"/>
      <w:szCs w:val="20"/>
    </w:rPr>
  </w:style>
  <w:style w:type="character" w:customStyle="1" w:styleId="CommentTextChar">
    <w:name w:val="Comment Text Char"/>
    <w:basedOn w:val="DefaultParagraphFont"/>
    <w:link w:val="CommentText"/>
    <w:uiPriority w:val="99"/>
    <w:semiHidden/>
    <w:rsid w:val="00534D47"/>
    <w:rPr>
      <w:sz w:val="20"/>
      <w:szCs w:val="20"/>
    </w:rPr>
  </w:style>
  <w:style w:type="paragraph" w:styleId="CommentSubject">
    <w:name w:val="annotation subject"/>
    <w:basedOn w:val="CommentText"/>
    <w:next w:val="CommentText"/>
    <w:link w:val="CommentSubjectChar"/>
    <w:uiPriority w:val="99"/>
    <w:semiHidden/>
    <w:unhideWhenUsed/>
    <w:rsid w:val="00534D47"/>
    <w:rPr>
      <w:b/>
      <w:bCs/>
    </w:rPr>
  </w:style>
  <w:style w:type="character" w:customStyle="1" w:styleId="CommentSubjectChar">
    <w:name w:val="Comment Subject Char"/>
    <w:basedOn w:val="CommentTextChar"/>
    <w:link w:val="CommentSubject"/>
    <w:uiPriority w:val="99"/>
    <w:semiHidden/>
    <w:rsid w:val="00534D47"/>
    <w:rPr>
      <w:b/>
      <w:bCs/>
      <w:sz w:val="20"/>
      <w:szCs w:val="20"/>
    </w:rPr>
  </w:style>
  <w:style w:type="paragraph" w:customStyle="1" w:styleId="CEAStandardHeading">
    <w:name w:val="CEA Standard Heading"/>
    <w:basedOn w:val="Normal"/>
    <w:qFormat/>
    <w:rsid w:val="00755325"/>
    <w:pPr>
      <w:autoSpaceDE w:val="0"/>
      <w:autoSpaceDN w:val="0"/>
      <w:adjustRightInd w:val="0"/>
      <w:spacing w:after="0" w:line="288" w:lineRule="auto"/>
      <w:jc w:val="both"/>
      <w:textAlignment w:val="center"/>
    </w:pPr>
    <w:rPr>
      <w:rFonts w:ascii="Verdana" w:eastAsia="Times New Roman" w:hAnsi="Verdana" w:cs="Arial"/>
      <w:color w:val="002957"/>
      <w:sz w:val="20"/>
      <w:lang w:val="en-GB"/>
    </w:rPr>
  </w:style>
  <w:style w:type="paragraph" w:styleId="FootnoteText">
    <w:name w:val="footnote text"/>
    <w:basedOn w:val="Normal"/>
    <w:link w:val="FootnoteTextChar"/>
    <w:uiPriority w:val="99"/>
    <w:semiHidden/>
    <w:unhideWhenUsed/>
    <w:rsid w:val="00437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3F9"/>
    <w:rPr>
      <w:sz w:val="20"/>
      <w:szCs w:val="20"/>
    </w:rPr>
  </w:style>
  <w:style w:type="character" w:styleId="FootnoteReference">
    <w:name w:val="footnote reference"/>
    <w:basedOn w:val="DefaultParagraphFont"/>
    <w:uiPriority w:val="99"/>
    <w:semiHidden/>
    <w:unhideWhenUsed/>
    <w:rsid w:val="004373F9"/>
    <w:rPr>
      <w:vertAlign w:val="superscript"/>
    </w:rPr>
  </w:style>
  <w:style w:type="character" w:customStyle="1" w:styleId="highlight">
    <w:name w:val="highlight"/>
    <w:basedOn w:val="DefaultParagraphFont"/>
    <w:rsid w:val="004373F9"/>
  </w:style>
  <w:style w:type="paragraph" w:styleId="Revision">
    <w:name w:val="Revision"/>
    <w:hidden/>
    <w:uiPriority w:val="99"/>
    <w:semiHidden/>
    <w:rsid w:val="00196D82"/>
    <w:pPr>
      <w:spacing w:after="0" w:line="240" w:lineRule="auto"/>
    </w:pPr>
  </w:style>
  <w:style w:type="character" w:customStyle="1" w:styleId="Heading1Char">
    <w:name w:val="Heading 1 Char"/>
    <w:basedOn w:val="DefaultParagraphFont"/>
    <w:link w:val="Heading1"/>
    <w:uiPriority w:val="9"/>
    <w:rsid w:val="003F5F8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55087">
      <w:bodyDiv w:val="1"/>
      <w:marLeft w:val="0"/>
      <w:marRight w:val="0"/>
      <w:marTop w:val="0"/>
      <w:marBottom w:val="0"/>
      <w:divBdr>
        <w:top w:val="none" w:sz="0" w:space="0" w:color="auto"/>
        <w:left w:val="none" w:sz="0" w:space="0" w:color="auto"/>
        <w:bottom w:val="none" w:sz="0" w:space="0" w:color="auto"/>
        <w:right w:val="none" w:sz="0" w:space="0" w:color="auto"/>
      </w:divBdr>
    </w:div>
    <w:div w:id="534078663">
      <w:bodyDiv w:val="1"/>
      <w:marLeft w:val="0"/>
      <w:marRight w:val="0"/>
      <w:marTop w:val="0"/>
      <w:marBottom w:val="0"/>
      <w:divBdr>
        <w:top w:val="none" w:sz="0" w:space="0" w:color="auto"/>
        <w:left w:val="none" w:sz="0" w:space="0" w:color="auto"/>
        <w:bottom w:val="none" w:sz="0" w:space="0" w:color="auto"/>
        <w:right w:val="none" w:sz="0" w:space="0" w:color="auto"/>
      </w:divBdr>
    </w:div>
    <w:div w:id="1544294801">
      <w:bodyDiv w:val="1"/>
      <w:marLeft w:val="0"/>
      <w:marRight w:val="0"/>
      <w:marTop w:val="0"/>
      <w:marBottom w:val="0"/>
      <w:divBdr>
        <w:top w:val="none" w:sz="0" w:space="0" w:color="auto"/>
        <w:left w:val="none" w:sz="0" w:space="0" w:color="auto"/>
        <w:bottom w:val="none" w:sz="0" w:space="0" w:color="auto"/>
        <w:right w:val="none" w:sz="0" w:space="0" w:color="auto"/>
      </w:divBdr>
      <w:divsChild>
        <w:div w:id="1092354364">
          <w:marLeft w:val="0"/>
          <w:marRight w:val="0"/>
          <w:marTop w:val="0"/>
          <w:marBottom w:val="0"/>
          <w:divBdr>
            <w:top w:val="none" w:sz="0" w:space="0" w:color="auto"/>
            <w:left w:val="none" w:sz="0" w:space="0" w:color="auto"/>
            <w:bottom w:val="none" w:sz="0" w:space="0" w:color="auto"/>
            <w:right w:val="none" w:sz="0" w:space="0" w:color="auto"/>
          </w:divBdr>
        </w:div>
        <w:div w:id="1488403542">
          <w:marLeft w:val="0"/>
          <w:marRight w:val="0"/>
          <w:marTop w:val="0"/>
          <w:marBottom w:val="0"/>
          <w:divBdr>
            <w:top w:val="none" w:sz="0" w:space="0" w:color="auto"/>
            <w:left w:val="none" w:sz="0" w:space="0" w:color="auto"/>
            <w:bottom w:val="none" w:sz="0" w:space="0" w:color="auto"/>
            <w:right w:val="none" w:sz="0" w:space="0" w:color="auto"/>
          </w:divBdr>
        </w:div>
        <w:div w:id="908732806">
          <w:marLeft w:val="0"/>
          <w:marRight w:val="0"/>
          <w:marTop w:val="0"/>
          <w:marBottom w:val="0"/>
          <w:divBdr>
            <w:top w:val="none" w:sz="0" w:space="0" w:color="auto"/>
            <w:left w:val="none" w:sz="0" w:space="0" w:color="auto"/>
            <w:bottom w:val="none" w:sz="0" w:space="0" w:color="auto"/>
            <w:right w:val="none" w:sz="0" w:space="0" w:color="auto"/>
          </w:divBdr>
        </w:div>
        <w:div w:id="182018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E7B6E-2E9D-4283-A13F-A00114CA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2832</Words>
  <Characters>14081</Characters>
  <Application>Microsoft Office Word</Application>
  <DocSecurity>0</DocSecurity>
  <Lines>741</Lines>
  <Paragraphs>483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AXA</Company>
  <LinksUpToDate>false</LinksUpToDate>
  <CharactersWithSpaces>16430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MOUGARD Thomas</dc:creator>
  <cp:lastModifiedBy>Cristina Mihai</cp:lastModifiedBy>
  <cp:revision>5</cp:revision>
  <dcterms:created xsi:type="dcterms:W3CDTF">2014-03-10T11:12:00Z</dcterms:created>
  <dcterms:modified xsi:type="dcterms:W3CDTF">2014-03-10T12:09:00Z</dcterms:modified>
</cp:coreProperties>
</file>