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AD9" w:rsidRDefault="00253AD9" w:rsidP="00CB113D">
      <w:pPr>
        <w:spacing w:line="276" w:lineRule="auto"/>
        <w:jc w:val="left"/>
        <w:rPr>
          <w:rStyle w:val="CEAGraphTitle"/>
          <w:szCs w:val="17"/>
          <w:lang w:val="fr-BE"/>
        </w:rPr>
      </w:pPr>
    </w:p>
    <w:p w:rsidR="00AC6110" w:rsidRDefault="00AC6110" w:rsidP="00AC6110">
      <w:pPr>
        <w:spacing w:line="240" w:lineRule="auto"/>
        <w:jc w:val="center"/>
        <w:rPr>
          <w:rFonts w:cs="Arial"/>
          <w:i/>
          <w:color w:val="FF0000"/>
          <w:sz w:val="18"/>
          <w:szCs w:val="18"/>
        </w:rPr>
      </w:pPr>
      <w:r w:rsidRPr="00D900CA">
        <w:rPr>
          <w:rFonts w:cs="Arial"/>
          <w:i/>
          <w:color w:val="FF0000"/>
          <w:sz w:val="18"/>
          <w:szCs w:val="18"/>
        </w:rPr>
        <w:t>Please note</w:t>
      </w:r>
      <w:r w:rsidR="006A6EA8">
        <w:rPr>
          <w:rFonts w:cs="Arial"/>
          <w:i/>
          <w:color w:val="FF0000"/>
          <w:sz w:val="18"/>
          <w:szCs w:val="18"/>
        </w:rPr>
        <w:t xml:space="preserve"> these comments are based on a preliminary</w:t>
      </w:r>
      <w:r w:rsidRPr="00D900CA">
        <w:rPr>
          <w:rFonts w:cs="Arial"/>
          <w:i/>
          <w:color w:val="FF0000"/>
          <w:sz w:val="18"/>
          <w:szCs w:val="18"/>
        </w:rPr>
        <w:t xml:space="preserve"> analysis of the updated draft Delegated Acts and </w:t>
      </w:r>
      <w:r>
        <w:rPr>
          <w:rFonts w:cs="Arial"/>
          <w:i/>
          <w:color w:val="FF0000"/>
          <w:sz w:val="18"/>
          <w:szCs w:val="18"/>
        </w:rPr>
        <w:t>will</w:t>
      </w:r>
      <w:r w:rsidRPr="00D900CA">
        <w:rPr>
          <w:rFonts w:cs="Arial"/>
          <w:i/>
          <w:color w:val="FF0000"/>
          <w:sz w:val="18"/>
          <w:szCs w:val="18"/>
        </w:rPr>
        <w:t xml:space="preserve"> </w:t>
      </w:r>
      <w:r>
        <w:rPr>
          <w:rFonts w:cs="Arial"/>
          <w:i/>
          <w:color w:val="FF0000"/>
          <w:sz w:val="18"/>
          <w:szCs w:val="18"/>
        </w:rPr>
        <w:t>change</w:t>
      </w:r>
      <w:r w:rsidRPr="00D900CA">
        <w:rPr>
          <w:rFonts w:cs="Arial"/>
          <w:i/>
          <w:color w:val="FF0000"/>
          <w:sz w:val="18"/>
          <w:szCs w:val="18"/>
        </w:rPr>
        <w:t xml:space="preserve"> following members’ feedback and further analysis</w:t>
      </w:r>
    </w:p>
    <w:p w:rsidR="00AC6110" w:rsidRDefault="00AC6110" w:rsidP="00AC6110">
      <w:pPr>
        <w:spacing w:line="240" w:lineRule="auto"/>
        <w:jc w:val="center"/>
        <w:rPr>
          <w:rFonts w:cs="Arial"/>
          <w:i/>
          <w:color w:val="FF0000"/>
          <w:sz w:val="18"/>
          <w:szCs w:val="18"/>
        </w:rPr>
      </w:pPr>
    </w:p>
    <w:p w:rsidR="00AC6110" w:rsidRPr="00843812" w:rsidRDefault="00AC6110" w:rsidP="00AC6110">
      <w:pPr>
        <w:pStyle w:val="Zkladntext"/>
        <w:spacing w:after="0" w:line="240" w:lineRule="auto"/>
        <w:rPr>
          <w:rFonts w:cs="Arial"/>
          <w:sz w:val="18"/>
          <w:szCs w:val="18"/>
          <w:lang w:val="en-US"/>
        </w:rPr>
      </w:pPr>
    </w:p>
    <w:p w:rsidR="00AC6110" w:rsidRPr="003A7BE3" w:rsidRDefault="00AC6110" w:rsidP="002A5059">
      <w:pPr>
        <w:spacing w:line="240" w:lineRule="auto"/>
        <w:jc w:val="center"/>
        <w:rPr>
          <w:b/>
          <w:color w:val="002957"/>
          <w:sz w:val="22"/>
          <w:szCs w:val="17"/>
        </w:rPr>
      </w:pPr>
      <w:r w:rsidRPr="003A7BE3">
        <w:rPr>
          <w:b/>
          <w:color w:val="002957"/>
          <w:sz w:val="22"/>
          <w:szCs w:val="17"/>
        </w:rPr>
        <w:t>Solvency 2 – Priority issues to be addressed in finalising Delegated Acts</w:t>
      </w:r>
    </w:p>
    <w:p w:rsidR="00AC6110" w:rsidRPr="00AC6110" w:rsidRDefault="00AC6110" w:rsidP="00AC6110">
      <w:pPr>
        <w:spacing w:line="240" w:lineRule="auto"/>
        <w:rPr>
          <w:rFonts w:cs="Arial"/>
          <w:szCs w:val="17"/>
        </w:rPr>
      </w:pPr>
    </w:p>
    <w:p w:rsidR="00AC6110" w:rsidRPr="00AC6110" w:rsidRDefault="00AC6110" w:rsidP="00AC6110">
      <w:pPr>
        <w:spacing w:line="240" w:lineRule="auto"/>
        <w:rPr>
          <w:rFonts w:cs="Arial"/>
          <w:szCs w:val="17"/>
        </w:rPr>
      </w:pPr>
    </w:p>
    <w:p w:rsidR="00AC6110" w:rsidRPr="00AC6110" w:rsidRDefault="00AC6110" w:rsidP="00FB5D8A">
      <w:pPr>
        <w:pStyle w:val="Odsekzoznamu"/>
        <w:numPr>
          <w:ilvl w:val="0"/>
          <w:numId w:val="18"/>
        </w:numPr>
        <w:spacing w:line="240" w:lineRule="auto"/>
        <w:rPr>
          <w:rFonts w:cs="Arial"/>
          <w:i/>
          <w:szCs w:val="17"/>
          <w:u w:val="single"/>
        </w:rPr>
      </w:pPr>
      <w:r w:rsidRPr="00AC6110">
        <w:rPr>
          <w:rFonts w:cs="Arial"/>
          <w:i/>
          <w:szCs w:val="17"/>
          <w:u w:val="single"/>
        </w:rPr>
        <w:t xml:space="preserve">Previously identified </w:t>
      </w:r>
      <w:r w:rsidR="00EA466A">
        <w:rPr>
          <w:rFonts w:cs="Arial"/>
          <w:i/>
          <w:szCs w:val="17"/>
          <w:u w:val="single"/>
        </w:rPr>
        <w:t>priority</w:t>
      </w:r>
      <w:r w:rsidRPr="00AC6110">
        <w:rPr>
          <w:rFonts w:cs="Arial"/>
          <w:i/>
          <w:szCs w:val="17"/>
          <w:u w:val="single"/>
        </w:rPr>
        <w:t xml:space="preserve"> issues:</w:t>
      </w:r>
    </w:p>
    <w:p w:rsidR="00AC6110" w:rsidRPr="00AC6110" w:rsidRDefault="00AC6110" w:rsidP="00AC6110">
      <w:pPr>
        <w:spacing w:line="240" w:lineRule="auto"/>
        <w:rPr>
          <w:rFonts w:cs="Arial"/>
          <w:szCs w:val="17"/>
        </w:rPr>
      </w:pPr>
    </w:p>
    <w:p w:rsidR="00AC6110" w:rsidRDefault="00AC6110" w:rsidP="00AC6110">
      <w:pPr>
        <w:pStyle w:val="Zkladntext"/>
        <w:spacing w:line="240" w:lineRule="auto"/>
        <w:rPr>
          <w:rFonts w:cs="Arial"/>
          <w:szCs w:val="17"/>
        </w:rPr>
      </w:pPr>
      <w:r w:rsidRPr="00AC6110">
        <w:rPr>
          <w:rFonts w:cs="Arial"/>
          <w:szCs w:val="17"/>
        </w:rPr>
        <w:t xml:space="preserve">Following a preliminary analysis of the updated Delegated Acts </w:t>
      </w:r>
      <w:r w:rsidR="008E54D0">
        <w:rPr>
          <w:rFonts w:cs="Arial"/>
          <w:szCs w:val="17"/>
        </w:rPr>
        <w:t>released on 14 March</w:t>
      </w:r>
      <w:r w:rsidRPr="00AC6110">
        <w:rPr>
          <w:rFonts w:cs="Arial"/>
          <w:szCs w:val="17"/>
        </w:rPr>
        <w:t xml:space="preserve">, we think that the following summarises the status for the </w:t>
      </w:r>
      <w:r w:rsidR="008E54D0">
        <w:rPr>
          <w:rFonts w:cs="Arial"/>
          <w:szCs w:val="17"/>
        </w:rPr>
        <w:t xml:space="preserve">priority </w:t>
      </w:r>
      <w:r w:rsidRPr="00AC6110">
        <w:rPr>
          <w:rFonts w:cs="Arial"/>
          <w:szCs w:val="17"/>
        </w:rPr>
        <w:t xml:space="preserve">issues we had identified </w:t>
      </w:r>
      <w:r w:rsidR="008E54D0">
        <w:rPr>
          <w:rFonts w:cs="Arial"/>
          <w:szCs w:val="17"/>
        </w:rPr>
        <w:t>and more widely the issues listed in “</w:t>
      </w:r>
      <w:r w:rsidR="008E54D0" w:rsidRPr="008E54D0">
        <w:rPr>
          <w:rFonts w:cs="Arial"/>
          <w:szCs w:val="17"/>
        </w:rPr>
        <w:t>ECO-14-044 Draft Insurance Europe Comments on the SII draft delegated acts (January Expert Group</w:t>
      </w:r>
      <w:proofErr w:type="gramStart"/>
      <w:r w:rsidR="008E54D0" w:rsidRPr="008E54D0">
        <w:rPr>
          <w:rFonts w:cs="Arial"/>
          <w:szCs w:val="17"/>
        </w:rPr>
        <w:t>)V7</w:t>
      </w:r>
      <w:proofErr w:type="gramEnd"/>
      <w:r w:rsidR="008E54D0">
        <w:rPr>
          <w:rFonts w:cs="Arial"/>
          <w:szCs w:val="17"/>
        </w:rPr>
        <w:t xml:space="preserve">”. </w:t>
      </w:r>
    </w:p>
    <w:p w:rsidR="008E54D0" w:rsidRPr="00AC6110" w:rsidRDefault="008E54D0" w:rsidP="00AC6110">
      <w:pPr>
        <w:pStyle w:val="Zkladntext"/>
        <w:spacing w:line="240" w:lineRule="auto"/>
        <w:rPr>
          <w:rFonts w:cs="Arial"/>
          <w:szCs w:val="17"/>
        </w:rPr>
      </w:pPr>
    </w:p>
    <w:p w:rsidR="00AC6110" w:rsidRPr="003A7BE3" w:rsidRDefault="00AC6110" w:rsidP="00AC6110">
      <w:pPr>
        <w:pStyle w:val="CEABullet-Level1"/>
        <w:rPr>
          <w:szCs w:val="17"/>
          <w:lang w:val="en-US"/>
        </w:rPr>
      </w:pPr>
      <w:r w:rsidRPr="008E54D0">
        <w:rPr>
          <w:szCs w:val="17"/>
          <w:lang w:val="en-GB"/>
        </w:rPr>
        <w:t>Long Term Guarantee</w:t>
      </w:r>
      <w:r w:rsidR="008E54D0">
        <w:rPr>
          <w:szCs w:val="17"/>
          <w:lang w:val="en-GB"/>
        </w:rPr>
        <w:t>s</w:t>
      </w:r>
      <w:r w:rsidRPr="008E54D0">
        <w:rPr>
          <w:szCs w:val="17"/>
          <w:lang w:val="en-GB"/>
        </w:rPr>
        <w:t xml:space="preserve">  </w:t>
      </w:r>
    </w:p>
    <w:p w:rsidR="003A7BE3" w:rsidRPr="00AC6110" w:rsidRDefault="003A7BE3" w:rsidP="003A7BE3">
      <w:pPr>
        <w:pStyle w:val="CEABullet-Level1"/>
        <w:numPr>
          <w:ilvl w:val="0"/>
          <w:numId w:val="0"/>
        </w:numPr>
        <w:ind w:left="360"/>
        <w:rPr>
          <w:szCs w:val="17"/>
          <w:lang w:val="en-US"/>
        </w:rPr>
      </w:pPr>
    </w:p>
    <w:p w:rsidR="008E54D0" w:rsidRPr="008E54D0" w:rsidRDefault="00AC6110" w:rsidP="008E54D0">
      <w:pPr>
        <w:pStyle w:val="CEABullet-Level2"/>
        <w:rPr>
          <w:lang w:val="en-GB"/>
        </w:rPr>
      </w:pPr>
      <w:r w:rsidRPr="008E54D0">
        <w:rPr>
          <w:szCs w:val="17"/>
          <w:lang w:val="en-GB"/>
        </w:rPr>
        <w:t xml:space="preserve">Volatility Adjustment </w:t>
      </w:r>
    </w:p>
    <w:p w:rsidR="008E54D0" w:rsidRPr="008E54D0" w:rsidRDefault="008E54D0" w:rsidP="008E54D0">
      <w:pPr>
        <w:pStyle w:val="CEABullet-Level3"/>
        <w:rPr>
          <w:lang w:val="en-GB"/>
        </w:rPr>
      </w:pPr>
      <w:r w:rsidRPr="008E54D0">
        <w:rPr>
          <w:lang w:val="en-GB"/>
        </w:rPr>
        <w:t xml:space="preserve">The text now includes specification for the country-specific as well as currency-specific portfolio </w:t>
      </w:r>
      <w:r>
        <w:rPr>
          <w:lang w:val="en-GB"/>
        </w:rPr>
        <w:t>(</w:t>
      </w:r>
      <w:r w:rsidRPr="008E54D0">
        <w:rPr>
          <w:color w:val="auto"/>
          <w:highlight w:val="green"/>
          <w:lang w:val="en-GB"/>
        </w:rPr>
        <w:t>positive</w:t>
      </w:r>
      <w:r>
        <w:rPr>
          <w:lang w:val="en-GB"/>
        </w:rPr>
        <w:t>)</w:t>
      </w:r>
    </w:p>
    <w:p w:rsidR="008E54D0" w:rsidRPr="008E54D0" w:rsidRDefault="008E54D0" w:rsidP="008E54D0">
      <w:pPr>
        <w:pStyle w:val="CEABullet-Level3"/>
        <w:rPr>
          <w:lang w:val="en-GB"/>
        </w:rPr>
      </w:pPr>
      <w:r w:rsidRPr="008E54D0">
        <w:rPr>
          <w:lang w:val="en-GB"/>
        </w:rPr>
        <w:t>It has been clarified that the assets in the representative portfolios should represent those that cover the best estimate liabilities (</w:t>
      </w:r>
      <w:r w:rsidRPr="008E54D0">
        <w:rPr>
          <w:color w:val="auto"/>
          <w:highlight w:val="green"/>
          <w:lang w:val="en-GB"/>
        </w:rPr>
        <w:t>positive</w:t>
      </w:r>
      <w:r w:rsidRPr="008E54D0">
        <w:rPr>
          <w:lang w:val="en-GB"/>
        </w:rPr>
        <w:t>) but these still include equity and property with no change to the formula used to calculate the spread in order to prevent diluting the impact of the VA (</w:t>
      </w:r>
      <w:r w:rsidRPr="008E54D0">
        <w:rPr>
          <w:highlight w:val="red"/>
          <w:lang w:val="en-GB"/>
        </w:rPr>
        <w:t>negative</w:t>
      </w:r>
      <w:r w:rsidRPr="008E54D0">
        <w:rPr>
          <w:lang w:val="en-GB"/>
        </w:rPr>
        <w:t>)</w:t>
      </w:r>
    </w:p>
    <w:p w:rsidR="008E54D0" w:rsidRPr="008E54D0" w:rsidRDefault="008E54D0" w:rsidP="008E54D0">
      <w:pPr>
        <w:pStyle w:val="CEABullet-Level3"/>
        <w:rPr>
          <w:lang w:val="en-GB"/>
        </w:rPr>
      </w:pPr>
      <w:r w:rsidRPr="008E54D0">
        <w:rPr>
          <w:lang w:val="en-GB"/>
        </w:rPr>
        <w:t>Securitisations have also been included in the representative portfolio (</w:t>
      </w:r>
      <w:r w:rsidRPr="008E54D0">
        <w:rPr>
          <w:highlight w:val="green"/>
          <w:lang w:val="en-GB"/>
        </w:rPr>
        <w:t>positive?</w:t>
      </w:r>
      <w:r w:rsidRPr="008E54D0">
        <w:rPr>
          <w:lang w:val="en-GB"/>
        </w:rPr>
        <w:t>)</w:t>
      </w:r>
    </w:p>
    <w:p w:rsidR="008E54D0" w:rsidRPr="008E54D0" w:rsidRDefault="008E54D0" w:rsidP="008E54D0">
      <w:pPr>
        <w:pStyle w:val="CEABullet-Level3"/>
        <w:rPr>
          <w:lang w:val="en-GB"/>
        </w:rPr>
      </w:pPr>
      <w:r w:rsidRPr="008E54D0">
        <w:rPr>
          <w:lang w:val="en-GB"/>
        </w:rPr>
        <w:t>The risk-adjustment applied to the spreads has been made more explicit (</w:t>
      </w:r>
      <w:r w:rsidRPr="008E54D0">
        <w:rPr>
          <w:highlight w:val="green"/>
          <w:lang w:val="en-GB"/>
        </w:rPr>
        <w:t>positive</w:t>
      </w:r>
      <w:r w:rsidRPr="008E54D0">
        <w:rPr>
          <w:lang w:val="en-GB"/>
        </w:rPr>
        <w:t>). However, there is still no det</w:t>
      </w:r>
      <w:r>
        <w:rPr>
          <w:lang w:val="en-GB"/>
        </w:rPr>
        <w:t>ail on how this will be done</w:t>
      </w:r>
      <w:r w:rsidR="00EA466A">
        <w:rPr>
          <w:lang w:val="en-GB"/>
        </w:rPr>
        <w:t>. It has to be aligned with how this is done for the matching adjustment</w:t>
      </w:r>
      <w:r w:rsidRPr="008E54D0">
        <w:rPr>
          <w:lang w:val="en-GB"/>
        </w:rPr>
        <w:t xml:space="preserve"> (</w:t>
      </w:r>
      <w:r w:rsidR="00EA466A" w:rsidRPr="00EA466A">
        <w:rPr>
          <w:highlight w:val="green"/>
          <w:lang w:val="en-GB"/>
        </w:rPr>
        <w:t>positive</w:t>
      </w:r>
      <w:r w:rsidR="00EA466A">
        <w:rPr>
          <w:lang w:val="en-GB"/>
        </w:rPr>
        <w:t xml:space="preserve"> for corporate bonds, </w:t>
      </w:r>
      <w:r w:rsidRPr="008E54D0">
        <w:rPr>
          <w:highlight w:val="red"/>
          <w:lang w:val="en-GB"/>
        </w:rPr>
        <w:t>negative</w:t>
      </w:r>
      <w:r w:rsidR="00EA466A">
        <w:rPr>
          <w:lang w:val="en-GB"/>
        </w:rPr>
        <w:t xml:space="preserve"> for government bonds</w:t>
      </w:r>
      <w:r w:rsidRPr="008E54D0">
        <w:rPr>
          <w:lang w:val="en-GB"/>
        </w:rPr>
        <w:t>).  Furthermore, the risk-adjustment includes allowance for “any other risks” which has not been defined and risks further dilution of the adjustment (</w:t>
      </w:r>
      <w:r w:rsidRPr="008E54D0">
        <w:rPr>
          <w:highlight w:val="red"/>
          <w:lang w:val="en-GB"/>
        </w:rPr>
        <w:t>negative</w:t>
      </w:r>
      <w:r w:rsidRPr="008E54D0">
        <w:rPr>
          <w:lang w:val="en-GB"/>
        </w:rPr>
        <w:t>)</w:t>
      </w:r>
    </w:p>
    <w:p w:rsidR="00AC6110" w:rsidRPr="00AC6110" w:rsidRDefault="00AC6110" w:rsidP="00AC6110">
      <w:pPr>
        <w:pStyle w:val="Odsekzoznamu"/>
        <w:spacing w:line="240" w:lineRule="auto"/>
        <w:ind w:left="2160"/>
        <w:contextualSpacing w:val="0"/>
        <w:rPr>
          <w:color w:val="E36C0A"/>
          <w:szCs w:val="17"/>
        </w:rPr>
      </w:pPr>
    </w:p>
    <w:p w:rsidR="00AC6110" w:rsidRPr="008E54D0" w:rsidRDefault="00AC6110" w:rsidP="00AC6110">
      <w:pPr>
        <w:pStyle w:val="CEABullet-Level2"/>
        <w:rPr>
          <w:szCs w:val="17"/>
          <w:lang w:val="en-GB"/>
        </w:rPr>
      </w:pPr>
      <w:r w:rsidRPr="008E54D0">
        <w:rPr>
          <w:szCs w:val="17"/>
          <w:lang w:val="en-GB"/>
        </w:rPr>
        <w:t xml:space="preserve">Matching Adjustment </w:t>
      </w:r>
    </w:p>
    <w:p w:rsidR="008E54D0" w:rsidRPr="008E54D0" w:rsidRDefault="008E54D0" w:rsidP="008E54D0">
      <w:pPr>
        <w:pStyle w:val="CEABullet-Level3"/>
      </w:pPr>
      <w:r w:rsidRPr="008E54D0">
        <w:t>The issue with double counting has been resolved as the text now specifies that the fundamental spread should only deduct the “</w:t>
      </w:r>
      <w:r w:rsidRPr="00E744F0">
        <w:rPr>
          <w:i/>
        </w:rPr>
        <w:t>portion of the fundamental spread that has not already been allowed for by adjusting the cash-flows of the assigned portfolio of assets</w:t>
      </w:r>
      <w:r w:rsidRPr="008E54D0">
        <w:t>” (</w:t>
      </w:r>
      <w:r w:rsidRPr="00EB1F68">
        <w:rPr>
          <w:highlight w:val="green"/>
        </w:rPr>
        <w:t>positive</w:t>
      </w:r>
      <w:r w:rsidRPr="008E54D0">
        <w:t>)</w:t>
      </w:r>
    </w:p>
    <w:p w:rsidR="008E54D0" w:rsidRPr="00EB1F68" w:rsidRDefault="008E54D0" w:rsidP="008E54D0">
      <w:pPr>
        <w:pStyle w:val="CEABullet-Level3"/>
        <w:rPr>
          <w:lang w:val="en-GB"/>
        </w:rPr>
      </w:pPr>
      <w:r w:rsidRPr="00EB1F68">
        <w:rPr>
          <w:lang w:val="en-GB"/>
        </w:rPr>
        <w:t>Art</w:t>
      </w:r>
      <w:r w:rsidR="00EB1F68" w:rsidRPr="00EB1F68">
        <w:rPr>
          <w:lang w:val="en-GB"/>
        </w:rPr>
        <w:t>icles 70, 194, 195 now include</w:t>
      </w:r>
      <w:r w:rsidRPr="00EB1F68">
        <w:rPr>
          <w:lang w:val="en-GB"/>
        </w:rPr>
        <w:t xml:space="preserve"> matching adjustment portfolios alongside R</w:t>
      </w:r>
      <w:r w:rsidR="00EB1F68">
        <w:rPr>
          <w:lang w:val="en-GB"/>
        </w:rPr>
        <w:t xml:space="preserve">ing Fenced </w:t>
      </w:r>
      <w:r w:rsidRPr="00EB1F68">
        <w:rPr>
          <w:lang w:val="en-GB"/>
        </w:rPr>
        <w:t>F</w:t>
      </w:r>
      <w:r w:rsidR="00EB1F68">
        <w:rPr>
          <w:lang w:val="en-GB"/>
        </w:rPr>
        <w:t>unds (RFF)</w:t>
      </w:r>
      <w:r w:rsidRPr="00EB1F68">
        <w:rPr>
          <w:lang w:val="en-GB"/>
        </w:rPr>
        <w:t xml:space="preserve"> – effectively applying the same restrictions to MA portfolios as if they had been RFF (</w:t>
      </w:r>
      <w:r w:rsidRPr="00EB1F68">
        <w:rPr>
          <w:highlight w:val="red"/>
          <w:lang w:val="en-GB"/>
        </w:rPr>
        <w:t>negative</w:t>
      </w:r>
      <w:r w:rsidRPr="00EB1F68">
        <w:rPr>
          <w:lang w:val="en-GB"/>
        </w:rPr>
        <w:t>)</w:t>
      </w:r>
    </w:p>
    <w:p w:rsidR="008E54D0" w:rsidRPr="008E54D0" w:rsidRDefault="008E54D0" w:rsidP="008E54D0">
      <w:pPr>
        <w:pStyle w:val="CEABullet-Level3"/>
      </w:pPr>
      <w:r w:rsidRPr="008E54D0">
        <w:t>No change has been made to the calculation of the fundamental spread for the MA – this is still based on replacing assets with ones of the same credit quality and cliff edge effects still remain (</w:t>
      </w:r>
      <w:r w:rsidRPr="00EB1F68">
        <w:rPr>
          <w:highlight w:val="red"/>
        </w:rPr>
        <w:t>negative</w:t>
      </w:r>
      <w:r w:rsidRPr="008E54D0">
        <w:t>)</w:t>
      </w:r>
    </w:p>
    <w:p w:rsidR="008E54D0" w:rsidRDefault="008E54D0" w:rsidP="008E54D0">
      <w:pPr>
        <w:pStyle w:val="CEABullet-Level3"/>
      </w:pPr>
      <w:r w:rsidRPr="008E54D0">
        <w:t>Still no clarification that cash can be included in the MA portfolio (</w:t>
      </w:r>
      <w:r w:rsidRPr="00EB1F68">
        <w:rPr>
          <w:highlight w:val="red"/>
        </w:rPr>
        <w:t>negative</w:t>
      </w:r>
      <w:r w:rsidRPr="008E54D0">
        <w:t>)</w:t>
      </w:r>
    </w:p>
    <w:p w:rsidR="00487E89" w:rsidRPr="008E54D0" w:rsidRDefault="00487E89" w:rsidP="00487E89">
      <w:pPr>
        <w:pStyle w:val="CEABullet-Level3"/>
        <w:numPr>
          <w:ilvl w:val="0"/>
          <w:numId w:val="0"/>
        </w:numPr>
        <w:ind w:left="1494"/>
      </w:pPr>
    </w:p>
    <w:p w:rsidR="00AC6110" w:rsidRPr="008E54D0" w:rsidRDefault="00EB1F68" w:rsidP="00AC6110">
      <w:pPr>
        <w:pStyle w:val="CEABullet-Level2"/>
        <w:rPr>
          <w:lang w:val="en-GB"/>
        </w:rPr>
      </w:pPr>
      <w:r>
        <w:rPr>
          <w:lang w:val="en-GB"/>
        </w:rPr>
        <w:t xml:space="preserve">Extrapolation </w:t>
      </w:r>
    </w:p>
    <w:p w:rsidR="00EB1F68" w:rsidRPr="00EB1F68" w:rsidRDefault="00EB1F68" w:rsidP="00EB1F68">
      <w:pPr>
        <w:pStyle w:val="CEABullet-Level3"/>
      </w:pPr>
      <w:r w:rsidRPr="00EB1F68">
        <w:t>A new recital (22) sets out the criteria for defining when markets are no longer sufficiently deep and liquid: “</w:t>
      </w:r>
      <w:r w:rsidRPr="00EB1F68">
        <w:rPr>
          <w:i/>
        </w:rPr>
        <w:t>the market for bonds denominated in euro should not be regarded as deep and liquid where the cumulative volume of bonds with maturities larger than or equal to the last maturity is less than 6 percent of the volume of all bonds in that market</w:t>
      </w:r>
      <w:r w:rsidRPr="00EB1F68">
        <w:t>” (</w:t>
      </w:r>
      <w:r w:rsidRPr="00EB1F68">
        <w:rPr>
          <w:highlight w:val="green"/>
        </w:rPr>
        <w:t>positive?</w:t>
      </w:r>
      <w:r w:rsidRPr="00EB1F68">
        <w:t>)</w:t>
      </w:r>
    </w:p>
    <w:p w:rsidR="00EB1F68" w:rsidRPr="00EB1F68" w:rsidRDefault="00EB1F68" w:rsidP="00EB1F68">
      <w:pPr>
        <w:pStyle w:val="CEABullet-Level3"/>
      </w:pPr>
      <w:r w:rsidRPr="00EB1F68">
        <w:t xml:space="preserve">No change to articles 38 or 39 to help ensure the extrapolation methodology means the </w:t>
      </w:r>
      <w:r w:rsidRPr="00EB1F68">
        <w:rPr>
          <w:lang w:eastAsia="en-GB"/>
        </w:rPr>
        <w:t>extrapolated part of the curve is not overly sensitive to changes of the last liquid point and is therefore risk manageable (</w:t>
      </w:r>
      <w:r w:rsidRPr="00EB1F68">
        <w:rPr>
          <w:highlight w:val="red"/>
          <w:lang w:eastAsia="en-GB"/>
        </w:rPr>
        <w:t>negative</w:t>
      </w:r>
      <w:r w:rsidRPr="00EB1F68">
        <w:rPr>
          <w:lang w:eastAsia="en-GB"/>
        </w:rPr>
        <w:t>)</w:t>
      </w:r>
    </w:p>
    <w:p w:rsidR="00AC6110" w:rsidRPr="00AC6110" w:rsidRDefault="00AC6110" w:rsidP="00AC6110">
      <w:pPr>
        <w:pStyle w:val="Odsekzoznamu"/>
        <w:spacing w:line="240" w:lineRule="auto"/>
        <w:ind w:left="2880"/>
        <w:contextualSpacing w:val="0"/>
        <w:rPr>
          <w:szCs w:val="17"/>
        </w:rPr>
      </w:pPr>
    </w:p>
    <w:p w:rsidR="00AC6110" w:rsidRPr="00AC6110" w:rsidRDefault="00AC6110" w:rsidP="00C306CA">
      <w:pPr>
        <w:pStyle w:val="CEABullet-Level2"/>
        <w:rPr>
          <w:lang w:val="en-US"/>
        </w:rPr>
      </w:pPr>
      <w:r w:rsidRPr="00E645EE">
        <w:rPr>
          <w:lang w:val="en-GB"/>
        </w:rPr>
        <w:t>Credit Risk Adjustment</w:t>
      </w:r>
      <w:r w:rsidRPr="00E645EE" w:rsidDel="008C2434">
        <w:rPr>
          <w:lang w:val="en-GB"/>
        </w:rPr>
        <w:t xml:space="preserve"> </w:t>
      </w:r>
    </w:p>
    <w:p w:rsidR="00EB1F68" w:rsidRPr="00E645EE" w:rsidRDefault="00EB1F68" w:rsidP="00EB1F68">
      <w:pPr>
        <w:pStyle w:val="CEABullet-Level3"/>
        <w:rPr>
          <w:lang w:val="en-GB"/>
        </w:rPr>
      </w:pPr>
      <w:r w:rsidRPr="00E645EE">
        <w:rPr>
          <w:lang w:val="en-GB"/>
        </w:rPr>
        <w:lastRenderedPageBreak/>
        <w:t>New recital 20 specifies that 3 month tenors should be used for the CRA (</w:t>
      </w:r>
      <w:r w:rsidRPr="00E645EE">
        <w:rPr>
          <w:highlight w:val="red"/>
          <w:lang w:val="en-GB"/>
        </w:rPr>
        <w:t>negative</w:t>
      </w:r>
      <w:r w:rsidRPr="00E645EE">
        <w:rPr>
          <w:lang w:val="en-GB"/>
        </w:rPr>
        <w:t>)</w:t>
      </w:r>
    </w:p>
    <w:p w:rsidR="00EB1F68" w:rsidRPr="00EB1F68" w:rsidRDefault="00EB1F68" w:rsidP="00EB1F68">
      <w:pPr>
        <w:pStyle w:val="CEABullet-Level3"/>
        <w:rPr>
          <w:lang w:val="en-GB"/>
        </w:rPr>
      </w:pPr>
      <w:r w:rsidRPr="00EB1F68">
        <w:rPr>
          <w:lang w:val="en-GB"/>
        </w:rPr>
        <w:t>The floor of 10 bps still remains (</w:t>
      </w:r>
      <w:r w:rsidRPr="00EB1F68">
        <w:rPr>
          <w:highlight w:val="red"/>
          <w:lang w:val="en-GB"/>
        </w:rPr>
        <w:t>negative</w:t>
      </w:r>
      <w:r w:rsidRPr="00EB1F68">
        <w:rPr>
          <w:lang w:val="en-GB"/>
        </w:rPr>
        <w:t>) but there is also a cap of 35 bps (</w:t>
      </w:r>
      <w:r w:rsidR="006A6EA8">
        <w:rPr>
          <w:lang w:val="en-GB"/>
        </w:rPr>
        <w:t xml:space="preserve">we like the fact of having a cap, </w:t>
      </w:r>
      <w:r w:rsidR="006A6EA8" w:rsidRPr="006A6EA8">
        <w:rPr>
          <w:lang w:val="en-GB"/>
        </w:rPr>
        <w:t>but</w:t>
      </w:r>
      <w:r w:rsidRPr="006A6EA8">
        <w:rPr>
          <w:lang w:val="en-GB"/>
        </w:rPr>
        <w:t xml:space="preserve"> </w:t>
      </w:r>
      <w:r w:rsidRPr="00EB1F68">
        <w:rPr>
          <w:u w:val="single"/>
          <w:lang w:val="en-GB"/>
        </w:rPr>
        <w:t>we would want it to be lower</w:t>
      </w:r>
      <w:r w:rsidRPr="00EB1F68">
        <w:rPr>
          <w:lang w:val="en-GB"/>
        </w:rPr>
        <w:t>)</w:t>
      </w:r>
    </w:p>
    <w:p w:rsidR="00EB1F68" w:rsidRPr="00EB1F68" w:rsidRDefault="00EB1F68" w:rsidP="00EB1F68">
      <w:pPr>
        <w:pStyle w:val="CEABullet-Level3"/>
      </w:pPr>
      <w:r w:rsidRPr="00EB1F68">
        <w:t>The CRA is now calculated as 50% of the difference between  interest rate swaps and overnights swaps rather than 100% (</w:t>
      </w:r>
      <w:r w:rsidRPr="00EB1F68">
        <w:rPr>
          <w:highlight w:val="green"/>
        </w:rPr>
        <w:t>positive</w:t>
      </w:r>
      <w:r w:rsidRPr="00EB1F68">
        <w:t>)</w:t>
      </w:r>
    </w:p>
    <w:p w:rsidR="00EB1F68" w:rsidRDefault="00EB1F68" w:rsidP="00EB1F68">
      <w:pPr>
        <w:pStyle w:val="CEABullet-Level3"/>
      </w:pPr>
      <w:r w:rsidRPr="00EB1F68">
        <w:t>The difference is averaged over a one year period rather than a “</w:t>
      </w:r>
      <w:r w:rsidRPr="00EB1F68">
        <w:rPr>
          <w:i/>
        </w:rPr>
        <w:t>period that is long enough to ensure the stability of the adjustment</w:t>
      </w:r>
      <w:r w:rsidRPr="00EB1F68">
        <w:t>” – this is not likely to be sufficiently long (</w:t>
      </w:r>
      <w:r w:rsidRPr="00EB1F68">
        <w:rPr>
          <w:highlight w:val="red"/>
        </w:rPr>
        <w:t>negative</w:t>
      </w:r>
      <w:r w:rsidRPr="00EB1F68">
        <w:t>)</w:t>
      </w:r>
    </w:p>
    <w:p w:rsidR="00487E89" w:rsidRPr="00EB1F68" w:rsidRDefault="00487E89" w:rsidP="00487E89">
      <w:pPr>
        <w:pStyle w:val="CEABullet-Level3"/>
        <w:numPr>
          <w:ilvl w:val="0"/>
          <w:numId w:val="0"/>
        </w:numPr>
        <w:ind w:left="1494"/>
      </w:pPr>
    </w:p>
    <w:p w:rsidR="00EA466A" w:rsidRDefault="00EA466A" w:rsidP="00AC6110">
      <w:pPr>
        <w:pStyle w:val="CEABullet-Level1"/>
        <w:rPr>
          <w:szCs w:val="17"/>
          <w:lang w:val="en-US"/>
        </w:rPr>
      </w:pPr>
      <w:r>
        <w:rPr>
          <w:szCs w:val="17"/>
          <w:lang w:val="en-US"/>
        </w:rPr>
        <w:t>Equivalence</w:t>
      </w:r>
    </w:p>
    <w:p w:rsidR="00EA466A" w:rsidRDefault="00EA466A" w:rsidP="00487E89">
      <w:pPr>
        <w:pStyle w:val="CEABullet-Level3"/>
      </w:pPr>
      <w:r w:rsidRPr="00EA466A">
        <w:t xml:space="preserve">This has been slightly improved, since </w:t>
      </w:r>
      <w:r>
        <w:t xml:space="preserve">now supervisors when they assess whether </w:t>
      </w:r>
      <w:r w:rsidR="00487E89">
        <w:t xml:space="preserve">the group solvency calculation should be made with </w:t>
      </w:r>
      <w:r>
        <w:t xml:space="preserve">method </w:t>
      </w:r>
      <w:r w:rsidR="00487E89">
        <w:t>2 or a combination of methods 1 and 2,</w:t>
      </w:r>
      <w:r>
        <w:t xml:space="preserve"> have to look at whether some </w:t>
      </w:r>
      <w:r w:rsidR="00487E89">
        <w:t>related undertaking</w:t>
      </w:r>
      <w:r>
        <w:t>s are in (provisionally) equivalent third-countries (</w:t>
      </w:r>
      <w:r w:rsidRPr="00487E89">
        <w:rPr>
          <w:highlight w:val="green"/>
        </w:rPr>
        <w:t>positive</w:t>
      </w:r>
      <w:r>
        <w:t>)</w:t>
      </w:r>
    </w:p>
    <w:p w:rsidR="00EA466A" w:rsidRDefault="00EA466A" w:rsidP="00487E89">
      <w:pPr>
        <w:pStyle w:val="CEABullet-Level3"/>
      </w:pPr>
      <w:r>
        <w:t xml:space="preserve">However, this remains uncertain from a legal point of view. </w:t>
      </w:r>
      <w:r w:rsidRPr="00EA466A">
        <w:t>It gives a lot of powers for the supervisor to assess at what conditions the D&amp;A could be granted</w:t>
      </w:r>
      <w:r>
        <w:t>, and could lead to level-playing field issues (</w:t>
      </w:r>
      <w:r w:rsidRPr="00EA466A">
        <w:rPr>
          <w:highlight w:val="red"/>
        </w:rPr>
        <w:t>negative</w:t>
      </w:r>
      <w:r>
        <w:t>)</w:t>
      </w:r>
    </w:p>
    <w:p w:rsidR="00487E89" w:rsidRPr="00EA466A" w:rsidRDefault="00487E89" w:rsidP="00487E89">
      <w:pPr>
        <w:pStyle w:val="CEABullet-Level3"/>
        <w:numPr>
          <w:ilvl w:val="0"/>
          <w:numId w:val="0"/>
        </w:numPr>
        <w:ind w:left="1494"/>
      </w:pPr>
    </w:p>
    <w:p w:rsidR="00AC6110" w:rsidRPr="006A6EA8" w:rsidRDefault="00AC6110" w:rsidP="00487E89">
      <w:pPr>
        <w:pStyle w:val="CEABullet-Level1"/>
        <w:rPr>
          <w:highlight w:val="yellow"/>
          <w:lang w:val="en-US"/>
        </w:rPr>
      </w:pPr>
      <w:r w:rsidRPr="006A6EA8">
        <w:rPr>
          <w:highlight w:val="yellow"/>
        </w:rPr>
        <w:t xml:space="preserve">Long term investment issues </w:t>
      </w:r>
    </w:p>
    <w:p w:rsidR="00487E89" w:rsidRDefault="005F7260" w:rsidP="00487E89">
      <w:pPr>
        <w:pStyle w:val="CEABullet-Level2"/>
      </w:pPr>
      <w:r>
        <w:t>Securitisations</w:t>
      </w:r>
    </w:p>
    <w:p w:rsidR="00487E89" w:rsidRPr="005F7260" w:rsidRDefault="00487E89" w:rsidP="00487E89">
      <w:pPr>
        <w:pStyle w:val="CEABullet-Level3"/>
        <w:rPr>
          <w:lang w:val="en-GB"/>
        </w:rPr>
      </w:pPr>
      <w:r w:rsidRPr="005F7260">
        <w:rPr>
          <w:lang w:val="en-GB"/>
        </w:rPr>
        <w:t xml:space="preserve">Capital charges for high-quality (Type 1) have been halfed </w:t>
      </w:r>
      <w:r w:rsidR="005F7260">
        <w:rPr>
          <w:lang w:val="en-GB"/>
        </w:rPr>
        <w:t>(</w:t>
      </w:r>
      <w:r w:rsidR="005F7260" w:rsidRPr="005F7260">
        <w:rPr>
          <w:highlight w:val="green"/>
          <w:lang w:val="en-GB"/>
        </w:rPr>
        <w:t>positive</w:t>
      </w:r>
      <w:r w:rsidR="005F7260">
        <w:rPr>
          <w:lang w:val="en-GB"/>
        </w:rPr>
        <w:t>)</w:t>
      </w:r>
    </w:p>
    <w:p w:rsidR="005F7260" w:rsidRDefault="00487E89" w:rsidP="00487E89">
      <w:pPr>
        <w:pStyle w:val="CEABullet-Level3"/>
        <w:rPr>
          <w:lang w:val="en-GB"/>
        </w:rPr>
      </w:pPr>
      <w:r w:rsidRPr="005F7260">
        <w:rPr>
          <w:lang w:val="en-GB"/>
        </w:rPr>
        <w:t>No inclusio</w:t>
      </w:r>
      <w:r w:rsidR="005F7260">
        <w:rPr>
          <w:lang w:val="en-GB"/>
        </w:rPr>
        <w:t>n of junior ranches in Type 1 (</w:t>
      </w:r>
      <w:r w:rsidR="005F7260" w:rsidRPr="005F7260">
        <w:rPr>
          <w:highlight w:val="red"/>
          <w:lang w:val="en-GB"/>
        </w:rPr>
        <w:t>negative</w:t>
      </w:r>
      <w:r w:rsidR="005F7260">
        <w:rPr>
          <w:lang w:val="en-GB"/>
        </w:rPr>
        <w:t>)</w:t>
      </w:r>
    </w:p>
    <w:p w:rsidR="00487E89" w:rsidRPr="005F7260" w:rsidRDefault="005F7260" w:rsidP="00487E89">
      <w:pPr>
        <w:pStyle w:val="CEABullet-Level3"/>
        <w:rPr>
          <w:lang w:val="en-GB"/>
        </w:rPr>
      </w:pPr>
      <w:r>
        <w:rPr>
          <w:lang w:val="en-GB"/>
        </w:rPr>
        <w:t>N</w:t>
      </w:r>
      <w:r w:rsidR="00487E89" w:rsidRPr="005F7260">
        <w:rPr>
          <w:lang w:val="en-GB"/>
        </w:rPr>
        <w:t>o change regarding loans to large corporates</w:t>
      </w:r>
      <w:r w:rsidR="00C26DC1">
        <w:rPr>
          <w:lang w:val="en-GB"/>
        </w:rPr>
        <w:t xml:space="preserve">: still not </w:t>
      </w:r>
      <w:r w:rsidR="00487E89" w:rsidRPr="005F7260">
        <w:rPr>
          <w:lang w:val="en-GB"/>
        </w:rPr>
        <w:t>eligible as underlying Type 1 category</w:t>
      </w:r>
      <w:r>
        <w:rPr>
          <w:lang w:val="en-GB"/>
        </w:rPr>
        <w:t xml:space="preserve"> (</w:t>
      </w:r>
      <w:r w:rsidRPr="005F7260">
        <w:rPr>
          <w:highlight w:val="red"/>
          <w:lang w:val="en-GB"/>
        </w:rPr>
        <w:t>negative</w:t>
      </w:r>
      <w:r>
        <w:rPr>
          <w:lang w:val="en-GB"/>
        </w:rPr>
        <w:t>)</w:t>
      </w:r>
    </w:p>
    <w:p w:rsidR="00487E89" w:rsidRDefault="00487E89" w:rsidP="00487E89">
      <w:r>
        <w:t> </w:t>
      </w:r>
    </w:p>
    <w:p w:rsidR="00487E89" w:rsidRDefault="00487E89" w:rsidP="00487E89">
      <w:pPr>
        <w:pStyle w:val="CEABullet-Level2"/>
      </w:pPr>
      <w:r>
        <w:t>SME Loans:</w:t>
      </w:r>
    </w:p>
    <w:p w:rsidR="00487E89" w:rsidRPr="00C26DC1" w:rsidRDefault="00C26DC1" w:rsidP="00487E89">
      <w:pPr>
        <w:pStyle w:val="CEABullet-Level3"/>
        <w:rPr>
          <w:lang w:val="en-GB"/>
        </w:rPr>
      </w:pPr>
      <w:r w:rsidRPr="00C26DC1">
        <w:rPr>
          <w:lang w:val="en-GB"/>
        </w:rPr>
        <w:t>R</w:t>
      </w:r>
      <w:r w:rsidR="00487E89" w:rsidRPr="00C26DC1">
        <w:rPr>
          <w:lang w:val="en-GB"/>
        </w:rPr>
        <w:t>ecognition of collateral/guarantees of unrated SME loans in the value of the exposure to be stressed (</w:t>
      </w:r>
      <w:r>
        <w:rPr>
          <w:lang w:val="en-GB"/>
        </w:rPr>
        <w:t>positive)</w:t>
      </w:r>
    </w:p>
    <w:p w:rsidR="00C26DC1" w:rsidRDefault="00C26DC1" w:rsidP="00487E89">
      <w:pPr>
        <w:pStyle w:val="CEABullet-Level3"/>
        <w:rPr>
          <w:lang w:val="en-GB"/>
        </w:rPr>
      </w:pPr>
      <w:r>
        <w:rPr>
          <w:lang w:val="en-GB"/>
        </w:rPr>
        <w:t>N</w:t>
      </w:r>
      <w:r w:rsidR="00487E89" w:rsidRPr="00C26DC1">
        <w:rPr>
          <w:lang w:val="en-GB"/>
        </w:rPr>
        <w:t xml:space="preserve">o recognition of higher recovery </w:t>
      </w:r>
      <w:r>
        <w:rPr>
          <w:lang w:val="en-GB"/>
        </w:rPr>
        <w:t>rates in the spread risk module (</w:t>
      </w:r>
      <w:r w:rsidRPr="00C26DC1">
        <w:rPr>
          <w:highlight w:val="red"/>
          <w:lang w:val="en-GB"/>
        </w:rPr>
        <w:t>negative</w:t>
      </w:r>
      <w:r>
        <w:rPr>
          <w:lang w:val="en-GB"/>
        </w:rPr>
        <w:t>)</w:t>
      </w:r>
      <w:r w:rsidR="00487E89" w:rsidRPr="00C26DC1">
        <w:rPr>
          <w:lang w:val="en-GB"/>
        </w:rPr>
        <w:t xml:space="preserve"> </w:t>
      </w:r>
    </w:p>
    <w:p w:rsidR="00487E89" w:rsidRPr="00C26DC1" w:rsidRDefault="00C26DC1" w:rsidP="00487E89">
      <w:pPr>
        <w:pStyle w:val="CEABullet-Level3"/>
        <w:rPr>
          <w:lang w:val="en-GB"/>
        </w:rPr>
      </w:pPr>
      <w:r>
        <w:rPr>
          <w:lang w:val="en-GB"/>
        </w:rPr>
        <w:t>N</w:t>
      </w:r>
      <w:r w:rsidR="00487E89" w:rsidRPr="00C26DC1">
        <w:rPr>
          <w:lang w:val="en-GB"/>
        </w:rPr>
        <w:t>o change in treatment from spread risk module to counterparty default risk module</w:t>
      </w:r>
      <w:r>
        <w:rPr>
          <w:lang w:val="en-GB"/>
        </w:rPr>
        <w:t xml:space="preserve"> (</w:t>
      </w:r>
      <w:r w:rsidRPr="00C26DC1">
        <w:rPr>
          <w:highlight w:val="red"/>
          <w:lang w:val="en-GB"/>
        </w:rPr>
        <w:t>negative</w:t>
      </w:r>
      <w:r>
        <w:rPr>
          <w:lang w:val="en-GB"/>
        </w:rPr>
        <w:t>)</w:t>
      </w:r>
    </w:p>
    <w:p w:rsidR="00487E89" w:rsidRDefault="00487E89" w:rsidP="00487E89">
      <w:r>
        <w:t> </w:t>
      </w:r>
    </w:p>
    <w:p w:rsidR="00487E89" w:rsidRDefault="00487E89" w:rsidP="00487E89">
      <w:pPr>
        <w:pStyle w:val="CEABullet-Level2"/>
      </w:pPr>
      <w:r>
        <w:t>Infrastructure:</w:t>
      </w:r>
    </w:p>
    <w:p w:rsidR="00487E89" w:rsidRPr="00C26DC1" w:rsidRDefault="00C26DC1" w:rsidP="00487E89">
      <w:pPr>
        <w:pStyle w:val="CEABullet-Level3"/>
        <w:rPr>
          <w:lang w:val="en-GB"/>
        </w:rPr>
      </w:pPr>
      <w:r>
        <w:rPr>
          <w:lang w:val="en-GB"/>
        </w:rPr>
        <w:t>N</w:t>
      </w:r>
      <w:r w:rsidR="00487E89" w:rsidRPr="00C26DC1">
        <w:rPr>
          <w:lang w:val="en-GB"/>
        </w:rPr>
        <w:t>o explicit reference to infrastructure (no definition, no specific treatment for infra</w:t>
      </w:r>
      <w:r>
        <w:rPr>
          <w:lang w:val="en-GB"/>
        </w:rPr>
        <w:t>structure</w:t>
      </w:r>
      <w:r w:rsidR="00487E89" w:rsidRPr="00C26DC1">
        <w:rPr>
          <w:lang w:val="en-GB"/>
        </w:rPr>
        <w:t xml:space="preserve"> bonds/equity)</w:t>
      </w:r>
      <w:r>
        <w:rPr>
          <w:lang w:val="en-GB"/>
        </w:rPr>
        <w:t xml:space="preserve"> (</w:t>
      </w:r>
      <w:r w:rsidRPr="00C26DC1">
        <w:rPr>
          <w:highlight w:val="red"/>
          <w:lang w:val="en-GB"/>
        </w:rPr>
        <w:t>negative</w:t>
      </w:r>
      <w:r>
        <w:rPr>
          <w:lang w:val="en-GB"/>
        </w:rPr>
        <w:t>)</w:t>
      </w:r>
    </w:p>
    <w:p w:rsidR="00487E89" w:rsidRPr="00C26DC1" w:rsidRDefault="00487E89" w:rsidP="00487E89">
      <w:pPr>
        <w:pStyle w:val="CEABullet-Level3"/>
        <w:numPr>
          <w:ilvl w:val="0"/>
          <w:numId w:val="0"/>
        </w:numPr>
        <w:ind w:left="1494"/>
        <w:rPr>
          <w:lang w:val="en-GB"/>
        </w:rPr>
      </w:pPr>
    </w:p>
    <w:p w:rsidR="00487E89" w:rsidRDefault="005F7260" w:rsidP="00487E89">
      <w:pPr>
        <w:pStyle w:val="CEABullet-Level2"/>
      </w:pPr>
      <w:r>
        <w:t>SME equity</w:t>
      </w:r>
    </w:p>
    <w:p w:rsidR="00487E89" w:rsidRDefault="00C26DC1" w:rsidP="00487E89">
      <w:pPr>
        <w:pStyle w:val="CEABullet-Level3"/>
        <w:rPr>
          <w:lang w:val="en-GB"/>
        </w:rPr>
      </w:pPr>
      <w:r w:rsidRPr="00C26DC1">
        <w:rPr>
          <w:lang w:val="en-GB"/>
        </w:rPr>
        <w:t>T</w:t>
      </w:r>
      <w:r w:rsidR="00487E89" w:rsidRPr="005F7260">
        <w:rPr>
          <w:lang w:val="en-GB"/>
        </w:rPr>
        <w:t>he scope of type 1 equity has been extended to include AIFM and venture capital funds</w:t>
      </w:r>
      <w:r>
        <w:rPr>
          <w:lang w:val="en-GB"/>
        </w:rPr>
        <w:t xml:space="preserve"> (</w:t>
      </w:r>
      <w:r w:rsidRPr="00C26DC1">
        <w:rPr>
          <w:highlight w:val="green"/>
          <w:lang w:val="en-GB"/>
        </w:rPr>
        <w:t>positive</w:t>
      </w:r>
      <w:r>
        <w:rPr>
          <w:lang w:val="en-GB"/>
        </w:rPr>
        <w:t>)</w:t>
      </w:r>
    </w:p>
    <w:p w:rsidR="006A6EA8" w:rsidRDefault="006A6EA8" w:rsidP="00487E89">
      <w:pPr>
        <w:pStyle w:val="CEABullet-Level3"/>
        <w:rPr>
          <w:lang w:val="en-GB"/>
        </w:rPr>
      </w:pPr>
      <w:r>
        <w:rPr>
          <w:lang w:val="en-GB"/>
        </w:rPr>
        <w:t>However, private equity is still out of the scope</w:t>
      </w:r>
      <w:r w:rsidR="00F971BE">
        <w:rPr>
          <w:lang w:val="en-GB"/>
        </w:rPr>
        <w:t xml:space="preserve"> and for some funds related to AIFM this might lead to higher shocks than with a look-through approach (eg if underlying exposure is property).</w:t>
      </w:r>
    </w:p>
    <w:p w:rsidR="00A133FC" w:rsidRDefault="00A133FC" w:rsidP="00487E89">
      <w:pPr>
        <w:pStyle w:val="CEABullet-Level3"/>
        <w:rPr>
          <w:lang w:val="en-GB"/>
        </w:rPr>
      </w:pPr>
      <w:r>
        <w:rPr>
          <w:lang w:val="en-GB"/>
        </w:rPr>
        <w:t xml:space="preserve">Therefore we suggest that we still ask for all SME equities to be treated as type 1 </w:t>
      </w:r>
      <w:r w:rsidRPr="00A133FC">
        <w:rPr>
          <w:i/>
          <w:lang w:val="en-GB"/>
        </w:rPr>
        <w:t>(members to confirm this potential position)</w:t>
      </w:r>
      <w:r>
        <w:rPr>
          <w:lang w:val="en-GB"/>
        </w:rPr>
        <w:t>.</w:t>
      </w:r>
    </w:p>
    <w:p w:rsidR="00C26DC1" w:rsidRPr="005F7260" w:rsidRDefault="00C26DC1" w:rsidP="00C26DC1">
      <w:pPr>
        <w:pStyle w:val="CEABullet-Level3"/>
        <w:numPr>
          <w:ilvl w:val="0"/>
          <w:numId w:val="0"/>
        </w:numPr>
        <w:ind w:left="1494"/>
        <w:rPr>
          <w:lang w:val="en-GB"/>
        </w:rPr>
      </w:pPr>
    </w:p>
    <w:p w:rsidR="00487E89" w:rsidRDefault="00EA466A" w:rsidP="00487E89">
      <w:pPr>
        <w:pStyle w:val="CEABullet-Level2"/>
        <w:rPr>
          <w:color w:val="auto"/>
          <w:szCs w:val="17"/>
        </w:rPr>
      </w:pPr>
      <w:r w:rsidRPr="00487E89">
        <w:rPr>
          <w:color w:val="auto"/>
          <w:szCs w:val="17"/>
        </w:rPr>
        <w:t>Transitionals for equity risk</w:t>
      </w:r>
    </w:p>
    <w:p w:rsidR="00C26DC1" w:rsidRPr="00C26DC1" w:rsidRDefault="00C26DC1" w:rsidP="00487E89">
      <w:pPr>
        <w:pStyle w:val="CEABullet-Level3"/>
        <w:rPr>
          <w:color w:val="auto"/>
          <w:szCs w:val="17"/>
          <w:lang w:val="en-GB"/>
        </w:rPr>
      </w:pPr>
      <w:r w:rsidRPr="00C26DC1">
        <w:rPr>
          <w:lang w:val="en-GB"/>
        </w:rPr>
        <w:t>T</w:t>
      </w:r>
      <w:r w:rsidR="00487E89" w:rsidRPr="00C26DC1">
        <w:rPr>
          <w:lang w:val="en-GB"/>
        </w:rPr>
        <w:t>he scope has not b</w:t>
      </w:r>
      <w:r>
        <w:rPr>
          <w:lang w:val="en-GB"/>
        </w:rPr>
        <w:t>een extended to type 2 equities</w:t>
      </w:r>
      <w:r w:rsidRPr="00C26DC1">
        <w:rPr>
          <w:color w:val="auto"/>
          <w:szCs w:val="17"/>
          <w:lang w:val="en-GB"/>
        </w:rPr>
        <w:t xml:space="preserve"> (</w:t>
      </w:r>
      <w:r w:rsidRPr="00C26DC1">
        <w:rPr>
          <w:color w:val="auto"/>
          <w:szCs w:val="17"/>
          <w:highlight w:val="red"/>
          <w:lang w:val="en-GB"/>
        </w:rPr>
        <w:t>negative</w:t>
      </w:r>
      <w:r w:rsidRPr="00C26DC1">
        <w:rPr>
          <w:color w:val="auto"/>
          <w:szCs w:val="17"/>
          <w:lang w:val="en-GB"/>
        </w:rPr>
        <w:t>)</w:t>
      </w:r>
      <w:r>
        <w:rPr>
          <w:lang w:val="en-GB"/>
        </w:rPr>
        <w:t xml:space="preserve"> </w:t>
      </w:r>
    </w:p>
    <w:p w:rsidR="005F7260" w:rsidRPr="00C26DC1" w:rsidRDefault="005F7260" w:rsidP="005F7260">
      <w:pPr>
        <w:pStyle w:val="CEABullet-Level3"/>
        <w:numPr>
          <w:ilvl w:val="0"/>
          <w:numId w:val="0"/>
        </w:numPr>
        <w:ind w:left="1494"/>
        <w:rPr>
          <w:color w:val="auto"/>
          <w:szCs w:val="17"/>
          <w:lang w:val="en-GB"/>
        </w:rPr>
      </w:pPr>
    </w:p>
    <w:p w:rsidR="00487E89" w:rsidRPr="00EA466A" w:rsidRDefault="005F7260" w:rsidP="005F7260">
      <w:pPr>
        <w:pStyle w:val="CEABullet-Level1"/>
      </w:pPr>
      <w:r>
        <w:t>Other SCR related issues</w:t>
      </w:r>
    </w:p>
    <w:p w:rsidR="00EB1F68" w:rsidRDefault="00EA466A" w:rsidP="00EB1F68">
      <w:pPr>
        <w:pStyle w:val="CEABullet-Level2"/>
      </w:pPr>
      <w:r>
        <w:t>Interest r</w:t>
      </w:r>
      <w:r w:rsidR="00EB1F68">
        <w:t>ate risk</w:t>
      </w:r>
    </w:p>
    <w:p w:rsidR="00EB1F68" w:rsidRDefault="00EB1F68" w:rsidP="00EB1F68">
      <w:pPr>
        <w:pStyle w:val="CEABullet-Level3"/>
        <w:rPr>
          <w:lang w:val="en-GB"/>
        </w:rPr>
      </w:pPr>
      <w:r>
        <w:rPr>
          <w:lang w:val="en-GB"/>
        </w:rPr>
        <w:t>There has been no clarification on whether shocks have to be applied beyond the last liquid point, and EIOPA’s interpretation is that they have to (</w:t>
      </w:r>
      <w:r w:rsidRPr="00EB1F68">
        <w:rPr>
          <w:highlight w:val="red"/>
          <w:lang w:val="en-GB"/>
        </w:rPr>
        <w:t>negative</w:t>
      </w:r>
      <w:r>
        <w:rPr>
          <w:lang w:val="en-GB"/>
        </w:rPr>
        <w:t>)</w:t>
      </w:r>
    </w:p>
    <w:p w:rsidR="00EB1F68" w:rsidRDefault="00EB1F68" w:rsidP="00EB1F68">
      <w:pPr>
        <w:pStyle w:val="CEABullet-Level3"/>
        <w:rPr>
          <w:lang w:val="en-GB"/>
        </w:rPr>
      </w:pPr>
      <w:r>
        <w:rPr>
          <w:lang w:val="en-GB"/>
        </w:rPr>
        <w:lastRenderedPageBreak/>
        <w:t>The minimum shock of 1</w:t>
      </w:r>
      <w:r w:rsidR="00EA466A">
        <w:rPr>
          <w:lang w:val="en-GB"/>
        </w:rPr>
        <w:t xml:space="preserve"> percentage point</w:t>
      </w:r>
      <w:r>
        <w:rPr>
          <w:lang w:val="en-GB"/>
        </w:rPr>
        <w:t xml:space="preserve"> for the decreasing rates has been removed (</w:t>
      </w:r>
      <w:r w:rsidRPr="00EB1F68">
        <w:rPr>
          <w:highlight w:val="green"/>
          <w:lang w:val="en-GB"/>
        </w:rPr>
        <w:t>positive</w:t>
      </w:r>
      <w:r>
        <w:rPr>
          <w:lang w:val="en-GB"/>
        </w:rPr>
        <w:t>)</w:t>
      </w:r>
    </w:p>
    <w:p w:rsidR="00487E89" w:rsidRDefault="00487E89" w:rsidP="00487E89">
      <w:pPr>
        <w:pStyle w:val="CEABullet-Level3"/>
        <w:numPr>
          <w:ilvl w:val="0"/>
          <w:numId w:val="0"/>
        </w:numPr>
        <w:ind w:left="1494"/>
        <w:rPr>
          <w:lang w:val="en-GB"/>
        </w:rPr>
      </w:pPr>
    </w:p>
    <w:p w:rsidR="00EA466A" w:rsidRDefault="00EA466A" w:rsidP="00EA466A">
      <w:pPr>
        <w:pStyle w:val="CEABullet-Level2"/>
      </w:pPr>
      <w:r>
        <w:t>Currency risk</w:t>
      </w:r>
    </w:p>
    <w:p w:rsidR="00EA466A" w:rsidRDefault="00EA466A" w:rsidP="00EA466A">
      <w:pPr>
        <w:pStyle w:val="CEABullet-Level3"/>
      </w:pPr>
      <w:r>
        <w:t>No change (</w:t>
      </w:r>
      <w:r w:rsidRPr="00EA466A">
        <w:rPr>
          <w:highlight w:val="red"/>
        </w:rPr>
        <w:t>negative</w:t>
      </w:r>
      <w:r>
        <w:t xml:space="preserve">) </w:t>
      </w:r>
    </w:p>
    <w:p w:rsidR="00487E89" w:rsidRDefault="00487E89" w:rsidP="00487E89">
      <w:pPr>
        <w:pStyle w:val="CEABullet-Level3"/>
        <w:numPr>
          <w:ilvl w:val="0"/>
          <w:numId w:val="0"/>
        </w:numPr>
        <w:ind w:left="1494"/>
      </w:pPr>
    </w:p>
    <w:p w:rsidR="00487E89" w:rsidRDefault="00487E89" w:rsidP="00487E89">
      <w:pPr>
        <w:pStyle w:val="CEABullet-Level1"/>
      </w:pPr>
      <w:r>
        <w:t>Own funds</w:t>
      </w:r>
    </w:p>
    <w:p w:rsidR="00487E89" w:rsidRDefault="00487E89" w:rsidP="00487E89">
      <w:pPr>
        <w:pStyle w:val="CEABullet-Level3"/>
      </w:pPr>
      <w:r>
        <w:t>No major changes:</w:t>
      </w:r>
      <w:r w:rsidRPr="00487E89">
        <w:t xml:space="preserve"> </w:t>
      </w:r>
      <w:r>
        <w:t>Our issues on the eligibility limits, classification of net Deferred Tax Assets and the treatment of group own funds remain (</w:t>
      </w:r>
      <w:r w:rsidRPr="00487E89">
        <w:rPr>
          <w:highlight w:val="red"/>
        </w:rPr>
        <w:t>negative</w:t>
      </w:r>
      <w:r>
        <w:t>)</w:t>
      </w:r>
    </w:p>
    <w:p w:rsidR="00487E89" w:rsidRPr="00487E89" w:rsidRDefault="00487E89" w:rsidP="00B74AB5">
      <w:pPr>
        <w:pStyle w:val="CEABullet-Level3"/>
        <w:numPr>
          <w:ilvl w:val="0"/>
          <w:numId w:val="0"/>
        </w:numPr>
        <w:ind w:left="1134"/>
      </w:pPr>
    </w:p>
    <w:p w:rsidR="00487E89" w:rsidRDefault="00487E89" w:rsidP="00487E89">
      <w:pPr>
        <w:pStyle w:val="CEABullet-Level2"/>
        <w:numPr>
          <w:ilvl w:val="0"/>
          <w:numId w:val="0"/>
        </w:numPr>
        <w:rPr>
          <w:lang w:val="en-GB"/>
        </w:rPr>
      </w:pPr>
    </w:p>
    <w:p w:rsidR="00487E89" w:rsidRDefault="00487E89" w:rsidP="00487E89">
      <w:pPr>
        <w:pStyle w:val="CEABullet-Level2"/>
        <w:numPr>
          <w:ilvl w:val="0"/>
          <w:numId w:val="18"/>
        </w:numPr>
        <w:rPr>
          <w:i/>
          <w:szCs w:val="17"/>
          <w:u w:val="single"/>
          <w:lang w:val="en-GB"/>
        </w:rPr>
      </w:pPr>
      <w:r>
        <w:rPr>
          <w:i/>
          <w:szCs w:val="17"/>
          <w:u w:val="single"/>
          <w:lang w:val="en-GB"/>
        </w:rPr>
        <w:t>Other p</w:t>
      </w:r>
      <w:r w:rsidRPr="00487E89">
        <w:rPr>
          <w:i/>
          <w:szCs w:val="17"/>
          <w:u w:val="single"/>
          <w:lang w:val="en-GB"/>
        </w:rPr>
        <w:t xml:space="preserve">reviously identified </w:t>
      </w:r>
      <w:r>
        <w:rPr>
          <w:i/>
          <w:szCs w:val="17"/>
          <w:u w:val="single"/>
          <w:lang w:val="en-GB"/>
        </w:rPr>
        <w:t xml:space="preserve">strong </w:t>
      </w:r>
      <w:r w:rsidRPr="00487E89">
        <w:rPr>
          <w:i/>
          <w:szCs w:val="17"/>
          <w:u w:val="single"/>
          <w:lang w:val="en-GB"/>
        </w:rPr>
        <w:t>issues</w:t>
      </w:r>
      <w:r>
        <w:rPr>
          <w:i/>
          <w:szCs w:val="17"/>
          <w:u w:val="single"/>
          <w:lang w:val="en-GB"/>
        </w:rPr>
        <w:t xml:space="preserve"> (EC template)</w:t>
      </w:r>
      <w:r w:rsidRPr="00487E89">
        <w:rPr>
          <w:i/>
          <w:szCs w:val="17"/>
          <w:u w:val="single"/>
          <w:lang w:val="en-GB"/>
        </w:rPr>
        <w:t>:</w:t>
      </w:r>
    </w:p>
    <w:p w:rsidR="00487E89" w:rsidRPr="00487E89" w:rsidRDefault="00487E89" w:rsidP="00487E89">
      <w:pPr>
        <w:pStyle w:val="CEABullet-Level3"/>
        <w:numPr>
          <w:ilvl w:val="0"/>
          <w:numId w:val="0"/>
        </w:numPr>
        <w:ind w:left="1494"/>
        <w:rPr>
          <w:lang w:val="en-GB"/>
        </w:rPr>
      </w:pPr>
    </w:p>
    <w:p w:rsidR="00487E89" w:rsidRDefault="00487E89" w:rsidP="00487E89">
      <w:pPr>
        <w:pStyle w:val="CEABullet-Level1"/>
      </w:pPr>
      <w:r>
        <w:t>SCR calibration</w:t>
      </w:r>
    </w:p>
    <w:p w:rsidR="00487E89" w:rsidRDefault="00487E89" w:rsidP="00487E89">
      <w:pPr>
        <w:pStyle w:val="CEABullet-Level2"/>
      </w:pPr>
      <w:r>
        <w:t>Deferred Tax treatment</w:t>
      </w:r>
    </w:p>
    <w:p w:rsidR="00487E89" w:rsidRPr="001431B3" w:rsidRDefault="00487E89" w:rsidP="00487E89">
      <w:pPr>
        <w:pStyle w:val="CEABullet-Level3"/>
        <w:rPr>
          <w:lang w:val="en-GB"/>
        </w:rPr>
      </w:pPr>
      <w:r w:rsidRPr="001431B3">
        <w:rPr>
          <w:lang w:val="en-GB"/>
        </w:rPr>
        <w:t>No change identified</w:t>
      </w:r>
      <w:r w:rsidR="001431B3" w:rsidRPr="001431B3">
        <w:rPr>
          <w:lang w:val="en-GB"/>
        </w:rPr>
        <w:t xml:space="preserve">. </w:t>
      </w:r>
      <w:r w:rsidR="001431B3">
        <w:rPr>
          <w:lang w:val="en-GB"/>
        </w:rPr>
        <w:t>Issue remains.</w:t>
      </w:r>
    </w:p>
    <w:p w:rsidR="001431B3" w:rsidRPr="001431B3" w:rsidRDefault="001431B3" w:rsidP="001431B3">
      <w:pPr>
        <w:pStyle w:val="CEABullet-Level2"/>
        <w:rPr>
          <w:lang w:val="en-GB"/>
        </w:rPr>
      </w:pPr>
      <w:r w:rsidRPr="001431B3">
        <w:rPr>
          <w:lang w:val="en-GB"/>
        </w:rPr>
        <w:t>Life lapse risk</w:t>
      </w:r>
    </w:p>
    <w:p w:rsidR="001431B3" w:rsidRPr="001431B3" w:rsidRDefault="001431B3" w:rsidP="001431B3">
      <w:pPr>
        <w:pStyle w:val="CEABullet-Level3"/>
        <w:rPr>
          <w:lang w:val="en-GB"/>
        </w:rPr>
      </w:pPr>
      <w:r w:rsidRPr="001431B3">
        <w:rPr>
          <w:lang w:val="en-GB"/>
        </w:rPr>
        <w:t>No change identified</w:t>
      </w:r>
      <w:r>
        <w:rPr>
          <w:lang w:val="en-GB"/>
        </w:rPr>
        <w:t>. Issue remains.</w:t>
      </w:r>
    </w:p>
    <w:p w:rsidR="001431B3" w:rsidRPr="001431B3" w:rsidRDefault="001431B3" w:rsidP="001431B3">
      <w:pPr>
        <w:pStyle w:val="CEABullet-Level2"/>
        <w:rPr>
          <w:lang w:val="en-GB"/>
        </w:rPr>
      </w:pPr>
      <w:r w:rsidRPr="001431B3">
        <w:rPr>
          <w:lang w:val="en-GB"/>
        </w:rPr>
        <w:t>USPs</w:t>
      </w:r>
    </w:p>
    <w:p w:rsidR="001431B3" w:rsidRPr="001431B3" w:rsidRDefault="001431B3" w:rsidP="001431B3">
      <w:pPr>
        <w:pStyle w:val="CEABullet-Level3"/>
        <w:rPr>
          <w:lang w:val="en-GB"/>
        </w:rPr>
      </w:pPr>
      <w:r w:rsidRPr="001431B3">
        <w:rPr>
          <w:lang w:val="en-GB"/>
        </w:rPr>
        <w:t>Article 196 (1)</w:t>
      </w:r>
      <w:r>
        <w:rPr>
          <w:lang w:val="en-GB"/>
        </w:rPr>
        <w:t>,</w:t>
      </w:r>
      <w:r w:rsidRPr="001431B3">
        <w:rPr>
          <w:lang w:val="en-GB"/>
        </w:rPr>
        <w:t xml:space="preserve"> subset of standard parameters that may be replaced by undertaking-specific parameters: </w:t>
      </w:r>
      <w:r>
        <w:rPr>
          <w:lang w:val="en-GB"/>
        </w:rPr>
        <w:t>N</w:t>
      </w:r>
      <w:r w:rsidRPr="001431B3">
        <w:rPr>
          <w:lang w:val="en-GB"/>
        </w:rPr>
        <w:t>o change as the scope of USPs in terms of risk modules for which they are permitted is still restricted; not a single word changed</w:t>
      </w:r>
      <w:r w:rsidR="00167308">
        <w:rPr>
          <w:lang w:val="en-GB"/>
        </w:rPr>
        <w:t xml:space="preserve"> (</w:t>
      </w:r>
      <w:r w:rsidR="00167308" w:rsidRPr="00167308">
        <w:rPr>
          <w:highlight w:val="red"/>
          <w:lang w:val="en-GB"/>
        </w:rPr>
        <w:t>negative</w:t>
      </w:r>
      <w:r w:rsidR="00167308">
        <w:rPr>
          <w:lang w:val="en-GB"/>
        </w:rPr>
        <w:t>)</w:t>
      </w:r>
    </w:p>
    <w:p w:rsidR="001431B3" w:rsidRPr="001431B3" w:rsidRDefault="001431B3" w:rsidP="001431B3">
      <w:pPr>
        <w:pStyle w:val="CEABullet-Level3"/>
        <w:rPr>
          <w:lang w:val="en-GB"/>
        </w:rPr>
      </w:pPr>
      <w:r w:rsidRPr="001431B3">
        <w:rPr>
          <w:lang w:val="en-GB"/>
        </w:rPr>
        <w:t>Article 196 (2)</w:t>
      </w:r>
      <w:r>
        <w:rPr>
          <w:lang w:val="en-GB"/>
        </w:rPr>
        <w:t>,</w:t>
      </w:r>
      <w:r w:rsidRPr="001431B3">
        <w:rPr>
          <w:lang w:val="en-GB"/>
        </w:rPr>
        <w:t xml:space="preserve"> </w:t>
      </w:r>
      <w:r>
        <w:rPr>
          <w:lang w:val="en-GB"/>
        </w:rPr>
        <w:t>c</w:t>
      </w:r>
      <w:r w:rsidRPr="001431B3">
        <w:rPr>
          <w:lang w:val="en-GB"/>
        </w:rPr>
        <w:t>riteria for the recognition of an Excess of Loss reinsurance contract: Improved as the combination of several Excess of loss contracts is now reco</w:t>
      </w:r>
      <w:r w:rsidR="00167308">
        <w:rPr>
          <w:lang w:val="en-GB"/>
        </w:rPr>
        <w:t xml:space="preserve">gnised if some criteria are met (rather </w:t>
      </w:r>
      <w:r w:rsidR="00167308" w:rsidRPr="00167308">
        <w:rPr>
          <w:highlight w:val="green"/>
          <w:lang w:val="en-GB"/>
        </w:rPr>
        <w:t>positive</w:t>
      </w:r>
      <w:r w:rsidR="00167308">
        <w:rPr>
          <w:lang w:val="en-GB"/>
        </w:rPr>
        <w:t>)</w:t>
      </w:r>
    </w:p>
    <w:p w:rsidR="001431B3" w:rsidRPr="001431B3" w:rsidRDefault="001431B3" w:rsidP="001431B3">
      <w:pPr>
        <w:pStyle w:val="CEABullet-Level3"/>
        <w:rPr>
          <w:lang w:val="en-GB"/>
        </w:rPr>
      </w:pPr>
      <w:r w:rsidRPr="001431B3">
        <w:rPr>
          <w:lang w:val="en-GB"/>
        </w:rPr>
        <w:t>Article 197,</w:t>
      </w:r>
      <w:r w:rsidR="00167308">
        <w:rPr>
          <w:lang w:val="en-GB"/>
        </w:rPr>
        <w:t xml:space="preserve"> d</w:t>
      </w:r>
      <w:r w:rsidRPr="001431B3">
        <w:rPr>
          <w:lang w:val="en-GB"/>
        </w:rPr>
        <w:t xml:space="preserve">ata criteria: Not </w:t>
      </w:r>
      <w:r w:rsidR="00167308">
        <w:rPr>
          <w:lang w:val="en-GB"/>
        </w:rPr>
        <w:t>a single word has been changed (</w:t>
      </w:r>
      <w:r w:rsidR="00167308" w:rsidRPr="00167308">
        <w:rPr>
          <w:highlight w:val="red"/>
          <w:lang w:val="en-GB"/>
        </w:rPr>
        <w:t>negative</w:t>
      </w:r>
      <w:r w:rsidR="00167308">
        <w:rPr>
          <w:lang w:val="en-GB"/>
        </w:rPr>
        <w:t>)</w:t>
      </w:r>
    </w:p>
    <w:p w:rsidR="001431B3" w:rsidRDefault="001431B3" w:rsidP="001431B3">
      <w:pPr>
        <w:pStyle w:val="CEABullet-Level3"/>
        <w:rPr>
          <w:lang w:val="en-GB"/>
        </w:rPr>
      </w:pPr>
      <w:r w:rsidRPr="00167308">
        <w:rPr>
          <w:lang w:val="en-GB"/>
        </w:rPr>
        <w:t>Article 198</w:t>
      </w:r>
      <w:r w:rsidR="00167308" w:rsidRPr="00167308">
        <w:rPr>
          <w:lang w:val="en-GB"/>
        </w:rPr>
        <w:t>,</w:t>
      </w:r>
      <w:r w:rsidRPr="00167308">
        <w:rPr>
          <w:lang w:val="en-GB"/>
        </w:rPr>
        <w:t xml:space="preserve"> </w:t>
      </w:r>
      <w:r w:rsidR="00167308" w:rsidRPr="00167308">
        <w:rPr>
          <w:lang w:val="en-GB"/>
        </w:rPr>
        <w:t>s</w:t>
      </w:r>
      <w:r w:rsidRPr="00167308">
        <w:rPr>
          <w:lang w:val="en-GB"/>
        </w:rPr>
        <w:t>tandardised methods to calculate the undertaking-specific parameters: The requirement of choosing the most accurate method can be circumvented by choosi</w:t>
      </w:r>
      <w:r w:rsidR="00167308">
        <w:rPr>
          <w:lang w:val="en-GB"/>
        </w:rPr>
        <w:t xml:space="preserve">ng the most conservative method </w:t>
      </w:r>
    </w:p>
    <w:p w:rsidR="006A6EA8" w:rsidRPr="006A6EA8" w:rsidRDefault="006A6EA8" w:rsidP="006A6EA8">
      <w:pPr>
        <w:pStyle w:val="CEABullet-Level2"/>
        <w:rPr>
          <w:highlight w:val="yellow"/>
        </w:rPr>
      </w:pPr>
      <w:r w:rsidRPr="006A6EA8">
        <w:rPr>
          <w:highlight w:val="yellow"/>
        </w:rPr>
        <w:t>Review of the Standard Formula</w:t>
      </w:r>
    </w:p>
    <w:p w:rsidR="006A6EA8" w:rsidRDefault="006A6EA8" w:rsidP="006A6EA8">
      <w:pPr>
        <w:pStyle w:val="CEABullet-Level3"/>
        <w:rPr>
          <w:lang w:val="en-GB"/>
        </w:rPr>
      </w:pPr>
      <w:r w:rsidRPr="006A6EA8">
        <w:rPr>
          <w:lang w:val="en-GB"/>
        </w:rPr>
        <w:t xml:space="preserve">A new article (369) has been added, which foresees that all the methods and assumptions of the standard formula will have to be reviewed by the EC before end of 2018. </w:t>
      </w:r>
      <w:r>
        <w:rPr>
          <w:lang w:val="en-GB"/>
        </w:rPr>
        <w:t>(</w:t>
      </w:r>
      <w:r w:rsidRPr="006A6EA8">
        <w:rPr>
          <w:highlight w:val="green"/>
          <w:lang w:val="en-GB"/>
        </w:rPr>
        <w:t>positive</w:t>
      </w:r>
      <w:r>
        <w:rPr>
          <w:lang w:val="en-GB"/>
        </w:rPr>
        <w:t>)</w:t>
      </w:r>
    </w:p>
    <w:p w:rsidR="006A6EA8" w:rsidRPr="006A6EA8" w:rsidRDefault="006A6EA8" w:rsidP="006A6EA8">
      <w:pPr>
        <w:pStyle w:val="CEABullet-Level3"/>
        <w:rPr>
          <w:lang w:val="en-GB"/>
        </w:rPr>
      </w:pPr>
      <w:r>
        <w:rPr>
          <w:lang w:val="en-GB"/>
        </w:rPr>
        <w:t>However, this does not mean that we should give up on calibration issues.</w:t>
      </w:r>
    </w:p>
    <w:p w:rsidR="00487E89" w:rsidRPr="001431B3" w:rsidRDefault="00487E89" w:rsidP="00487E89">
      <w:pPr>
        <w:pStyle w:val="CEABullet-Level3"/>
        <w:numPr>
          <w:ilvl w:val="0"/>
          <w:numId w:val="0"/>
        </w:numPr>
        <w:ind w:left="1494"/>
        <w:rPr>
          <w:lang w:val="en-GB"/>
        </w:rPr>
      </w:pPr>
    </w:p>
    <w:p w:rsidR="00487E89" w:rsidRPr="001431B3" w:rsidRDefault="00487E89" w:rsidP="00487E89">
      <w:pPr>
        <w:pStyle w:val="CEABullet-Level1"/>
        <w:rPr>
          <w:lang w:val="en-GB"/>
        </w:rPr>
      </w:pPr>
      <w:r w:rsidRPr="001431B3">
        <w:rPr>
          <w:lang w:val="en-GB"/>
        </w:rPr>
        <w:t>Contract boundaries</w:t>
      </w:r>
    </w:p>
    <w:p w:rsidR="00AC6110" w:rsidRPr="0034345B" w:rsidRDefault="00487E89" w:rsidP="0034345B">
      <w:pPr>
        <w:pStyle w:val="CEABullet-Level3"/>
        <w:rPr>
          <w:lang w:val="en-GB"/>
        </w:rPr>
      </w:pPr>
      <w:r w:rsidRPr="001431B3">
        <w:rPr>
          <w:lang w:val="en-GB"/>
        </w:rPr>
        <w:t>No change identified</w:t>
      </w:r>
      <w:r w:rsidR="00167308">
        <w:rPr>
          <w:lang w:val="en-GB"/>
        </w:rPr>
        <w:t xml:space="preserve"> (</w:t>
      </w:r>
      <w:r w:rsidR="00167308" w:rsidRPr="00167308">
        <w:rPr>
          <w:highlight w:val="red"/>
          <w:lang w:val="en-GB"/>
        </w:rPr>
        <w:t>negative</w:t>
      </w:r>
      <w:r w:rsidR="00167308">
        <w:rPr>
          <w:lang w:val="en-GB"/>
        </w:rPr>
        <w:t>)</w:t>
      </w:r>
    </w:p>
    <w:p w:rsidR="00AC6110" w:rsidRPr="001431B3" w:rsidRDefault="00AC6110" w:rsidP="00AC6110">
      <w:pPr>
        <w:pStyle w:val="CEABullet-Level3"/>
        <w:numPr>
          <w:ilvl w:val="0"/>
          <w:numId w:val="0"/>
        </w:numPr>
        <w:ind w:left="1494"/>
        <w:rPr>
          <w:lang w:val="en-GB"/>
        </w:rPr>
      </w:pPr>
    </w:p>
    <w:p w:rsidR="003A7BE3" w:rsidRPr="001431B3" w:rsidRDefault="003A7BE3" w:rsidP="00AC6110">
      <w:pPr>
        <w:pStyle w:val="CEABullet-Level3"/>
        <w:numPr>
          <w:ilvl w:val="0"/>
          <w:numId w:val="0"/>
        </w:numPr>
        <w:ind w:left="1494"/>
        <w:rPr>
          <w:lang w:val="en-GB"/>
        </w:rPr>
      </w:pPr>
    </w:p>
    <w:p w:rsidR="00AC6110" w:rsidRDefault="006A6EA8" w:rsidP="00FB5D8A">
      <w:pPr>
        <w:pStyle w:val="Zkladntext"/>
        <w:numPr>
          <w:ilvl w:val="0"/>
          <w:numId w:val="18"/>
        </w:numPr>
        <w:spacing w:line="240" w:lineRule="auto"/>
        <w:rPr>
          <w:rFonts w:cs="Arial"/>
          <w:i/>
          <w:szCs w:val="17"/>
          <w:u w:val="single"/>
          <w:lang w:val="pt-BR" w:eastAsia="en-GB"/>
        </w:rPr>
      </w:pPr>
      <w:r>
        <w:rPr>
          <w:rFonts w:cs="Arial"/>
          <w:i/>
          <w:szCs w:val="17"/>
          <w:u w:val="single"/>
          <w:lang w:val="pt-BR" w:eastAsia="en-GB"/>
        </w:rPr>
        <w:t>Miscellaneous</w:t>
      </w:r>
    </w:p>
    <w:p w:rsidR="00195C0A" w:rsidRPr="00AC6110" w:rsidRDefault="00195C0A" w:rsidP="00195C0A">
      <w:pPr>
        <w:pStyle w:val="Zkladntext"/>
        <w:spacing w:line="240" w:lineRule="auto"/>
        <w:ind w:left="360"/>
        <w:rPr>
          <w:rFonts w:cs="Arial"/>
          <w:i/>
          <w:szCs w:val="17"/>
          <w:u w:val="single"/>
          <w:lang w:val="pt-BR" w:eastAsia="en-GB"/>
        </w:rPr>
      </w:pPr>
    </w:p>
    <w:p w:rsidR="00782D56" w:rsidRDefault="00782D56" w:rsidP="00782D56">
      <w:pPr>
        <w:pStyle w:val="CEABullet-Level1"/>
        <w:rPr>
          <w:lang w:val="en-GB" w:eastAsia="en-GB"/>
        </w:rPr>
      </w:pPr>
      <w:r w:rsidRPr="00782D56">
        <w:rPr>
          <w:lang w:val="en-GB" w:eastAsia="en-GB"/>
        </w:rPr>
        <w:t>Portfolios applying Article 304 of the Directive can now benefit from full diversification with the rest of the undertaking. </w:t>
      </w:r>
    </w:p>
    <w:p w:rsidR="00F971BE" w:rsidRPr="00F971BE" w:rsidRDefault="00F971BE" w:rsidP="00782D56">
      <w:pPr>
        <w:pStyle w:val="CEABullet-Level1"/>
        <w:rPr>
          <w:highlight w:val="yellow"/>
          <w:lang w:val="en-GB" w:eastAsia="en-GB"/>
        </w:rPr>
      </w:pPr>
      <w:r w:rsidRPr="00F971BE">
        <w:rPr>
          <w:highlight w:val="yellow"/>
          <w:lang w:val="en-GB" w:eastAsia="en-GB"/>
        </w:rPr>
        <w:t>Counterparty default risk</w:t>
      </w:r>
    </w:p>
    <w:p w:rsidR="00F971BE" w:rsidRPr="00F971BE" w:rsidRDefault="00F971BE" w:rsidP="00F971BE">
      <w:pPr>
        <w:pStyle w:val="CEABullet-Level3"/>
        <w:rPr>
          <w:lang w:val="en-GB" w:eastAsia="en-GB"/>
        </w:rPr>
      </w:pPr>
      <w:r w:rsidRPr="00F971BE">
        <w:rPr>
          <w:lang w:val="en-GB" w:eastAsia="en-GB"/>
        </w:rPr>
        <w:t>In the calculation</w:t>
      </w:r>
      <w:r>
        <w:rPr>
          <w:lang w:val="en-GB" w:eastAsia="en-GB"/>
        </w:rPr>
        <w:t xml:space="preserve"> of the Loss Given Defaul</w:t>
      </w:r>
      <w:r w:rsidRPr="00F971BE">
        <w:rPr>
          <w:lang w:val="en-GB" w:eastAsia="en-GB"/>
        </w:rPr>
        <w:t xml:space="preserve">t (Article 175), now only half of the risk mitigating effect is taken into account. </w:t>
      </w:r>
      <w:r>
        <w:rPr>
          <w:lang w:val="en-GB" w:eastAsia="en-GB"/>
        </w:rPr>
        <w:t xml:space="preserve">We assume this will have a positive impact since it </w:t>
      </w:r>
      <w:r w:rsidR="00A133FC">
        <w:rPr>
          <w:lang w:val="en-GB" w:eastAsia="en-GB"/>
        </w:rPr>
        <w:t>is supposed to decrease the LGD</w:t>
      </w:r>
      <w:r>
        <w:rPr>
          <w:lang w:val="en-GB" w:eastAsia="en-GB"/>
        </w:rPr>
        <w:t xml:space="preserve"> (</w:t>
      </w:r>
      <w:r w:rsidRPr="00A133FC">
        <w:rPr>
          <w:i/>
          <w:lang w:val="en-GB" w:eastAsia="en-GB"/>
        </w:rPr>
        <w:t>members to confirm</w:t>
      </w:r>
      <w:r>
        <w:rPr>
          <w:lang w:val="en-GB" w:eastAsia="en-GB"/>
        </w:rPr>
        <w:t>)</w:t>
      </w:r>
    </w:p>
    <w:p w:rsidR="0034345B" w:rsidRPr="006A6EA8" w:rsidRDefault="0034345B" w:rsidP="00AC6110">
      <w:pPr>
        <w:pStyle w:val="CEABullet-Level1"/>
        <w:rPr>
          <w:highlight w:val="yellow"/>
          <w:lang w:eastAsia="en-GB"/>
        </w:rPr>
      </w:pPr>
      <w:r w:rsidRPr="00F971BE">
        <w:rPr>
          <w:highlight w:val="yellow"/>
          <w:lang w:val="en-GB" w:eastAsia="en-GB"/>
        </w:rPr>
        <w:t>Look-through approa</w:t>
      </w:r>
      <w:r w:rsidRPr="006A6EA8">
        <w:rPr>
          <w:highlight w:val="yellow"/>
          <w:lang w:eastAsia="en-GB"/>
        </w:rPr>
        <w:t>ch </w:t>
      </w:r>
    </w:p>
    <w:p w:rsidR="0034345B" w:rsidRDefault="006A6EA8" w:rsidP="006A6EA8">
      <w:pPr>
        <w:pStyle w:val="CEABullet-Level3"/>
        <w:rPr>
          <w:lang w:eastAsia="en-GB"/>
        </w:rPr>
      </w:pPr>
      <w:r>
        <w:rPr>
          <w:lang w:eastAsia="en-GB"/>
        </w:rPr>
        <w:t>Minor change</w:t>
      </w:r>
    </w:p>
    <w:p w:rsidR="006A6EA8" w:rsidRDefault="006A6EA8" w:rsidP="006A6EA8">
      <w:pPr>
        <w:pStyle w:val="CEABullet-Level3"/>
        <w:rPr>
          <w:lang w:val="en-GB" w:eastAsia="en-GB"/>
        </w:rPr>
      </w:pPr>
      <w:r w:rsidRPr="006A6EA8">
        <w:rPr>
          <w:lang w:val="en-GB" w:eastAsia="en-GB"/>
        </w:rPr>
        <w:t>It should still be clarified that look-through approach should apply to collective investment funds</w:t>
      </w:r>
      <w:r w:rsidR="00A133FC">
        <w:rPr>
          <w:lang w:val="en-GB" w:eastAsia="en-GB"/>
        </w:rPr>
        <w:t xml:space="preserve"> (</w:t>
      </w:r>
      <w:r w:rsidR="00A133FC" w:rsidRPr="00A133FC">
        <w:rPr>
          <w:i/>
          <w:lang w:val="en-GB" w:eastAsia="en-GB"/>
        </w:rPr>
        <w:t>members to confirm</w:t>
      </w:r>
      <w:r w:rsidR="00A133FC">
        <w:rPr>
          <w:lang w:val="en-GB" w:eastAsia="en-GB"/>
        </w:rPr>
        <w:t>)</w:t>
      </w:r>
    </w:p>
    <w:p w:rsidR="006A6EA8" w:rsidRPr="006A6EA8" w:rsidRDefault="006A6EA8" w:rsidP="006A6EA8">
      <w:pPr>
        <w:pStyle w:val="CEABullet-Level3"/>
        <w:rPr>
          <w:lang w:val="en-GB" w:eastAsia="en-GB"/>
        </w:rPr>
      </w:pPr>
      <w:r>
        <w:rPr>
          <w:lang w:val="en-GB" w:eastAsia="en-GB"/>
        </w:rPr>
        <w:t>It should also be clarified that look-through approach should not apply to unit-linked assets since policyholders bear the investment risk</w:t>
      </w:r>
      <w:r w:rsidR="00A133FC">
        <w:rPr>
          <w:lang w:val="en-GB" w:eastAsia="en-GB"/>
        </w:rPr>
        <w:t xml:space="preserve"> (</w:t>
      </w:r>
      <w:r w:rsidR="00A133FC" w:rsidRPr="00A133FC">
        <w:rPr>
          <w:i/>
          <w:lang w:val="en-GB" w:eastAsia="en-GB"/>
        </w:rPr>
        <w:t>members to confirm</w:t>
      </w:r>
      <w:r w:rsidR="00A133FC">
        <w:rPr>
          <w:lang w:val="en-GB" w:eastAsia="en-GB"/>
        </w:rPr>
        <w:t>)</w:t>
      </w:r>
    </w:p>
    <w:p w:rsidR="00782D56" w:rsidRDefault="00782D56" w:rsidP="00AC6110">
      <w:pPr>
        <w:pStyle w:val="CEABullet-Level1"/>
        <w:rPr>
          <w:lang w:val="en-GB" w:eastAsia="en-GB"/>
        </w:rPr>
      </w:pPr>
      <w:r>
        <w:rPr>
          <w:lang w:val="en-GB" w:eastAsia="en-GB"/>
        </w:rPr>
        <w:lastRenderedPageBreak/>
        <w:t>HRES systems</w:t>
      </w:r>
    </w:p>
    <w:p w:rsidR="00782D56" w:rsidRPr="00A133FC" w:rsidRDefault="00782D56" w:rsidP="006A6EA8">
      <w:pPr>
        <w:pStyle w:val="CEABullet-Level3"/>
        <w:rPr>
          <w:lang w:val="en-GB" w:eastAsia="en-GB"/>
        </w:rPr>
      </w:pPr>
      <w:r w:rsidRPr="00782D56">
        <w:rPr>
          <w:lang w:eastAsia="en-GB"/>
        </w:rPr>
        <w:t xml:space="preserve">There is no mentioning of RFF anymore. </w:t>
      </w:r>
      <w:r w:rsidRPr="00A133FC">
        <w:rPr>
          <w:lang w:val="en-GB" w:eastAsia="en-GB"/>
        </w:rPr>
        <w:t>We are still assessing whe</w:t>
      </w:r>
      <w:r w:rsidR="00A133FC" w:rsidRPr="00A133FC">
        <w:rPr>
          <w:lang w:val="en-GB" w:eastAsia="en-GB"/>
        </w:rPr>
        <w:t>ther this has a positive impact</w:t>
      </w:r>
    </w:p>
    <w:p w:rsidR="002F4888" w:rsidRPr="00A133FC" w:rsidRDefault="002F4888" w:rsidP="002F4888">
      <w:pPr>
        <w:pStyle w:val="CEABullet-Level3"/>
        <w:numPr>
          <w:ilvl w:val="0"/>
          <w:numId w:val="0"/>
        </w:numPr>
        <w:ind w:left="1494"/>
        <w:rPr>
          <w:lang w:val="en-GB"/>
        </w:rPr>
      </w:pPr>
    </w:p>
    <w:p w:rsidR="002F4888" w:rsidRDefault="002F4888" w:rsidP="002F4888">
      <w:pPr>
        <w:pStyle w:val="CEABullet-Level1"/>
      </w:pPr>
      <w:r>
        <w:t>Principle of proportionality</w:t>
      </w:r>
    </w:p>
    <w:p w:rsidR="002F4888" w:rsidRPr="00DC27D3" w:rsidRDefault="002F4888" w:rsidP="00DC27D3">
      <w:pPr>
        <w:pStyle w:val="CEABullet-Level3"/>
        <w:rPr>
          <w:lang w:val="en-GB"/>
        </w:rPr>
      </w:pPr>
      <w:r w:rsidRPr="00DC27D3">
        <w:rPr>
          <w:lang w:val="en-GB"/>
        </w:rPr>
        <w:t>A new recital 1 has been introduced to set an « overarching</w:t>
      </w:r>
      <w:r w:rsidR="00DC27D3" w:rsidRPr="00DC27D3">
        <w:rPr>
          <w:lang w:val="en-GB"/>
        </w:rPr>
        <w:t> » principle of proportionality</w:t>
      </w:r>
    </w:p>
    <w:p w:rsidR="00DC27D3" w:rsidRPr="00DC27D3" w:rsidRDefault="00DC27D3" w:rsidP="00DC27D3">
      <w:pPr>
        <w:pStyle w:val="CEABullet-Level3"/>
        <w:rPr>
          <w:lang w:val="en-GB"/>
        </w:rPr>
      </w:pPr>
      <w:r>
        <w:rPr>
          <w:lang w:val="en-GB"/>
        </w:rPr>
        <w:t>Recital 117 has also been improved: only “one other person” has to review a decision</w:t>
      </w:r>
    </w:p>
    <w:p w:rsidR="002F4888" w:rsidRDefault="002F4888" w:rsidP="002F4888">
      <w:pPr>
        <w:pStyle w:val="CEABullet-Level1"/>
        <w:numPr>
          <w:ilvl w:val="0"/>
          <w:numId w:val="0"/>
        </w:numPr>
        <w:rPr>
          <w:lang w:val="en-GB"/>
        </w:rPr>
      </w:pPr>
    </w:p>
    <w:p w:rsidR="00C17822" w:rsidRDefault="00C17822" w:rsidP="00C17822">
      <w:pPr>
        <w:pStyle w:val="CEABullet-Level1"/>
      </w:pPr>
      <w:r>
        <w:t>Capital add-ons</w:t>
      </w:r>
    </w:p>
    <w:p w:rsidR="002F4888" w:rsidRDefault="00C17822" w:rsidP="00C17822">
      <w:pPr>
        <w:pStyle w:val="CEABullet-Level3"/>
        <w:rPr>
          <w:lang w:val="en-GB"/>
        </w:rPr>
      </w:pPr>
      <w:r w:rsidRPr="00C17822">
        <w:rPr>
          <w:lang w:val="en-GB"/>
        </w:rPr>
        <w:t xml:space="preserve">Paragraph (1) has been amended and is now stating that if the calculation of the SCR deviates more than 10 % the supervisor shall conclude that the risk profile deviates significantly, unless they have strong evidence that this is not the case. </w:t>
      </w:r>
      <w:r>
        <w:rPr>
          <w:lang w:val="en-GB"/>
        </w:rPr>
        <w:t>This seems to be worse, although it might mean that undertakings have the possibility to argue/demonstrate that th</w:t>
      </w:r>
      <w:r w:rsidR="00A133FC">
        <w:rPr>
          <w:lang w:val="en-GB"/>
        </w:rPr>
        <w:t>ey do not deviate significantly</w:t>
      </w:r>
    </w:p>
    <w:p w:rsidR="00A133FC" w:rsidRDefault="00A133FC" w:rsidP="00A133FC">
      <w:pPr>
        <w:pStyle w:val="CEABullet-Level3"/>
        <w:numPr>
          <w:ilvl w:val="0"/>
          <w:numId w:val="0"/>
        </w:numPr>
        <w:ind w:left="1494"/>
        <w:rPr>
          <w:lang w:val="en-GB"/>
        </w:rPr>
      </w:pPr>
    </w:p>
    <w:p w:rsidR="00C17822" w:rsidRDefault="00C17822" w:rsidP="00C17822">
      <w:pPr>
        <w:pStyle w:val="CEABullet-Level1"/>
      </w:pPr>
      <w:r>
        <w:t>Internal audit function</w:t>
      </w:r>
    </w:p>
    <w:p w:rsidR="00AC6110" w:rsidRPr="00A133FC" w:rsidRDefault="00C17822" w:rsidP="00A4186E">
      <w:pPr>
        <w:pStyle w:val="CEABullet-Level3"/>
        <w:rPr>
          <w:szCs w:val="17"/>
          <w:lang w:val="pt-BR"/>
        </w:rPr>
      </w:pPr>
      <w:r w:rsidRPr="00F30527">
        <w:rPr>
          <w:lang w:val="en-GB"/>
        </w:rPr>
        <w:t>The requirements are really lessened</w:t>
      </w:r>
      <w:r w:rsidR="00DC27D3">
        <w:rPr>
          <w:lang w:val="en-GB"/>
        </w:rPr>
        <w:t>: it seems that the internal audit function does not</w:t>
      </w:r>
      <w:r w:rsidR="00A133FC">
        <w:rPr>
          <w:lang w:val="en-GB"/>
        </w:rPr>
        <w:t xml:space="preserve"> have to be independent anymore</w:t>
      </w:r>
    </w:p>
    <w:p w:rsidR="00A133FC" w:rsidRPr="00AC6110" w:rsidRDefault="00A133FC" w:rsidP="00A133FC">
      <w:pPr>
        <w:pStyle w:val="CEABullet-Level3"/>
        <w:numPr>
          <w:ilvl w:val="0"/>
          <w:numId w:val="0"/>
        </w:numPr>
        <w:ind w:left="1494"/>
        <w:rPr>
          <w:szCs w:val="17"/>
          <w:lang w:val="pt-BR"/>
        </w:rPr>
      </w:pPr>
    </w:p>
    <w:sectPr w:rsidR="00A133FC" w:rsidRPr="00AC6110" w:rsidSect="00A55792">
      <w:headerReference w:type="default" r:id="rId8"/>
      <w:footerReference w:type="default" r:id="rId9"/>
      <w:type w:val="continuous"/>
      <w:pgSz w:w="11907" w:h="16839" w:code="9"/>
      <w:pgMar w:top="2410" w:right="902" w:bottom="1418" w:left="1418" w:header="127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75E" w:rsidRDefault="00F6375E">
      <w:r>
        <w:separator/>
      </w:r>
    </w:p>
    <w:p w:rsidR="00F6375E" w:rsidRDefault="00F6375E"/>
  </w:endnote>
  <w:endnote w:type="continuationSeparator" w:id="0">
    <w:p w:rsidR="00F6375E" w:rsidRDefault="00F6375E">
      <w:r>
        <w:continuationSeparator/>
      </w:r>
    </w:p>
    <w:p w:rsidR="00F6375E" w:rsidRDefault="00F6375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Frutiger LT Com 45 Ligh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A1" w:rsidRPr="00282E7E" w:rsidRDefault="00282E7E" w:rsidP="00282E7E">
    <w:pPr>
      <w:pStyle w:val="Pta"/>
      <w:rPr>
        <w:sz w:val="16"/>
        <w:lang w:val="pt-PT"/>
      </w:rPr>
    </w:pPr>
    <w:r w:rsidRPr="00282E7E">
      <w:rPr>
        <w:sz w:val="16"/>
        <w:lang w:val="pt-PT"/>
      </w:rPr>
      <w:t>ECO-14-048 Updated view on the issues related to the draft Delegated Acts of March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75E" w:rsidRDefault="00F6375E">
      <w:r>
        <w:separator/>
      </w:r>
    </w:p>
    <w:p w:rsidR="00F6375E" w:rsidRDefault="00F6375E"/>
  </w:footnote>
  <w:footnote w:type="continuationSeparator" w:id="0">
    <w:p w:rsidR="00F6375E" w:rsidRDefault="00F6375E">
      <w:r>
        <w:continuationSeparator/>
      </w:r>
    </w:p>
    <w:p w:rsidR="00F6375E" w:rsidRDefault="00F6375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A1" w:rsidRPr="00CD51F6" w:rsidRDefault="009654A1" w:rsidP="000846C0">
    <w:pPr>
      <w:pStyle w:val="Noparagraphstyle"/>
      <w:jc w:val="right"/>
      <w:rPr>
        <w:rFonts w:ascii="Arial" w:hAnsi="Arial" w:cs="Arial"/>
        <w:i/>
        <w:iCs/>
        <w:color w:val="034EA2"/>
      </w:rPr>
    </w:pPr>
    <w:r>
      <w:tab/>
    </w:r>
  </w:p>
  <w:p w:rsidR="009654A1" w:rsidRPr="007349E1" w:rsidRDefault="004B53CF" w:rsidP="007349E1">
    <w:pPr>
      <w:pStyle w:val="Hlavika"/>
      <w:tabs>
        <w:tab w:val="clear" w:pos="4320"/>
        <w:tab w:val="clear" w:pos="8640"/>
        <w:tab w:val="center" w:pos="0"/>
        <w:tab w:val="right" w:pos="10440"/>
      </w:tabs>
      <w:rPr>
        <w:b/>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50" type="#_x0000_t75" alt="CEA+baseline_RVB_200dpi(psd)" style="position:absolute;left:0;text-align:left;margin-left:41.35pt;margin-top:41.35pt;width:114.95pt;height:70.45pt;z-index:1;visibility:visible;mso-position-horizontal-relative:page;mso-position-vertical-relative:page">
          <v:imagedata r:id="rId1" o:title="CEA+baseline_RVB_200dpi(psd)"/>
          <w10:wrap type="square"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in;height:422.5pt" o:bullet="t">
        <v:imagedata r:id="rId1" o:title="bullet_blueCEA"/>
      </v:shape>
    </w:pict>
  </w:numPicBullet>
  <w:numPicBullet w:numPicBulletId="1">
    <w:pict>
      <v:shape id="_x0000_i1037" type="#_x0000_t75" style="width:7in;height:422.5pt" o:bullet="t">
        <v:imagedata r:id="rId2" o:title="clip_image001"/>
      </v:shape>
    </w:pict>
  </w:numPicBullet>
  <w:numPicBullet w:numPicBulletId="2">
    <w:pict>
      <v:shape id="_x0000_i1038" type="#_x0000_t75" style="width:7in;height:422.5pt" o:bullet="t">
        <v:imagedata r:id="rId3" o:title="clip_image002"/>
      </v:shape>
    </w:pict>
  </w:numPicBullet>
  <w:numPicBullet w:numPicBulletId="3">
    <w:pict>
      <v:shape id="_x0000_i1039" type="#_x0000_t75" style="width:7in;height:422.5pt" o:bullet="t">
        <v:imagedata r:id="rId4" o:title="clip_image003"/>
      </v:shape>
    </w:pict>
  </w:numPicBullet>
  <w:numPicBullet w:numPicBulletId="4">
    <w:pict>
      <v:shape id="_x0000_i1033" type="#_x0000_t75" style="width:11.85pt;height:11.85pt" o:bullet="t">
        <v:imagedata r:id="rId5" o:title="CEA - Bullets Rounded Squares_BulletLevel1_forMS"/>
      </v:shape>
    </w:pict>
  </w:numPicBullet>
  <w:numPicBullet w:numPicBulletId="5">
    <w:pict>
      <v:shape id="_x0000_i1035" type="#_x0000_t75" style="width:9.5pt;height:8.7pt" o:bullet="t">
        <v:imagedata r:id="rId6" o:title="CEA - Bullets Rounded Squares_BulletLevel3_forMS"/>
      </v:shape>
    </w:pict>
  </w:numPicBullet>
  <w:numPicBullet w:numPicBulletId="6">
    <w:pict>
      <v:shape id="_x0000_i1034" type="#_x0000_t75" style="width:7.9pt;height:7.9pt" o:bullet="t">
        <v:imagedata r:id="rId7" o:title="CEA - Bullets Rounded Squares_BulletLevel2_forMS"/>
      </v:shape>
    </w:pict>
  </w:numPicBullet>
  <w:abstractNum w:abstractNumId="0">
    <w:nsid w:val="FFFFFF7C"/>
    <w:multiLevelType w:val="singleLevel"/>
    <w:tmpl w:val="DCA655B2"/>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D9007F2A"/>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FD4E3424"/>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1EACF058"/>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C3960D82"/>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93F0DB7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50AAEBC6"/>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3"/>
    <w:multiLevelType w:val="singleLevel"/>
    <w:tmpl w:val="27E4C5E4"/>
    <w:lvl w:ilvl="0">
      <w:start w:val="1"/>
      <w:numFmt w:val="bullet"/>
      <w:pStyle w:val="Zoznamsodrkami2"/>
      <w:lvlText w:val=""/>
      <w:lvlJc w:val="left"/>
      <w:pPr>
        <w:tabs>
          <w:tab w:val="num" w:pos="643"/>
        </w:tabs>
        <w:ind w:left="643" w:hanging="360"/>
      </w:pPr>
      <w:rPr>
        <w:rFonts w:ascii="Symbol" w:hAnsi="Symbol" w:hint="default"/>
      </w:rPr>
    </w:lvl>
  </w:abstractNum>
  <w:abstractNum w:abstractNumId="8">
    <w:nsid w:val="FFFFFF88"/>
    <w:multiLevelType w:val="singleLevel"/>
    <w:tmpl w:val="9F807E5C"/>
    <w:lvl w:ilvl="0">
      <w:start w:val="1"/>
      <w:numFmt w:val="decimal"/>
      <w:pStyle w:val="slovanzoznam"/>
      <w:lvlText w:val="%1."/>
      <w:lvlJc w:val="left"/>
      <w:pPr>
        <w:tabs>
          <w:tab w:val="num" w:pos="360"/>
        </w:tabs>
        <w:ind w:left="360" w:hanging="360"/>
      </w:pPr>
    </w:lvl>
  </w:abstractNum>
  <w:abstractNum w:abstractNumId="9">
    <w:nsid w:val="FFFFFF89"/>
    <w:multiLevelType w:val="singleLevel"/>
    <w:tmpl w:val="4B14C1D8"/>
    <w:lvl w:ilvl="0">
      <w:start w:val="1"/>
      <w:numFmt w:val="bullet"/>
      <w:pStyle w:val="Zoznamsodrkami"/>
      <w:lvlText w:val=""/>
      <w:lvlJc w:val="left"/>
      <w:pPr>
        <w:tabs>
          <w:tab w:val="num" w:pos="360"/>
        </w:tabs>
        <w:ind w:left="360" w:hanging="360"/>
      </w:pPr>
      <w:rPr>
        <w:rFonts w:ascii="Symbol" w:hAnsi="Symbol" w:hint="default"/>
      </w:rPr>
    </w:lvl>
  </w:abstractNum>
  <w:abstractNum w:abstractNumId="10">
    <w:nsid w:val="1054071E"/>
    <w:multiLevelType w:val="hybridMultilevel"/>
    <w:tmpl w:val="EBE65710"/>
    <w:lvl w:ilvl="0" w:tplc="A0240652">
      <w:start w:val="165"/>
      <w:numFmt w:val="bullet"/>
      <w:pStyle w:val="CEABullet-Level2"/>
      <w:lvlText w:val=""/>
      <w:lvlPicBulletId w:val="6"/>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5573D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7677F8"/>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10C2EA2"/>
    <w:multiLevelType w:val="hybridMultilevel"/>
    <w:tmpl w:val="70607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447E4D85"/>
    <w:multiLevelType w:val="hybridMultilevel"/>
    <w:tmpl w:val="36024468"/>
    <w:lvl w:ilvl="0" w:tplc="37180294">
      <w:start w:val="165"/>
      <w:numFmt w:val="bullet"/>
      <w:pStyle w:val="CEABullet-Level3"/>
      <w:lvlText w:val=""/>
      <w:lvlPicBulletId w:val="5"/>
      <w:lvlJc w:val="left"/>
      <w:pPr>
        <w:ind w:left="1494" w:hanging="360"/>
      </w:pPr>
      <w:rPr>
        <w:rFonts w:ascii="Symbol" w:hAnsi="Symbol" w:hint="default"/>
        <w:color w:val="auto"/>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15">
    <w:nsid w:val="45993CE7"/>
    <w:multiLevelType w:val="hybridMultilevel"/>
    <w:tmpl w:val="5E542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48AC408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BFC578B"/>
    <w:multiLevelType w:val="hybridMultilevel"/>
    <w:tmpl w:val="60D674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D37700A"/>
    <w:multiLevelType w:val="hybridMultilevel"/>
    <w:tmpl w:val="10DAC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61333C52"/>
    <w:multiLevelType w:val="hybridMultilevel"/>
    <w:tmpl w:val="9A3EDF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2A23838"/>
    <w:multiLevelType w:val="hybridMultilevel"/>
    <w:tmpl w:val="0E3EC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4E61F7B"/>
    <w:multiLevelType w:val="hybridMultilevel"/>
    <w:tmpl w:val="80BAD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99E2B88"/>
    <w:multiLevelType w:val="hybridMultilevel"/>
    <w:tmpl w:val="636CBA02"/>
    <w:lvl w:ilvl="0" w:tplc="2CF65F2A">
      <w:start w:val="165"/>
      <w:numFmt w:val="bullet"/>
      <w:pStyle w:val="CEABullet-Level1"/>
      <w:lvlText w:val=""/>
      <w:lvlPicBulletId w:val="4"/>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nsid w:val="6F8921CA"/>
    <w:multiLevelType w:val="hybridMultilevel"/>
    <w:tmpl w:val="F3407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75742E38"/>
    <w:multiLevelType w:val="hybridMultilevel"/>
    <w:tmpl w:val="6E2ACC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2"/>
  </w:num>
  <w:num w:numId="14">
    <w:abstractNumId w:val="22"/>
  </w:num>
  <w:num w:numId="15">
    <w:abstractNumId w:val="14"/>
  </w:num>
  <w:num w:numId="16">
    <w:abstractNumId w:val="10"/>
  </w:num>
  <w:num w:numId="17">
    <w:abstractNumId w:val="19"/>
  </w:num>
  <w:num w:numId="18">
    <w:abstractNumId w:val="24"/>
  </w:num>
  <w:num w:numId="19">
    <w:abstractNumId w:val="18"/>
    <w:lvlOverride w:ilvl="0"/>
    <w:lvlOverride w:ilvl="1"/>
    <w:lvlOverride w:ilvl="2"/>
    <w:lvlOverride w:ilvl="3"/>
    <w:lvlOverride w:ilvl="4"/>
    <w:lvlOverride w:ilvl="5"/>
    <w:lvlOverride w:ilvl="6"/>
    <w:lvlOverride w:ilvl="7"/>
    <w:lvlOverride w:ilvl="8"/>
  </w:num>
  <w:num w:numId="20">
    <w:abstractNumId w:val="23"/>
    <w:lvlOverride w:ilvl="0"/>
    <w:lvlOverride w:ilvl="1"/>
    <w:lvlOverride w:ilvl="2"/>
    <w:lvlOverride w:ilvl="3"/>
    <w:lvlOverride w:ilvl="4"/>
    <w:lvlOverride w:ilvl="5"/>
    <w:lvlOverride w:ilvl="6"/>
    <w:lvlOverride w:ilvl="7"/>
    <w:lvlOverride w:ilvl="8"/>
  </w:num>
  <w:num w:numId="21">
    <w:abstractNumId w:val="17"/>
    <w:lvlOverride w:ilvl="0"/>
    <w:lvlOverride w:ilvl="1"/>
    <w:lvlOverride w:ilvl="2"/>
    <w:lvlOverride w:ilvl="3"/>
    <w:lvlOverride w:ilvl="4"/>
    <w:lvlOverride w:ilvl="5"/>
    <w:lvlOverride w:ilvl="6"/>
    <w:lvlOverride w:ilvl="7"/>
    <w:lvlOverride w:ilvl="8"/>
  </w:num>
  <w:num w:numId="22">
    <w:abstractNumId w:val="13"/>
    <w:lvlOverride w:ilvl="0"/>
    <w:lvlOverride w:ilvl="1"/>
    <w:lvlOverride w:ilvl="2"/>
    <w:lvlOverride w:ilvl="3"/>
    <w:lvlOverride w:ilvl="4"/>
    <w:lvlOverride w:ilvl="5"/>
    <w:lvlOverride w:ilvl="6"/>
    <w:lvlOverride w:ilvl="7"/>
    <w:lvlOverride w:ilvl="8"/>
  </w:num>
  <w:num w:numId="23">
    <w:abstractNumId w:val="10"/>
  </w:num>
  <w:num w:numId="24">
    <w:abstractNumId w:val="15"/>
    <w:lvlOverride w:ilvl="0"/>
    <w:lvlOverride w:ilvl="1"/>
    <w:lvlOverride w:ilvl="2"/>
    <w:lvlOverride w:ilvl="3"/>
    <w:lvlOverride w:ilvl="4"/>
    <w:lvlOverride w:ilvl="5"/>
    <w:lvlOverride w:ilvl="6"/>
    <w:lvlOverride w:ilvl="7"/>
    <w:lvlOverride w:ilvl="8"/>
  </w:num>
  <w:num w:numId="25">
    <w:abstractNumId w:val="20"/>
    <w:lvlOverride w:ilvl="0"/>
    <w:lvlOverride w:ilvl="1"/>
    <w:lvlOverride w:ilvl="2"/>
    <w:lvlOverride w:ilvl="3"/>
    <w:lvlOverride w:ilvl="4"/>
    <w:lvlOverride w:ilvl="5"/>
    <w:lvlOverride w:ilvl="6"/>
    <w:lvlOverride w:ilvl="7"/>
    <w:lvlOverride w:ilvl="8"/>
  </w:num>
  <w:num w:numId="26">
    <w:abstractNumId w:val="21"/>
    <w:lvlOverride w:ilvl="0"/>
    <w:lvlOverride w:ilvl="1"/>
    <w:lvlOverride w:ilvl="2"/>
    <w:lvlOverride w:ilvl="3"/>
    <w:lvlOverride w:ilvl="4"/>
    <w:lvlOverride w:ilvl="5"/>
    <w:lvlOverride w:ilvl="6"/>
    <w:lvlOverride w:ilvl="7"/>
    <w:lvlOverride w:ilvl="8"/>
  </w:num>
  <w:num w:numId="27">
    <w:abstractNumId w:val="14"/>
  </w:num>
  <w:num w:numId="2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attachedTemplate r:id="rId1"/>
  <w:stylePaneFormatFilter w:val="8001"/>
  <w:stylePaneSortMethod w:val="0000"/>
  <w:doNotTrackMoves/>
  <w:defaultTabStop w:val="1134"/>
  <w:hyphenationZone w:val="425"/>
  <w:characterSpacingControl w:val="doNotCompress"/>
  <w:hdrShapeDefaults>
    <o:shapedefaults v:ext="edit" spidmax="3074">
      <o:colormru v:ext="edit" colors="#034ea2,#5d9efd"/>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F6DD9"/>
    <w:rsid w:val="00000622"/>
    <w:rsid w:val="000011C1"/>
    <w:rsid w:val="00001EBB"/>
    <w:rsid w:val="00006017"/>
    <w:rsid w:val="00010B8A"/>
    <w:rsid w:val="000233DD"/>
    <w:rsid w:val="00034910"/>
    <w:rsid w:val="000354FA"/>
    <w:rsid w:val="00035C6C"/>
    <w:rsid w:val="00037FBF"/>
    <w:rsid w:val="00043095"/>
    <w:rsid w:val="00044495"/>
    <w:rsid w:val="00044ECB"/>
    <w:rsid w:val="00047182"/>
    <w:rsid w:val="0004778B"/>
    <w:rsid w:val="00062772"/>
    <w:rsid w:val="00065779"/>
    <w:rsid w:val="00074937"/>
    <w:rsid w:val="000760DF"/>
    <w:rsid w:val="00076557"/>
    <w:rsid w:val="000810B2"/>
    <w:rsid w:val="000846C0"/>
    <w:rsid w:val="000869E1"/>
    <w:rsid w:val="0008722C"/>
    <w:rsid w:val="00087F5D"/>
    <w:rsid w:val="00091FFD"/>
    <w:rsid w:val="0009470E"/>
    <w:rsid w:val="00094AED"/>
    <w:rsid w:val="00094F94"/>
    <w:rsid w:val="00095134"/>
    <w:rsid w:val="00096E89"/>
    <w:rsid w:val="000A3157"/>
    <w:rsid w:val="000A5C74"/>
    <w:rsid w:val="000B0B48"/>
    <w:rsid w:val="000B1B74"/>
    <w:rsid w:val="000B32DF"/>
    <w:rsid w:val="000C1585"/>
    <w:rsid w:val="000C2041"/>
    <w:rsid w:val="000D3234"/>
    <w:rsid w:val="000E12A5"/>
    <w:rsid w:val="000E1C9B"/>
    <w:rsid w:val="000E47C1"/>
    <w:rsid w:val="000F1F78"/>
    <w:rsid w:val="000F296B"/>
    <w:rsid w:val="00100FC6"/>
    <w:rsid w:val="00101482"/>
    <w:rsid w:val="00113142"/>
    <w:rsid w:val="00113305"/>
    <w:rsid w:val="00113F11"/>
    <w:rsid w:val="00120A99"/>
    <w:rsid w:val="00126148"/>
    <w:rsid w:val="001262D9"/>
    <w:rsid w:val="00127A6C"/>
    <w:rsid w:val="00134E76"/>
    <w:rsid w:val="0013682A"/>
    <w:rsid w:val="001431B3"/>
    <w:rsid w:val="00146DE0"/>
    <w:rsid w:val="00154F0E"/>
    <w:rsid w:val="001603D7"/>
    <w:rsid w:val="00164309"/>
    <w:rsid w:val="001649DC"/>
    <w:rsid w:val="00167308"/>
    <w:rsid w:val="0017141D"/>
    <w:rsid w:val="00172CC0"/>
    <w:rsid w:val="00174598"/>
    <w:rsid w:val="001774D2"/>
    <w:rsid w:val="001775B8"/>
    <w:rsid w:val="00182068"/>
    <w:rsid w:val="00182700"/>
    <w:rsid w:val="0018318B"/>
    <w:rsid w:val="00195A38"/>
    <w:rsid w:val="00195C0A"/>
    <w:rsid w:val="001964BE"/>
    <w:rsid w:val="001A022F"/>
    <w:rsid w:val="001A0BB7"/>
    <w:rsid w:val="001A50F7"/>
    <w:rsid w:val="001A75E9"/>
    <w:rsid w:val="001B0A3A"/>
    <w:rsid w:val="001B1E41"/>
    <w:rsid w:val="001B29F2"/>
    <w:rsid w:val="001C0EE5"/>
    <w:rsid w:val="001D45AD"/>
    <w:rsid w:val="001D5F86"/>
    <w:rsid w:val="001D600E"/>
    <w:rsid w:val="001E0CCF"/>
    <w:rsid w:val="001F6433"/>
    <w:rsid w:val="001F6EFC"/>
    <w:rsid w:val="00200EEC"/>
    <w:rsid w:val="0020115F"/>
    <w:rsid w:val="00201751"/>
    <w:rsid w:val="00203504"/>
    <w:rsid w:val="00205DE0"/>
    <w:rsid w:val="002062A6"/>
    <w:rsid w:val="00206A75"/>
    <w:rsid w:val="00211FAE"/>
    <w:rsid w:val="00214D71"/>
    <w:rsid w:val="00226415"/>
    <w:rsid w:val="00231943"/>
    <w:rsid w:val="00234644"/>
    <w:rsid w:val="002349AC"/>
    <w:rsid w:val="00242E2D"/>
    <w:rsid w:val="00244031"/>
    <w:rsid w:val="0024630B"/>
    <w:rsid w:val="0024638B"/>
    <w:rsid w:val="002531AA"/>
    <w:rsid w:val="002531B2"/>
    <w:rsid w:val="00253AD9"/>
    <w:rsid w:val="00254BC5"/>
    <w:rsid w:val="00263C3C"/>
    <w:rsid w:val="002644FF"/>
    <w:rsid w:val="00264FF8"/>
    <w:rsid w:val="00275373"/>
    <w:rsid w:val="00280821"/>
    <w:rsid w:val="002810CD"/>
    <w:rsid w:val="00281A6F"/>
    <w:rsid w:val="002820FB"/>
    <w:rsid w:val="002825EA"/>
    <w:rsid w:val="00282E7E"/>
    <w:rsid w:val="00283ADA"/>
    <w:rsid w:val="00290D37"/>
    <w:rsid w:val="00292DE8"/>
    <w:rsid w:val="0029642B"/>
    <w:rsid w:val="002A26FA"/>
    <w:rsid w:val="002A5059"/>
    <w:rsid w:val="002A5B60"/>
    <w:rsid w:val="002A5DA1"/>
    <w:rsid w:val="002A6E93"/>
    <w:rsid w:val="002A7B00"/>
    <w:rsid w:val="002A7D7C"/>
    <w:rsid w:val="002B30E8"/>
    <w:rsid w:val="002B72A8"/>
    <w:rsid w:val="002C3275"/>
    <w:rsid w:val="002C35B0"/>
    <w:rsid w:val="002C3A0E"/>
    <w:rsid w:val="002C6607"/>
    <w:rsid w:val="002D142B"/>
    <w:rsid w:val="002D3146"/>
    <w:rsid w:val="002E027B"/>
    <w:rsid w:val="002E0975"/>
    <w:rsid w:val="002E14A8"/>
    <w:rsid w:val="002E2F8B"/>
    <w:rsid w:val="002E5E12"/>
    <w:rsid w:val="002E5EDF"/>
    <w:rsid w:val="002E6CA2"/>
    <w:rsid w:val="002F0FBF"/>
    <w:rsid w:val="002F30BB"/>
    <w:rsid w:val="002F4888"/>
    <w:rsid w:val="002F55BB"/>
    <w:rsid w:val="002F6DD9"/>
    <w:rsid w:val="00302826"/>
    <w:rsid w:val="00303D59"/>
    <w:rsid w:val="0030562C"/>
    <w:rsid w:val="003059C9"/>
    <w:rsid w:val="003102F1"/>
    <w:rsid w:val="00313C83"/>
    <w:rsid w:val="00317193"/>
    <w:rsid w:val="00317DA0"/>
    <w:rsid w:val="0032023C"/>
    <w:rsid w:val="00331C99"/>
    <w:rsid w:val="00340958"/>
    <w:rsid w:val="00342398"/>
    <w:rsid w:val="0034345B"/>
    <w:rsid w:val="0034517E"/>
    <w:rsid w:val="003455DA"/>
    <w:rsid w:val="003456BA"/>
    <w:rsid w:val="00345FDD"/>
    <w:rsid w:val="00351F64"/>
    <w:rsid w:val="00353F7E"/>
    <w:rsid w:val="003559C3"/>
    <w:rsid w:val="00355B82"/>
    <w:rsid w:val="00362A2F"/>
    <w:rsid w:val="00364327"/>
    <w:rsid w:val="00364C8C"/>
    <w:rsid w:val="003677EA"/>
    <w:rsid w:val="00373EBC"/>
    <w:rsid w:val="00374464"/>
    <w:rsid w:val="003756BA"/>
    <w:rsid w:val="00375EB4"/>
    <w:rsid w:val="00376401"/>
    <w:rsid w:val="00384458"/>
    <w:rsid w:val="00387F65"/>
    <w:rsid w:val="00390E2A"/>
    <w:rsid w:val="00391193"/>
    <w:rsid w:val="003944DA"/>
    <w:rsid w:val="00394BF7"/>
    <w:rsid w:val="003A0F7B"/>
    <w:rsid w:val="003A46B8"/>
    <w:rsid w:val="003A7BE3"/>
    <w:rsid w:val="003B357D"/>
    <w:rsid w:val="003C08BC"/>
    <w:rsid w:val="003C2276"/>
    <w:rsid w:val="003C6577"/>
    <w:rsid w:val="003C72E8"/>
    <w:rsid w:val="003D0347"/>
    <w:rsid w:val="003D0CCD"/>
    <w:rsid w:val="003D1833"/>
    <w:rsid w:val="003D1BDE"/>
    <w:rsid w:val="003E0EC1"/>
    <w:rsid w:val="003E1AA5"/>
    <w:rsid w:val="003E1B09"/>
    <w:rsid w:val="003E30DD"/>
    <w:rsid w:val="003E36CF"/>
    <w:rsid w:val="003E37E8"/>
    <w:rsid w:val="00400FD0"/>
    <w:rsid w:val="00404DAA"/>
    <w:rsid w:val="004109EA"/>
    <w:rsid w:val="0041161E"/>
    <w:rsid w:val="00411938"/>
    <w:rsid w:val="0041481F"/>
    <w:rsid w:val="00415C70"/>
    <w:rsid w:val="00420FCF"/>
    <w:rsid w:val="004224DC"/>
    <w:rsid w:val="00430879"/>
    <w:rsid w:val="00442487"/>
    <w:rsid w:val="00447293"/>
    <w:rsid w:val="00453D66"/>
    <w:rsid w:val="004552CC"/>
    <w:rsid w:val="004570EA"/>
    <w:rsid w:val="004575F9"/>
    <w:rsid w:val="00457DE7"/>
    <w:rsid w:val="00460326"/>
    <w:rsid w:val="0046412F"/>
    <w:rsid w:val="0046741D"/>
    <w:rsid w:val="00473B09"/>
    <w:rsid w:val="00474786"/>
    <w:rsid w:val="00477D81"/>
    <w:rsid w:val="004806C0"/>
    <w:rsid w:val="004820CF"/>
    <w:rsid w:val="00483847"/>
    <w:rsid w:val="00483EE4"/>
    <w:rsid w:val="00487E89"/>
    <w:rsid w:val="00494470"/>
    <w:rsid w:val="00495D24"/>
    <w:rsid w:val="00495D62"/>
    <w:rsid w:val="004A0078"/>
    <w:rsid w:val="004A10DB"/>
    <w:rsid w:val="004A168A"/>
    <w:rsid w:val="004A20A4"/>
    <w:rsid w:val="004A2505"/>
    <w:rsid w:val="004B2740"/>
    <w:rsid w:val="004B286C"/>
    <w:rsid w:val="004B2BA5"/>
    <w:rsid w:val="004B45B7"/>
    <w:rsid w:val="004B53CF"/>
    <w:rsid w:val="004B6DBE"/>
    <w:rsid w:val="004B6FFC"/>
    <w:rsid w:val="004C3EB9"/>
    <w:rsid w:val="004C68DC"/>
    <w:rsid w:val="004C7ACC"/>
    <w:rsid w:val="004D2F99"/>
    <w:rsid w:val="004D72CC"/>
    <w:rsid w:val="004D7C6C"/>
    <w:rsid w:val="004E0668"/>
    <w:rsid w:val="004E52C3"/>
    <w:rsid w:val="004F4E65"/>
    <w:rsid w:val="005017B3"/>
    <w:rsid w:val="0050195D"/>
    <w:rsid w:val="005019D3"/>
    <w:rsid w:val="0050432C"/>
    <w:rsid w:val="0050436A"/>
    <w:rsid w:val="0050522A"/>
    <w:rsid w:val="005053B8"/>
    <w:rsid w:val="00512C7C"/>
    <w:rsid w:val="00514535"/>
    <w:rsid w:val="00516FCD"/>
    <w:rsid w:val="00517FE2"/>
    <w:rsid w:val="0052539F"/>
    <w:rsid w:val="0052555D"/>
    <w:rsid w:val="005306D6"/>
    <w:rsid w:val="00531D9D"/>
    <w:rsid w:val="00532614"/>
    <w:rsid w:val="00534F69"/>
    <w:rsid w:val="00535BEB"/>
    <w:rsid w:val="00541E62"/>
    <w:rsid w:val="00542701"/>
    <w:rsid w:val="00546745"/>
    <w:rsid w:val="00547A29"/>
    <w:rsid w:val="00556765"/>
    <w:rsid w:val="00560448"/>
    <w:rsid w:val="00563911"/>
    <w:rsid w:val="00567AC6"/>
    <w:rsid w:val="005715F6"/>
    <w:rsid w:val="00575E24"/>
    <w:rsid w:val="00581B23"/>
    <w:rsid w:val="005913BF"/>
    <w:rsid w:val="00592B3B"/>
    <w:rsid w:val="00594BD0"/>
    <w:rsid w:val="005958C7"/>
    <w:rsid w:val="005A261D"/>
    <w:rsid w:val="005A4B6A"/>
    <w:rsid w:val="005A5A31"/>
    <w:rsid w:val="005A6190"/>
    <w:rsid w:val="005B26FC"/>
    <w:rsid w:val="005B3B48"/>
    <w:rsid w:val="005B3C3D"/>
    <w:rsid w:val="005B4CF7"/>
    <w:rsid w:val="005C0D74"/>
    <w:rsid w:val="005C2C81"/>
    <w:rsid w:val="005C5307"/>
    <w:rsid w:val="005D14DF"/>
    <w:rsid w:val="005D2139"/>
    <w:rsid w:val="005D224D"/>
    <w:rsid w:val="005D3770"/>
    <w:rsid w:val="005E055F"/>
    <w:rsid w:val="005F3091"/>
    <w:rsid w:val="005F4358"/>
    <w:rsid w:val="005F7260"/>
    <w:rsid w:val="005F7B6A"/>
    <w:rsid w:val="00601ECE"/>
    <w:rsid w:val="006029D8"/>
    <w:rsid w:val="00606966"/>
    <w:rsid w:val="0061533A"/>
    <w:rsid w:val="006166C1"/>
    <w:rsid w:val="0061691A"/>
    <w:rsid w:val="00620088"/>
    <w:rsid w:val="006261F2"/>
    <w:rsid w:val="00633169"/>
    <w:rsid w:val="00633549"/>
    <w:rsid w:val="00634ABE"/>
    <w:rsid w:val="006433FE"/>
    <w:rsid w:val="00651372"/>
    <w:rsid w:val="006560D8"/>
    <w:rsid w:val="006573AB"/>
    <w:rsid w:val="006644C4"/>
    <w:rsid w:val="00664B95"/>
    <w:rsid w:val="00665335"/>
    <w:rsid w:val="00666D90"/>
    <w:rsid w:val="00674028"/>
    <w:rsid w:val="00675E2C"/>
    <w:rsid w:val="00683873"/>
    <w:rsid w:val="00685CE2"/>
    <w:rsid w:val="00685E93"/>
    <w:rsid w:val="00686649"/>
    <w:rsid w:val="006903EC"/>
    <w:rsid w:val="006909A9"/>
    <w:rsid w:val="0069195A"/>
    <w:rsid w:val="0069273B"/>
    <w:rsid w:val="00694554"/>
    <w:rsid w:val="006A3120"/>
    <w:rsid w:val="006A3230"/>
    <w:rsid w:val="006A6EA8"/>
    <w:rsid w:val="006B0B7F"/>
    <w:rsid w:val="006B3A45"/>
    <w:rsid w:val="006D0265"/>
    <w:rsid w:val="006D096C"/>
    <w:rsid w:val="006D0BD8"/>
    <w:rsid w:val="006D155B"/>
    <w:rsid w:val="006D4719"/>
    <w:rsid w:val="006E34BD"/>
    <w:rsid w:val="006F1B49"/>
    <w:rsid w:val="006F2F66"/>
    <w:rsid w:val="006F6337"/>
    <w:rsid w:val="00705738"/>
    <w:rsid w:val="00707B86"/>
    <w:rsid w:val="00710608"/>
    <w:rsid w:val="00712888"/>
    <w:rsid w:val="00714494"/>
    <w:rsid w:val="007211CE"/>
    <w:rsid w:val="00722867"/>
    <w:rsid w:val="00723957"/>
    <w:rsid w:val="007244F3"/>
    <w:rsid w:val="00731DB3"/>
    <w:rsid w:val="007349E1"/>
    <w:rsid w:val="0073747B"/>
    <w:rsid w:val="0074020E"/>
    <w:rsid w:val="007405FE"/>
    <w:rsid w:val="00740784"/>
    <w:rsid w:val="00747CB3"/>
    <w:rsid w:val="00753709"/>
    <w:rsid w:val="007537B1"/>
    <w:rsid w:val="0075389D"/>
    <w:rsid w:val="00774DC1"/>
    <w:rsid w:val="007750FF"/>
    <w:rsid w:val="00775D13"/>
    <w:rsid w:val="00777A2E"/>
    <w:rsid w:val="00782D56"/>
    <w:rsid w:val="00784BCF"/>
    <w:rsid w:val="00785B8F"/>
    <w:rsid w:val="007A30A4"/>
    <w:rsid w:val="007A6454"/>
    <w:rsid w:val="007A6D3C"/>
    <w:rsid w:val="007A74A1"/>
    <w:rsid w:val="007C10AC"/>
    <w:rsid w:val="007C5693"/>
    <w:rsid w:val="007C705A"/>
    <w:rsid w:val="007D00F1"/>
    <w:rsid w:val="007E13F1"/>
    <w:rsid w:val="007E3EC4"/>
    <w:rsid w:val="007E41A3"/>
    <w:rsid w:val="007E5CA8"/>
    <w:rsid w:val="007E7781"/>
    <w:rsid w:val="007F1CB0"/>
    <w:rsid w:val="007F53B8"/>
    <w:rsid w:val="0080047E"/>
    <w:rsid w:val="00801A88"/>
    <w:rsid w:val="00805159"/>
    <w:rsid w:val="00805A0D"/>
    <w:rsid w:val="00810054"/>
    <w:rsid w:val="0081274D"/>
    <w:rsid w:val="008136E0"/>
    <w:rsid w:val="00813FF5"/>
    <w:rsid w:val="00816B7B"/>
    <w:rsid w:val="00816C52"/>
    <w:rsid w:val="00817E41"/>
    <w:rsid w:val="00820C9A"/>
    <w:rsid w:val="008224E9"/>
    <w:rsid w:val="0084632B"/>
    <w:rsid w:val="00846FB6"/>
    <w:rsid w:val="008554A3"/>
    <w:rsid w:val="008560E8"/>
    <w:rsid w:val="00857299"/>
    <w:rsid w:val="008641E8"/>
    <w:rsid w:val="00872189"/>
    <w:rsid w:val="00881AFE"/>
    <w:rsid w:val="00884F7D"/>
    <w:rsid w:val="00892F3A"/>
    <w:rsid w:val="0089401C"/>
    <w:rsid w:val="0089477A"/>
    <w:rsid w:val="0089703C"/>
    <w:rsid w:val="0089761C"/>
    <w:rsid w:val="008A04A0"/>
    <w:rsid w:val="008A5396"/>
    <w:rsid w:val="008B53F1"/>
    <w:rsid w:val="008B5E70"/>
    <w:rsid w:val="008C0686"/>
    <w:rsid w:val="008C3271"/>
    <w:rsid w:val="008C3A3F"/>
    <w:rsid w:val="008D48F8"/>
    <w:rsid w:val="008D4D50"/>
    <w:rsid w:val="008D7BC8"/>
    <w:rsid w:val="008E3270"/>
    <w:rsid w:val="008E54D0"/>
    <w:rsid w:val="008E6159"/>
    <w:rsid w:val="008F4439"/>
    <w:rsid w:val="008F48AD"/>
    <w:rsid w:val="008F6E21"/>
    <w:rsid w:val="00900150"/>
    <w:rsid w:val="009016DE"/>
    <w:rsid w:val="00902DB0"/>
    <w:rsid w:val="009046CD"/>
    <w:rsid w:val="00904957"/>
    <w:rsid w:val="0090534C"/>
    <w:rsid w:val="00905EE9"/>
    <w:rsid w:val="00907D6C"/>
    <w:rsid w:val="0091279E"/>
    <w:rsid w:val="00912BE1"/>
    <w:rsid w:val="00913289"/>
    <w:rsid w:val="00916702"/>
    <w:rsid w:val="00917C5E"/>
    <w:rsid w:val="00921697"/>
    <w:rsid w:val="00924297"/>
    <w:rsid w:val="00932976"/>
    <w:rsid w:val="00933E4B"/>
    <w:rsid w:val="00933F44"/>
    <w:rsid w:val="009375A2"/>
    <w:rsid w:val="00943EDC"/>
    <w:rsid w:val="00946CC2"/>
    <w:rsid w:val="00947B48"/>
    <w:rsid w:val="0095041B"/>
    <w:rsid w:val="00952041"/>
    <w:rsid w:val="00955CB5"/>
    <w:rsid w:val="009574E7"/>
    <w:rsid w:val="00957DF2"/>
    <w:rsid w:val="00964467"/>
    <w:rsid w:val="0096519C"/>
    <w:rsid w:val="009652F3"/>
    <w:rsid w:val="009654A1"/>
    <w:rsid w:val="00966CBF"/>
    <w:rsid w:val="00966D2C"/>
    <w:rsid w:val="00967C31"/>
    <w:rsid w:val="009702D7"/>
    <w:rsid w:val="00972012"/>
    <w:rsid w:val="0097329E"/>
    <w:rsid w:val="0097345C"/>
    <w:rsid w:val="009864CB"/>
    <w:rsid w:val="00987B2A"/>
    <w:rsid w:val="00987FBC"/>
    <w:rsid w:val="009B7083"/>
    <w:rsid w:val="009C520E"/>
    <w:rsid w:val="009C6601"/>
    <w:rsid w:val="009E0B5C"/>
    <w:rsid w:val="009E1C04"/>
    <w:rsid w:val="009E1C73"/>
    <w:rsid w:val="009E2FDA"/>
    <w:rsid w:val="009E510A"/>
    <w:rsid w:val="009F022D"/>
    <w:rsid w:val="009F03C9"/>
    <w:rsid w:val="009F45DA"/>
    <w:rsid w:val="009F47E1"/>
    <w:rsid w:val="009F4F52"/>
    <w:rsid w:val="00A019E6"/>
    <w:rsid w:val="00A02279"/>
    <w:rsid w:val="00A05CEA"/>
    <w:rsid w:val="00A06A28"/>
    <w:rsid w:val="00A07415"/>
    <w:rsid w:val="00A107DA"/>
    <w:rsid w:val="00A133FC"/>
    <w:rsid w:val="00A14119"/>
    <w:rsid w:val="00A20035"/>
    <w:rsid w:val="00A23C76"/>
    <w:rsid w:val="00A24497"/>
    <w:rsid w:val="00A3409F"/>
    <w:rsid w:val="00A4186E"/>
    <w:rsid w:val="00A4306D"/>
    <w:rsid w:val="00A44A0D"/>
    <w:rsid w:val="00A44EEF"/>
    <w:rsid w:val="00A45EA1"/>
    <w:rsid w:val="00A45EA5"/>
    <w:rsid w:val="00A45F7D"/>
    <w:rsid w:val="00A46610"/>
    <w:rsid w:val="00A5196B"/>
    <w:rsid w:val="00A55792"/>
    <w:rsid w:val="00A56B27"/>
    <w:rsid w:val="00A57571"/>
    <w:rsid w:val="00A57631"/>
    <w:rsid w:val="00A600AB"/>
    <w:rsid w:val="00A61790"/>
    <w:rsid w:val="00A63CC0"/>
    <w:rsid w:val="00A63EE2"/>
    <w:rsid w:val="00A67294"/>
    <w:rsid w:val="00A677E9"/>
    <w:rsid w:val="00A678F8"/>
    <w:rsid w:val="00A76FD2"/>
    <w:rsid w:val="00A8130B"/>
    <w:rsid w:val="00A82035"/>
    <w:rsid w:val="00A841EE"/>
    <w:rsid w:val="00A84B61"/>
    <w:rsid w:val="00A9408A"/>
    <w:rsid w:val="00A948D4"/>
    <w:rsid w:val="00AA1217"/>
    <w:rsid w:val="00AA23BE"/>
    <w:rsid w:val="00AA3040"/>
    <w:rsid w:val="00AA5029"/>
    <w:rsid w:val="00AA5413"/>
    <w:rsid w:val="00AB06B6"/>
    <w:rsid w:val="00AB148D"/>
    <w:rsid w:val="00AB7DE4"/>
    <w:rsid w:val="00AC1770"/>
    <w:rsid w:val="00AC6110"/>
    <w:rsid w:val="00AD4B9B"/>
    <w:rsid w:val="00AD624C"/>
    <w:rsid w:val="00AD62AD"/>
    <w:rsid w:val="00AD735F"/>
    <w:rsid w:val="00AD7F68"/>
    <w:rsid w:val="00AE0559"/>
    <w:rsid w:val="00AE2018"/>
    <w:rsid w:val="00AF3871"/>
    <w:rsid w:val="00AF3A07"/>
    <w:rsid w:val="00AF457F"/>
    <w:rsid w:val="00AF7019"/>
    <w:rsid w:val="00AF7A50"/>
    <w:rsid w:val="00B12089"/>
    <w:rsid w:val="00B1269A"/>
    <w:rsid w:val="00B14E82"/>
    <w:rsid w:val="00B15130"/>
    <w:rsid w:val="00B16FAE"/>
    <w:rsid w:val="00B2434E"/>
    <w:rsid w:val="00B26B1B"/>
    <w:rsid w:val="00B316E4"/>
    <w:rsid w:val="00B41BAC"/>
    <w:rsid w:val="00B4429F"/>
    <w:rsid w:val="00B45C93"/>
    <w:rsid w:val="00B50D4A"/>
    <w:rsid w:val="00B531F1"/>
    <w:rsid w:val="00B549F1"/>
    <w:rsid w:val="00B557FE"/>
    <w:rsid w:val="00B612D6"/>
    <w:rsid w:val="00B62C5B"/>
    <w:rsid w:val="00B64DA7"/>
    <w:rsid w:val="00B673B7"/>
    <w:rsid w:val="00B6747E"/>
    <w:rsid w:val="00B67F74"/>
    <w:rsid w:val="00B74AB5"/>
    <w:rsid w:val="00B77A0B"/>
    <w:rsid w:val="00B77C4B"/>
    <w:rsid w:val="00B80FC4"/>
    <w:rsid w:val="00B84010"/>
    <w:rsid w:val="00B84551"/>
    <w:rsid w:val="00B85BAB"/>
    <w:rsid w:val="00B929A9"/>
    <w:rsid w:val="00B94B8A"/>
    <w:rsid w:val="00B96677"/>
    <w:rsid w:val="00BA0174"/>
    <w:rsid w:val="00BA0C9C"/>
    <w:rsid w:val="00BA104E"/>
    <w:rsid w:val="00BA2293"/>
    <w:rsid w:val="00BA424E"/>
    <w:rsid w:val="00BA780D"/>
    <w:rsid w:val="00BB09A2"/>
    <w:rsid w:val="00BB31C2"/>
    <w:rsid w:val="00BB3E93"/>
    <w:rsid w:val="00BB4445"/>
    <w:rsid w:val="00BB581B"/>
    <w:rsid w:val="00BC2057"/>
    <w:rsid w:val="00BC2541"/>
    <w:rsid w:val="00BC37DA"/>
    <w:rsid w:val="00BC43B5"/>
    <w:rsid w:val="00BC5C3D"/>
    <w:rsid w:val="00BC6EA7"/>
    <w:rsid w:val="00BD0817"/>
    <w:rsid w:val="00BD1672"/>
    <w:rsid w:val="00BD211F"/>
    <w:rsid w:val="00BD3347"/>
    <w:rsid w:val="00BD3FDA"/>
    <w:rsid w:val="00BD7265"/>
    <w:rsid w:val="00BD7E6E"/>
    <w:rsid w:val="00BE0D72"/>
    <w:rsid w:val="00BE71A7"/>
    <w:rsid w:val="00BE797B"/>
    <w:rsid w:val="00BF2BD5"/>
    <w:rsid w:val="00BF3A9C"/>
    <w:rsid w:val="00BF6216"/>
    <w:rsid w:val="00BF7A37"/>
    <w:rsid w:val="00C00FB0"/>
    <w:rsid w:val="00C060D1"/>
    <w:rsid w:val="00C118F5"/>
    <w:rsid w:val="00C14C59"/>
    <w:rsid w:val="00C17822"/>
    <w:rsid w:val="00C21EB9"/>
    <w:rsid w:val="00C23324"/>
    <w:rsid w:val="00C24175"/>
    <w:rsid w:val="00C24706"/>
    <w:rsid w:val="00C26DC1"/>
    <w:rsid w:val="00C277B0"/>
    <w:rsid w:val="00C306CA"/>
    <w:rsid w:val="00C4206C"/>
    <w:rsid w:val="00C440C7"/>
    <w:rsid w:val="00C51E20"/>
    <w:rsid w:val="00C5581E"/>
    <w:rsid w:val="00C606AC"/>
    <w:rsid w:val="00C6152C"/>
    <w:rsid w:val="00C61DFE"/>
    <w:rsid w:val="00C712BF"/>
    <w:rsid w:val="00C727A5"/>
    <w:rsid w:val="00C77F3C"/>
    <w:rsid w:val="00C818FB"/>
    <w:rsid w:val="00C82E56"/>
    <w:rsid w:val="00C865C5"/>
    <w:rsid w:val="00C967E4"/>
    <w:rsid w:val="00C967E6"/>
    <w:rsid w:val="00CA26CE"/>
    <w:rsid w:val="00CA5E0D"/>
    <w:rsid w:val="00CA5F18"/>
    <w:rsid w:val="00CB113D"/>
    <w:rsid w:val="00CB1C74"/>
    <w:rsid w:val="00CB535F"/>
    <w:rsid w:val="00CC045C"/>
    <w:rsid w:val="00CC2772"/>
    <w:rsid w:val="00CD0630"/>
    <w:rsid w:val="00CD1028"/>
    <w:rsid w:val="00CD1C98"/>
    <w:rsid w:val="00CD51F6"/>
    <w:rsid w:val="00CE1913"/>
    <w:rsid w:val="00CE2A40"/>
    <w:rsid w:val="00CE30FB"/>
    <w:rsid w:val="00CE5F76"/>
    <w:rsid w:val="00CE5FAC"/>
    <w:rsid w:val="00CF0221"/>
    <w:rsid w:val="00CF4939"/>
    <w:rsid w:val="00CF642D"/>
    <w:rsid w:val="00D02EED"/>
    <w:rsid w:val="00D11161"/>
    <w:rsid w:val="00D1453C"/>
    <w:rsid w:val="00D1608F"/>
    <w:rsid w:val="00D30207"/>
    <w:rsid w:val="00D35D2F"/>
    <w:rsid w:val="00D36236"/>
    <w:rsid w:val="00D410BA"/>
    <w:rsid w:val="00D46C81"/>
    <w:rsid w:val="00D545D2"/>
    <w:rsid w:val="00D57303"/>
    <w:rsid w:val="00D61B2A"/>
    <w:rsid w:val="00D64530"/>
    <w:rsid w:val="00D73A39"/>
    <w:rsid w:val="00D74E03"/>
    <w:rsid w:val="00D82B7C"/>
    <w:rsid w:val="00D84F59"/>
    <w:rsid w:val="00D87907"/>
    <w:rsid w:val="00D90867"/>
    <w:rsid w:val="00D93198"/>
    <w:rsid w:val="00D95951"/>
    <w:rsid w:val="00D95A83"/>
    <w:rsid w:val="00DA1FD8"/>
    <w:rsid w:val="00DA384B"/>
    <w:rsid w:val="00DA41D4"/>
    <w:rsid w:val="00DA4631"/>
    <w:rsid w:val="00DB0207"/>
    <w:rsid w:val="00DB15EF"/>
    <w:rsid w:val="00DB1990"/>
    <w:rsid w:val="00DB2CAE"/>
    <w:rsid w:val="00DB6297"/>
    <w:rsid w:val="00DB64E4"/>
    <w:rsid w:val="00DB6F74"/>
    <w:rsid w:val="00DB74B6"/>
    <w:rsid w:val="00DC2178"/>
    <w:rsid w:val="00DC27D3"/>
    <w:rsid w:val="00DC45F5"/>
    <w:rsid w:val="00DC6422"/>
    <w:rsid w:val="00DE2A0E"/>
    <w:rsid w:val="00DF0F56"/>
    <w:rsid w:val="00E00D05"/>
    <w:rsid w:val="00E011B0"/>
    <w:rsid w:val="00E01A4C"/>
    <w:rsid w:val="00E02931"/>
    <w:rsid w:val="00E05040"/>
    <w:rsid w:val="00E05A98"/>
    <w:rsid w:val="00E07E9A"/>
    <w:rsid w:val="00E166BA"/>
    <w:rsid w:val="00E16CD5"/>
    <w:rsid w:val="00E1779E"/>
    <w:rsid w:val="00E30A77"/>
    <w:rsid w:val="00E34DD6"/>
    <w:rsid w:val="00E55F1D"/>
    <w:rsid w:val="00E578A4"/>
    <w:rsid w:val="00E61627"/>
    <w:rsid w:val="00E6183A"/>
    <w:rsid w:val="00E61D60"/>
    <w:rsid w:val="00E61F4F"/>
    <w:rsid w:val="00E626E5"/>
    <w:rsid w:val="00E645EE"/>
    <w:rsid w:val="00E65E25"/>
    <w:rsid w:val="00E7261A"/>
    <w:rsid w:val="00E72B6A"/>
    <w:rsid w:val="00E744F0"/>
    <w:rsid w:val="00E77C1D"/>
    <w:rsid w:val="00E826CD"/>
    <w:rsid w:val="00E854A6"/>
    <w:rsid w:val="00E855AC"/>
    <w:rsid w:val="00E922EE"/>
    <w:rsid w:val="00E96991"/>
    <w:rsid w:val="00E9752D"/>
    <w:rsid w:val="00E97AA7"/>
    <w:rsid w:val="00EA15EF"/>
    <w:rsid w:val="00EA466A"/>
    <w:rsid w:val="00EA46F9"/>
    <w:rsid w:val="00EA5252"/>
    <w:rsid w:val="00EB06B7"/>
    <w:rsid w:val="00EB1A45"/>
    <w:rsid w:val="00EB1F68"/>
    <w:rsid w:val="00EB4D7C"/>
    <w:rsid w:val="00EC00B4"/>
    <w:rsid w:val="00EC03AD"/>
    <w:rsid w:val="00EC0D36"/>
    <w:rsid w:val="00EC39A4"/>
    <w:rsid w:val="00EC485E"/>
    <w:rsid w:val="00EC5E39"/>
    <w:rsid w:val="00EC5E5A"/>
    <w:rsid w:val="00EC7423"/>
    <w:rsid w:val="00EC7D8A"/>
    <w:rsid w:val="00ED1B37"/>
    <w:rsid w:val="00ED4307"/>
    <w:rsid w:val="00ED6E69"/>
    <w:rsid w:val="00EE12C4"/>
    <w:rsid w:val="00EE62AA"/>
    <w:rsid w:val="00EE649C"/>
    <w:rsid w:val="00EE7D12"/>
    <w:rsid w:val="00EF3C22"/>
    <w:rsid w:val="00EF424D"/>
    <w:rsid w:val="00EF4577"/>
    <w:rsid w:val="00EF7A2A"/>
    <w:rsid w:val="00F01FFB"/>
    <w:rsid w:val="00F060F5"/>
    <w:rsid w:val="00F06974"/>
    <w:rsid w:val="00F10156"/>
    <w:rsid w:val="00F14C7F"/>
    <w:rsid w:val="00F214BA"/>
    <w:rsid w:val="00F25ED3"/>
    <w:rsid w:val="00F27607"/>
    <w:rsid w:val="00F30527"/>
    <w:rsid w:val="00F30A23"/>
    <w:rsid w:val="00F311E9"/>
    <w:rsid w:val="00F3595B"/>
    <w:rsid w:val="00F42042"/>
    <w:rsid w:val="00F4271C"/>
    <w:rsid w:val="00F46AEA"/>
    <w:rsid w:val="00F517A2"/>
    <w:rsid w:val="00F51F7C"/>
    <w:rsid w:val="00F52B9D"/>
    <w:rsid w:val="00F530F8"/>
    <w:rsid w:val="00F5528C"/>
    <w:rsid w:val="00F55DAD"/>
    <w:rsid w:val="00F56AD9"/>
    <w:rsid w:val="00F57A02"/>
    <w:rsid w:val="00F6375E"/>
    <w:rsid w:val="00F64A34"/>
    <w:rsid w:val="00F73BA5"/>
    <w:rsid w:val="00F748B5"/>
    <w:rsid w:val="00F74955"/>
    <w:rsid w:val="00F80FF0"/>
    <w:rsid w:val="00F839A3"/>
    <w:rsid w:val="00F853BB"/>
    <w:rsid w:val="00F9332E"/>
    <w:rsid w:val="00F9355E"/>
    <w:rsid w:val="00F971BE"/>
    <w:rsid w:val="00FA2AC3"/>
    <w:rsid w:val="00FA4F1A"/>
    <w:rsid w:val="00FA53FE"/>
    <w:rsid w:val="00FB1F09"/>
    <w:rsid w:val="00FB3B3D"/>
    <w:rsid w:val="00FB46B6"/>
    <w:rsid w:val="00FB5421"/>
    <w:rsid w:val="00FB5D8A"/>
    <w:rsid w:val="00FB6286"/>
    <w:rsid w:val="00FC558E"/>
    <w:rsid w:val="00FC7473"/>
    <w:rsid w:val="00FD5886"/>
    <w:rsid w:val="00FE65BA"/>
    <w:rsid w:val="00FE73D6"/>
    <w:rsid w:val="00FF11C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034ea2,#5d9ef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caption" w:semiHidden="1" w:unhideWhenUsed="1" w:qFormat="1"/>
    <w:lsdException w:name="endnote reference" w:semiHidden="1"/>
    <w:lsdException w:name="endnote text" w:semiHidden="1"/>
    <w:lsdException w:name="Body Text" w:qFormat="1"/>
    <w:lsdException w:name="Emphasis" w:qFormat="1"/>
    <w:lsdException w:name="Document Map"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34F69"/>
    <w:pPr>
      <w:spacing w:line="288" w:lineRule="auto"/>
      <w:jc w:val="both"/>
    </w:pPr>
    <w:rPr>
      <w:rFonts w:ascii="Verdana" w:hAnsi="Verdana"/>
      <w:sz w:val="17"/>
      <w:szCs w:val="24"/>
      <w:lang w:val="en-GB" w:eastAsia="en-US"/>
    </w:rPr>
  </w:style>
  <w:style w:type="paragraph" w:styleId="Nadpis1">
    <w:name w:val="heading 1"/>
    <w:basedOn w:val="Noparagraphstyle"/>
    <w:semiHidden/>
    <w:qFormat/>
    <w:rsid w:val="009654A1"/>
    <w:pPr>
      <w:spacing w:before="600" w:after="20" w:line="240" w:lineRule="auto"/>
      <w:outlineLvl w:val="0"/>
    </w:pPr>
    <w:rPr>
      <w:rFonts w:ascii="Frutiger LT Com 45 Light" w:hAnsi="Frutiger LT Com 45 Light" w:cs="Arial"/>
      <w:b/>
      <w:bCs/>
      <w:sz w:val="28"/>
      <w:szCs w:val="36"/>
      <w:lang w:val="en-GB"/>
    </w:rPr>
  </w:style>
  <w:style w:type="paragraph" w:styleId="Nadpis2">
    <w:name w:val="heading 2"/>
    <w:basedOn w:val="Normlny"/>
    <w:next w:val="Normlny"/>
    <w:semiHidden/>
    <w:qFormat/>
    <w:rsid w:val="009654A1"/>
    <w:pPr>
      <w:keepNext/>
      <w:spacing w:after="220" w:line="240" w:lineRule="auto"/>
      <w:outlineLvl w:val="1"/>
    </w:pPr>
    <w:rPr>
      <w:rFonts w:cs="Arial"/>
      <w:b/>
      <w:bCs/>
      <w:iCs/>
      <w:sz w:val="22"/>
      <w:szCs w:val="28"/>
    </w:rPr>
  </w:style>
  <w:style w:type="paragraph" w:styleId="Nadpis3">
    <w:name w:val="heading 3"/>
    <w:basedOn w:val="Normlny"/>
    <w:next w:val="Normlny"/>
    <w:qFormat/>
    <w:rsid w:val="009654A1"/>
    <w:pPr>
      <w:keepNext/>
      <w:spacing w:line="240" w:lineRule="auto"/>
      <w:outlineLvl w:val="2"/>
    </w:pPr>
    <w:rPr>
      <w:rFonts w:cs="Arial"/>
      <w:b/>
      <w:bCs/>
      <w:szCs w:val="26"/>
    </w:rPr>
  </w:style>
  <w:style w:type="paragraph" w:styleId="Nadpis4">
    <w:name w:val="heading 4"/>
    <w:basedOn w:val="Normlny"/>
    <w:next w:val="Normlny"/>
    <w:semiHidden/>
    <w:rsid w:val="00B673B7"/>
    <w:pPr>
      <w:keepNext/>
      <w:spacing w:before="240" w:after="60"/>
      <w:outlineLvl w:val="3"/>
    </w:pPr>
    <w:rPr>
      <w:b/>
      <w:bCs/>
      <w:sz w:val="28"/>
      <w:szCs w:val="28"/>
    </w:rPr>
  </w:style>
  <w:style w:type="paragraph" w:styleId="Nadpis5">
    <w:name w:val="heading 5"/>
    <w:basedOn w:val="Normlny"/>
    <w:next w:val="Normlny"/>
    <w:semiHidden/>
    <w:rsid w:val="00B673B7"/>
    <w:pPr>
      <w:spacing w:before="240" w:after="60"/>
      <w:outlineLvl w:val="4"/>
    </w:pPr>
    <w:rPr>
      <w:b/>
      <w:bCs/>
      <w:i/>
      <w:iCs/>
      <w:sz w:val="26"/>
      <w:szCs w:val="26"/>
    </w:rPr>
  </w:style>
  <w:style w:type="paragraph" w:styleId="Nadpis6">
    <w:name w:val="heading 6"/>
    <w:basedOn w:val="Normlny"/>
    <w:next w:val="Normlny"/>
    <w:semiHidden/>
    <w:rsid w:val="00B673B7"/>
    <w:pPr>
      <w:spacing w:before="240" w:after="60"/>
      <w:outlineLvl w:val="5"/>
    </w:pPr>
    <w:rPr>
      <w:b/>
      <w:bCs/>
      <w:sz w:val="22"/>
      <w:szCs w:val="22"/>
    </w:rPr>
  </w:style>
  <w:style w:type="paragraph" w:styleId="Nadpis7">
    <w:name w:val="heading 7"/>
    <w:basedOn w:val="Normlny"/>
    <w:next w:val="Normlny"/>
    <w:semiHidden/>
    <w:rsid w:val="00B673B7"/>
    <w:pPr>
      <w:spacing w:before="240" w:after="60"/>
      <w:outlineLvl w:val="6"/>
    </w:pPr>
  </w:style>
  <w:style w:type="paragraph" w:styleId="Nadpis8">
    <w:name w:val="heading 8"/>
    <w:basedOn w:val="Normlny"/>
    <w:next w:val="Normlny"/>
    <w:semiHidden/>
    <w:rsid w:val="00B673B7"/>
    <w:pPr>
      <w:spacing w:before="240" w:after="60"/>
      <w:outlineLvl w:val="7"/>
    </w:pPr>
    <w:rPr>
      <w:i/>
      <w:iCs/>
    </w:rPr>
  </w:style>
  <w:style w:type="paragraph" w:styleId="Nadpis9">
    <w:name w:val="heading 9"/>
    <w:basedOn w:val="Normlny"/>
    <w:next w:val="Normlny"/>
    <w:semiHidden/>
    <w:rsid w:val="00B673B7"/>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B316E4"/>
    <w:pPr>
      <w:tabs>
        <w:tab w:val="center" w:pos="4320"/>
        <w:tab w:val="right" w:pos="8640"/>
      </w:tabs>
    </w:pPr>
  </w:style>
  <w:style w:type="paragraph" w:styleId="Pta">
    <w:name w:val="footer"/>
    <w:basedOn w:val="Normlny"/>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semiHidden/>
    <w:rsid w:val="004C7ACC"/>
    <w:rPr>
      <w:color w:val="0000FF"/>
      <w:u w:val="single"/>
    </w:rPr>
  </w:style>
  <w:style w:type="character" w:styleId="slostrany">
    <w:name w:val="page number"/>
    <w:basedOn w:val="Predvolenpsmoodseku"/>
    <w:semiHidden/>
    <w:rsid w:val="000846C0"/>
  </w:style>
  <w:style w:type="paragraph" w:styleId="Textbubliny">
    <w:name w:val="Balloon Text"/>
    <w:basedOn w:val="Normlny"/>
    <w:semiHidden/>
    <w:rsid w:val="00813FF5"/>
    <w:rPr>
      <w:rFonts w:ascii="Tahoma" w:hAnsi="Tahoma" w:cs="Tahoma"/>
      <w:sz w:val="16"/>
      <w:szCs w:val="16"/>
    </w:rPr>
  </w:style>
  <w:style w:type="paragraph" w:styleId="Textpoznmkypodiarou">
    <w:name w:val="footnote text"/>
    <w:basedOn w:val="Normlny"/>
    <w:semiHidden/>
    <w:rsid w:val="005D14DF"/>
    <w:rPr>
      <w:szCs w:val="20"/>
      <w:lang w:eastAsia="fr-FR"/>
    </w:rPr>
  </w:style>
  <w:style w:type="numbering" w:styleId="111111">
    <w:name w:val="Outline List 2"/>
    <w:basedOn w:val="Bezzoznamu"/>
    <w:semiHidden/>
    <w:rsid w:val="00B673B7"/>
    <w:pPr>
      <w:numPr>
        <w:numId w:val="11"/>
      </w:numPr>
    </w:pPr>
  </w:style>
  <w:style w:type="numbering" w:styleId="1ai">
    <w:name w:val="Outline List 1"/>
    <w:basedOn w:val="Bezzoznamu"/>
    <w:semiHidden/>
    <w:rsid w:val="00B673B7"/>
    <w:pPr>
      <w:numPr>
        <w:numId w:val="12"/>
      </w:numPr>
    </w:pPr>
  </w:style>
  <w:style w:type="numbering" w:styleId="lnokalebosekcia">
    <w:name w:val="Outline List 3"/>
    <w:basedOn w:val="Bezzoznamu"/>
    <w:semiHidden/>
    <w:rsid w:val="00B673B7"/>
    <w:pPr>
      <w:numPr>
        <w:numId w:val="13"/>
      </w:numPr>
    </w:pPr>
  </w:style>
  <w:style w:type="paragraph" w:styleId="Oznaitext">
    <w:name w:val="Block Text"/>
    <w:basedOn w:val="Normlny"/>
    <w:semiHidden/>
    <w:rsid w:val="00B673B7"/>
    <w:pPr>
      <w:spacing w:after="120"/>
      <w:ind w:left="1440" w:right="1440"/>
    </w:pPr>
  </w:style>
  <w:style w:type="paragraph" w:styleId="Zkladntext">
    <w:name w:val="Body Text"/>
    <w:basedOn w:val="Normlny"/>
    <w:link w:val="ZkladntextChar"/>
    <w:qFormat/>
    <w:rsid w:val="00B673B7"/>
    <w:pPr>
      <w:spacing w:after="120"/>
    </w:pPr>
    <w:rPr>
      <w:lang/>
    </w:rPr>
  </w:style>
  <w:style w:type="paragraph" w:styleId="Zkladntext2">
    <w:name w:val="Body Text 2"/>
    <w:basedOn w:val="Normlny"/>
    <w:semiHidden/>
    <w:rsid w:val="00B673B7"/>
    <w:pPr>
      <w:spacing w:after="120" w:line="480" w:lineRule="auto"/>
    </w:pPr>
  </w:style>
  <w:style w:type="paragraph" w:styleId="Zkladntext3">
    <w:name w:val="Body Text 3"/>
    <w:basedOn w:val="Normlny"/>
    <w:semiHidden/>
    <w:rsid w:val="00B673B7"/>
    <w:pPr>
      <w:spacing w:after="120"/>
    </w:pPr>
    <w:rPr>
      <w:sz w:val="16"/>
      <w:szCs w:val="16"/>
    </w:rPr>
  </w:style>
  <w:style w:type="paragraph" w:styleId="Prvzarkazkladnhotextu">
    <w:name w:val="Body Text First Indent"/>
    <w:basedOn w:val="Zkladntext"/>
    <w:semiHidden/>
    <w:rsid w:val="00B673B7"/>
    <w:pPr>
      <w:ind w:firstLine="210"/>
    </w:pPr>
  </w:style>
  <w:style w:type="paragraph" w:styleId="Zarkazkladnhotextu">
    <w:name w:val="Body Text Indent"/>
    <w:basedOn w:val="Normlny"/>
    <w:semiHidden/>
    <w:rsid w:val="00B673B7"/>
    <w:pPr>
      <w:spacing w:after="120"/>
      <w:ind w:left="283"/>
    </w:pPr>
  </w:style>
  <w:style w:type="paragraph" w:styleId="Prvzarkazkladnhotextu2">
    <w:name w:val="Body Text First Indent 2"/>
    <w:basedOn w:val="Zarkazkladnhotextu"/>
    <w:semiHidden/>
    <w:rsid w:val="00B673B7"/>
    <w:pPr>
      <w:ind w:firstLine="210"/>
    </w:pPr>
  </w:style>
  <w:style w:type="paragraph" w:styleId="Zarkazkladnhotextu2">
    <w:name w:val="Body Text Indent 2"/>
    <w:basedOn w:val="Normlny"/>
    <w:semiHidden/>
    <w:rsid w:val="00B673B7"/>
    <w:pPr>
      <w:spacing w:after="120" w:line="480" w:lineRule="auto"/>
      <w:ind w:left="283"/>
    </w:pPr>
  </w:style>
  <w:style w:type="paragraph" w:styleId="Zarkazkladnhotextu3">
    <w:name w:val="Body Text Indent 3"/>
    <w:basedOn w:val="Normlny"/>
    <w:semiHidden/>
    <w:rsid w:val="00B673B7"/>
    <w:pPr>
      <w:spacing w:after="120"/>
      <w:ind w:left="283"/>
    </w:pPr>
    <w:rPr>
      <w:sz w:val="16"/>
      <w:szCs w:val="16"/>
    </w:rPr>
  </w:style>
  <w:style w:type="paragraph" w:styleId="Zver">
    <w:name w:val="Closing"/>
    <w:basedOn w:val="Normlny"/>
    <w:semiHidden/>
    <w:rsid w:val="00B673B7"/>
    <w:pPr>
      <w:ind w:left="4252"/>
    </w:pPr>
  </w:style>
  <w:style w:type="paragraph" w:styleId="Obyajntext">
    <w:name w:val="Plain Text"/>
    <w:basedOn w:val="Normlny"/>
    <w:semiHidden/>
    <w:rsid w:val="00B673B7"/>
    <w:rPr>
      <w:rFonts w:ascii="Courier New" w:hAnsi="Courier New" w:cs="Courier New"/>
      <w:szCs w:val="20"/>
    </w:rPr>
  </w:style>
  <w:style w:type="paragraph" w:styleId="Oslovenie">
    <w:name w:val="Salutation"/>
    <w:basedOn w:val="Normlny"/>
    <w:next w:val="Normlny"/>
    <w:semiHidden/>
    <w:rsid w:val="00B673B7"/>
  </w:style>
  <w:style w:type="paragraph" w:styleId="Podpis">
    <w:name w:val="Signature"/>
    <w:basedOn w:val="Normlny"/>
    <w:semiHidden/>
    <w:rsid w:val="00B673B7"/>
    <w:pPr>
      <w:ind w:left="4252"/>
    </w:pPr>
  </w:style>
  <w:style w:type="table" w:styleId="Tabukaspriestorovmiefektmi1">
    <w:name w:val="Table 3D effects 1"/>
    <w:basedOn w:val="Normlnatabuka"/>
    <w:semiHidden/>
    <w:rsid w:val="00B673B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B673B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B673B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B673B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B673B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B673B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B673B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B673B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B673B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B673B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B673B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B673B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B673B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B673B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B673B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1">
    <w:name w:val="Table Grid 1"/>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B673B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B673B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B673B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B673B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B673B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B673B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B673B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B673B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B673B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B673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B673B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B673B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B673B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B673B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ovtabuka1">
    <w:name w:val="Table Web 1"/>
    <w:basedOn w:val="Normlnatabuka"/>
    <w:semiHidden/>
    <w:rsid w:val="00B673B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B673B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B673B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tum">
    <w:name w:val="Date"/>
    <w:basedOn w:val="Normlny"/>
    <w:next w:val="Normlny"/>
    <w:semiHidden/>
    <w:rsid w:val="00B673B7"/>
  </w:style>
  <w:style w:type="paragraph" w:styleId="Podpise-mailu">
    <w:name w:val="E-mail Signature"/>
    <w:basedOn w:val="Normlny"/>
    <w:semiHidden/>
    <w:rsid w:val="00B673B7"/>
  </w:style>
  <w:style w:type="character" w:styleId="Zvraznenie">
    <w:name w:val="Emphasis"/>
    <w:semiHidden/>
    <w:qFormat/>
    <w:rsid w:val="009654A1"/>
    <w:rPr>
      <w:i/>
      <w:iCs/>
    </w:rPr>
  </w:style>
  <w:style w:type="paragraph" w:styleId="Adresanaoblke">
    <w:name w:val="envelope address"/>
    <w:basedOn w:val="Normlny"/>
    <w:semiHidden/>
    <w:rsid w:val="00B673B7"/>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semiHidden/>
    <w:rsid w:val="00B673B7"/>
    <w:rPr>
      <w:rFonts w:ascii="Arial" w:hAnsi="Arial" w:cs="Arial"/>
      <w:szCs w:val="20"/>
    </w:rPr>
  </w:style>
  <w:style w:type="character" w:styleId="PouitHypertextovPrepojenie">
    <w:name w:val="FollowedHyperlink"/>
    <w:semiHidden/>
    <w:rsid w:val="00B673B7"/>
    <w:rPr>
      <w:color w:val="800080"/>
      <w:u w:val="single"/>
    </w:rPr>
  </w:style>
  <w:style w:type="character" w:styleId="SkratkaHTML">
    <w:name w:val="HTML Acronym"/>
    <w:basedOn w:val="Predvolenpsmoodseku"/>
    <w:semiHidden/>
    <w:rsid w:val="00B673B7"/>
  </w:style>
  <w:style w:type="paragraph" w:styleId="AdresaHTML">
    <w:name w:val="HTML Address"/>
    <w:basedOn w:val="Normlny"/>
    <w:semiHidden/>
    <w:rsid w:val="00B673B7"/>
    <w:rPr>
      <w:i/>
      <w:iCs/>
    </w:rPr>
  </w:style>
  <w:style w:type="character" w:styleId="CitciaHTML">
    <w:name w:val="HTML Cite"/>
    <w:semiHidden/>
    <w:rsid w:val="00B673B7"/>
    <w:rPr>
      <w:i/>
      <w:iCs/>
    </w:rPr>
  </w:style>
  <w:style w:type="character" w:styleId="KdHTML">
    <w:name w:val="HTML Code"/>
    <w:semiHidden/>
    <w:rsid w:val="00B673B7"/>
    <w:rPr>
      <w:rFonts w:ascii="Courier New" w:hAnsi="Courier New" w:cs="Courier New"/>
      <w:sz w:val="20"/>
      <w:szCs w:val="20"/>
    </w:rPr>
  </w:style>
  <w:style w:type="character" w:styleId="DefinciaHTML">
    <w:name w:val="HTML Definition"/>
    <w:semiHidden/>
    <w:rsid w:val="00B673B7"/>
    <w:rPr>
      <w:i/>
      <w:iCs/>
    </w:rPr>
  </w:style>
  <w:style w:type="character" w:styleId="KlvesnicaHTML">
    <w:name w:val="HTML Keyboard"/>
    <w:semiHidden/>
    <w:rsid w:val="00B673B7"/>
    <w:rPr>
      <w:rFonts w:ascii="Courier New" w:hAnsi="Courier New" w:cs="Courier New"/>
      <w:sz w:val="20"/>
      <w:szCs w:val="20"/>
    </w:rPr>
  </w:style>
  <w:style w:type="paragraph" w:styleId="PredformtovanHTML">
    <w:name w:val="HTML Preformatted"/>
    <w:basedOn w:val="Normlny"/>
    <w:semiHidden/>
    <w:rsid w:val="00B673B7"/>
    <w:rPr>
      <w:rFonts w:ascii="Courier New" w:hAnsi="Courier New" w:cs="Courier New"/>
      <w:szCs w:val="20"/>
    </w:rPr>
  </w:style>
  <w:style w:type="character" w:styleId="UkkaHTML">
    <w:name w:val="HTML Sample"/>
    <w:semiHidden/>
    <w:rsid w:val="00B673B7"/>
    <w:rPr>
      <w:rFonts w:ascii="Courier New" w:hAnsi="Courier New" w:cs="Courier New"/>
    </w:rPr>
  </w:style>
  <w:style w:type="character" w:styleId="PsacstrojHTML">
    <w:name w:val="HTML Typewriter"/>
    <w:semiHidden/>
    <w:rsid w:val="00B673B7"/>
    <w:rPr>
      <w:rFonts w:ascii="Courier New" w:hAnsi="Courier New" w:cs="Courier New"/>
      <w:sz w:val="20"/>
      <w:szCs w:val="20"/>
    </w:rPr>
  </w:style>
  <w:style w:type="character" w:styleId="PremennHTML">
    <w:name w:val="HTML Variable"/>
    <w:semiHidden/>
    <w:rsid w:val="00B673B7"/>
    <w:rPr>
      <w:i/>
      <w:iCs/>
    </w:rPr>
  </w:style>
  <w:style w:type="character" w:styleId="sloriadka">
    <w:name w:val="line number"/>
    <w:basedOn w:val="Predvolenpsmoodseku"/>
    <w:semiHidden/>
    <w:rsid w:val="00B673B7"/>
  </w:style>
  <w:style w:type="paragraph" w:styleId="Zoznam">
    <w:name w:val="List"/>
    <w:basedOn w:val="Normlny"/>
    <w:semiHidden/>
    <w:rsid w:val="00B673B7"/>
    <w:pPr>
      <w:ind w:left="283" w:hanging="283"/>
    </w:pPr>
  </w:style>
  <w:style w:type="paragraph" w:styleId="Zoznam2">
    <w:name w:val="List 2"/>
    <w:basedOn w:val="Normlny"/>
    <w:semiHidden/>
    <w:rsid w:val="00B673B7"/>
    <w:pPr>
      <w:ind w:left="566" w:hanging="283"/>
    </w:pPr>
  </w:style>
  <w:style w:type="paragraph" w:styleId="Zoznam3">
    <w:name w:val="List 3"/>
    <w:basedOn w:val="Normlny"/>
    <w:semiHidden/>
    <w:rsid w:val="00B673B7"/>
    <w:pPr>
      <w:ind w:left="849" w:hanging="283"/>
    </w:pPr>
  </w:style>
  <w:style w:type="paragraph" w:styleId="Zoznam4">
    <w:name w:val="List 4"/>
    <w:basedOn w:val="Normlny"/>
    <w:semiHidden/>
    <w:rsid w:val="00B673B7"/>
    <w:pPr>
      <w:ind w:left="1132" w:hanging="283"/>
    </w:pPr>
  </w:style>
  <w:style w:type="paragraph" w:styleId="Zoznam5">
    <w:name w:val="List 5"/>
    <w:basedOn w:val="Normlny"/>
    <w:semiHidden/>
    <w:rsid w:val="00B673B7"/>
    <w:pPr>
      <w:ind w:left="1415" w:hanging="283"/>
    </w:pPr>
  </w:style>
  <w:style w:type="paragraph" w:styleId="Zoznamsodrkami">
    <w:name w:val="List Bullet"/>
    <w:basedOn w:val="Normlny"/>
    <w:semiHidden/>
    <w:rsid w:val="00B673B7"/>
    <w:pPr>
      <w:numPr>
        <w:numId w:val="1"/>
      </w:numPr>
    </w:pPr>
  </w:style>
  <w:style w:type="paragraph" w:styleId="Zoznamsodrkami2">
    <w:name w:val="List Bullet 2"/>
    <w:basedOn w:val="Normlny"/>
    <w:semiHidden/>
    <w:rsid w:val="00B673B7"/>
    <w:pPr>
      <w:numPr>
        <w:numId w:val="2"/>
      </w:numPr>
    </w:pPr>
  </w:style>
  <w:style w:type="paragraph" w:styleId="Zoznamsodrkami3">
    <w:name w:val="List Bullet 3"/>
    <w:basedOn w:val="Normlny"/>
    <w:semiHidden/>
    <w:rsid w:val="00B673B7"/>
    <w:pPr>
      <w:numPr>
        <w:numId w:val="3"/>
      </w:numPr>
    </w:pPr>
  </w:style>
  <w:style w:type="paragraph" w:styleId="Zoznamsodrkami4">
    <w:name w:val="List Bullet 4"/>
    <w:basedOn w:val="Normlny"/>
    <w:semiHidden/>
    <w:rsid w:val="00B673B7"/>
    <w:pPr>
      <w:numPr>
        <w:numId w:val="4"/>
      </w:numPr>
    </w:pPr>
  </w:style>
  <w:style w:type="paragraph" w:styleId="Zoznamsodrkami5">
    <w:name w:val="List Bullet 5"/>
    <w:basedOn w:val="Normlny"/>
    <w:semiHidden/>
    <w:rsid w:val="00B673B7"/>
    <w:pPr>
      <w:numPr>
        <w:numId w:val="5"/>
      </w:numPr>
    </w:pPr>
  </w:style>
  <w:style w:type="paragraph" w:styleId="Pokraovaniezoznamu">
    <w:name w:val="List Continue"/>
    <w:basedOn w:val="Normlny"/>
    <w:semiHidden/>
    <w:rsid w:val="00B673B7"/>
    <w:pPr>
      <w:spacing w:after="120"/>
      <w:ind w:left="283"/>
    </w:pPr>
  </w:style>
  <w:style w:type="paragraph" w:styleId="Pokraovaniezoznamu2">
    <w:name w:val="List Continue 2"/>
    <w:basedOn w:val="Normlny"/>
    <w:semiHidden/>
    <w:rsid w:val="00B673B7"/>
    <w:pPr>
      <w:spacing w:after="120"/>
      <w:ind w:left="566"/>
    </w:pPr>
  </w:style>
  <w:style w:type="paragraph" w:styleId="Pokraovaniezoznamu3">
    <w:name w:val="List Continue 3"/>
    <w:basedOn w:val="Normlny"/>
    <w:semiHidden/>
    <w:rsid w:val="00B673B7"/>
    <w:pPr>
      <w:spacing w:after="120"/>
      <w:ind w:left="849"/>
    </w:pPr>
  </w:style>
  <w:style w:type="paragraph" w:styleId="Pokraovaniezoznamu4">
    <w:name w:val="List Continue 4"/>
    <w:basedOn w:val="Normlny"/>
    <w:semiHidden/>
    <w:rsid w:val="00B673B7"/>
    <w:pPr>
      <w:spacing w:after="120"/>
      <w:ind w:left="1132"/>
    </w:pPr>
  </w:style>
  <w:style w:type="paragraph" w:styleId="Pokraovaniezoznamu5">
    <w:name w:val="List Continue 5"/>
    <w:basedOn w:val="Normlny"/>
    <w:semiHidden/>
    <w:rsid w:val="00B673B7"/>
    <w:pPr>
      <w:spacing w:after="120"/>
      <w:ind w:left="1415"/>
    </w:pPr>
  </w:style>
  <w:style w:type="paragraph" w:styleId="slovanzoznam">
    <w:name w:val="List Number"/>
    <w:basedOn w:val="Normlny"/>
    <w:semiHidden/>
    <w:rsid w:val="00B673B7"/>
    <w:pPr>
      <w:numPr>
        <w:numId w:val="6"/>
      </w:numPr>
    </w:pPr>
  </w:style>
  <w:style w:type="paragraph" w:styleId="slovanzoznam2">
    <w:name w:val="List Number 2"/>
    <w:basedOn w:val="Normlny"/>
    <w:semiHidden/>
    <w:rsid w:val="00B673B7"/>
    <w:pPr>
      <w:numPr>
        <w:numId w:val="7"/>
      </w:numPr>
    </w:pPr>
  </w:style>
  <w:style w:type="paragraph" w:styleId="slovanzoznam3">
    <w:name w:val="List Number 3"/>
    <w:basedOn w:val="Normlny"/>
    <w:semiHidden/>
    <w:rsid w:val="00B673B7"/>
    <w:pPr>
      <w:numPr>
        <w:numId w:val="8"/>
      </w:numPr>
    </w:pPr>
  </w:style>
  <w:style w:type="paragraph" w:styleId="slovanzoznam4">
    <w:name w:val="List Number 4"/>
    <w:basedOn w:val="Normlny"/>
    <w:semiHidden/>
    <w:rsid w:val="00B673B7"/>
    <w:pPr>
      <w:numPr>
        <w:numId w:val="9"/>
      </w:numPr>
    </w:pPr>
  </w:style>
  <w:style w:type="paragraph" w:styleId="slovanzoznam5">
    <w:name w:val="List Number 5"/>
    <w:basedOn w:val="Normlny"/>
    <w:semiHidden/>
    <w:rsid w:val="00B673B7"/>
    <w:pPr>
      <w:numPr>
        <w:numId w:val="10"/>
      </w:numPr>
    </w:pPr>
  </w:style>
  <w:style w:type="paragraph" w:styleId="Hlavikasprvy">
    <w:name w:val="Message Header"/>
    <w:basedOn w:val="Normlny"/>
    <w:semiHidden/>
    <w:rsid w:val="00B673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lnywebov">
    <w:name w:val="Normal (Web)"/>
    <w:basedOn w:val="Normlny"/>
    <w:semiHidden/>
    <w:rsid w:val="00B673B7"/>
  </w:style>
  <w:style w:type="paragraph" w:styleId="Normlnysozarkami">
    <w:name w:val="Normal Indent"/>
    <w:basedOn w:val="Normlny"/>
    <w:semiHidden/>
    <w:rsid w:val="00B673B7"/>
    <w:pPr>
      <w:ind w:left="720"/>
    </w:pPr>
  </w:style>
  <w:style w:type="paragraph" w:styleId="Nadpispoznmky">
    <w:name w:val="Note Heading"/>
    <w:basedOn w:val="Normlny"/>
    <w:next w:val="Normlny"/>
    <w:semiHidden/>
    <w:rsid w:val="00B673B7"/>
  </w:style>
  <w:style w:type="character" w:styleId="Odkaznapoznmkupodiarou">
    <w:name w:val="footnote reference"/>
    <w:semiHidden/>
    <w:rsid w:val="005D14DF"/>
    <w:rPr>
      <w:vertAlign w:val="superscript"/>
    </w:rPr>
  </w:style>
  <w:style w:type="paragraph" w:customStyle="1" w:styleId="Heading1CEA">
    <w:name w:val="Heading 1 (CEA)"/>
    <w:basedOn w:val="Normlny"/>
    <w:link w:val="Heading1CEAChar"/>
    <w:semiHidden/>
    <w:rsid w:val="00A9408A"/>
    <w:pPr>
      <w:autoSpaceDE w:val="0"/>
      <w:autoSpaceDN w:val="0"/>
      <w:adjustRightInd w:val="0"/>
    </w:pPr>
    <w:rPr>
      <w:rFonts w:ascii="Arial" w:hAnsi="Arial"/>
      <w:b/>
      <w:color w:val="034EA2"/>
      <w:sz w:val="32"/>
      <w:szCs w:val="32"/>
      <w:lang w:val="en-US"/>
    </w:rPr>
  </w:style>
  <w:style w:type="character" w:customStyle="1" w:styleId="Heading1CEAChar">
    <w:name w:val="Heading 1 (CEA) Char"/>
    <w:link w:val="Heading1CEA"/>
    <w:rsid w:val="00A9408A"/>
    <w:rPr>
      <w:rFonts w:ascii="Arial" w:hAnsi="Arial"/>
      <w:b/>
      <w:color w:val="034EA2"/>
      <w:sz w:val="32"/>
      <w:szCs w:val="32"/>
      <w:lang w:val="en-US" w:eastAsia="en-US" w:bidi="ar-SA"/>
    </w:rPr>
  </w:style>
  <w:style w:type="paragraph" w:customStyle="1" w:styleId="Heading2CEA">
    <w:name w:val="Heading 2 (CEA)"/>
    <w:basedOn w:val="Normlny"/>
    <w:semiHidden/>
    <w:rsid w:val="00A9408A"/>
    <w:pPr>
      <w:autoSpaceDE w:val="0"/>
      <w:autoSpaceDN w:val="0"/>
      <w:adjustRightInd w:val="0"/>
    </w:pPr>
    <w:rPr>
      <w:rFonts w:ascii="Arial" w:hAnsi="Arial"/>
      <w:sz w:val="28"/>
      <w:szCs w:val="28"/>
    </w:rPr>
  </w:style>
  <w:style w:type="character" w:styleId="Odkaznakomentr">
    <w:name w:val="annotation reference"/>
    <w:semiHidden/>
    <w:rsid w:val="00517FE2"/>
    <w:rPr>
      <w:sz w:val="16"/>
      <w:szCs w:val="16"/>
    </w:rPr>
  </w:style>
  <w:style w:type="paragraph" w:styleId="Textkomentra">
    <w:name w:val="annotation text"/>
    <w:basedOn w:val="Normlny"/>
    <w:semiHidden/>
    <w:rsid w:val="00517FE2"/>
    <w:rPr>
      <w:szCs w:val="20"/>
    </w:rPr>
  </w:style>
  <w:style w:type="paragraph" w:styleId="Predmetkomentra">
    <w:name w:val="annotation subject"/>
    <w:basedOn w:val="Textkomentra"/>
    <w:next w:val="Textkomentra"/>
    <w:semiHidden/>
    <w:rsid w:val="00517FE2"/>
    <w:rPr>
      <w:b/>
      <w:bCs/>
    </w:rPr>
  </w:style>
  <w:style w:type="paragraph" w:customStyle="1" w:styleId="CEALabel">
    <w:name w:val="CEA Label"/>
    <w:basedOn w:val="Normlny"/>
    <w:semiHidden/>
    <w:qFormat/>
    <w:rsid w:val="009654A1"/>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Footerauthorinfo">
    <w:name w:val="CEA Footer (author info)"/>
    <w:basedOn w:val="Normlny"/>
    <w:semiHidden/>
    <w:qFormat/>
    <w:rsid w:val="009654A1"/>
    <w:pPr>
      <w:autoSpaceDE w:val="0"/>
      <w:autoSpaceDN w:val="0"/>
      <w:adjustRightInd w:val="0"/>
      <w:ind w:left="546"/>
      <w:textAlignment w:val="center"/>
    </w:pPr>
    <w:rPr>
      <w:rFonts w:cs="Arial"/>
      <w:b/>
      <w:color w:val="034EA2"/>
      <w:sz w:val="16"/>
      <w:szCs w:val="16"/>
      <w:lang w:val="nl-NL"/>
    </w:rPr>
  </w:style>
  <w:style w:type="paragraph" w:customStyle="1" w:styleId="CEADocumentType">
    <w:name w:val="CEA Document Type"/>
    <w:basedOn w:val="Normlny"/>
    <w:semiHidden/>
    <w:qFormat/>
    <w:rsid w:val="009654A1"/>
    <w:pPr>
      <w:jc w:val="right"/>
    </w:pPr>
    <w:rPr>
      <w:rFonts w:cs="Arial"/>
      <w:b/>
      <w:color w:val="0032FF"/>
      <w:sz w:val="40"/>
      <w:szCs w:val="40"/>
    </w:rPr>
  </w:style>
  <w:style w:type="paragraph" w:customStyle="1" w:styleId="CEADraft">
    <w:name w:val="CEA Draft"/>
    <w:basedOn w:val="CEADocumentType"/>
    <w:semiHidden/>
    <w:qFormat/>
    <w:rsid w:val="009654A1"/>
    <w:rPr>
      <w:color w:val="034EA2"/>
      <w:sz w:val="32"/>
    </w:rPr>
  </w:style>
  <w:style w:type="paragraph" w:customStyle="1" w:styleId="CEASubjectLine">
    <w:name w:val="CEA Subject Line"/>
    <w:basedOn w:val="Normlny"/>
    <w:semiHidden/>
    <w:qFormat/>
    <w:rsid w:val="009654A1"/>
    <w:rPr>
      <w:rFonts w:cs="Arial"/>
      <w:b/>
      <w:szCs w:val="20"/>
    </w:rPr>
  </w:style>
  <w:style w:type="character" w:customStyle="1" w:styleId="CEAGraphX">
    <w:name w:val="CEA Graph X"/>
    <w:uiPriority w:val="1"/>
    <w:qFormat/>
    <w:rsid w:val="00534F69"/>
    <w:rPr>
      <w:rFonts w:ascii="Verdana" w:hAnsi="Verdana"/>
      <w:smallCaps/>
      <w:sz w:val="17"/>
    </w:rPr>
  </w:style>
  <w:style w:type="character" w:customStyle="1" w:styleId="CEAGraphTitle">
    <w:name w:val="CEA Graph Title"/>
    <w:uiPriority w:val="1"/>
    <w:qFormat/>
    <w:rsid w:val="00534F69"/>
    <w:rPr>
      <w:rFonts w:ascii="Verdana" w:hAnsi="Verdana"/>
      <w:smallCaps w:val="0"/>
      <w:sz w:val="17"/>
    </w:rPr>
  </w:style>
  <w:style w:type="paragraph" w:customStyle="1" w:styleId="CEADirectorGeneral">
    <w:name w:val="CEA Director General"/>
    <w:basedOn w:val="Normlny"/>
    <w:semiHidden/>
    <w:qFormat/>
    <w:rsid w:val="009654A1"/>
    <w:pPr>
      <w:tabs>
        <w:tab w:val="right" w:pos="360"/>
        <w:tab w:val="left" w:pos="540"/>
      </w:tabs>
      <w:autoSpaceDE w:val="0"/>
      <w:autoSpaceDN w:val="0"/>
      <w:adjustRightInd w:val="0"/>
      <w:textAlignment w:val="center"/>
    </w:pPr>
    <w:rPr>
      <w:sz w:val="22"/>
      <w:szCs w:val="22"/>
    </w:rPr>
  </w:style>
  <w:style w:type="paragraph" w:customStyle="1" w:styleId="CEAFootnote">
    <w:name w:val="CEA Footnote"/>
    <w:basedOn w:val="Normlny"/>
    <w:semiHidden/>
    <w:qFormat/>
    <w:rsid w:val="009654A1"/>
    <w:pPr>
      <w:spacing w:line="240" w:lineRule="auto"/>
    </w:pPr>
    <w:rPr>
      <w:sz w:val="16"/>
    </w:rPr>
  </w:style>
  <w:style w:type="paragraph" w:customStyle="1" w:styleId="CEABullet-Level1">
    <w:name w:val="CEA Bullet - Level 1"/>
    <w:basedOn w:val="Normlny"/>
    <w:qFormat/>
    <w:rsid w:val="00BA0174"/>
    <w:pPr>
      <w:numPr>
        <w:numId w:val="14"/>
      </w:numPr>
      <w:autoSpaceDE w:val="0"/>
      <w:autoSpaceDN w:val="0"/>
      <w:adjustRightInd w:val="0"/>
    </w:pPr>
    <w:rPr>
      <w:rFonts w:cs="Arial"/>
      <w:color w:val="000000"/>
      <w:szCs w:val="20"/>
      <w:lang w:val="fr-BE"/>
    </w:rPr>
  </w:style>
  <w:style w:type="paragraph" w:customStyle="1" w:styleId="CEABullet-Level3">
    <w:name w:val="CEA Bullet - Level 3"/>
    <w:basedOn w:val="Normlny"/>
    <w:qFormat/>
    <w:rsid w:val="00BA0174"/>
    <w:pPr>
      <w:numPr>
        <w:numId w:val="15"/>
      </w:numPr>
      <w:autoSpaceDE w:val="0"/>
      <w:autoSpaceDN w:val="0"/>
      <w:adjustRightInd w:val="0"/>
    </w:pPr>
    <w:rPr>
      <w:rFonts w:cs="Arial"/>
      <w:color w:val="000000"/>
      <w:szCs w:val="20"/>
      <w:lang w:val="fr-BE"/>
    </w:rPr>
  </w:style>
  <w:style w:type="paragraph" w:customStyle="1" w:styleId="CEABullet-Level2">
    <w:name w:val="CEA Bullet - Level 2"/>
    <w:basedOn w:val="CEABullet-Level1"/>
    <w:next w:val="CEABullet-Level3"/>
    <w:qFormat/>
    <w:rsid w:val="00BA0174"/>
    <w:pPr>
      <w:numPr>
        <w:numId w:val="16"/>
      </w:numPr>
    </w:pPr>
  </w:style>
  <w:style w:type="paragraph" w:styleId="Odsekzoznamu">
    <w:name w:val="List Paragraph"/>
    <w:basedOn w:val="Normlny"/>
    <w:uiPriority w:val="34"/>
    <w:qFormat/>
    <w:rsid w:val="00101482"/>
    <w:pPr>
      <w:ind w:left="720"/>
      <w:contextualSpacing/>
    </w:pPr>
  </w:style>
  <w:style w:type="character" w:customStyle="1" w:styleId="ZkladntextChar">
    <w:name w:val="Základný text Char"/>
    <w:link w:val="Zkladntext"/>
    <w:rsid w:val="00AC6110"/>
    <w:rPr>
      <w:rFonts w:ascii="Verdana" w:hAnsi="Verdana"/>
      <w:sz w:val="17"/>
      <w:szCs w:val="24"/>
      <w:lang w:eastAsia="en-US"/>
    </w:rPr>
  </w:style>
</w:styles>
</file>

<file path=word/webSettings.xml><?xml version="1.0" encoding="utf-8"?>
<w:webSettings xmlns:r="http://schemas.openxmlformats.org/officeDocument/2006/relationships" xmlns:w="http://schemas.openxmlformats.org/wordprocessingml/2006/main">
  <w:divs>
    <w:div w:id="120731037">
      <w:bodyDiv w:val="1"/>
      <w:marLeft w:val="0"/>
      <w:marRight w:val="0"/>
      <w:marTop w:val="0"/>
      <w:marBottom w:val="0"/>
      <w:divBdr>
        <w:top w:val="none" w:sz="0" w:space="0" w:color="auto"/>
        <w:left w:val="none" w:sz="0" w:space="0" w:color="auto"/>
        <w:bottom w:val="none" w:sz="0" w:space="0" w:color="auto"/>
        <w:right w:val="none" w:sz="0" w:space="0" w:color="auto"/>
      </w:divBdr>
    </w:div>
    <w:div w:id="382406038">
      <w:bodyDiv w:val="1"/>
      <w:marLeft w:val="0"/>
      <w:marRight w:val="0"/>
      <w:marTop w:val="0"/>
      <w:marBottom w:val="0"/>
      <w:divBdr>
        <w:top w:val="none" w:sz="0" w:space="0" w:color="auto"/>
        <w:left w:val="none" w:sz="0" w:space="0" w:color="auto"/>
        <w:bottom w:val="none" w:sz="0" w:space="0" w:color="auto"/>
        <w:right w:val="none" w:sz="0" w:space="0" w:color="auto"/>
      </w:divBdr>
    </w:div>
    <w:div w:id="797647712">
      <w:bodyDiv w:val="1"/>
      <w:marLeft w:val="0"/>
      <w:marRight w:val="0"/>
      <w:marTop w:val="0"/>
      <w:marBottom w:val="0"/>
      <w:divBdr>
        <w:top w:val="none" w:sz="0" w:space="0" w:color="auto"/>
        <w:left w:val="none" w:sz="0" w:space="0" w:color="auto"/>
        <w:bottom w:val="none" w:sz="0" w:space="0" w:color="auto"/>
        <w:right w:val="none" w:sz="0" w:space="0" w:color="auto"/>
      </w:divBdr>
    </w:div>
    <w:div w:id="1015376204">
      <w:bodyDiv w:val="1"/>
      <w:marLeft w:val="0"/>
      <w:marRight w:val="0"/>
      <w:marTop w:val="0"/>
      <w:marBottom w:val="0"/>
      <w:divBdr>
        <w:top w:val="none" w:sz="0" w:space="0" w:color="auto"/>
        <w:left w:val="none" w:sz="0" w:space="0" w:color="auto"/>
        <w:bottom w:val="none" w:sz="0" w:space="0" w:color="auto"/>
        <w:right w:val="none" w:sz="0" w:space="0" w:color="auto"/>
      </w:divBdr>
    </w:div>
    <w:div w:id="1034114090">
      <w:bodyDiv w:val="1"/>
      <w:marLeft w:val="0"/>
      <w:marRight w:val="0"/>
      <w:marTop w:val="0"/>
      <w:marBottom w:val="0"/>
      <w:divBdr>
        <w:top w:val="none" w:sz="0" w:space="0" w:color="auto"/>
        <w:left w:val="none" w:sz="0" w:space="0" w:color="auto"/>
        <w:bottom w:val="none" w:sz="0" w:space="0" w:color="auto"/>
        <w:right w:val="none" w:sz="0" w:space="0" w:color="auto"/>
      </w:divBdr>
    </w:div>
    <w:div w:id="1385594231">
      <w:bodyDiv w:val="1"/>
      <w:marLeft w:val="0"/>
      <w:marRight w:val="0"/>
      <w:marTop w:val="0"/>
      <w:marBottom w:val="0"/>
      <w:divBdr>
        <w:top w:val="none" w:sz="0" w:space="0" w:color="auto"/>
        <w:left w:val="none" w:sz="0" w:space="0" w:color="auto"/>
        <w:bottom w:val="none" w:sz="0" w:space="0" w:color="auto"/>
        <w:right w:val="none" w:sz="0" w:space="0" w:color="auto"/>
      </w:divBdr>
    </w:div>
    <w:div w:id="1420785181">
      <w:bodyDiv w:val="1"/>
      <w:marLeft w:val="0"/>
      <w:marRight w:val="0"/>
      <w:marTop w:val="0"/>
      <w:marBottom w:val="0"/>
      <w:divBdr>
        <w:top w:val="none" w:sz="0" w:space="0" w:color="auto"/>
        <w:left w:val="none" w:sz="0" w:space="0" w:color="auto"/>
        <w:bottom w:val="none" w:sz="0" w:space="0" w:color="auto"/>
        <w:right w:val="none" w:sz="0" w:space="0" w:color="auto"/>
      </w:divBdr>
    </w:div>
    <w:div w:id="1525513487">
      <w:bodyDiv w:val="1"/>
      <w:marLeft w:val="0"/>
      <w:marRight w:val="0"/>
      <w:marTop w:val="0"/>
      <w:marBottom w:val="0"/>
      <w:divBdr>
        <w:top w:val="none" w:sz="0" w:space="0" w:color="auto"/>
        <w:left w:val="none" w:sz="0" w:space="0" w:color="auto"/>
        <w:bottom w:val="none" w:sz="0" w:space="0" w:color="auto"/>
        <w:right w:val="none" w:sz="0" w:space="0" w:color="auto"/>
      </w:divBdr>
    </w:div>
    <w:div w:id="1623877903">
      <w:bodyDiv w:val="1"/>
      <w:marLeft w:val="0"/>
      <w:marRight w:val="0"/>
      <w:marTop w:val="0"/>
      <w:marBottom w:val="0"/>
      <w:divBdr>
        <w:top w:val="none" w:sz="0" w:space="0" w:color="auto"/>
        <w:left w:val="none" w:sz="0" w:space="0" w:color="auto"/>
        <w:bottom w:val="none" w:sz="0" w:space="0" w:color="auto"/>
        <w:right w:val="none" w:sz="0" w:space="0" w:color="auto"/>
      </w:divBdr>
    </w:div>
    <w:div w:id="1727871531">
      <w:bodyDiv w:val="1"/>
      <w:marLeft w:val="0"/>
      <w:marRight w:val="0"/>
      <w:marTop w:val="0"/>
      <w:marBottom w:val="0"/>
      <w:divBdr>
        <w:top w:val="none" w:sz="0" w:space="0" w:color="auto"/>
        <w:left w:val="none" w:sz="0" w:space="0" w:color="auto"/>
        <w:bottom w:val="none" w:sz="0" w:space="0" w:color="auto"/>
        <w:right w:val="none" w:sz="0" w:space="0" w:color="auto"/>
      </w:divBdr>
    </w:div>
    <w:div w:id="1909916705">
      <w:bodyDiv w:val="1"/>
      <w:marLeft w:val="0"/>
      <w:marRight w:val="0"/>
      <w:marTop w:val="0"/>
      <w:marBottom w:val="0"/>
      <w:divBdr>
        <w:top w:val="none" w:sz="0" w:space="0" w:color="auto"/>
        <w:left w:val="none" w:sz="0" w:space="0" w:color="auto"/>
        <w:bottom w:val="none" w:sz="0" w:space="0" w:color="auto"/>
        <w:right w:val="none" w:sz="0" w:space="0" w:color="auto"/>
      </w:divBdr>
    </w:div>
    <w:div w:id="198661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_iDocLogicxConfiguration\Standard%20documents\CEA%20Blank.do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EEC1E-B26B-4A57-9BDA-F18A0D5F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CEA Blank</Template>
  <TotalTime>1</TotalTime>
  <Pages>4</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CEA Insurers of Europe</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Mihai</dc:creator>
  <cp:lastModifiedBy>kratka</cp:lastModifiedBy>
  <cp:revision>2</cp:revision>
  <cp:lastPrinted>2006-08-01T07:58:00Z</cp:lastPrinted>
  <dcterms:created xsi:type="dcterms:W3CDTF">2014-03-20T13:16:00Z</dcterms:created>
  <dcterms:modified xsi:type="dcterms:W3CDTF">2014-03-20T13:16:00Z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cristinam</vt:lpwstr>
  </property>
  <property fmtid="{D5CDD505-2E9C-101B-9397-08002B2CF9AE}" pid="3" name="Language">
    <vt:lpwstr>English (U.K.)</vt:lpwstr>
  </property>
  <property fmtid="{D5CDD505-2E9C-101B-9397-08002B2CF9AE}" pid="4" name="idxObjects">
    <vt:lpwstr>1</vt:lpwstr>
  </property>
  <property fmtid="{D5CDD505-2E9C-101B-9397-08002B2CF9AE}" pid="5" name="idxName1">
    <vt:lpwstr>Blank document</vt:lpwstr>
  </property>
  <property fmtid="{D5CDD505-2E9C-101B-9397-08002B2CF9AE}" pid="6" name="idxProject1">
    <vt:lpwstr>CEA</vt:lpwstr>
  </property>
</Properties>
</file>