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555D95" w14:textId="77777777" w:rsidR="00314A79" w:rsidRDefault="00314A79" w:rsidP="00EF1DED">
      <w:pPr>
        <w:jc w:val="both"/>
        <w:rPr>
          <w:rFonts w:asciiTheme="minorHAnsi" w:hAnsiTheme="minorHAnsi" w:cstheme="minorBidi"/>
          <w:color w:val="1F497D" w:themeColor="dark2"/>
        </w:rPr>
      </w:pPr>
      <w:r>
        <w:rPr>
          <w:rFonts w:asciiTheme="minorHAnsi" w:hAnsiTheme="minorHAnsi" w:cstheme="minorBidi"/>
          <w:color w:val="1F497D" w:themeColor="dark2"/>
        </w:rPr>
        <w:t>This response only focusses on Q7.1 and Q7.2 with regard to the granularity of the existing standard formula cat scenarios and the possible simplification of these scenarios.</w:t>
      </w:r>
    </w:p>
    <w:p w14:paraId="35555D96" w14:textId="77777777" w:rsidR="00314A79" w:rsidRDefault="00314A79" w:rsidP="00EF1DED">
      <w:pPr>
        <w:jc w:val="both"/>
        <w:rPr>
          <w:rFonts w:asciiTheme="minorHAnsi" w:hAnsiTheme="minorHAnsi" w:cstheme="minorBidi"/>
          <w:color w:val="1F497D" w:themeColor="dark2"/>
        </w:rPr>
      </w:pPr>
    </w:p>
    <w:p w14:paraId="35555D97" w14:textId="77777777" w:rsidR="00314A79" w:rsidRDefault="00314A79" w:rsidP="00EF1DED">
      <w:pPr>
        <w:jc w:val="both"/>
        <w:rPr>
          <w:rFonts w:asciiTheme="minorHAnsi" w:hAnsiTheme="minorHAnsi" w:cstheme="minorBidi"/>
          <w:color w:val="1F497D" w:themeColor="dark2"/>
        </w:rPr>
      </w:pPr>
      <w:r>
        <w:rPr>
          <w:rFonts w:asciiTheme="minorHAnsi" w:hAnsiTheme="minorHAnsi" w:cstheme="minorBidi"/>
          <w:color w:val="1F497D" w:themeColor="dark2"/>
        </w:rPr>
        <w:t>During the first physical meeting the group generally felt that most entities had already put processes in place to capture the data and compute the Gross Cat Risk Charge and that EIOPA should not respond to the request for simplification by making too many major changes. In addition there was also a recognition that for some the SF for NatCat  is already (too?) simplified and does not for example reflect differences in line of business (Residential, Commercial etc.) or coverage (Buildings, Contents etc.).</w:t>
      </w:r>
    </w:p>
    <w:p w14:paraId="35555D98" w14:textId="77777777" w:rsidR="00314A79" w:rsidRDefault="00314A79" w:rsidP="00EF1DED">
      <w:pPr>
        <w:jc w:val="both"/>
        <w:rPr>
          <w:rFonts w:asciiTheme="minorHAnsi" w:hAnsiTheme="minorHAnsi" w:cstheme="minorBidi"/>
          <w:color w:val="1F497D" w:themeColor="dark2"/>
        </w:rPr>
      </w:pPr>
    </w:p>
    <w:p w14:paraId="35555D99" w14:textId="77777777" w:rsidR="00314A79" w:rsidRDefault="00314A79" w:rsidP="00EF1DED">
      <w:pPr>
        <w:jc w:val="both"/>
        <w:rPr>
          <w:rFonts w:asciiTheme="minorHAnsi" w:hAnsiTheme="minorHAnsi" w:cstheme="minorBidi"/>
          <w:color w:val="1F497D" w:themeColor="dark2"/>
        </w:rPr>
      </w:pPr>
      <w:r>
        <w:rPr>
          <w:rFonts w:asciiTheme="minorHAnsi" w:hAnsiTheme="minorHAnsi" w:cstheme="minorBidi"/>
          <w:color w:val="1F497D" w:themeColor="dark2"/>
        </w:rPr>
        <w:t>However there was an understanding that EIOPA and supervisors should at least consider offering a simplified version of the NatCat SF for companies that could demonstrate that cat risk was not overly material to them (relative to other risks?).</w:t>
      </w:r>
    </w:p>
    <w:p w14:paraId="35555D9A" w14:textId="77777777" w:rsidR="00314A79" w:rsidRDefault="00314A79" w:rsidP="00EF1DED">
      <w:pPr>
        <w:jc w:val="both"/>
        <w:rPr>
          <w:rFonts w:asciiTheme="minorHAnsi" w:hAnsiTheme="minorHAnsi" w:cstheme="minorBidi"/>
          <w:color w:val="1F497D" w:themeColor="dark2"/>
        </w:rPr>
      </w:pPr>
    </w:p>
    <w:p w14:paraId="35555D9B" w14:textId="77777777" w:rsidR="00314A79" w:rsidRPr="00314A79" w:rsidRDefault="00314A79" w:rsidP="00EF1DED">
      <w:pPr>
        <w:jc w:val="both"/>
        <w:rPr>
          <w:rFonts w:asciiTheme="minorHAnsi" w:hAnsiTheme="minorHAnsi" w:cstheme="minorBidi"/>
          <w:color w:val="1F497D" w:themeColor="dark2"/>
          <w:u w:val="single"/>
        </w:rPr>
      </w:pPr>
      <w:r w:rsidRPr="00314A79">
        <w:rPr>
          <w:rFonts w:asciiTheme="minorHAnsi" w:hAnsiTheme="minorHAnsi" w:cstheme="minorBidi"/>
          <w:color w:val="1F497D" w:themeColor="dark2"/>
          <w:u w:val="single"/>
        </w:rPr>
        <w:t>Suggestions for Simplification</w:t>
      </w:r>
    </w:p>
    <w:p w14:paraId="35555D9C" w14:textId="77777777" w:rsidR="00314A79" w:rsidRDefault="00314A79" w:rsidP="00EF1DED">
      <w:pPr>
        <w:jc w:val="both"/>
        <w:rPr>
          <w:rFonts w:asciiTheme="minorHAnsi" w:hAnsiTheme="minorHAnsi" w:cstheme="minorBidi"/>
          <w:color w:val="1F497D" w:themeColor="dark2"/>
        </w:rPr>
      </w:pPr>
    </w:p>
    <w:p w14:paraId="35555D9D" w14:textId="77777777" w:rsidR="00314A79" w:rsidRDefault="00314A79" w:rsidP="00EF1DED">
      <w:pPr>
        <w:jc w:val="both"/>
        <w:rPr>
          <w:rFonts w:asciiTheme="minorHAnsi" w:hAnsiTheme="minorHAnsi" w:cstheme="minorBidi"/>
          <w:color w:val="1F497D" w:themeColor="dark2"/>
        </w:rPr>
      </w:pPr>
      <w:r>
        <w:rPr>
          <w:rFonts w:asciiTheme="minorHAnsi" w:hAnsiTheme="minorHAnsi" w:cstheme="minorBidi"/>
          <w:color w:val="1F497D" w:themeColor="dark2"/>
        </w:rPr>
        <w:t>The first idea (which was in the notes circulated prior to the first physical meeting) was to look at grouping some Cresta zones.  The proposal suggested that when doing this the maximum Cresta relativity of the grouped zones would be taken to ensure that any new Cat charge was on the prudent side (higher than the existing). This question of whether a simplified version should or should not be more prudent than the existing requires clarification.</w:t>
      </w:r>
    </w:p>
    <w:p w14:paraId="35555D9E" w14:textId="77777777" w:rsidR="00314A79" w:rsidRDefault="00314A79" w:rsidP="00EF1DED">
      <w:pPr>
        <w:jc w:val="both"/>
        <w:rPr>
          <w:rFonts w:asciiTheme="minorHAnsi" w:hAnsiTheme="minorHAnsi" w:cstheme="minorBidi"/>
          <w:color w:val="1F497D" w:themeColor="dark2"/>
        </w:rPr>
      </w:pPr>
    </w:p>
    <w:p w14:paraId="35555D9F" w14:textId="77777777" w:rsidR="00314A79" w:rsidRDefault="00314A79" w:rsidP="00EF1DED">
      <w:pPr>
        <w:jc w:val="both"/>
        <w:rPr>
          <w:rFonts w:asciiTheme="minorHAnsi" w:hAnsiTheme="minorHAnsi" w:cstheme="minorBidi"/>
          <w:color w:val="1F497D" w:themeColor="dark2"/>
        </w:rPr>
      </w:pPr>
      <w:r>
        <w:rPr>
          <w:rFonts w:asciiTheme="minorHAnsi" w:hAnsiTheme="minorHAnsi" w:cstheme="minorBidi"/>
          <w:color w:val="1F497D" w:themeColor="dark2"/>
        </w:rPr>
        <w:t>However it was generally felt that the existing zones already matched administrative or postcode based boundaries and that grouping some zones (for example to reflect hazard) to reduce the number would not actually make data collection and data entry any easier</w:t>
      </w:r>
      <w:r w:rsidR="00E730B2">
        <w:rPr>
          <w:rFonts w:asciiTheme="minorHAnsi" w:hAnsiTheme="minorHAnsi" w:cstheme="minorBidi"/>
          <w:color w:val="1F497D" w:themeColor="dark2"/>
        </w:rPr>
        <w:t xml:space="preserve"> for entities</w:t>
      </w:r>
      <w:r>
        <w:rPr>
          <w:rFonts w:asciiTheme="minorHAnsi" w:hAnsiTheme="minorHAnsi" w:cstheme="minorBidi"/>
          <w:color w:val="1F497D" w:themeColor="dark2"/>
        </w:rPr>
        <w:t xml:space="preserve">. Most entities would </w:t>
      </w:r>
      <w:r w:rsidR="00E730B2">
        <w:rPr>
          <w:rFonts w:asciiTheme="minorHAnsi" w:hAnsiTheme="minorHAnsi" w:cstheme="minorBidi"/>
          <w:color w:val="1F497D" w:themeColor="dark2"/>
        </w:rPr>
        <w:t xml:space="preserve">still </w:t>
      </w:r>
      <w:r>
        <w:rPr>
          <w:rFonts w:asciiTheme="minorHAnsi" w:hAnsiTheme="minorHAnsi" w:cstheme="minorBidi"/>
          <w:color w:val="1F497D" w:themeColor="dark2"/>
        </w:rPr>
        <w:t>capture the aggregate exposure at Cresta and</w:t>
      </w:r>
      <w:r w:rsidR="00E730B2">
        <w:rPr>
          <w:rFonts w:asciiTheme="minorHAnsi" w:hAnsiTheme="minorHAnsi" w:cstheme="minorBidi"/>
          <w:color w:val="1F497D" w:themeColor="dark2"/>
        </w:rPr>
        <w:t xml:space="preserve"> would </w:t>
      </w:r>
      <w:r>
        <w:rPr>
          <w:rFonts w:asciiTheme="minorHAnsi" w:hAnsiTheme="minorHAnsi" w:cstheme="minorBidi"/>
          <w:color w:val="1F497D" w:themeColor="dark2"/>
        </w:rPr>
        <w:t xml:space="preserve"> then have to group themselves </w:t>
      </w:r>
      <w:r w:rsidR="00E730B2">
        <w:rPr>
          <w:rFonts w:asciiTheme="minorHAnsi" w:hAnsiTheme="minorHAnsi" w:cstheme="minorBidi"/>
          <w:color w:val="1F497D" w:themeColor="dark2"/>
        </w:rPr>
        <w:t xml:space="preserve">to use the new zones, </w:t>
      </w:r>
      <w:r>
        <w:rPr>
          <w:rFonts w:asciiTheme="minorHAnsi" w:hAnsiTheme="minorHAnsi" w:cstheme="minorBidi"/>
          <w:color w:val="1F497D" w:themeColor="dark2"/>
        </w:rPr>
        <w:t>so this really does not make any sense (at least to me).</w:t>
      </w:r>
    </w:p>
    <w:p w14:paraId="35555DA0" w14:textId="77777777" w:rsidR="00314A79" w:rsidRDefault="00314A79" w:rsidP="00EF1DED">
      <w:pPr>
        <w:jc w:val="both"/>
        <w:rPr>
          <w:rFonts w:asciiTheme="minorHAnsi" w:hAnsiTheme="minorHAnsi" w:cstheme="minorBidi"/>
          <w:color w:val="1F497D" w:themeColor="dark2"/>
        </w:rPr>
      </w:pPr>
    </w:p>
    <w:p w14:paraId="35555DA1" w14:textId="77777777" w:rsidR="00314A79" w:rsidRDefault="00314A79" w:rsidP="00EF1DED">
      <w:pPr>
        <w:jc w:val="both"/>
        <w:rPr>
          <w:rFonts w:asciiTheme="minorHAnsi" w:hAnsiTheme="minorHAnsi" w:cstheme="minorBidi"/>
          <w:color w:val="1F497D" w:themeColor="dark2"/>
        </w:rPr>
      </w:pPr>
      <w:r>
        <w:rPr>
          <w:rFonts w:asciiTheme="minorHAnsi" w:hAnsiTheme="minorHAnsi" w:cstheme="minorBidi"/>
          <w:color w:val="1F497D" w:themeColor="dark2"/>
        </w:rPr>
        <w:t>So the suggestion was made that if we are to start grouping we shoul</w:t>
      </w:r>
      <w:r w:rsidR="00E730B2">
        <w:rPr>
          <w:rFonts w:asciiTheme="minorHAnsi" w:hAnsiTheme="minorHAnsi" w:cstheme="minorBidi"/>
          <w:color w:val="1F497D" w:themeColor="dark2"/>
        </w:rPr>
        <w:t>d group all the way to Country-l</w:t>
      </w:r>
      <w:r>
        <w:rPr>
          <w:rFonts w:asciiTheme="minorHAnsi" w:hAnsiTheme="minorHAnsi" w:cstheme="minorBidi"/>
          <w:color w:val="1F497D" w:themeColor="dark2"/>
        </w:rPr>
        <w:t xml:space="preserve">evel TIV and apply a factor at this level. This would </w:t>
      </w:r>
      <w:r w:rsidR="00E730B2">
        <w:rPr>
          <w:rFonts w:asciiTheme="minorHAnsi" w:hAnsiTheme="minorHAnsi" w:cstheme="minorBidi"/>
          <w:color w:val="1F497D" w:themeColor="dark2"/>
        </w:rPr>
        <w:t>be genuinely simply. Entities would only need to know their total country exposure and this would avoid</w:t>
      </w:r>
      <w:r>
        <w:rPr>
          <w:rFonts w:asciiTheme="minorHAnsi" w:hAnsiTheme="minorHAnsi" w:cstheme="minorBidi"/>
          <w:color w:val="1F497D" w:themeColor="dark2"/>
        </w:rPr>
        <w:t xml:space="preserve"> any </w:t>
      </w:r>
      <w:r w:rsidR="00E730B2">
        <w:rPr>
          <w:rFonts w:asciiTheme="minorHAnsi" w:hAnsiTheme="minorHAnsi" w:cstheme="minorBidi"/>
          <w:color w:val="1F497D" w:themeColor="dark2"/>
        </w:rPr>
        <w:t xml:space="preserve">use of </w:t>
      </w:r>
      <w:r>
        <w:rPr>
          <w:rFonts w:asciiTheme="minorHAnsi" w:hAnsiTheme="minorHAnsi" w:cstheme="minorBidi"/>
          <w:color w:val="1F497D" w:themeColor="dark2"/>
        </w:rPr>
        <w:t>Cresta relativities and of the aggregation matrix.</w:t>
      </w:r>
    </w:p>
    <w:p w14:paraId="35555DA2" w14:textId="77777777" w:rsidR="00314A79" w:rsidRDefault="00314A79" w:rsidP="00EF1DED">
      <w:pPr>
        <w:jc w:val="both"/>
        <w:rPr>
          <w:rFonts w:asciiTheme="minorHAnsi" w:hAnsiTheme="minorHAnsi" w:cstheme="minorBidi"/>
          <w:color w:val="1F497D" w:themeColor="dark2"/>
        </w:rPr>
      </w:pPr>
    </w:p>
    <w:p w14:paraId="35555DA3" w14:textId="77777777" w:rsidR="00314A79" w:rsidRDefault="00314A79" w:rsidP="00EF1DED">
      <w:pPr>
        <w:jc w:val="both"/>
        <w:rPr>
          <w:rFonts w:asciiTheme="minorHAnsi" w:hAnsiTheme="minorHAnsi" w:cstheme="minorBidi"/>
          <w:color w:val="1F497D" w:themeColor="dark2"/>
        </w:rPr>
      </w:pPr>
      <w:r>
        <w:rPr>
          <w:rFonts w:asciiTheme="minorHAnsi" w:hAnsiTheme="minorHAnsi" w:cstheme="minorBidi"/>
          <w:color w:val="1F497D" w:themeColor="dark2"/>
        </w:rPr>
        <w:t xml:space="preserve">A second suggestion </w:t>
      </w:r>
      <w:r w:rsidR="00E730B2">
        <w:rPr>
          <w:rFonts w:asciiTheme="minorHAnsi" w:hAnsiTheme="minorHAnsi" w:cstheme="minorBidi"/>
          <w:color w:val="1F497D" w:themeColor="dark2"/>
        </w:rPr>
        <w:t xml:space="preserve">to allow entities to enter only country level TIV </w:t>
      </w:r>
      <w:r>
        <w:rPr>
          <w:rFonts w:asciiTheme="minorHAnsi" w:hAnsiTheme="minorHAnsi" w:cstheme="minorBidi"/>
          <w:color w:val="1F497D" w:themeColor="dark2"/>
        </w:rPr>
        <w:t xml:space="preserve">was put forward </w:t>
      </w:r>
      <w:r w:rsidR="00E730B2">
        <w:rPr>
          <w:rFonts w:asciiTheme="minorHAnsi" w:hAnsiTheme="minorHAnsi" w:cstheme="minorBidi"/>
          <w:color w:val="1F497D" w:themeColor="dark2"/>
        </w:rPr>
        <w:t xml:space="preserve">which involves providing a </w:t>
      </w:r>
      <w:r>
        <w:rPr>
          <w:rFonts w:asciiTheme="minorHAnsi" w:hAnsiTheme="minorHAnsi" w:cstheme="minorBidi"/>
          <w:color w:val="1F497D" w:themeColor="dark2"/>
        </w:rPr>
        <w:t>way to allow entities to disaggregate their country-level TIV.</w:t>
      </w:r>
      <w:r w:rsidR="00E730B2">
        <w:rPr>
          <w:rFonts w:asciiTheme="minorHAnsi" w:hAnsiTheme="minorHAnsi" w:cstheme="minorBidi"/>
          <w:color w:val="1F497D" w:themeColor="dark2"/>
        </w:rPr>
        <w:t xml:space="preserve"> This is discussed in Option 2 below.</w:t>
      </w:r>
    </w:p>
    <w:p w14:paraId="35555DA4" w14:textId="77777777" w:rsidR="00314A79" w:rsidRDefault="00314A79" w:rsidP="00EF1DED">
      <w:pPr>
        <w:jc w:val="both"/>
        <w:rPr>
          <w:rFonts w:asciiTheme="minorHAnsi" w:hAnsiTheme="minorHAnsi" w:cstheme="minorBidi"/>
          <w:color w:val="1F497D" w:themeColor="dark2"/>
        </w:rPr>
      </w:pPr>
    </w:p>
    <w:p w14:paraId="35555DA5" w14:textId="77777777" w:rsidR="00314A79" w:rsidRDefault="00314A79" w:rsidP="00EF1DED">
      <w:pPr>
        <w:jc w:val="both"/>
        <w:rPr>
          <w:rFonts w:asciiTheme="minorHAnsi" w:hAnsiTheme="minorHAnsi" w:cstheme="minorBidi"/>
          <w:color w:val="1F497D" w:themeColor="dark2"/>
        </w:rPr>
      </w:pPr>
    </w:p>
    <w:p w14:paraId="35555DA6" w14:textId="77777777" w:rsidR="00314A79" w:rsidRDefault="00314A79" w:rsidP="00EF1DED">
      <w:pPr>
        <w:pStyle w:val="ListParagraph"/>
        <w:numPr>
          <w:ilvl w:val="0"/>
          <w:numId w:val="1"/>
        </w:numPr>
        <w:jc w:val="both"/>
        <w:rPr>
          <w:rFonts w:asciiTheme="minorHAnsi" w:hAnsiTheme="minorHAnsi" w:cstheme="minorBidi"/>
          <w:color w:val="1F497D" w:themeColor="dark2"/>
          <w:u w:val="single"/>
        </w:rPr>
      </w:pPr>
      <w:r>
        <w:rPr>
          <w:rFonts w:asciiTheme="minorHAnsi" w:hAnsiTheme="minorHAnsi" w:cstheme="minorBidi"/>
          <w:color w:val="1F497D" w:themeColor="dark2"/>
          <w:u w:val="single"/>
        </w:rPr>
        <w:t>Applying a factor to Country Level TIV</w:t>
      </w:r>
    </w:p>
    <w:p w14:paraId="35555DA7" w14:textId="77777777" w:rsidR="00314A79" w:rsidRDefault="00314A79" w:rsidP="00EF1DED">
      <w:pPr>
        <w:jc w:val="both"/>
        <w:rPr>
          <w:rFonts w:asciiTheme="minorHAnsi" w:hAnsiTheme="minorHAnsi" w:cstheme="minorBidi"/>
          <w:color w:val="1F497D" w:themeColor="dark2"/>
        </w:rPr>
      </w:pPr>
    </w:p>
    <w:p w14:paraId="35555DA8" w14:textId="77777777" w:rsidR="00314A79" w:rsidRDefault="00314A79" w:rsidP="00EF1DED">
      <w:pPr>
        <w:jc w:val="both"/>
        <w:rPr>
          <w:rFonts w:asciiTheme="minorHAnsi" w:hAnsiTheme="minorHAnsi" w:cstheme="minorBidi"/>
          <w:color w:val="1F497D" w:themeColor="dark2"/>
        </w:rPr>
      </w:pPr>
      <w:r>
        <w:rPr>
          <w:rFonts w:asciiTheme="minorHAnsi" w:hAnsiTheme="minorHAnsi" w:cstheme="minorBidi"/>
          <w:color w:val="1F497D" w:themeColor="dark2"/>
        </w:rPr>
        <w:t xml:space="preserve">Firstly EIOPA will need to decide whether they wish to allow companies using this simplification to use the current market factor (Q) or to use a factor with some prudence built-in. </w:t>
      </w:r>
      <w:r w:rsidR="00E730B2">
        <w:rPr>
          <w:rFonts w:asciiTheme="minorHAnsi" w:hAnsiTheme="minorHAnsi" w:cstheme="minorBidi"/>
          <w:color w:val="1F497D" w:themeColor="dark2"/>
        </w:rPr>
        <w:t xml:space="preserve">It could be argued that </w:t>
      </w:r>
      <w:r>
        <w:rPr>
          <w:rFonts w:asciiTheme="minorHAnsi" w:hAnsiTheme="minorHAnsi" w:cstheme="minorBidi"/>
          <w:color w:val="1F497D" w:themeColor="dark2"/>
        </w:rPr>
        <w:t xml:space="preserve">if entities can use the market </w:t>
      </w:r>
      <w:r w:rsidR="00E730B2">
        <w:rPr>
          <w:rFonts w:asciiTheme="minorHAnsi" w:hAnsiTheme="minorHAnsi" w:cstheme="minorBidi"/>
          <w:color w:val="1F497D" w:themeColor="dark2"/>
        </w:rPr>
        <w:t>(</w:t>
      </w:r>
      <w:r>
        <w:rPr>
          <w:rFonts w:asciiTheme="minorHAnsi" w:hAnsiTheme="minorHAnsi" w:cstheme="minorBidi"/>
          <w:color w:val="1F497D" w:themeColor="dark2"/>
        </w:rPr>
        <w:t>average</w:t>
      </w:r>
      <w:r w:rsidR="00E730B2">
        <w:rPr>
          <w:rFonts w:asciiTheme="minorHAnsi" w:hAnsiTheme="minorHAnsi" w:cstheme="minorBidi"/>
          <w:color w:val="1F497D" w:themeColor="dark2"/>
        </w:rPr>
        <w:t>)</w:t>
      </w:r>
      <w:r>
        <w:rPr>
          <w:rFonts w:asciiTheme="minorHAnsi" w:hAnsiTheme="minorHAnsi" w:cstheme="minorBidi"/>
          <w:color w:val="1F497D" w:themeColor="dark2"/>
        </w:rPr>
        <w:t xml:space="preserve"> factor then there would be limited incentive to use the existing formula. If </w:t>
      </w:r>
      <w:r w:rsidR="00E730B2">
        <w:rPr>
          <w:rFonts w:asciiTheme="minorHAnsi" w:hAnsiTheme="minorHAnsi" w:cstheme="minorBidi"/>
          <w:color w:val="1F497D" w:themeColor="dark2"/>
        </w:rPr>
        <w:t>an entity can just enter Country-l</w:t>
      </w:r>
      <w:r>
        <w:rPr>
          <w:rFonts w:asciiTheme="minorHAnsi" w:hAnsiTheme="minorHAnsi" w:cstheme="minorBidi"/>
          <w:color w:val="1F497D" w:themeColor="dark2"/>
        </w:rPr>
        <w:t xml:space="preserve">evel </w:t>
      </w:r>
      <w:r w:rsidR="00E730B2">
        <w:rPr>
          <w:rFonts w:asciiTheme="minorHAnsi" w:hAnsiTheme="minorHAnsi" w:cstheme="minorBidi"/>
          <w:color w:val="1F497D" w:themeColor="dark2"/>
        </w:rPr>
        <w:t xml:space="preserve">exposure and get </w:t>
      </w:r>
      <w:r>
        <w:rPr>
          <w:rFonts w:asciiTheme="minorHAnsi" w:hAnsiTheme="minorHAnsi" w:cstheme="minorBidi"/>
          <w:color w:val="1F497D" w:themeColor="dark2"/>
        </w:rPr>
        <w:t xml:space="preserve">a similar </w:t>
      </w:r>
      <w:r w:rsidR="00E730B2">
        <w:rPr>
          <w:rFonts w:asciiTheme="minorHAnsi" w:hAnsiTheme="minorHAnsi" w:cstheme="minorBidi"/>
          <w:color w:val="1F497D" w:themeColor="dark2"/>
        </w:rPr>
        <w:t xml:space="preserve">cat </w:t>
      </w:r>
      <w:r>
        <w:rPr>
          <w:rFonts w:asciiTheme="minorHAnsi" w:hAnsiTheme="minorHAnsi" w:cstheme="minorBidi"/>
          <w:color w:val="1F497D" w:themeColor="dark2"/>
        </w:rPr>
        <w:t xml:space="preserve">charge to using Cresta level then why not? But if this option is </w:t>
      </w:r>
      <w:r w:rsidR="00E730B2">
        <w:rPr>
          <w:rFonts w:asciiTheme="minorHAnsi" w:hAnsiTheme="minorHAnsi" w:cstheme="minorBidi"/>
          <w:color w:val="1F497D" w:themeColor="dark2"/>
        </w:rPr>
        <w:t xml:space="preserve">only allowed for </w:t>
      </w:r>
      <w:r>
        <w:rPr>
          <w:rFonts w:asciiTheme="minorHAnsi" w:hAnsiTheme="minorHAnsi" w:cstheme="minorBidi"/>
          <w:color w:val="1F497D" w:themeColor="dark2"/>
        </w:rPr>
        <w:t>companies with limited cat risk then do supervisors need to introduce prudence</w:t>
      </w:r>
      <w:r w:rsidR="00E730B2">
        <w:rPr>
          <w:rFonts w:asciiTheme="minorHAnsi" w:hAnsiTheme="minorHAnsi" w:cstheme="minorBidi"/>
          <w:color w:val="1F497D" w:themeColor="dark2"/>
        </w:rPr>
        <w:t xml:space="preserve"> in this option</w:t>
      </w:r>
      <w:r>
        <w:rPr>
          <w:rFonts w:asciiTheme="minorHAnsi" w:hAnsiTheme="minorHAnsi" w:cstheme="minorBidi"/>
          <w:color w:val="1F497D" w:themeColor="dark2"/>
        </w:rPr>
        <w:t xml:space="preserve">? </w:t>
      </w:r>
    </w:p>
    <w:p w14:paraId="35555DA9" w14:textId="77777777" w:rsidR="00314A79" w:rsidRDefault="00314A79" w:rsidP="00EF1DED">
      <w:pPr>
        <w:jc w:val="both"/>
        <w:rPr>
          <w:rFonts w:asciiTheme="minorHAnsi" w:hAnsiTheme="minorHAnsi" w:cstheme="minorBidi"/>
          <w:color w:val="1F497D" w:themeColor="dark2"/>
        </w:rPr>
      </w:pPr>
    </w:p>
    <w:p w14:paraId="35555DAA" w14:textId="77777777" w:rsidR="00314A79" w:rsidRDefault="00E730B2" w:rsidP="00EF1DED">
      <w:pPr>
        <w:jc w:val="both"/>
        <w:rPr>
          <w:rFonts w:asciiTheme="minorHAnsi" w:hAnsiTheme="minorHAnsi" w:cstheme="minorBidi"/>
          <w:color w:val="1F497D" w:themeColor="dark2"/>
        </w:rPr>
      </w:pPr>
      <w:r>
        <w:rPr>
          <w:rFonts w:asciiTheme="minorHAnsi" w:hAnsiTheme="minorHAnsi" w:cstheme="minorBidi"/>
          <w:color w:val="1F497D" w:themeColor="dark2"/>
        </w:rPr>
        <w:t>I</w:t>
      </w:r>
      <w:r w:rsidR="00314A79">
        <w:rPr>
          <w:rFonts w:asciiTheme="minorHAnsi" w:hAnsiTheme="minorHAnsi" w:cstheme="minorBidi"/>
          <w:color w:val="1F497D" w:themeColor="dark2"/>
        </w:rPr>
        <w:t>f EIOPA does wish to introduce some prudence in this option we said we would need to find an ‘automatic’ mechanism that could be applied to all the existing scenarios to derive these new factors</w:t>
      </w:r>
      <w:r>
        <w:rPr>
          <w:rFonts w:asciiTheme="minorHAnsi" w:hAnsiTheme="minorHAnsi" w:cstheme="minorBidi"/>
          <w:color w:val="1F497D" w:themeColor="dark2"/>
        </w:rPr>
        <w:t xml:space="preserve"> for country level TIV.</w:t>
      </w:r>
    </w:p>
    <w:p w14:paraId="35555DAB" w14:textId="77777777" w:rsidR="00314A79" w:rsidRDefault="00314A79" w:rsidP="00EF1DED">
      <w:pPr>
        <w:jc w:val="both"/>
        <w:rPr>
          <w:rFonts w:asciiTheme="minorHAnsi" w:hAnsiTheme="minorHAnsi" w:cstheme="minorBidi"/>
          <w:color w:val="1F497D" w:themeColor="dark2"/>
        </w:rPr>
      </w:pPr>
    </w:p>
    <w:p w14:paraId="35555DAC" w14:textId="77777777" w:rsidR="00314A79" w:rsidRDefault="00314A79" w:rsidP="00EF1DED">
      <w:pPr>
        <w:jc w:val="both"/>
        <w:rPr>
          <w:rFonts w:asciiTheme="minorHAnsi" w:hAnsiTheme="minorHAnsi" w:cstheme="minorBidi"/>
          <w:color w:val="1F497D" w:themeColor="dark2"/>
        </w:rPr>
      </w:pPr>
      <w:r>
        <w:rPr>
          <w:rFonts w:asciiTheme="minorHAnsi" w:hAnsiTheme="minorHAnsi" w:cstheme="minorBidi"/>
          <w:color w:val="1F497D" w:themeColor="dark2"/>
        </w:rPr>
        <w:lastRenderedPageBreak/>
        <w:t xml:space="preserve">The existing spreadsheets are meant to be calibrated so that </w:t>
      </w:r>
      <w:r>
        <w:rPr>
          <w:rFonts w:asciiTheme="minorHAnsi" w:hAnsiTheme="minorHAnsi" w:cstheme="minorBidi"/>
          <w:color w:val="1F497D" w:themeColor="dark2"/>
          <w:u w:val="single"/>
        </w:rPr>
        <w:t>if</w:t>
      </w:r>
      <w:r>
        <w:rPr>
          <w:rFonts w:asciiTheme="minorHAnsi" w:hAnsiTheme="minorHAnsi" w:cstheme="minorBidi"/>
          <w:color w:val="1F497D" w:themeColor="dark2"/>
        </w:rPr>
        <w:t xml:space="preserve"> a company has a typical distribution of exposure by Cresta then they will get a Cat Charge close to the market factor. This does not always happen (Greece EQ was an example) but this is my understanding of how the original worksheets were calibrated.</w:t>
      </w:r>
    </w:p>
    <w:p w14:paraId="35555DAD" w14:textId="77777777" w:rsidR="00314A79" w:rsidRDefault="00314A79" w:rsidP="00EF1DED">
      <w:pPr>
        <w:jc w:val="both"/>
        <w:rPr>
          <w:rFonts w:asciiTheme="minorHAnsi" w:hAnsiTheme="minorHAnsi" w:cstheme="minorBidi"/>
          <w:color w:val="1F497D" w:themeColor="dark2"/>
        </w:rPr>
      </w:pPr>
    </w:p>
    <w:p w14:paraId="35555DAE" w14:textId="77777777" w:rsidR="000232FE" w:rsidRDefault="00490C7B" w:rsidP="00EF1DED">
      <w:pPr>
        <w:jc w:val="both"/>
        <w:rPr>
          <w:rFonts w:asciiTheme="minorHAnsi" w:hAnsiTheme="minorHAnsi" w:cstheme="minorBidi"/>
          <w:color w:val="1F497D" w:themeColor="dark2"/>
        </w:rPr>
      </w:pPr>
      <w:r>
        <w:rPr>
          <w:rFonts w:asciiTheme="minorHAnsi" w:hAnsiTheme="minorHAnsi" w:cstheme="minorBidi"/>
          <w:b/>
          <w:color w:val="1F497D" w:themeColor="dark2"/>
        </w:rPr>
        <w:t xml:space="preserve">The attached </w:t>
      </w:r>
      <w:r w:rsidR="00314A79">
        <w:rPr>
          <w:rFonts w:asciiTheme="minorHAnsi" w:hAnsiTheme="minorHAnsi" w:cstheme="minorBidi"/>
          <w:b/>
          <w:color w:val="1F497D" w:themeColor="dark2"/>
        </w:rPr>
        <w:t xml:space="preserve">spreadsheet </w:t>
      </w:r>
      <w:r>
        <w:rPr>
          <w:rFonts w:asciiTheme="minorHAnsi" w:hAnsiTheme="minorHAnsi" w:cstheme="minorBidi"/>
          <w:b/>
          <w:color w:val="1F497D" w:themeColor="dark2"/>
        </w:rPr>
        <w:t xml:space="preserve">shows examples </w:t>
      </w:r>
      <w:r w:rsidR="00314A79">
        <w:rPr>
          <w:rFonts w:asciiTheme="minorHAnsi" w:hAnsiTheme="minorHAnsi" w:cstheme="minorBidi"/>
          <w:b/>
          <w:color w:val="1F497D" w:themeColor="dark2"/>
        </w:rPr>
        <w:t>based on BELGIUM</w:t>
      </w:r>
      <w:r w:rsidR="00314A79">
        <w:rPr>
          <w:rFonts w:asciiTheme="minorHAnsi" w:hAnsiTheme="minorHAnsi" w:cstheme="minorBidi"/>
          <w:color w:val="1F497D" w:themeColor="dark2"/>
        </w:rPr>
        <w:t xml:space="preserve"> (</w:t>
      </w:r>
      <w:r>
        <w:rPr>
          <w:rFonts w:asciiTheme="minorHAnsi" w:hAnsiTheme="minorHAnsi" w:cstheme="minorBidi"/>
          <w:color w:val="1F497D" w:themeColor="dark2"/>
        </w:rPr>
        <w:t xml:space="preserve">this </w:t>
      </w:r>
      <w:r w:rsidR="00314A79">
        <w:rPr>
          <w:rFonts w:asciiTheme="minorHAnsi" w:hAnsiTheme="minorHAnsi" w:cstheme="minorBidi"/>
          <w:color w:val="1F497D" w:themeColor="dark2"/>
        </w:rPr>
        <w:t>just happened to be the first one I used partly be</w:t>
      </w:r>
      <w:r w:rsidR="000232FE">
        <w:rPr>
          <w:rFonts w:asciiTheme="minorHAnsi" w:hAnsiTheme="minorHAnsi" w:cstheme="minorBidi"/>
          <w:color w:val="1F497D" w:themeColor="dark2"/>
        </w:rPr>
        <w:t>cause it only has a few zones).</w:t>
      </w:r>
    </w:p>
    <w:p w14:paraId="35555DAF" w14:textId="77777777" w:rsidR="000232FE" w:rsidRDefault="000232FE" w:rsidP="00EF1DED">
      <w:pPr>
        <w:jc w:val="both"/>
        <w:rPr>
          <w:rFonts w:asciiTheme="minorHAnsi" w:hAnsiTheme="minorHAnsi" w:cstheme="minorBidi"/>
          <w:color w:val="1F497D" w:themeColor="dark2"/>
        </w:rPr>
      </w:pPr>
    </w:p>
    <w:p w14:paraId="35555DB0" w14:textId="77777777" w:rsidR="00314A79" w:rsidRDefault="000232FE" w:rsidP="00EF1DED">
      <w:pPr>
        <w:jc w:val="both"/>
        <w:rPr>
          <w:rFonts w:asciiTheme="minorHAnsi" w:hAnsiTheme="minorHAnsi" w:cstheme="minorBidi"/>
          <w:color w:val="1F497D" w:themeColor="dark2"/>
        </w:rPr>
      </w:pPr>
      <w:r>
        <w:rPr>
          <w:rFonts w:asciiTheme="minorHAnsi" w:hAnsiTheme="minorHAnsi" w:cstheme="minorBidi"/>
          <w:color w:val="1F497D" w:themeColor="dark2"/>
        </w:rPr>
        <w:t>NOTE: This workbook needs improved formatting and I am sure the formulas could be more elegantly done. W</w:t>
      </w:r>
      <w:r w:rsidR="00314A79">
        <w:rPr>
          <w:rFonts w:asciiTheme="minorHAnsi" w:hAnsiTheme="minorHAnsi" w:cstheme="minorBidi"/>
          <w:color w:val="1F497D" w:themeColor="dark2"/>
        </w:rPr>
        <w:t>e can tidy up</w:t>
      </w:r>
      <w:r>
        <w:rPr>
          <w:rFonts w:asciiTheme="minorHAnsi" w:hAnsiTheme="minorHAnsi" w:cstheme="minorBidi"/>
          <w:color w:val="1F497D" w:themeColor="dark2"/>
        </w:rPr>
        <w:t xml:space="preserve"> once we have discussed further on our next call.</w:t>
      </w:r>
    </w:p>
    <w:p w14:paraId="35555DB1" w14:textId="77777777" w:rsidR="00314A79" w:rsidRDefault="00314A79" w:rsidP="00EF1DED">
      <w:pPr>
        <w:jc w:val="both"/>
        <w:rPr>
          <w:rFonts w:asciiTheme="minorHAnsi" w:hAnsiTheme="minorHAnsi" w:cstheme="minorBidi"/>
          <w:color w:val="1F497D" w:themeColor="dark2"/>
        </w:rPr>
      </w:pPr>
    </w:p>
    <w:p w14:paraId="35555DB2" w14:textId="77777777" w:rsidR="00314A79" w:rsidRDefault="000232FE" w:rsidP="00EF1DED">
      <w:pPr>
        <w:jc w:val="both"/>
        <w:rPr>
          <w:rFonts w:asciiTheme="minorHAnsi" w:hAnsiTheme="minorHAnsi" w:cstheme="minorBidi"/>
          <w:color w:val="1F497D" w:themeColor="dark2"/>
        </w:rPr>
      </w:pPr>
      <w:r>
        <w:rPr>
          <w:rFonts w:asciiTheme="minorHAnsi" w:hAnsiTheme="minorHAnsi" w:cstheme="minorBidi"/>
          <w:color w:val="1F497D" w:themeColor="dark2"/>
        </w:rPr>
        <w:t xml:space="preserve">In the attached example </w:t>
      </w:r>
      <w:r w:rsidR="00314A79">
        <w:rPr>
          <w:rFonts w:asciiTheme="minorHAnsi" w:hAnsiTheme="minorHAnsi" w:cstheme="minorBidi"/>
          <w:color w:val="1F497D" w:themeColor="dark2"/>
        </w:rPr>
        <w:t xml:space="preserve">I have set </w:t>
      </w:r>
      <w:r w:rsidR="00490C7B">
        <w:rPr>
          <w:rFonts w:asciiTheme="minorHAnsi" w:hAnsiTheme="minorHAnsi" w:cstheme="minorBidi"/>
          <w:color w:val="1F497D" w:themeColor="dark2"/>
        </w:rPr>
        <w:t xml:space="preserve">client </w:t>
      </w:r>
      <w:r w:rsidR="00314A79">
        <w:rPr>
          <w:rFonts w:asciiTheme="minorHAnsi" w:hAnsiTheme="minorHAnsi" w:cstheme="minorBidi"/>
          <w:color w:val="1F497D" w:themeColor="dark2"/>
        </w:rPr>
        <w:t xml:space="preserve">exposure to EUR 50bn. </w:t>
      </w:r>
      <w:r>
        <w:rPr>
          <w:rFonts w:asciiTheme="minorHAnsi" w:hAnsiTheme="minorHAnsi" w:cstheme="minorBidi"/>
          <w:color w:val="1F497D" w:themeColor="dark2"/>
        </w:rPr>
        <w:t xml:space="preserve">As each entity will be different </w:t>
      </w:r>
      <w:r w:rsidR="00314A79">
        <w:rPr>
          <w:rFonts w:asciiTheme="minorHAnsi" w:hAnsiTheme="minorHAnsi" w:cstheme="minorBidi"/>
          <w:color w:val="1F497D" w:themeColor="dark2"/>
        </w:rPr>
        <w:t xml:space="preserve">I have set the sheets up to randomly generate example client data by zone in Column B. This is so we can compare the options against what the client would get now </w:t>
      </w:r>
      <w:r w:rsidR="00490C7B">
        <w:rPr>
          <w:rFonts w:asciiTheme="minorHAnsi" w:hAnsiTheme="minorHAnsi" w:cstheme="minorBidi"/>
          <w:color w:val="1F497D" w:themeColor="dark2"/>
        </w:rPr>
        <w:t>using the existing standard formula</w:t>
      </w:r>
      <w:r w:rsidR="00314A79">
        <w:rPr>
          <w:rFonts w:asciiTheme="minorHAnsi" w:hAnsiTheme="minorHAnsi" w:cstheme="minorBidi"/>
          <w:color w:val="1F497D" w:themeColor="dark2"/>
        </w:rPr>
        <w:t>. You just need to hit the F9 key to manually re-calculate to see how the options would compare to the existing SF for each random set of client exposure. (Note: I still need to fix to ensure can’t get more than the 50bn)</w:t>
      </w:r>
    </w:p>
    <w:p w14:paraId="35555DB3" w14:textId="77777777" w:rsidR="00314A79" w:rsidRDefault="00314A79" w:rsidP="00EF1DED">
      <w:pPr>
        <w:jc w:val="both"/>
        <w:rPr>
          <w:rFonts w:asciiTheme="minorHAnsi" w:hAnsiTheme="minorHAnsi" w:cstheme="minorBidi"/>
          <w:color w:val="1F497D" w:themeColor="dark2"/>
        </w:rPr>
      </w:pPr>
    </w:p>
    <w:p w14:paraId="35555DB4" w14:textId="77777777" w:rsidR="00314A79" w:rsidRDefault="00314A79" w:rsidP="00EF1DED">
      <w:pPr>
        <w:jc w:val="both"/>
        <w:rPr>
          <w:rFonts w:asciiTheme="minorHAnsi" w:hAnsiTheme="minorHAnsi" w:cstheme="minorBidi"/>
          <w:color w:val="1F497D" w:themeColor="dark2"/>
        </w:rPr>
      </w:pPr>
      <w:r>
        <w:rPr>
          <w:rFonts w:asciiTheme="minorHAnsi" w:hAnsiTheme="minorHAnsi" w:cstheme="minorBidi"/>
          <w:color w:val="1F497D" w:themeColor="dark2"/>
        </w:rPr>
        <w:t>First set of options</w:t>
      </w:r>
    </w:p>
    <w:p w14:paraId="35555DB5" w14:textId="77777777" w:rsidR="00314A79" w:rsidRDefault="00314A79" w:rsidP="00EF1DED">
      <w:pPr>
        <w:jc w:val="both"/>
        <w:rPr>
          <w:rFonts w:asciiTheme="minorHAnsi" w:hAnsiTheme="minorHAnsi" w:cstheme="minorBidi"/>
          <w:color w:val="1F497D" w:themeColor="dark2"/>
        </w:rPr>
      </w:pPr>
    </w:p>
    <w:p w14:paraId="35555DB6" w14:textId="77777777" w:rsidR="00314A79" w:rsidRDefault="00314A79" w:rsidP="00EF1DED">
      <w:pPr>
        <w:pStyle w:val="ListParagraph"/>
        <w:numPr>
          <w:ilvl w:val="0"/>
          <w:numId w:val="2"/>
        </w:numPr>
        <w:jc w:val="both"/>
        <w:rPr>
          <w:rFonts w:asciiTheme="minorHAnsi" w:hAnsiTheme="minorHAnsi" w:cstheme="minorBidi"/>
          <w:color w:val="1F497D" w:themeColor="dark2"/>
        </w:rPr>
      </w:pPr>
      <w:r>
        <w:rPr>
          <w:rFonts w:asciiTheme="minorHAnsi" w:hAnsiTheme="minorHAnsi" w:cstheme="minorBidi"/>
          <w:color w:val="1F497D" w:themeColor="dark2"/>
        </w:rPr>
        <w:t>Apply the</w:t>
      </w:r>
      <w:r w:rsidR="00490C7B">
        <w:rPr>
          <w:rFonts w:asciiTheme="minorHAnsi" w:hAnsiTheme="minorHAnsi" w:cstheme="minorBidi"/>
          <w:color w:val="1F497D" w:themeColor="dark2"/>
        </w:rPr>
        <w:t xml:space="preserve"> existing </w:t>
      </w:r>
      <w:r>
        <w:rPr>
          <w:rFonts w:asciiTheme="minorHAnsi" w:hAnsiTheme="minorHAnsi" w:cstheme="minorBidi"/>
          <w:color w:val="1F497D" w:themeColor="dark2"/>
        </w:rPr>
        <w:t>market factor (Q) to the Country TIV. So no prudence introduced.</w:t>
      </w:r>
    </w:p>
    <w:p w14:paraId="35555DB7" w14:textId="77777777" w:rsidR="00C44B08" w:rsidRDefault="00C44B08" w:rsidP="00EF1DED">
      <w:pPr>
        <w:pStyle w:val="ListParagraph"/>
        <w:jc w:val="both"/>
        <w:rPr>
          <w:rFonts w:asciiTheme="minorHAnsi" w:hAnsiTheme="minorHAnsi" w:cstheme="minorBidi"/>
          <w:color w:val="1F497D" w:themeColor="dark2"/>
        </w:rPr>
      </w:pPr>
    </w:p>
    <w:p w14:paraId="35555DB8" w14:textId="77777777" w:rsidR="00314A79" w:rsidRDefault="00314A79" w:rsidP="00EF1DED">
      <w:pPr>
        <w:pStyle w:val="ListParagraph"/>
        <w:numPr>
          <w:ilvl w:val="0"/>
          <w:numId w:val="2"/>
        </w:numPr>
        <w:jc w:val="both"/>
        <w:rPr>
          <w:rFonts w:asciiTheme="minorHAnsi" w:hAnsiTheme="minorHAnsi" w:cstheme="minorBidi"/>
          <w:color w:val="1F497D" w:themeColor="dark2"/>
        </w:rPr>
      </w:pPr>
      <w:r>
        <w:rPr>
          <w:rFonts w:asciiTheme="minorHAnsi" w:hAnsiTheme="minorHAnsi" w:cstheme="minorBidi"/>
          <w:color w:val="1F497D" w:themeColor="dark2"/>
        </w:rPr>
        <w:t>Base the factor on the highest Cresta relativity, so use Q x Max(Relativities). – This was discussed and thought to be far too punitive (the Belgium example shows this). This is essentiall</w:t>
      </w:r>
      <w:r w:rsidR="00490C7B">
        <w:rPr>
          <w:rFonts w:asciiTheme="minorHAnsi" w:hAnsiTheme="minorHAnsi" w:cstheme="minorBidi"/>
          <w:color w:val="1F497D" w:themeColor="dark2"/>
        </w:rPr>
        <w:t>y the worst case scenario that w</w:t>
      </w:r>
      <w:r>
        <w:rPr>
          <w:rFonts w:asciiTheme="minorHAnsi" w:hAnsiTheme="minorHAnsi" w:cstheme="minorBidi"/>
          <w:color w:val="1F497D" w:themeColor="dark2"/>
        </w:rPr>
        <w:t>ould occur with existing SF if a company had all exposure is the worst risk zone. This will be more punitive for perils with large variation in relativities (e.g. BE_FL and BE_EQ) and less punitive where the relativities are more similar (e.g. BE_WS)</w:t>
      </w:r>
    </w:p>
    <w:p w14:paraId="35555DB9" w14:textId="77777777" w:rsidR="00C44B08" w:rsidRPr="00C44B08" w:rsidRDefault="00C44B08" w:rsidP="00EF1DED">
      <w:pPr>
        <w:jc w:val="both"/>
        <w:rPr>
          <w:rFonts w:asciiTheme="minorHAnsi" w:hAnsiTheme="minorHAnsi" w:cstheme="minorBidi"/>
          <w:color w:val="1F497D" w:themeColor="dark2"/>
        </w:rPr>
      </w:pPr>
    </w:p>
    <w:p w14:paraId="35555DBA" w14:textId="77777777" w:rsidR="00314A79" w:rsidRDefault="00314A79" w:rsidP="00EF1DED">
      <w:pPr>
        <w:pStyle w:val="ListParagraph"/>
        <w:numPr>
          <w:ilvl w:val="0"/>
          <w:numId w:val="2"/>
        </w:numPr>
        <w:jc w:val="both"/>
        <w:rPr>
          <w:rFonts w:asciiTheme="minorHAnsi" w:hAnsiTheme="minorHAnsi" w:cstheme="minorBidi"/>
          <w:color w:val="1F497D" w:themeColor="dark2"/>
        </w:rPr>
      </w:pPr>
      <w:r>
        <w:rPr>
          <w:rFonts w:asciiTheme="minorHAnsi" w:hAnsiTheme="minorHAnsi" w:cstheme="minorBidi"/>
          <w:color w:val="1F497D" w:themeColor="dark2"/>
        </w:rPr>
        <w:t>I looked at using the Q x (75</w:t>
      </w:r>
      <w:r>
        <w:rPr>
          <w:rFonts w:asciiTheme="minorHAnsi" w:hAnsiTheme="minorHAnsi" w:cstheme="minorBidi"/>
          <w:color w:val="1F497D" w:themeColor="dark2"/>
          <w:vertAlign w:val="superscript"/>
        </w:rPr>
        <w:t>th</w:t>
      </w:r>
      <w:r>
        <w:rPr>
          <w:rFonts w:asciiTheme="minorHAnsi" w:hAnsiTheme="minorHAnsi" w:cstheme="minorBidi"/>
          <w:color w:val="1F497D" w:themeColor="dark2"/>
        </w:rPr>
        <w:t xml:space="preserve"> Percentile Relativity). So not the max but higher than average. In some cases this is still quite extreme, although </w:t>
      </w:r>
      <w:r w:rsidR="00490C7B">
        <w:rPr>
          <w:rFonts w:asciiTheme="minorHAnsi" w:hAnsiTheme="minorHAnsi" w:cstheme="minorBidi"/>
          <w:color w:val="1F497D" w:themeColor="dark2"/>
        </w:rPr>
        <w:t>this</w:t>
      </w:r>
      <w:r w:rsidR="00C44B08">
        <w:rPr>
          <w:rFonts w:asciiTheme="minorHAnsi" w:hAnsiTheme="minorHAnsi" w:cstheme="minorBidi"/>
          <w:color w:val="1F497D" w:themeColor="dark2"/>
        </w:rPr>
        <w:t xml:space="preserve"> </w:t>
      </w:r>
      <w:r>
        <w:rPr>
          <w:rFonts w:asciiTheme="minorHAnsi" w:hAnsiTheme="minorHAnsi" w:cstheme="minorBidi"/>
          <w:color w:val="1F497D" w:themeColor="dark2"/>
        </w:rPr>
        <w:t>may be less extreme when looki</w:t>
      </w:r>
      <w:r w:rsidR="00C44B08">
        <w:rPr>
          <w:rFonts w:asciiTheme="minorHAnsi" w:hAnsiTheme="minorHAnsi" w:cstheme="minorBidi"/>
          <w:color w:val="1F497D" w:themeColor="dark2"/>
        </w:rPr>
        <w:t>ng at scenarios with more zones.</w:t>
      </w:r>
    </w:p>
    <w:p w14:paraId="35555DBB" w14:textId="77777777" w:rsidR="00C44B08" w:rsidRPr="00C44B08" w:rsidRDefault="00C44B08" w:rsidP="00EF1DED">
      <w:pPr>
        <w:jc w:val="both"/>
        <w:rPr>
          <w:rFonts w:asciiTheme="minorHAnsi" w:hAnsiTheme="minorHAnsi" w:cstheme="minorBidi"/>
          <w:color w:val="1F497D" w:themeColor="dark2"/>
        </w:rPr>
      </w:pPr>
    </w:p>
    <w:p w14:paraId="35555DBC" w14:textId="77777777" w:rsidR="00314A79" w:rsidRDefault="00314A79" w:rsidP="00EF1DED">
      <w:pPr>
        <w:pStyle w:val="ListParagraph"/>
        <w:numPr>
          <w:ilvl w:val="0"/>
          <w:numId w:val="2"/>
        </w:numPr>
        <w:jc w:val="both"/>
        <w:rPr>
          <w:rFonts w:asciiTheme="minorHAnsi" w:hAnsiTheme="minorHAnsi" w:cstheme="minorBidi"/>
          <w:color w:val="1F497D" w:themeColor="dark2"/>
        </w:rPr>
      </w:pPr>
      <w:r>
        <w:rPr>
          <w:rFonts w:asciiTheme="minorHAnsi" w:hAnsiTheme="minorHAnsi" w:cstheme="minorBidi"/>
          <w:color w:val="1F497D" w:themeColor="dark2"/>
        </w:rPr>
        <w:t xml:space="preserve">I </w:t>
      </w:r>
      <w:r w:rsidR="00C44B08">
        <w:rPr>
          <w:rFonts w:asciiTheme="minorHAnsi" w:hAnsiTheme="minorHAnsi" w:cstheme="minorBidi"/>
          <w:color w:val="1F497D" w:themeColor="dark2"/>
        </w:rPr>
        <w:t xml:space="preserve">also </w:t>
      </w:r>
      <w:r>
        <w:rPr>
          <w:rFonts w:asciiTheme="minorHAnsi" w:hAnsiTheme="minorHAnsi" w:cstheme="minorBidi"/>
          <w:color w:val="1F497D" w:themeColor="dark2"/>
        </w:rPr>
        <w:t>looked at using Q x (the average of the top 50% of relativities). Again for Belgium this looks quite extreme for FL and EQ.</w:t>
      </w:r>
    </w:p>
    <w:p w14:paraId="35555DBD" w14:textId="77777777" w:rsidR="00314A79" w:rsidRDefault="00314A79" w:rsidP="00EF1DED">
      <w:pPr>
        <w:jc w:val="both"/>
        <w:rPr>
          <w:rFonts w:asciiTheme="minorHAnsi" w:hAnsiTheme="minorHAnsi" w:cstheme="minorBidi"/>
          <w:color w:val="1F497D" w:themeColor="dark2"/>
        </w:rPr>
      </w:pPr>
    </w:p>
    <w:p w14:paraId="35555DBE" w14:textId="77777777" w:rsidR="00314A79" w:rsidRDefault="00314A79" w:rsidP="00EF1DED">
      <w:pPr>
        <w:jc w:val="both"/>
        <w:rPr>
          <w:rFonts w:asciiTheme="minorHAnsi" w:hAnsiTheme="minorHAnsi" w:cstheme="minorBidi"/>
          <w:color w:val="1F497D" w:themeColor="dark2"/>
        </w:rPr>
      </w:pPr>
      <w:r>
        <w:rPr>
          <w:rFonts w:asciiTheme="minorHAnsi" w:hAnsiTheme="minorHAnsi" w:cstheme="minorBidi"/>
          <w:color w:val="1F497D" w:themeColor="dark2"/>
        </w:rPr>
        <w:t>We ne</w:t>
      </w:r>
      <w:r w:rsidR="00C44B08">
        <w:rPr>
          <w:rFonts w:asciiTheme="minorHAnsi" w:hAnsiTheme="minorHAnsi" w:cstheme="minorBidi"/>
          <w:color w:val="1F497D" w:themeColor="dark2"/>
        </w:rPr>
        <w:t>e</w:t>
      </w:r>
      <w:r>
        <w:rPr>
          <w:rFonts w:asciiTheme="minorHAnsi" w:hAnsiTheme="minorHAnsi" w:cstheme="minorBidi"/>
          <w:color w:val="1F497D" w:themeColor="dark2"/>
        </w:rPr>
        <w:t xml:space="preserve">d to test these </w:t>
      </w:r>
      <w:r w:rsidR="00C44B08">
        <w:rPr>
          <w:rFonts w:asciiTheme="minorHAnsi" w:hAnsiTheme="minorHAnsi" w:cstheme="minorBidi"/>
          <w:color w:val="1F497D" w:themeColor="dark2"/>
        </w:rPr>
        <w:t xml:space="preserve">options </w:t>
      </w:r>
      <w:r>
        <w:rPr>
          <w:rFonts w:asciiTheme="minorHAnsi" w:hAnsiTheme="minorHAnsi" w:cstheme="minorBidi"/>
          <w:color w:val="1F497D" w:themeColor="dark2"/>
        </w:rPr>
        <w:t xml:space="preserve">and any other suggestions the group may have against the other countries and perils. </w:t>
      </w:r>
      <w:r w:rsidR="00C44B08">
        <w:rPr>
          <w:rFonts w:asciiTheme="minorHAnsi" w:hAnsiTheme="minorHAnsi" w:cstheme="minorBidi"/>
          <w:color w:val="1F497D" w:themeColor="dark2"/>
        </w:rPr>
        <w:t xml:space="preserve">I </w:t>
      </w:r>
      <w:r>
        <w:rPr>
          <w:rFonts w:asciiTheme="minorHAnsi" w:hAnsiTheme="minorHAnsi" w:cstheme="minorBidi"/>
          <w:color w:val="1F497D" w:themeColor="dark2"/>
        </w:rPr>
        <w:t>did not want to do this until we had more feedback.</w:t>
      </w:r>
    </w:p>
    <w:p w14:paraId="35555DBF" w14:textId="77777777" w:rsidR="00314A79" w:rsidRDefault="00314A79" w:rsidP="00EF1DED">
      <w:pPr>
        <w:jc w:val="both"/>
        <w:rPr>
          <w:rFonts w:asciiTheme="minorHAnsi" w:hAnsiTheme="minorHAnsi" w:cstheme="minorBidi"/>
          <w:color w:val="1F497D" w:themeColor="dark2"/>
        </w:rPr>
      </w:pPr>
    </w:p>
    <w:p w14:paraId="35555DC0" w14:textId="77777777" w:rsidR="00314A79" w:rsidRDefault="00314A79" w:rsidP="00EF1DED">
      <w:pPr>
        <w:jc w:val="both"/>
        <w:rPr>
          <w:rFonts w:asciiTheme="minorHAnsi" w:hAnsiTheme="minorHAnsi" w:cstheme="minorBidi"/>
          <w:color w:val="1F497D" w:themeColor="dark2"/>
        </w:rPr>
      </w:pPr>
    </w:p>
    <w:p w14:paraId="35555DC1" w14:textId="77777777" w:rsidR="00314A79" w:rsidRDefault="00314A79" w:rsidP="00EF1DED">
      <w:pPr>
        <w:pStyle w:val="ListParagraph"/>
        <w:numPr>
          <w:ilvl w:val="0"/>
          <w:numId w:val="1"/>
        </w:numPr>
        <w:jc w:val="both"/>
        <w:rPr>
          <w:rFonts w:asciiTheme="minorHAnsi" w:hAnsiTheme="minorHAnsi" w:cstheme="minorBidi"/>
          <w:color w:val="1F497D" w:themeColor="dark2"/>
          <w:u w:val="single"/>
        </w:rPr>
      </w:pPr>
      <w:r>
        <w:rPr>
          <w:rFonts w:asciiTheme="minorHAnsi" w:hAnsiTheme="minorHAnsi" w:cstheme="minorBidi"/>
          <w:color w:val="1F497D" w:themeColor="dark2"/>
          <w:u w:val="single"/>
        </w:rPr>
        <w:t>Disaggregating Country level exposure</w:t>
      </w:r>
    </w:p>
    <w:p w14:paraId="35555DC2" w14:textId="77777777" w:rsidR="00314A79" w:rsidRDefault="00314A79" w:rsidP="00EF1DED">
      <w:pPr>
        <w:jc w:val="both"/>
        <w:rPr>
          <w:rFonts w:asciiTheme="minorHAnsi" w:hAnsiTheme="minorHAnsi" w:cstheme="minorBidi"/>
          <w:color w:val="1F497D" w:themeColor="dark2"/>
        </w:rPr>
      </w:pPr>
    </w:p>
    <w:p w14:paraId="35555DC3" w14:textId="77777777" w:rsidR="00314A79" w:rsidRDefault="00314A79" w:rsidP="00EF1DED">
      <w:pPr>
        <w:jc w:val="both"/>
        <w:rPr>
          <w:rFonts w:asciiTheme="minorHAnsi" w:hAnsiTheme="minorHAnsi" w:cstheme="minorBidi"/>
          <w:color w:val="1F497D" w:themeColor="dark2"/>
        </w:rPr>
      </w:pPr>
      <w:r>
        <w:rPr>
          <w:rFonts w:asciiTheme="minorHAnsi" w:hAnsiTheme="minorHAnsi" w:cstheme="minorBidi"/>
          <w:color w:val="1F497D" w:themeColor="dark2"/>
        </w:rPr>
        <w:t xml:space="preserve">We discussed on what basis the data would be disaggregated. My suggestion was to use a view of the market exposure but which view?  In the attached example I have shown an example where we have 4 sources of the industry exposure (e.g. AIR, CoreLogic, RMS and PERILS) and then use the average of these sources. Other sources </w:t>
      </w:r>
      <w:r w:rsidR="00C44B08">
        <w:rPr>
          <w:rFonts w:asciiTheme="minorHAnsi" w:hAnsiTheme="minorHAnsi" w:cstheme="minorBidi"/>
          <w:color w:val="1F497D" w:themeColor="dark2"/>
        </w:rPr>
        <w:t xml:space="preserve">such as (reinsurers, brokers and insurance associations) </w:t>
      </w:r>
      <w:r>
        <w:rPr>
          <w:rFonts w:asciiTheme="minorHAnsi" w:hAnsiTheme="minorHAnsi" w:cstheme="minorBidi"/>
          <w:color w:val="1F497D" w:themeColor="dark2"/>
        </w:rPr>
        <w:t>may exist but for some perils fewer sources will exist.</w:t>
      </w:r>
    </w:p>
    <w:p w14:paraId="35555DC4" w14:textId="77777777" w:rsidR="00314A79" w:rsidRDefault="00314A79" w:rsidP="00EF1DED">
      <w:pPr>
        <w:jc w:val="both"/>
        <w:rPr>
          <w:rFonts w:asciiTheme="minorHAnsi" w:hAnsiTheme="minorHAnsi" w:cstheme="minorBidi"/>
          <w:color w:val="1F497D" w:themeColor="dark2"/>
        </w:rPr>
      </w:pPr>
    </w:p>
    <w:p w14:paraId="35555DC5" w14:textId="77777777" w:rsidR="00314A79" w:rsidRDefault="00314A79" w:rsidP="00EF1DED">
      <w:pPr>
        <w:jc w:val="both"/>
        <w:rPr>
          <w:rFonts w:asciiTheme="minorHAnsi" w:hAnsiTheme="minorHAnsi" w:cstheme="minorBidi"/>
          <w:color w:val="1F497D" w:themeColor="dark2"/>
        </w:rPr>
      </w:pPr>
      <w:r>
        <w:rPr>
          <w:rFonts w:asciiTheme="minorHAnsi" w:hAnsiTheme="minorHAnsi" w:cstheme="minorBidi"/>
          <w:color w:val="1F497D" w:themeColor="dark2"/>
        </w:rPr>
        <w:t>We at Guy Carpenter would be happy to assemble these average views under some kind of NDA with suppliers. Otherwise the group should consider who would be better placed to do this.</w:t>
      </w:r>
    </w:p>
    <w:p w14:paraId="35555DC6" w14:textId="77777777" w:rsidR="00314A79" w:rsidRDefault="00314A79" w:rsidP="00EF1DED">
      <w:pPr>
        <w:jc w:val="both"/>
        <w:rPr>
          <w:rFonts w:asciiTheme="minorHAnsi" w:hAnsiTheme="minorHAnsi" w:cstheme="minorBidi"/>
          <w:color w:val="1F497D" w:themeColor="dark2"/>
        </w:rPr>
      </w:pPr>
    </w:p>
    <w:p w14:paraId="35555DC7" w14:textId="77777777" w:rsidR="00314A79" w:rsidRDefault="00314A79" w:rsidP="00EF1DED">
      <w:pPr>
        <w:jc w:val="both"/>
        <w:rPr>
          <w:rFonts w:asciiTheme="minorHAnsi" w:hAnsiTheme="minorHAnsi" w:cstheme="minorBidi"/>
          <w:color w:val="1F497D" w:themeColor="dark2"/>
        </w:rPr>
      </w:pPr>
      <w:r>
        <w:rPr>
          <w:rFonts w:asciiTheme="minorHAnsi" w:hAnsiTheme="minorHAnsi" w:cstheme="minorBidi"/>
          <w:color w:val="1F497D" w:themeColor="dark2"/>
        </w:rPr>
        <w:lastRenderedPageBreak/>
        <w:t>From this the worksheet would provide a percentage allocation per zone. This is applied to the Country TIV to split the exposure by zone and the existing SF is then applied to this disaggregated exposure.</w:t>
      </w:r>
    </w:p>
    <w:p w14:paraId="35555DC8" w14:textId="77777777" w:rsidR="00314A79" w:rsidRDefault="00314A79" w:rsidP="00EF1DED">
      <w:pPr>
        <w:jc w:val="both"/>
        <w:rPr>
          <w:rFonts w:asciiTheme="minorHAnsi" w:hAnsiTheme="minorHAnsi" w:cstheme="minorBidi"/>
          <w:color w:val="1F497D" w:themeColor="dark2"/>
        </w:rPr>
      </w:pPr>
    </w:p>
    <w:p w14:paraId="35555DCD" w14:textId="7576160A" w:rsidR="00D636C3" w:rsidRDefault="00C44B08" w:rsidP="00EF1DED">
      <w:pPr>
        <w:jc w:val="both"/>
      </w:pPr>
      <w:r>
        <w:rPr>
          <w:rFonts w:asciiTheme="minorHAnsi" w:hAnsiTheme="minorHAnsi" w:cstheme="minorBidi"/>
          <w:color w:val="1F497D" w:themeColor="dark2"/>
        </w:rPr>
        <w:t xml:space="preserve">One </w:t>
      </w:r>
      <w:r w:rsidR="00314A79">
        <w:rPr>
          <w:rFonts w:asciiTheme="minorHAnsi" w:hAnsiTheme="minorHAnsi" w:cstheme="minorBidi"/>
          <w:color w:val="1F497D" w:themeColor="dark2"/>
        </w:rPr>
        <w:t>issue here is that if the Cre</w:t>
      </w:r>
      <w:r>
        <w:rPr>
          <w:rFonts w:asciiTheme="minorHAnsi" w:hAnsiTheme="minorHAnsi" w:cstheme="minorBidi"/>
          <w:color w:val="1F497D" w:themeColor="dark2"/>
        </w:rPr>
        <w:t>st</w:t>
      </w:r>
      <w:r w:rsidR="00314A79">
        <w:rPr>
          <w:rFonts w:asciiTheme="minorHAnsi" w:hAnsiTheme="minorHAnsi" w:cstheme="minorBidi"/>
          <w:color w:val="1F497D" w:themeColor="dark2"/>
        </w:rPr>
        <w:t>a allocations used for disaggregation are similar to the industry exposure used by whoever calibrated the existing scenario then the results will be similar to the existing SF. In other words no prudence is introduced.</w:t>
      </w:r>
      <w:r w:rsidR="00EF1DED">
        <w:rPr>
          <w:rFonts w:asciiTheme="minorHAnsi" w:hAnsiTheme="minorHAnsi" w:cstheme="minorBidi"/>
          <w:color w:val="1F497D" w:themeColor="dark2"/>
        </w:rPr>
        <w:t xml:space="preserve"> </w:t>
      </w:r>
      <w:bookmarkStart w:id="0" w:name="_GoBack"/>
      <w:bookmarkEnd w:id="0"/>
    </w:p>
    <w:sectPr w:rsidR="00D636C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555DD0" w14:textId="77777777" w:rsidR="00E730B2" w:rsidRDefault="00E730B2" w:rsidP="00E730B2">
      <w:r>
        <w:separator/>
      </w:r>
    </w:p>
  </w:endnote>
  <w:endnote w:type="continuationSeparator" w:id="0">
    <w:p w14:paraId="35555DD1" w14:textId="77777777" w:rsidR="00E730B2" w:rsidRDefault="00E730B2" w:rsidP="00E73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555DCE" w14:textId="77777777" w:rsidR="00E730B2" w:rsidRDefault="00E730B2" w:rsidP="00E730B2">
      <w:r>
        <w:separator/>
      </w:r>
    </w:p>
  </w:footnote>
  <w:footnote w:type="continuationSeparator" w:id="0">
    <w:p w14:paraId="35555DCF" w14:textId="77777777" w:rsidR="00E730B2" w:rsidRDefault="00E730B2" w:rsidP="00E730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BC29AE"/>
    <w:multiLevelType w:val="hybridMultilevel"/>
    <w:tmpl w:val="610097D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6E201EAB"/>
    <w:multiLevelType w:val="hybridMultilevel"/>
    <w:tmpl w:val="0E423A8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A79"/>
    <w:rsid w:val="000232FE"/>
    <w:rsid w:val="0007212C"/>
    <w:rsid w:val="00165AD6"/>
    <w:rsid w:val="001A3D73"/>
    <w:rsid w:val="001E257E"/>
    <w:rsid w:val="001E641A"/>
    <w:rsid w:val="00221848"/>
    <w:rsid w:val="00231567"/>
    <w:rsid w:val="0023705F"/>
    <w:rsid w:val="00280A11"/>
    <w:rsid w:val="002E0E95"/>
    <w:rsid w:val="003034D5"/>
    <w:rsid w:val="00314A79"/>
    <w:rsid w:val="00315288"/>
    <w:rsid w:val="00432C7B"/>
    <w:rsid w:val="00490C7B"/>
    <w:rsid w:val="004A1AE0"/>
    <w:rsid w:val="0051447D"/>
    <w:rsid w:val="00520373"/>
    <w:rsid w:val="00565FEF"/>
    <w:rsid w:val="00584DAC"/>
    <w:rsid w:val="005D17FF"/>
    <w:rsid w:val="005E0EB4"/>
    <w:rsid w:val="0061249F"/>
    <w:rsid w:val="00684E10"/>
    <w:rsid w:val="006904D5"/>
    <w:rsid w:val="006F29EA"/>
    <w:rsid w:val="006F6C91"/>
    <w:rsid w:val="00702F49"/>
    <w:rsid w:val="00711E7C"/>
    <w:rsid w:val="007705D2"/>
    <w:rsid w:val="007B10BA"/>
    <w:rsid w:val="00824463"/>
    <w:rsid w:val="00891FC5"/>
    <w:rsid w:val="008B1F3A"/>
    <w:rsid w:val="008C6BCC"/>
    <w:rsid w:val="008E0F32"/>
    <w:rsid w:val="009218B4"/>
    <w:rsid w:val="00B67BF8"/>
    <w:rsid w:val="00B844DF"/>
    <w:rsid w:val="00B9263E"/>
    <w:rsid w:val="00BE1655"/>
    <w:rsid w:val="00BF56CC"/>
    <w:rsid w:val="00C12E96"/>
    <w:rsid w:val="00C44B08"/>
    <w:rsid w:val="00CA736F"/>
    <w:rsid w:val="00D126DC"/>
    <w:rsid w:val="00D50A32"/>
    <w:rsid w:val="00D636C3"/>
    <w:rsid w:val="00E35852"/>
    <w:rsid w:val="00E730B2"/>
    <w:rsid w:val="00EB254A"/>
    <w:rsid w:val="00EF1DED"/>
    <w:rsid w:val="00F238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55D95"/>
  <w15:docId w15:val="{C3D33DBD-1700-4622-8FE6-F7B16A34C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314A7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4A79"/>
    <w:pPr>
      <w:ind w:left="720"/>
    </w:pPr>
  </w:style>
  <w:style w:type="paragraph" w:styleId="Header">
    <w:name w:val="header"/>
    <w:basedOn w:val="Normal"/>
    <w:link w:val="HeaderChar"/>
    <w:uiPriority w:val="99"/>
    <w:unhideWhenUsed/>
    <w:rsid w:val="00E730B2"/>
    <w:pPr>
      <w:tabs>
        <w:tab w:val="center" w:pos="4513"/>
        <w:tab w:val="right" w:pos="9026"/>
      </w:tabs>
    </w:pPr>
  </w:style>
  <w:style w:type="character" w:customStyle="1" w:styleId="HeaderChar">
    <w:name w:val="Header Char"/>
    <w:basedOn w:val="DefaultParagraphFont"/>
    <w:link w:val="Header"/>
    <w:uiPriority w:val="99"/>
    <w:rsid w:val="00E730B2"/>
    <w:rPr>
      <w:rFonts w:ascii="Calibri" w:hAnsi="Calibri" w:cs="Calibri"/>
    </w:rPr>
  </w:style>
  <w:style w:type="paragraph" w:styleId="Footer">
    <w:name w:val="footer"/>
    <w:basedOn w:val="Normal"/>
    <w:link w:val="FooterChar"/>
    <w:uiPriority w:val="99"/>
    <w:unhideWhenUsed/>
    <w:rsid w:val="00E730B2"/>
    <w:pPr>
      <w:tabs>
        <w:tab w:val="center" w:pos="4513"/>
        <w:tab w:val="right" w:pos="9026"/>
      </w:tabs>
    </w:pPr>
  </w:style>
  <w:style w:type="character" w:customStyle="1" w:styleId="FooterChar">
    <w:name w:val="Footer Char"/>
    <w:basedOn w:val="DefaultParagraphFont"/>
    <w:link w:val="Footer"/>
    <w:uiPriority w:val="99"/>
    <w:rsid w:val="00E730B2"/>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139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6D0EB97D5A8D14ABF6FE39E404530FC" ma:contentTypeVersion="13" ma:contentTypeDescription="Create a new document." ma:contentTypeScope="" ma:versionID="b266816b1c4ff8675736a8713765a8d2">
  <xsd:schema xmlns:xsd="http://www.w3.org/2001/XMLSchema" xmlns:xs="http://www.w3.org/2001/XMLSchema" xmlns:p="http://schemas.microsoft.com/office/2006/metadata/properties" xmlns:ns2="d113e6c9-68c2-4198-bb3a-f8ecf571e120" xmlns:ns3="7adb48b6-3973-4eaa-90bf-52485ba4b57c" xmlns:ns4="http://schemas.microsoft.com/sharepoint/v3/fields" targetNamespace="http://schemas.microsoft.com/office/2006/metadata/properties" ma:root="true" ma:fieldsID="8d1c49893fded40fc83bd73577afc91d" ns2:_="" ns3:_="" ns4:_="">
    <xsd:import namespace="d113e6c9-68c2-4198-bb3a-f8ecf571e120"/>
    <xsd:import namespace="7adb48b6-3973-4eaa-90bf-52485ba4b57c"/>
    <xsd:import namespace="http://schemas.microsoft.com/sharepoint/v3/fields"/>
    <xsd:element name="properties">
      <xsd:complexType>
        <xsd:sequence>
          <xsd:element name="documentManagement">
            <xsd:complexType>
              <xsd:all>
                <xsd:element ref="ns2:Document_x0020_Date" minOccurs="0"/>
                <xsd:element ref="ns2:Reference" minOccurs="0"/>
                <xsd:element ref="ns3:Linked_x0020_files" minOccurs="0"/>
                <xsd:element ref="ns2:Type_x0020_of_x0020_document" minOccurs="0"/>
                <xsd:element ref="ns2:Type_x0020_of_x0020_memo" minOccurs="0"/>
                <xsd:element ref="ns4:_Source" minOccurs="0"/>
                <xsd:element ref="ns2:Meeting_x0020_Date" minOccurs="0"/>
                <xsd:element ref="ns2:Starttime" minOccurs="0"/>
                <xsd:element ref="ns2:E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3e6c9-68c2-4198-bb3a-f8ecf571e120" elementFormDefault="qualified">
    <xsd:import namespace="http://schemas.microsoft.com/office/2006/documentManagement/types"/>
    <xsd:import namespace="http://schemas.microsoft.com/office/infopath/2007/PartnerControls"/>
    <xsd:element name="Document_x0020_Date" ma:index="8" nillable="true" ma:displayName="Document Date" ma:internalName="Document_x0020_Date">
      <xsd:simpleType>
        <xsd:restriction base="dms:Text">
          <xsd:maxLength value="255"/>
        </xsd:restriction>
      </xsd:simpleType>
    </xsd:element>
    <xsd:element name="Reference" ma:index="9" nillable="true" ma:displayName="Reference" ma:internalName="Reference">
      <xsd:simpleType>
        <xsd:restriction base="dms:Text">
          <xsd:maxLength value="255"/>
        </xsd:restriction>
      </xsd:simpleType>
    </xsd:element>
    <xsd:element name="Type_x0020_of_x0020_document" ma:index="11" nillable="true" ma:displayName="Type of document" ma:format="Dropdown" ma:internalName="Type_x0020_of_x0020_document">
      <xsd:simpleType>
        <xsd:restriction base="dms:Choice">
          <xsd:enumeration value="Memo"/>
          <xsd:enumeration value="Blank document"/>
          <xsd:enumeration value="Agenda"/>
          <xsd:enumeration value="News Flash"/>
          <xsd:enumeration value="Participants List"/>
          <xsd:enumeration value="Press Release"/>
          <xsd:enumeration value="Fax Cover"/>
          <xsd:enumeration value="Letter"/>
          <xsd:enumeration value="Background note"/>
          <xsd:enumeration value="Meeting Conclusions"/>
          <xsd:enumeration value="Position Paper"/>
          <xsd:enumeration value="PowerPoint template"/>
          <xsd:enumeration value="External document"/>
          <xsd:enumeration value="Briefing Note"/>
          <xsd:enumeration value="Working Document"/>
          <xsd:enumeration value="Presentation"/>
          <xsd:enumeration value="Action Points"/>
          <xsd:enumeration value="RAB Agenda"/>
          <xsd:enumeration value="RAB Letter"/>
          <xsd:enumeration value="RAB Letter with CEOs"/>
          <xsd:enumeration value="RAB Blank document"/>
          <xsd:enumeration value="RAB Background note"/>
          <xsd:enumeration value="RAB Meeting conclusions"/>
        </xsd:restriction>
      </xsd:simpleType>
    </xsd:element>
    <xsd:element name="Type_x0020_of_x0020_memo" ma:index="12" nillable="true" ma:displayName="Type of memo" ma:format="Dropdown" ma:internalName="Type_x0020_of_x0020_memo">
      <xsd:simpleType>
        <xsd:restriction base="dms:Choice">
          <xsd:enumeration value="information"/>
          <xsd:enumeration value="action"/>
        </xsd:restriction>
      </xsd:simpleType>
    </xsd:element>
    <xsd:element name="Meeting_x0020_Date" ma:index="14" nillable="true" ma:displayName="Meeting Date" ma:format="DateOnly" ma:internalName="Meeting_x0020_Date">
      <xsd:simpleType>
        <xsd:restriction base="dms:DateTime"/>
      </xsd:simpleType>
    </xsd:element>
    <xsd:element name="Starttime" ma:index="15" nillable="true" ma:displayName="Starttime" ma:internalName="Starttime">
      <xsd:simpleType>
        <xsd:restriction base="dms:Text">
          <xsd:maxLength value="255"/>
        </xsd:restriction>
      </xsd:simpleType>
    </xsd:element>
    <xsd:element name="Endtime" ma:index="16" nillable="true" ma:displayName="Endtime" ma:internalName="Endti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db48b6-3973-4eaa-90bf-52485ba4b57c" elementFormDefault="qualified">
    <xsd:import namespace="http://schemas.microsoft.com/office/2006/documentManagement/types"/>
    <xsd:import namespace="http://schemas.microsoft.com/office/infopath/2007/PartnerControls"/>
    <xsd:element name="Linked_x0020_files" ma:index="10" nillable="true" ma:displayName="Linked files" ma:internalName="Linked_x0020_file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ource" ma:index="13" nillable="true" ma:displayName="Source" ma:description="References to resources from which this resource was derived" ma:internalName="_Sourc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Meeting_x0020_Date xmlns="d113e6c9-68c2-4198-bb3a-f8ecf571e120">2017-05-14T22:00:00+00:00</Meeting_x0020_Date>
    <Starttime xmlns="d113e6c9-68c2-4198-bb3a-f8ecf571e120" xsi:nil="true"/>
    <Endtime xmlns="d113e6c9-68c2-4198-bb3a-f8ecf571e120" xsi:nil="true"/>
    <Document_x0020_Date xmlns="d113e6c9-68c2-4198-bb3a-f8ecf571e120" xsi:nil="true"/>
    <Type_x0020_of_x0020_document xmlns="d113e6c9-68c2-4198-bb3a-f8ecf571e120">Background note</Type_x0020_of_x0020_document>
    <Type_x0020_of_x0020_memo xmlns="d113e6c9-68c2-4198-bb3a-f8ecf571e120" xsi:nil="true"/>
    <Linked_x0020_files xmlns="7adb48b6-3973-4eaa-90bf-52485ba4b57c" xsi:nil="true"/>
    <Reference xmlns="d113e6c9-68c2-4198-bb3a-f8ecf571e120" xsi:nil="true"/>
  </documentManagement>
</p:properties>
</file>

<file path=customXml/itemProps1.xml><?xml version="1.0" encoding="utf-8"?>
<ds:datastoreItem xmlns:ds="http://schemas.openxmlformats.org/officeDocument/2006/customXml" ds:itemID="{4CCF03FC-A56D-4F47-BA67-186D97288FC5}">
  <ds:schemaRefs>
    <ds:schemaRef ds:uri="http://schemas.microsoft.com/sharepoint/v3/contenttype/forms"/>
  </ds:schemaRefs>
</ds:datastoreItem>
</file>

<file path=customXml/itemProps2.xml><?xml version="1.0" encoding="utf-8"?>
<ds:datastoreItem xmlns:ds="http://schemas.openxmlformats.org/officeDocument/2006/customXml" ds:itemID="{84F24C72-98A9-49AF-900A-D6F21FF2B8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3e6c9-68c2-4198-bb3a-f8ecf571e120"/>
    <ds:schemaRef ds:uri="7adb48b6-3973-4eaa-90bf-52485ba4b57c"/>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2EBE7E-899F-49DA-8D92-D566375EC275}">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7adb48b6-3973-4eaa-90bf-52485ba4b57c"/>
    <ds:schemaRef ds:uri="http://schemas.openxmlformats.org/package/2006/metadata/core-properties"/>
    <ds:schemaRef ds:uri="http://purl.org/dc/terms/"/>
    <ds:schemaRef ds:uri="http://schemas.microsoft.com/sharepoint/v3/fields"/>
    <ds:schemaRef ds:uri="d113e6c9-68c2-4198-bb3a-f8ecf571e120"/>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988</Words>
  <Characters>5632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Input from Matthew Eagle (Guy Carpenter) on natcat simplifications</vt:lpstr>
    </vt:vector>
  </TitlesOfParts>
  <Company>Marsh &amp; McLennan Companies</Company>
  <LinksUpToDate>false</LinksUpToDate>
  <CharactersWithSpaces>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Input from Matthew Eagle (Guy Carpenter) on natcat simplifications</dc:title>
  <dc:creator>Eagle, Matthew</dc:creator>
  <cp:lastModifiedBy>Laetitia Molina</cp:lastModifiedBy>
  <cp:revision>3</cp:revision>
  <dcterms:created xsi:type="dcterms:W3CDTF">2017-05-18T13:03:00Z</dcterms:created>
  <dcterms:modified xsi:type="dcterms:W3CDTF">2017-05-18T13:03:00Z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499550625</vt:i4>
  </property>
  <property fmtid="{D5CDD505-2E9C-101B-9397-08002B2CF9AE}" pid="3" name="_NewReviewCycle">
    <vt:lpwstr/>
  </property>
  <property fmtid="{D5CDD505-2E9C-101B-9397-08002B2CF9AE}" pid="4" name="_EmailSubject">
    <vt:lpwstr>To CAT WS: preparatory call for 24 May physical meeting - documents/information</vt:lpwstr>
  </property>
  <property fmtid="{D5CDD505-2E9C-101B-9397-08002B2CF9AE}" pid="5" name="_AuthorEmail">
    <vt:lpwstr>Roy.Nitze@eiopa.europa.eu</vt:lpwstr>
  </property>
  <property fmtid="{D5CDD505-2E9C-101B-9397-08002B2CF9AE}" pid="6" name="_AuthorEmailDisplayName">
    <vt:lpwstr>Roy Nitze</vt:lpwstr>
  </property>
  <property fmtid="{D5CDD505-2E9C-101B-9397-08002B2CF9AE}" pid="7" name="ContentTypeId">
    <vt:lpwstr>0x01010036D0EB97D5A8D14ABF6FE39E404530FC</vt:lpwstr>
  </property>
  <property fmtid="{D5CDD505-2E9C-101B-9397-08002B2CF9AE}" pid="8" name="_ReviewingToolsShownOnce">
    <vt:lpwstr/>
  </property>
</Properties>
</file>