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C77" w:rsidRPr="00701C77" w:rsidRDefault="00701C77" w:rsidP="00701C77">
      <w:pPr>
        <w:pStyle w:val="CEABullet-Level1"/>
        <w:numPr>
          <w:ilvl w:val="0"/>
          <w:numId w:val="2"/>
        </w:numPr>
        <w:rPr>
          <w:rFonts w:cs="Arial"/>
          <w:b/>
          <w:color w:val="002957"/>
          <w:sz w:val="22"/>
          <w:szCs w:val="19"/>
        </w:rPr>
      </w:pPr>
      <w:r w:rsidRPr="00701C77">
        <w:rPr>
          <w:rFonts w:cs="Arial"/>
          <w:b/>
          <w:color w:val="002957"/>
          <w:sz w:val="22"/>
          <w:szCs w:val="19"/>
        </w:rPr>
        <w:t xml:space="preserve">DG JUST Stakeholder expert group on the Package Travel Directive </w:t>
      </w:r>
    </w:p>
    <w:p w:rsidR="00701C77" w:rsidRDefault="00701C77" w:rsidP="00701C77">
      <w:pPr>
        <w:pStyle w:val="CEABullet-Level1"/>
        <w:numPr>
          <w:ilvl w:val="0"/>
          <w:numId w:val="0"/>
        </w:numPr>
        <w:ind w:left="720"/>
      </w:pPr>
    </w:p>
    <w:p w:rsidR="00701C77" w:rsidRDefault="00701C77" w:rsidP="00701C77">
      <w:pPr>
        <w:pStyle w:val="CEABullet-Level1"/>
        <w:numPr>
          <w:ilvl w:val="0"/>
          <w:numId w:val="0"/>
        </w:numPr>
      </w:pPr>
      <w:r>
        <w:t xml:space="preserve">The Commission’s Directorate-General for Justice and Consumers (DG JUST) has launched a </w:t>
      </w:r>
      <w:hyperlink r:id="rId5" w:history="1">
        <w:r w:rsidRPr="000B2109">
          <w:rPr>
            <w:rStyle w:val="Hypertextovprepojenie"/>
          </w:rPr>
          <w:t xml:space="preserve">call </w:t>
        </w:r>
        <w:r w:rsidRPr="000B2109">
          <w:rPr>
            <w:rStyle w:val="Hypertextovprepojenie"/>
          </w:rPr>
          <w:t>for applications</w:t>
        </w:r>
      </w:hyperlink>
      <w:r>
        <w:t xml:space="preserve"> to a stakeholder expert on the Package Travel and linked travel arrangements </w:t>
      </w:r>
      <w:hyperlink r:id="rId6" w:history="1">
        <w:r>
          <w:rPr>
            <w:rStyle w:val="Hypertextovprepojenie"/>
          </w:rPr>
          <w:t>Directive</w:t>
        </w:r>
      </w:hyperlink>
      <w:r>
        <w:t xml:space="preserve">.  </w:t>
      </w:r>
    </w:p>
    <w:p w:rsidR="00701C77" w:rsidRDefault="00701C77" w:rsidP="00701C77">
      <w:pPr>
        <w:pStyle w:val="CEABullet-Level1"/>
        <w:numPr>
          <w:ilvl w:val="0"/>
          <w:numId w:val="0"/>
        </w:numPr>
      </w:pPr>
    </w:p>
    <w:p w:rsidR="00701C77" w:rsidRDefault="00701C77" w:rsidP="00701C77">
      <w:pPr>
        <w:pStyle w:val="CEABullet-Level1"/>
        <w:numPr>
          <w:ilvl w:val="0"/>
          <w:numId w:val="0"/>
        </w:numPr>
      </w:pPr>
      <w:r>
        <w:t xml:space="preserve">The group’s tasks will be to: </w:t>
      </w:r>
    </w:p>
    <w:p w:rsidR="00701C77" w:rsidRDefault="00701C77" w:rsidP="00701C77">
      <w:pPr>
        <w:pStyle w:val="CEABullet-Level1"/>
      </w:pPr>
      <w:r>
        <w:t>assist the Commission in obtaining information on the application of the Directive and on identifying the potential challenges in its application from the perspective of different stakeholders, and advise the Commission on how to address them;</w:t>
      </w:r>
    </w:p>
    <w:p w:rsidR="00701C77" w:rsidRDefault="00701C77" w:rsidP="00701C77">
      <w:pPr>
        <w:pStyle w:val="CEABullet-Level1"/>
      </w:pPr>
      <w:r>
        <w:t>provide the Commission with advice on how to achieve an appropriate level of awareness about the new legislation among different stakeholders, including businesses and citizens:</w:t>
      </w:r>
    </w:p>
    <w:p w:rsidR="00701C77" w:rsidRDefault="00701C77" w:rsidP="00701C77">
      <w:pPr>
        <w:pStyle w:val="CEABullet-Level1"/>
      </w:pPr>
      <w:r>
        <w:t xml:space="preserve">provide the Commission with advice and expertise in relation to the preparation of the report on click-through bookings; </w:t>
      </w:r>
    </w:p>
    <w:p w:rsidR="00701C77" w:rsidRDefault="00701C77" w:rsidP="00701C77">
      <w:pPr>
        <w:pStyle w:val="CEABullet-Level1"/>
      </w:pPr>
      <w:proofErr w:type="gramStart"/>
      <w:r>
        <w:t>provide</w:t>
      </w:r>
      <w:proofErr w:type="gramEnd"/>
      <w:r>
        <w:t xml:space="preserve"> the Commission with advice and expertise in relation to the preparation of the general report on the application of this Directive.  </w:t>
      </w:r>
    </w:p>
    <w:p w:rsidR="00701C77" w:rsidRDefault="00701C77" w:rsidP="00701C77">
      <w:pPr>
        <w:pStyle w:val="CEABullet-Level1"/>
        <w:numPr>
          <w:ilvl w:val="0"/>
          <w:numId w:val="0"/>
        </w:numPr>
        <w:ind w:left="720"/>
      </w:pPr>
    </w:p>
    <w:p w:rsidR="00701C77" w:rsidRDefault="00701C77" w:rsidP="00701C77">
      <w:pPr>
        <w:pStyle w:val="CEABullet-Level1"/>
        <w:numPr>
          <w:ilvl w:val="0"/>
          <w:numId w:val="0"/>
        </w:numPr>
      </w:pPr>
      <w:r>
        <w:t>The group will be composed of representatives of consumer/traveller associations and business associations active in the travel/tourisms business.</w:t>
      </w:r>
    </w:p>
    <w:p w:rsidR="00701C77" w:rsidRDefault="00701C77" w:rsidP="00701C77">
      <w:pPr>
        <w:pStyle w:val="CEABullet-Level1"/>
        <w:numPr>
          <w:ilvl w:val="0"/>
          <w:numId w:val="0"/>
        </w:numPr>
      </w:pPr>
    </w:p>
    <w:p w:rsidR="00701C77" w:rsidRDefault="00701C77" w:rsidP="00701C77">
      <w:pPr>
        <w:pStyle w:val="CEABullet-Level1"/>
        <w:numPr>
          <w:ilvl w:val="0"/>
          <w:numId w:val="0"/>
        </w:numPr>
      </w:pPr>
      <w:r>
        <w:t>Insurance Europe does not intend to apply for membership in the Expert Group, on grounds that the Directive – which was adopted in 2015 and applies from July 2018 - is in line with Insurance Europe’s position (</w:t>
      </w:r>
      <w:r>
        <w:rPr>
          <w:i/>
        </w:rPr>
        <w:t>see background below</w:t>
      </w:r>
      <w:r>
        <w:t xml:space="preserve">) and that the Package Travel Directive has not been identified as a priority. </w:t>
      </w:r>
    </w:p>
    <w:p w:rsidR="00701C77" w:rsidRDefault="00701C77" w:rsidP="00701C77">
      <w:pPr>
        <w:pStyle w:val="CEABullet-Level1"/>
        <w:numPr>
          <w:ilvl w:val="0"/>
          <w:numId w:val="0"/>
        </w:numPr>
      </w:pPr>
    </w:p>
    <w:p w:rsidR="00701C77" w:rsidRDefault="00701C77" w:rsidP="00701C77">
      <w:pPr>
        <w:pStyle w:val="CEABullet-Level1"/>
        <w:numPr>
          <w:ilvl w:val="0"/>
          <w:numId w:val="0"/>
        </w:numPr>
      </w:pPr>
      <w:r>
        <w:t xml:space="preserve">The deadline for application is </w:t>
      </w:r>
      <w:r>
        <w:rPr>
          <w:b/>
        </w:rPr>
        <w:t>16 July 2018</w:t>
      </w:r>
      <w:r>
        <w:t>.</w:t>
      </w:r>
    </w:p>
    <w:p w:rsidR="00701C77" w:rsidRDefault="00701C77" w:rsidP="00701C77">
      <w:pPr>
        <w:pStyle w:val="CEABullet-Level1"/>
        <w:numPr>
          <w:ilvl w:val="0"/>
          <w:numId w:val="0"/>
        </w:numPr>
      </w:pPr>
    </w:p>
    <w:p w:rsidR="00701C77" w:rsidRDefault="00701C77" w:rsidP="00701C77">
      <w:pPr>
        <w:spacing w:line="240" w:lineRule="auto"/>
        <w:jc w:val="left"/>
        <w:rPr>
          <w:b/>
          <w:i/>
          <w:sz w:val="17"/>
          <w:szCs w:val="17"/>
        </w:rPr>
      </w:pPr>
      <w:r>
        <w:rPr>
          <w:b/>
          <w:i/>
          <w:sz w:val="17"/>
          <w:szCs w:val="17"/>
        </w:rPr>
        <w:t>Background</w:t>
      </w:r>
    </w:p>
    <w:p w:rsidR="00701C77" w:rsidRDefault="00701C77" w:rsidP="00701C77">
      <w:pPr>
        <w:rPr>
          <w:sz w:val="17"/>
          <w:szCs w:val="17"/>
        </w:rPr>
      </w:pPr>
      <w:r>
        <w:rPr>
          <w:sz w:val="17"/>
          <w:szCs w:val="17"/>
        </w:rPr>
        <w:t xml:space="preserve">In July 2013, the EC published a proposal for a </w:t>
      </w:r>
      <w:hyperlink r:id="rId7" w:history="1">
        <w:r>
          <w:rPr>
            <w:rStyle w:val="Hypertextovprepojenie"/>
            <w:color w:val="0000FF"/>
            <w:sz w:val="17"/>
            <w:szCs w:val="17"/>
          </w:rPr>
          <w:t>Directive on package travel and assisted travel arrangements</w:t>
        </w:r>
      </w:hyperlink>
      <w:r>
        <w:rPr>
          <w:sz w:val="17"/>
          <w:szCs w:val="17"/>
        </w:rPr>
        <w:t xml:space="preserve">. The aim of the proposal was to respond to the development of internet distribution and the liberalisation in the airline sector, unnecessary compliance costs and obstacles to cross-border trade, as well as unclear and outdated consumer protection rules. </w:t>
      </w:r>
    </w:p>
    <w:p w:rsidR="00701C77" w:rsidRDefault="00701C77" w:rsidP="00701C77">
      <w:pPr>
        <w:rPr>
          <w:sz w:val="17"/>
          <w:szCs w:val="17"/>
        </w:rPr>
      </w:pPr>
    </w:p>
    <w:p w:rsidR="00701C77" w:rsidRDefault="00701C77" w:rsidP="00701C77">
      <w:pPr>
        <w:rPr>
          <w:sz w:val="17"/>
          <w:szCs w:val="17"/>
        </w:rPr>
      </w:pPr>
      <w:r>
        <w:rPr>
          <w:sz w:val="17"/>
          <w:szCs w:val="17"/>
        </w:rPr>
        <w:t>During the legislative process, Insurance Europe opposed amendments suggested by some MEPs requiring travel organisers to obtain “adequate insurance”, as well as several amendments that aimed to extend the scope of insolvency protection to any “linked” travel services, implying that any cover offered to a travel organiser should also extend to the linked service providers. In comments issued to the EP, Insurance Europe maintained that these amendments were not feasible for the EU-wide insurance sector, as not all markets were capable of offering products to cover the insolvency of travel organisers or their linked travel services. These concerns were taken into account in the final text. Finally, the Directive also addressed Insurance Europe’s related concern by excluding financial services (including insurance) from the scope of the Directive.</w:t>
      </w:r>
    </w:p>
    <w:p w:rsidR="00701C77" w:rsidRDefault="00701C77" w:rsidP="00701C77">
      <w:pPr>
        <w:spacing w:line="240" w:lineRule="auto"/>
        <w:jc w:val="left"/>
        <w:rPr>
          <w:sz w:val="17"/>
          <w:szCs w:val="17"/>
        </w:rPr>
      </w:pPr>
    </w:p>
    <w:p w:rsidR="00701C77" w:rsidRDefault="00701C77" w:rsidP="00701C77">
      <w:pPr>
        <w:spacing w:line="240" w:lineRule="auto"/>
        <w:jc w:val="left"/>
        <w:rPr>
          <w:sz w:val="17"/>
          <w:szCs w:val="17"/>
        </w:rPr>
      </w:pPr>
      <w:r>
        <w:rPr>
          <w:sz w:val="17"/>
          <w:szCs w:val="17"/>
        </w:rPr>
        <w:t>The Directive will apply from 1 July 2018.</w:t>
      </w:r>
    </w:p>
    <w:p w:rsidR="00BF5AE6" w:rsidRDefault="00BF5AE6"/>
    <w:sectPr w:rsidR="00BF5AE6" w:rsidSect="00BF5A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5pt;height:11.5pt" o:bullet="t">
        <v:imagedata r:id="rId1" o:title="CEA - Bullets Rounded Squares_BulletLevel1_forMS"/>
      </v:shape>
    </w:pict>
  </w:numPicBullet>
  <w:abstractNum w:abstractNumId="0">
    <w:nsid w:val="3B237D20"/>
    <w:multiLevelType w:val="hybridMultilevel"/>
    <w:tmpl w:val="CF188422"/>
    <w:lvl w:ilvl="0" w:tplc="1BEA48D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701C77"/>
    <w:rsid w:val="003B0687"/>
    <w:rsid w:val="00701C77"/>
    <w:rsid w:val="00BF5A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1C77"/>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EABullet-Level1">
    <w:name w:val="CEA Bullet - Level 1"/>
    <w:basedOn w:val="Normlny"/>
    <w:qFormat/>
    <w:rsid w:val="00701C77"/>
    <w:pPr>
      <w:numPr>
        <w:numId w:val="1"/>
      </w:numPr>
      <w:autoSpaceDE w:val="0"/>
      <w:autoSpaceDN w:val="0"/>
      <w:adjustRightInd w:val="0"/>
    </w:pPr>
    <w:rPr>
      <w:rFonts w:cs="Frutiger LT Std 45 Light"/>
      <w:color w:val="000000"/>
      <w:sz w:val="17"/>
      <w:szCs w:val="20"/>
    </w:rPr>
  </w:style>
  <w:style w:type="character" w:styleId="Hypertextovprepojenie">
    <w:name w:val="Hyperlink"/>
    <w:basedOn w:val="Predvolenpsmoodseku"/>
    <w:uiPriority w:val="99"/>
    <w:unhideWhenUsed/>
    <w:rsid w:val="00701C77"/>
    <w:rPr>
      <w:color w:val="0000FF" w:themeColor="hyperlink"/>
      <w:u w:val="single"/>
    </w:rPr>
  </w:style>
  <w:style w:type="character" w:styleId="PouitHypertextovPrepojenie">
    <w:name w:val="FollowedHyperlink"/>
    <w:basedOn w:val="Predvolenpsmoodseku"/>
    <w:uiPriority w:val="99"/>
    <w:semiHidden/>
    <w:unhideWhenUsed/>
    <w:rsid w:val="00701C7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c.europa.eu/justice/consumer-marketing/files/com_2013_512_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EN/TXT/?uri=CELEX%3A32015L2302" TargetMode="External"/><Relationship Id="rId5" Type="http://schemas.openxmlformats.org/officeDocument/2006/relationships/hyperlink" Target="https://eiopa.europa.eu/Publications/Meetings/EIOPA-IRSG-18-04_Summary_of_conclusions_mtg_07.02.2018.pdf"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2605</Characters>
  <Application>Microsoft Office Word</Application>
  <DocSecurity>0</DocSecurity>
  <Lines>21</Lines>
  <Paragraphs>6</Paragraphs>
  <ScaleCrop>false</ScaleCrop>
  <Company>Hewlett-Packard Company</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jurkovicova</dc:creator>
  <cp:lastModifiedBy>jurkovicova</cp:lastModifiedBy>
  <cp:revision>1</cp:revision>
  <dcterms:created xsi:type="dcterms:W3CDTF">2018-06-25T11:25:00Z</dcterms:created>
  <dcterms:modified xsi:type="dcterms:W3CDTF">2018-06-25T11:26:00Z</dcterms:modified>
</cp:coreProperties>
</file>