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Verdana" w:hAnsi="Verdana"/>
          <w:noProof/>
          <w:lang w:eastAsia="en-GB"/>
        </w:rPr>
        <w:id w:val="2000993162"/>
        <w:lock w:val="contentLocked"/>
        <w:picture/>
      </w:sdtPr>
      <w:sdtEndPr/>
      <w:sdtContent>
        <w:p w:rsidR="00DA61E7" w:rsidRPr="00DA61E7" w:rsidRDefault="00DA61E7" w:rsidP="00DA61E7">
          <w:pPr>
            <w:spacing w:before="120" w:after="0" w:line="240" w:lineRule="auto"/>
            <w:jc w:val="center"/>
            <w:rPr>
              <w:rFonts w:ascii="Verdana" w:hAnsi="Verdana"/>
            </w:rPr>
          </w:pPr>
          <w:r w:rsidRPr="00DA61E7">
            <w:rPr>
              <w:rFonts w:ascii="Verdana" w:hAnsi="Verdana"/>
              <w:noProof/>
              <w:lang w:eastAsia="en-GB"/>
            </w:rPr>
            <w:drawing>
              <wp:inline distT="0" distB="0" distL="0" distR="0" wp14:anchorId="7EE06F0C" wp14:editId="03112EB4">
                <wp:extent cx="1800000" cy="12274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rsidR="00DA61E7" w:rsidRPr="00DA61E7" w:rsidRDefault="00DA61E7" w:rsidP="00DA61E7">
      <w:pPr>
        <w:tabs>
          <w:tab w:val="left" w:pos="1480"/>
        </w:tabs>
        <w:spacing w:after="0" w:line="240" w:lineRule="auto"/>
        <w:jc w:val="right"/>
        <w:rPr>
          <w:rFonts w:ascii="Verdana" w:hAnsi="Verdana"/>
          <w:sz w:val="20"/>
          <w:szCs w:val="20"/>
        </w:rPr>
      </w:pPr>
    </w:p>
    <w:p w:rsidR="00DA61E7" w:rsidRPr="00DA61E7" w:rsidRDefault="003D6369" w:rsidP="00DA61E7">
      <w:pPr>
        <w:tabs>
          <w:tab w:val="left" w:pos="1480"/>
        </w:tabs>
        <w:spacing w:after="0" w:line="240" w:lineRule="auto"/>
        <w:jc w:val="right"/>
        <w:rPr>
          <w:rFonts w:ascii="Verdana" w:hAnsi="Verdana"/>
          <w:color w:val="FF0000"/>
          <w:sz w:val="20"/>
          <w:szCs w:val="20"/>
        </w:rPr>
      </w:pPr>
      <w:sdt>
        <w:sdtPr>
          <w:rPr>
            <w:rFonts w:ascii="Verdana" w:hAnsi="Verdana"/>
            <w:color w:val="FF0000"/>
            <w:sz w:val="20"/>
            <w:szCs w:val="20"/>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sdtContent>
          <w:r w:rsidR="00103B22">
            <w:rPr>
              <w:rFonts w:ascii="Verdana" w:hAnsi="Verdana"/>
              <w:color w:val="FF0000"/>
              <w:sz w:val="20"/>
              <w:szCs w:val="20"/>
            </w:rPr>
            <w:t xml:space="preserve"> </w:t>
          </w:r>
        </w:sdtContent>
      </w:sdt>
      <w:r w:rsidR="00DA61E7" w:rsidRPr="00DA61E7">
        <w:rPr>
          <w:rFonts w:ascii="Verdana" w:hAnsi="Verdana"/>
          <w:color w:val="FF0000"/>
          <w:sz w:val="20"/>
          <w:szCs w:val="20"/>
        </w:rPr>
        <w:t xml:space="preserve"> </w:t>
      </w:r>
    </w:p>
    <w:p w:rsidR="00DA61E7" w:rsidRPr="00DA61E7" w:rsidRDefault="003D6369" w:rsidP="00DA61E7">
      <w:pPr>
        <w:tabs>
          <w:tab w:val="left" w:pos="1480"/>
        </w:tabs>
        <w:spacing w:after="0" w:line="240" w:lineRule="auto"/>
        <w:jc w:val="right"/>
        <w:rPr>
          <w:rFonts w:ascii="Verdana" w:hAnsi="Verdana"/>
          <w:sz w:val="20"/>
          <w:szCs w:val="20"/>
        </w:rPr>
      </w:pPr>
      <w:sdt>
        <w:sdtPr>
          <w:rPr>
            <w:rFonts w:ascii="Verdana" w:hAnsi="Verdana"/>
            <w:sz w:val="20"/>
            <w:szCs w:val="20"/>
          </w:rPr>
          <w:id w:val="2079789613"/>
        </w:sdtPr>
        <w:sdtEndPr/>
        <w:sdtContent>
          <w:r w:rsidR="00DA61E7" w:rsidRPr="00DA61E7">
            <w:rPr>
              <w:rFonts w:ascii="Verdana" w:hAnsi="Verdana"/>
              <w:sz w:val="20"/>
              <w:szCs w:val="20"/>
            </w:rPr>
            <w:fldChar w:fldCharType="begin">
              <w:ffData>
                <w:name w:val=""/>
                <w:enabled/>
                <w:calcOnExit w:val="0"/>
                <w:textInput>
                  <w:maxLength w:val="30"/>
                </w:textInput>
              </w:ffData>
            </w:fldChar>
          </w:r>
          <w:r w:rsidR="00DA61E7" w:rsidRPr="00DA61E7">
            <w:rPr>
              <w:rFonts w:ascii="Verdana" w:hAnsi="Verdana"/>
              <w:sz w:val="20"/>
              <w:szCs w:val="20"/>
            </w:rPr>
            <w:instrText xml:space="preserve"> FORMTEXT </w:instrText>
          </w:r>
          <w:r w:rsidR="00DA61E7" w:rsidRPr="00DA61E7">
            <w:rPr>
              <w:rFonts w:ascii="Verdana" w:hAnsi="Verdana"/>
              <w:sz w:val="20"/>
              <w:szCs w:val="20"/>
            </w:rPr>
          </w:r>
          <w:r w:rsidR="00DA61E7" w:rsidRPr="00DA61E7">
            <w:rPr>
              <w:rFonts w:ascii="Verdana" w:hAnsi="Verdana"/>
              <w:sz w:val="20"/>
              <w:szCs w:val="20"/>
            </w:rPr>
            <w:fldChar w:fldCharType="separate"/>
          </w:r>
          <w:r w:rsidR="00DA61E7" w:rsidRPr="00DA61E7">
            <w:rPr>
              <w:rFonts w:ascii="Verdana" w:hAnsi="Verdana"/>
              <w:noProof/>
              <w:sz w:val="20"/>
              <w:szCs w:val="20"/>
            </w:rPr>
            <w:t> </w:t>
          </w:r>
          <w:r w:rsidR="00DA61E7" w:rsidRPr="00DA61E7">
            <w:rPr>
              <w:rFonts w:ascii="Verdana" w:hAnsi="Verdana"/>
              <w:noProof/>
              <w:sz w:val="20"/>
              <w:szCs w:val="20"/>
            </w:rPr>
            <w:t> </w:t>
          </w:r>
          <w:r w:rsidR="00DA61E7" w:rsidRPr="00DA61E7">
            <w:rPr>
              <w:rFonts w:ascii="Verdana" w:hAnsi="Verdana"/>
              <w:noProof/>
              <w:sz w:val="20"/>
              <w:szCs w:val="20"/>
            </w:rPr>
            <w:t> </w:t>
          </w:r>
          <w:r w:rsidR="00DA61E7" w:rsidRPr="00DA61E7">
            <w:rPr>
              <w:rFonts w:ascii="Verdana" w:hAnsi="Verdana"/>
              <w:noProof/>
              <w:sz w:val="20"/>
              <w:szCs w:val="20"/>
            </w:rPr>
            <w:t> </w:t>
          </w:r>
          <w:r w:rsidR="00DA61E7" w:rsidRPr="00DA61E7">
            <w:rPr>
              <w:rFonts w:ascii="Verdana" w:hAnsi="Verdana"/>
              <w:noProof/>
              <w:sz w:val="20"/>
              <w:szCs w:val="20"/>
            </w:rPr>
            <w:t> </w:t>
          </w:r>
          <w:r w:rsidR="00DA61E7" w:rsidRPr="00DA61E7">
            <w:rPr>
              <w:rFonts w:ascii="Verdana" w:hAnsi="Verdana"/>
              <w:sz w:val="20"/>
              <w:szCs w:val="20"/>
            </w:rPr>
            <w:fldChar w:fldCharType="end"/>
          </w:r>
        </w:sdtContent>
      </w:sdt>
    </w:p>
    <w:p w:rsidR="00DA61E7" w:rsidRPr="003D6369" w:rsidRDefault="00DA61E7" w:rsidP="00DA61E7">
      <w:pPr>
        <w:tabs>
          <w:tab w:val="left" w:pos="1480"/>
        </w:tabs>
        <w:spacing w:after="0" w:line="240" w:lineRule="auto"/>
        <w:jc w:val="right"/>
        <w:rPr>
          <w:rFonts w:ascii="Verdana" w:hAnsi="Verdana"/>
          <w:sz w:val="20"/>
          <w:szCs w:val="20"/>
        </w:rPr>
      </w:pPr>
      <w:r w:rsidRPr="003D6369">
        <w:rPr>
          <w:rFonts w:ascii="Verdana" w:hAnsi="Verdana"/>
          <w:sz w:val="20"/>
          <w:szCs w:val="20"/>
        </w:rPr>
        <w:t>EIOPA-</w:t>
      </w:r>
      <w:sdt>
        <w:sdtPr>
          <w:rPr>
            <w:rFonts w:ascii="Verdana" w:hAnsi="Verdana"/>
            <w:sz w:val="20"/>
            <w:szCs w:val="20"/>
          </w:rPr>
          <w:id w:val="-1605414361"/>
        </w:sdtPr>
        <w:sdtEndPr/>
        <w:sdtContent>
          <w:r w:rsidR="00670226" w:rsidRPr="003D6369">
            <w:rPr>
              <w:rFonts w:ascii="Verdana" w:hAnsi="Verdana"/>
              <w:sz w:val="20"/>
              <w:szCs w:val="20"/>
              <w:highlight w:val="yellow"/>
            </w:rPr>
            <w:t>IPC</w:t>
          </w:r>
          <w:r w:rsidR="006869C1" w:rsidRPr="003D6369">
            <w:rPr>
              <w:rFonts w:ascii="Verdana" w:hAnsi="Verdana"/>
              <w:sz w:val="20"/>
              <w:szCs w:val="20"/>
              <w:highlight w:val="yellow"/>
            </w:rPr>
            <w:t>-</w:t>
          </w:r>
          <w:r w:rsidR="00670226" w:rsidRPr="003D6369">
            <w:rPr>
              <w:rFonts w:ascii="Verdana" w:hAnsi="Verdana"/>
              <w:sz w:val="20"/>
              <w:szCs w:val="20"/>
              <w:highlight w:val="yellow"/>
            </w:rPr>
            <w:t>17</w:t>
          </w:r>
          <w:r w:rsidRPr="003D6369">
            <w:rPr>
              <w:rFonts w:ascii="Verdana" w:hAnsi="Verdana"/>
              <w:sz w:val="20"/>
              <w:szCs w:val="20"/>
              <w:highlight w:val="yellow"/>
            </w:rPr>
            <w:t>/</w:t>
          </w:r>
          <w:r w:rsidR="00670226" w:rsidRPr="003D6369">
            <w:rPr>
              <w:rFonts w:ascii="Verdana" w:hAnsi="Verdana"/>
              <w:sz w:val="20"/>
              <w:szCs w:val="20"/>
            </w:rPr>
            <w:t>027</w:t>
          </w:r>
        </w:sdtContent>
      </w:sdt>
      <w:r w:rsidRPr="003D6369">
        <w:rPr>
          <w:rFonts w:ascii="Verdana" w:hAnsi="Verdana"/>
          <w:sz w:val="20"/>
          <w:szCs w:val="20"/>
        </w:rPr>
        <w:br/>
      </w:r>
      <w:sdt>
        <w:sdtPr>
          <w:rPr>
            <w:rFonts w:ascii="Verdana" w:hAnsi="Verdana"/>
            <w:sz w:val="20"/>
            <w:szCs w:val="20"/>
          </w:rPr>
          <w:id w:val="-113525082"/>
        </w:sdtPr>
        <w:sdtEndPr/>
        <w:sdtContent>
          <w:r w:rsidR="00670226" w:rsidRPr="003D6369">
            <w:rPr>
              <w:rFonts w:ascii="Verdana" w:hAnsi="Verdana"/>
              <w:sz w:val="20"/>
              <w:szCs w:val="20"/>
            </w:rPr>
            <w:t>19</w:t>
          </w:r>
          <w:r w:rsidR="00677C84" w:rsidRPr="003D6369">
            <w:rPr>
              <w:rFonts w:ascii="Verdana" w:hAnsi="Verdana"/>
              <w:sz w:val="20"/>
              <w:szCs w:val="20"/>
            </w:rPr>
            <w:t xml:space="preserve"> </w:t>
          </w:r>
          <w:r w:rsidR="002358C8" w:rsidRPr="003D6369">
            <w:rPr>
              <w:rFonts w:ascii="Verdana" w:hAnsi="Verdana"/>
              <w:sz w:val="20"/>
              <w:szCs w:val="20"/>
            </w:rPr>
            <w:t>April</w:t>
          </w:r>
          <w:r w:rsidR="00EF2761" w:rsidRPr="003D6369">
            <w:rPr>
              <w:rFonts w:ascii="Verdana" w:hAnsi="Verdana"/>
              <w:sz w:val="20"/>
              <w:szCs w:val="20"/>
            </w:rPr>
            <w:t xml:space="preserve"> 201</w:t>
          </w:r>
          <w:r w:rsidR="00B437ED" w:rsidRPr="003D6369">
            <w:rPr>
              <w:rFonts w:ascii="Verdana" w:hAnsi="Verdana"/>
              <w:sz w:val="20"/>
              <w:szCs w:val="20"/>
            </w:rPr>
            <w:t>7</w:t>
          </w:r>
        </w:sdtContent>
      </w:sdt>
    </w:p>
    <w:p w:rsidR="00DA61E7" w:rsidRPr="003D6369" w:rsidRDefault="00DA61E7">
      <w:pPr>
        <w:rPr>
          <w:rFonts w:ascii="Verdana" w:hAnsi="Verdana"/>
          <w:b/>
          <w:sz w:val="28"/>
          <w:szCs w:val="28"/>
        </w:rPr>
      </w:pPr>
    </w:p>
    <w:p w:rsidR="00DA61E7" w:rsidRDefault="00677C84" w:rsidP="00533DF8">
      <w:pPr>
        <w:jc w:val="center"/>
        <w:rPr>
          <w:rFonts w:ascii="Verdana" w:hAnsi="Verdana"/>
          <w:b/>
          <w:sz w:val="28"/>
          <w:szCs w:val="28"/>
        </w:rPr>
      </w:pPr>
      <w:r>
        <w:rPr>
          <w:rFonts w:ascii="Verdana" w:hAnsi="Verdana"/>
          <w:b/>
          <w:sz w:val="28"/>
          <w:szCs w:val="28"/>
        </w:rPr>
        <w:t>SCR review project</w:t>
      </w:r>
    </w:p>
    <w:p w:rsidR="00467F8C" w:rsidRPr="001F4FC0" w:rsidRDefault="00F00569" w:rsidP="00533DF8">
      <w:pPr>
        <w:jc w:val="center"/>
        <w:rPr>
          <w:rFonts w:ascii="Verdana" w:hAnsi="Verdana"/>
          <w:b/>
          <w:sz w:val="28"/>
          <w:szCs w:val="28"/>
        </w:rPr>
      </w:pPr>
      <w:r>
        <w:rPr>
          <w:rFonts w:ascii="Verdana" w:hAnsi="Verdana"/>
          <w:b/>
          <w:sz w:val="28"/>
          <w:szCs w:val="28"/>
        </w:rPr>
        <w:t>M</w:t>
      </w:r>
      <w:r w:rsidR="002358C8" w:rsidRPr="002358C8">
        <w:rPr>
          <w:rFonts w:ascii="Verdana" w:hAnsi="Verdana"/>
          <w:b/>
          <w:sz w:val="28"/>
          <w:szCs w:val="28"/>
        </w:rPr>
        <w:t xml:space="preserve">andate to the SCR review Project Group’s work stream on the catastrophe risk module </w:t>
      </w:r>
      <w:r w:rsidR="0095798C">
        <w:rPr>
          <w:rFonts w:ascii="Verdana" w:hAnsi="Verdana"/>
          <w:b/>
          <w:sz w:val="28"/>
          <w:szCs w:val="28"/>
        </w:rPr>
        <w:t>(CAT WS) – Proposals for simplifications</w:t>
      </w:r>
    </w:p>
    <w:p w:rsidR="001F4FC0" w:rsidRDefault="001F4FC0">
      <w:pPr>
        <w:rPr>
          <w:rFonts w:ascii="Verdana" w:hAnsi="Verdana"/>
        </w:rPr>
      </w:pPr>
    </w:p>
    <w:p w:rsidR="002358C8" w:rsidRPr="002358C8" w:rsidRDefault="002358C8" w:rsidP="002358C8">
      <w:pPr>
        <w:jc w:val="both"/>
        <w:rPr>
          <w:rFonts w:ascii="Verdana" w:hAnsi="Verdana"/>
        </w:rPr>
      </w:pPr>
      <w:r w:rsidRPr="002358C8">
        <w:rPr>
          <w:rFonts w:ascii="Verdana" w:hAnsi="Verdana"/>
        </w:rPr>
        <w:t xml:space="preserve">As part of its </w:t>
      </w:r>
      <w:r w:rsidR="001E03C4">
        <w:rPr>
          <w:rFonts w:ascii="Verdana" w:hAnsi="Verdana"/>
        </w:rPr>
        <w:t xml:space="preserve">18 July 2016 </w:t>
      </w:r>
      <w:r w:rsidRPr="002358C8">
        <w:rPr>
          <w:rFonts w:ascii="Verdana" w:hAnsi="Verdana"/>
        </w:rPr>
        <w:t xml:space="preserve">Call for Advice, the European Commission </w:t>
      </w:r>
      <w:r w:rsidR="00DE6BE3">
        <w:rPr>
          <w:rFonts w:ascii="Verdana" w:hAnsi="Verdana"/>
        </w:rPr>
        <w:t xml:space="preserve">(EC) </w:t>
      </w:r>
      <w:r w:rsidRPr="002358C8">
        <w:rPr>
          <w:rFonts w:ascii="Verdana" w:hAnsi="Verdana"/>
        </w:rPr>
        <w:t>requested EIOPA to provide input on the “Proportionate and simplified application of the requirements” of the Commission Delegated Regulation (EU) 2015/35 with respect to the catastrophe risk module. This mandate sets out which simplifications within the sub-modules for</w:t>
      </w:r>
    </w:p>
    <w:p w:rsidR="002358C8" w:rsidRPr="002358C8" w:rsidRDefault="002358C8" w:rsidP="002358C8">
      <w:pPr>
        <w:pStyle w:val="ListParagraph"/>
        <w:numPr>
          <w:ilvl w:val="0"/>
          <w:numId w:val="27"/>
        </w:numPr>
        <w:jc w:val="both"/>
        <w:rPr>
          <w:rFonts w:ascii="Verdana" w:hAnsi="Verdana"/>
        </w:rPr>
      </w:pPr>
      <w:r w:rsidRPr="002358C8">
        <w:rPr>
          <w:rFonts w:ascii="Verdana" w:hAnsi="Verdana"/>
        </w:rPr>
        <w:t>Natural catastrophe risk</w:t>
      </w:r>
    </w:p>
    <w:p w:rsidR="002358C8" w:rsidRPr="002358C8" w:rsidRDefault="002358C8" w:rsidP="002358C8">
      <w:pPr>
        <w:pStyle w:val="ListParagraph"/>
        <w:numPr>
          <w:ilvl w:val="0"/>
          <w:numId w:val="27"/>
        </w:numPr>
        <w:jc w:val="both"/>
        <w:rPr>
          <w:rFonts w:ascii="Verdana" w:hAnsi="Verdana"/>
        </w:rPr>
      </w:pPr>
      <w:r w:rsidRPr="002358C8">
        <w:rPr>
          <w:rFonts w:ascii="Verdana" w:hAnsi="Verdana"/>
        </w:rPr>
        <w:t>Health catastrophe risk and</w:t>
      </w:r>
    </w:p>
    <w:p w:rsidR="002358C8" w:rsidRPr="002358C8" w:rsidRDefault="002358C8" w:rsidP="002358C8">
      <w:pPr>
        <w:pStyle w:val="ListParagraph"/>
        <w:numPr>
          <w:ilvl w:val="0"/>
          <w:numId w:val="27"/>
        </w:numPr>
        <w:jc w:val="both"/>
        <w:rPr>
          <w:rFonts w:ascii="Verdana" w:hAnsi="Verdana"/>
        </w:rPr>
      </w:pPr>
      <w:r w:rsidRPr="002358C8">
        <w:rPr>
          <w:rFonts w:ascii="Verdana" w:hAnsi="Verdana"/>
        </w:rPr>
        <w:t xml:space="preserve">Man-made catastrophe risk </w:t>
      </w:r>
    </w:p>
    <w:p w:rsidR="002358C8" w:rsidRDefault="002358C8" w:rsidP="002358C8">
      <w:pPr>
        <w:jc w:val="both"/>
        <w:rPr>
          <w:rFonts w:ascii="Verdana" w:hAnsi="Verdana"/>
        </w:rPr>
      </w:pPr>
      <w:proofErr w:type="gramStart"/>
      <w:r w:rsidRPr="002358C8">
        <w:rPr>
          <w:rFonts w:ascii="Verdana" w:hAnsi="Verdana"/>
        </w:rPr>
        <w:t>should</w:t>
      </w:r>
      <w:proofErr w:type="gramEnd"/>
      <w:r w:rsidRPr="002358C8">
        <w:rPr>
          <w:rFonts w:ascii="Verdana" w:hAnsi="Verdana"/>
        </w:rPr>
        <w:t xml:space="preserve"> be examined in the Catastrophe risk Work Stream (CAT WS) in order to provide input to the SCR review Project Group. Expert knowledge in the CAT WS shall be used to ensure that the envisaged simplification of the calculation is still compliant with the definition of the </w:t>
      </w:r>
      <w:r w:rsidR="00CF6483">
        <w:rPr>
          <w:rFonts w:ascii="Verdana" w:hAnsi="Verdana"/>
        </w:rPr>
        <w:t>Solvency Capital Requirement (</w:t>
      </w:r>
      <w:r w:rsidRPr="002358C8">
        <w:rPr>
          <w:rFonts w:ascii="Verdana" w:hAnsi="Verdana"/>
        </w:rPr>
        <w:t>SCR</w:t>
      </w:r>
      <w:r w:rsidR="00CF6483">
        <w:rPr>
          <w:rFonts w:ascii="Verdana" w:hAnsi="Verdana"/>
        </w:rPr>
        <w:t>)</w:t>
      </w:r>
      <w:r w:rsidRPr="002358C8">
        <w:rPr>
          <w:rFonts w:ascii="Verdana" w:hAnsi="Verdana"/>
        </w:rPr>
        <w:t xml:space="preserve"> and is prudent enough. </w:t>
      </w:r>
    </w:p>
    <w:p w:rsidR="002358C8" w:rsidRPr="002F7E69" w:rsidRDefault="001E03C4" w:rsidP="002358C8">
      <w:pPr>
        <w:jc w:val="both"/>
        <w:rPr>
          <w:rFonts w:ascii="Verdana" w:hAnsi="Verdana"/>
        </w:rPr>
      </w:pPr>
      <w:r w:rsidRPr="002F7E69">
        <w:rPr>
          <w:rFonts w:ascii="Verdana" w:hAnsi="Verdana"/>
        </w:rPr>
        <w:t xml:space="preserve">Building on responses to the Public Consultation on the SCR review launched in December 2016, </w:t>
      </w:r>
      <w:r w:rsidR="00262A75" w:rsidRPr="002F7E69">
        <w:rPr>
          <w:rFonts w:ascii="Verdana" w:hAnsi="Verdana"/>
        </w:rPr>
        <w:t>potential</w:t>
      </w:r>
      <w:r w:rsidRPr="002F7E69">
        <w:rPr>
          <w:rFonts w:ascii="Verdana" w:hAnsi="Verdana"/>
        </w:rPr>
        <w:t xml:space="preserve"> items for discussion in the CAT WS </w:t>
      </w:r>
      <w:r w:rsidR="00262A75" w:rsidRPr="002F7E69">
        <w:rPr>
          <w:rFonts w:ascii="Verdana" w:hAnsi="Verdana"/>
        </w:rPr>
        <w:t>were considered within the SCR Review Project Group and the collection presented in this note was assessed to be relevant for supervisors and industry. The propos</w:t>
      </w:r>
      <w:r w:rsidR="002F7E69" w:rsidRPr="002F7E69">
        <w:rPr>
          <w:rFonts w:ascii="Verdana" w:hAnsi="Verdana"/>
        </w:rPr>
        <w:t>ed simplifications will help to increase proportionality of implementation of the Solvency II regulatory framework.</w:t>
      </w:r>
    </w:p>
    <w:p w:rsidR="00BC1E71" w:rsidRDefault="00BC1E71">
      <w:pPr>
        <w:rPr>
          <w:rFonts w:ascii="Verdana" w:hAnsi="Verdana"/>
        </w:rPr>
      </w:pPr>
      <w:r>
        <w:rPr>
          <w:rFonts w:ascii="Verdana" w:hAnsi="Verdana"/>
        </w:rPr>
        <w:br w:type="page"/>
      </w:r>
    </w:p>
    <w:p w:rsidR="0095798C" w:rsidRPr="0095798C" w:rsidRDefault="0095798C" w:rsidP="0095798C">
      <w:pPr>
        <w:jc w:val="both"/>
        <w:rPr>
          <w:rFonts w:ascii="Verdana" w:hAnsi="Verdana"/>
          <w:b/>
          <w:bCs/>
        </w:rPr>
      </w:pPr>
      <w:r w:rsidRPr="0095798C">
        <w:rPr>
          <w:rFonts w:ascii="Verdana" w:hAnsi="Verdana"/>
          <w:b/>
          <w:bCs/>
        </w:rPr>
        <w:lastRenderedPageBreak/>
        <w:t>Simplifications within the Natural Catastrophes Risk module:</w:t>
      </w:r>
    </w:p>
    <w:p w:rsidR="0095798C" w:rsidRPr="0095798C" w:rsidRDefault="0095798C" w:rsidP="003D6369">
      <w:pPr>
        <w:jc w:val="both"/>
        <w:rPr>
          <w:rFonts w:ascii="Verdana" w:hAnsi="Verdana"/>
        </w:rPr>
      </w:pPr>
      <w:r w:rsidRPr="0095798C">
        <w:rPr>
          <w:rFonts w:ascii="Verdana" w:hAnsi="Verdana"/>
        </w:rPr>
        <w:t>In the discussion paper, EIOPA has asked for stakeholders’ feedback on a possible simplification to reduce the granularity of the calculation of the natural catastrophe risk.</w:t>
      </w:r>
    </w:p>
    <w:p w:rsidR="0095798C" w:rsidRPr="0095798C" w:rsidRDefault="0095798C" w:rsidP="003D6369">
      <w:pPr>
        <w:jc w:val="both"/>
        <w:rPr>
          <w:rFonts w:ascii="Verdana" w:hAnsi="Verdana"/>
        </w:rPr>
      </w:pPr>
      <w:r w:rsidRPr="0095798C">
        <w:rPr>
          <w:rFonts w:ascii="Verdana" w:hAnsi="Verdana"/>
        </w:rPr>
        <w:t xml:space="preserve">The feedback from stakeholders reveals that simplifying the granularity of the standard formula is not always interpreted as a must. </w:t>
      </w:r>
    </w:p>
    <w:p w:rsidR="0095798C" w:rsidRPr="0095798C" w:rsidRDefault="0095798C" w:rsidP="0095798C">
      <w:pPr>
        <w:rPr>
          <w:rFonts w:ascii="Verdana" w:hAnsi="Verdana"/>
        </w:rPr>
      </w:pPr>
      <w:r w:rsidRPr="0095798C">
        <w:rPr>
          <w:rFonts w:ascii="Verdana" w:hAnsi="Verdana"/>
        </w:rPr>
        <w:t>The main motives sustaining such position seem to be:</w:t>
      </w:r>
    </w:p>
    <w:p w:rsidR="0095798C" w:rsidRPr="0095798C" w:rsidRDefault="0095798C" w:rsidP="0095798C">
      <w:pPr>
        <w:numPr>
          <w:ilvl w:val="0"/>
          <w:numId w:val="28"/>
        </w:numPr>
        <w:contextualSpacing/>
        <w:jc w:val="both"/>
        <w:rPr>
          <w:rFonts w:ascii="Verdana" w:hAnsi="Verdana"/>
        </w:rPr>
      </w:pPr>
      <w:r w:rsidRPr="0095798C">
        <w:rPr>
          <w:rFonts w:ascii="Verdana" w:hAnsi="Verdana"/>
        </w:rPr>
        <w:t>The complexity of these risks needs to be tackled by a relatively complex/granular approach, in order to ensure appropriate risk descriptiveness;</w:t>
      </w:r>
    </w:p>
    <w:p w:rsidR="0095798C" w:rsidRPr="0095798C" w:rsidRDefault="0095798C" w:rsidP="0095798C">
      <w:pPr>
        <w:numPr>
          <w:ilvl w:val="0"/>
          <w:numId w:val="28"/>
        </w:numPr>
        <w:contextualSpacing/>
        <w:jc w:val="both"/>
        <w:rPr>
          <w:rFonts w:ascii="Verdana" w:hAnsi="Verdana"/>
        </w:rPr>
      </w:pPr>
      <w:r w:rsidRPr="0095798C">
        <w:rPr>
          <w:rFonts w:ascii="Verdana" w:hAnsi="Verdana"/>
        </w:rPr>
        <w:t>The burden of computing the SCR for Nat CAT is likely to decrease through time, as undertakings have already invested resources to fit into the Standard Formula approach to natural catastrophe risks as it stands;</w:t>
      </w:r>
    </w:p>
    <w:p w:rsidR="0095798C" w:rsidRPr="0095798C" w:rsidRDefault="0095798C" w:rsidP="00870451">
      <w:pPr>
        <w:numPr>
          <w:ilvl w:val="0"/>
          <w:numId w:val="28"/>
        </w:numPr>
        <w:ind w:left="714" w:hanging="357"/>
        <w:jc w:val="both"/>
        <w:rPr>
          <w:rFonts w:ascii="Verdana" w:hAnsi="Verdana"/>
        </w:rPr>
      </w:pPr>
      <w:r w:rsidRPr="0095798C">
        <w:rPr>
          <w:rFonts w:ascii="Verdana" w:hAnsi="Verdana"/>
        </w:rPr>
        <w:t>There also seems to exist the concern that simplifying/reducing the granularity would be paired with prudence (e.g. merging risk zones and take the most aggravated coefficient for the corresponding aggregate expose), hence increasing the SCR (since granularity creates more diversification effect).</w:t>
      </w:r>
    </w:p>
    <w:p w:rsidR="0095798C" w:rsidRPr="0095798C" w:rsidRDefault="0095798C" w:rsidP="0095798C">
      <w:pPr>
        <w:jc w:val="both"/>
        <w:rPr>
          <w:rFonts w:ascii="Verdana" w:hAnsi="Verdana"/>
        </w:rPr>
      </w:pPr>
      <w:r w:rsidRPr="0095798C">
        <w:rPr>
          <w:rFonts w:ascii="Verdana" w:hAnsi="Verdana"/>
        </w:rPr>
        <w:t xml:space="preserve">These comments </w:t>
      </w:r>
      <w:r w:rsidR="00E70A6D">
        <w:rPr>
          <w:rFonts w:ascii="Verdana" w:hAnsi="Verdana"/>
        </w:rPr>
        <w:t>are helpful to respond</w:t>
      </w:r>
      <w:r w:rsidRPr="0095798C">
        <w:rPr>
          <w:rFonts w:ascii="Verdana" w:hAnsi="Verdana"/>
        </w:rPr>
        <w:t xml:space="preserve"> </w:t>
      </w:r>
      <w:r w:rsidR="00894FB5">
        <w:rPr>
          <w:rFonts w:ascii="Verdana" w:hAnsi="Verdana"/>
        </w:rPr>
        <w:t xml:space="preserve">to </w:t>
      </w:r>
      <w:r w:rsidRPr="0095798C">
        <w:rPr>
          <w:rFonts w:ascii="Verdana" w:hAnsi="Verdana"/>
        </w:rPr>
        <w:t xml:space="preserve">the </w:t>
      </w:r>
      <w:r w:rsidR="00DC55B2">
        <w:rPr>
          <w:rFonts w:ascii="Verdana" w:hAnsi="Verdana"/>
        </w:rPr>
        <w:t>EC’s</w:t>
      </w:r>
      <w:r w:rsidR="00DC55B2" w:rsidRPr="0095798C">
        <w:rPr>
          <w:rFonts w:ascii="Verdana" w:hAnsi="Verdana"/>
        </w:rPr>
        <w:t xml:space="preserve"> </w:t>
      </w:r>
      <w:r w:rsidRPr="0095798C">
        <w:rPr>
          <w:rFonts w:ascii="Verdana" w:hAnsi="Verdana"/>
        </w:rPr>
        <w:t xml:space="preserve">request </w:t>
      </w:r>
      <w:r w:rsidR="00DC55B2">
        <w:rPr>
          <w:rFonts w:ascii="Verdana" w:hAnsi="Verdana"/>
        </w:rPr>
        <w:t>to</w:t>
      </w:r>
      <w:r w:rsidRPr="0095798C">
        <w:rPr>
          <w:rFonts w:ascii="Verdana" w:hAnsi="Verdana"/>
        </w:rPr>
        <w:t xml:space="preserve"> EIOPA </w:t>
      </w:r>
      <w:r w:rsidR="00E70A6D">
        <w:rPr>
          <w:rFonts w:ascii="Verdana" w:hAnsi="Verdana"/>
        </w:rPr>
        <w:t xml:space="preserve">to assess </w:t>
      </w:r>
      <w:r w:rsidRPr="0095798C">
        <w:rPr>
          <w:rFonts w:ascii="Verdana" w:hAnsi="Verdana"/>
        </w:rPr>
        <w:t xml:space="preserve">the complexity of the natural catastrophe risk sub-module (namely proportionality to the nature, scale and complexity of the risks), as they address the issue particularly for small or medium-sized undertakings (at least from the catastrophe exposure angle). In </w:t>
      </w:r>
      <w:r w:rsidR="00DC0F91">
        <w:rPr>
          <w:rFonts w:ascii="Verdana" w:hAnsi="Verdana"/>
        </w:rPr>
        <w:t>broad terms,</w:t>
      </w:r>
      <w:r w:rsidRPr="0095798C">
        <w:rPr>
          <w:rFonts w:ascii="Verdana" w:hAnsi="Verdana"/>
        </w:rPr>
        <w:t xml:space="preserve"> </w:t>
      </w:r>
      <w:r w:rsidR="00F00569">
        <w:rPr>
          <w:rFonts w:ascii="Verdana" w:hAnsi="Verdana"/>
        </w:rPr>
        <w:t>stakeholders express in the comments received that</w:t>
      </w:r>
      <w:r w:rsidRPr="0095798C">
        <w:rPr>
          <w:rFonts w:ascii="Verdana" w:hAnsi="Verdana"/>
        </w:rPr>
        <w:t xml:space="preserve"> simplification </w:t>
      </w:r>
      <w:r w:rsidR="00DC0F91">
        <w:rPr>
          <w:rFonts w:ascii="Verdana" w:hAnsi="Verdana"/>
        </w:rPr>
        <w:t>should be considered by the SCR review Project Group and within the CAT WS</w:t>
      </w:r>
      <w:r w:rsidRPr="0095798C">
        <w:rPr>
          <w:rFonts w:ascii="Verdana" w:hAnsi="Verdana"/>
        </w:rPr>
        <w:t xml:space="preserve"> as an </w:t>
      </w:r>
      <w:r w:rsidR="00DE6BE3" w:rsidRPr="003D6369">
        <w:rPr>
          <w:rFonts w:ascii="Verdana" w:hAnsi="Verdana"/>
          <w:b/>
          <w:u w:val="single"/>
        </w:rPr>
        <w:t>option</w:t>
      </w:r>
      <w:r w:rsidR="00DE6BE3">
        <w:rPr>
          <w:rFonts w:ascii="Verdana" w:hAnsi="Verdana"/>
        </w:rPr>
        <w:t xml:space="preserve"> for a proportionate application of the requirements </w:t>
      </w:r>
      <w:r w:rsidRPr="0095798C">
        <w:rPr>
          <w:rFonts w:ascii="Verdana" w:hAnsi="Verdana"/>
        </w:rPr>
        <w:t xml:space="preserve">for undertakings with </w:t>
      </w:r>
      <w:r w:rsidR="00DE6BE3">
        <w:rPr>
          <w:rFonts w:ascii="Verdana" w:hAnsi="Verdana"/>
        </w:rPr>
        <w:t xml:space="preserve">lower </w:t>
      </w:r>
      <w:r w:rsidRPr="0095798C">
        <w:rPr>
          <w:rFonts w:ascii="Verdana" w:hAnsi="Verdana"/>
        </w:rPr>
        <w:t xml:space="preserve">natural catastrophes </w:t>
      </w:r>
      <w:r w:rsidR="00DE6BE3">
        <w:rPr>
          <w:rFonts w:ascii="Verdana" w:hAnsi="Verdana"/>
        </w:rPr>
        <w:t xml:space="preserve">risk </w:t>
      </w:r>
      <w:r w:rsidRPr="0095798C">
        <w:rPr>
          <w:rFonts w:ascii="Verdana" w:hAnsi="Verdana"/>
        </w:rPr>
        <w:t>exposures</w:t>
      </w:r>
      <w:r w:rsidR="00DC0F91">
        <w:rPr>
          <w:rFonts w:ascii="Verdana" w:hAnsi="Verdana"/>
        </w:rPr>
        <w:t xml:space="preserve">. The motivation behind </w:t>
      </w:r>
      <w:r w:rsidR="00DC55B2">
        <w:rPr>
          <w:rFonts w:ascii="Verdana" w:hAnsi="Verdana"/>
        </w:rPr>
        <w:t>the proposal</w:t>
      </w:r>
      <w:r w:rsidR="00DE6BE3">
        <w:rPr>
          <w:rFonts w:ascii="Verdana" w:hAnsi="Verdana"/>
        </w:rPr>
        <w:t xml:space="preserve"> to reduce granularity of the calculation</w:t>
      </w:r>
      <w:r w:rsidR="00DC55B2">
        <w:rPr>
          <w:rFonts w:ascii="Verdana" w:hAnsi="Verdana"/>
        </w:rPr>
        <w:t xml:space="preserve"> is assessed to be</w:t>
      </w:r>
      <w:r w:rsidRPr="0095798C">
        <w:rPr>
          <w:rFonts w:ascii="Verdana" w:hAnsi="Verdana"/>
        </w:rPr>
        <w:t xml:space="preserve"> the reduction of computational burden</w:t>
      </w:r>
      <w:r w:rsidR="00DE6BE3">
        <w:rPr>
          <w:rFonts w:ascii="Verdana" w:hAnsi="Verdana"/>
        </w:rPr>
        <w:t>, which would simplify the calculation.</w:t>
      </w:r>
      <w:r w:rsidRPr="0095798C">
        <w:rPr>
          <w:rFonts w:ascii="Verdana" w:hAnsi="Verdana"/>
        </w:rPr>
        <w:t xml:space="preserve"> </w:t>
      </w:r>
    </w:p>
    <w:p w:rsidR="0095798C" w:rsidRPr="0095798C" w:rsidRDefault="0095798C" w:rsidP="0095798C">
      <w:pPr>
        <w:jc w:val="both"/>
        <w:rPr>
          <w:rFonts w:ascii="Verdana" w:hAnsi="Verdana"/>
        </w:rPr>
      </w:pPr>
      <w:r w:rsidRPr="0095798C">
        <w:rPr>
          <w:rFonts w:ascii="Verdana" w:hAnsi="Verdana"/>
        </w:rPr>
        <w:t>The most common suggestion to materialize this optional and proportional simplification is to aggregate risk zones, potentially up to the country-level, and taking the most severe coefficient for the merged territory, or a global coefficient for the country as a whole. There are also suggestions on possible aggregation of all exposures for non-EEA countries, provided such combined exposures are small enough (e.g. less than 10% of premium income).</w:t>
      </w:r>
    </w:p>
    <w:p w:rsidR="0095798C" w:rsidRPr="0095798C" w:rsidRDefault="0095798C" w:rsidP="0095798C">
      <w:pPr>
        <w:jc w:val="both"/>
        <w:rPr>
          <w:rFonts w:ascii="Verdana" w:hAnsi="Verdana"/>
        </w:rPr>
      </w:pPr>
      <w:r w:rsidRPr="0095798C">
        <w:rPr>
          <w:rFonts w:ascii="Verdana" w:hAnsi="Verdana"/>
        </w:rPr>
        <w:t xml:space="preserve">Relating to merge of risk zone, it was raised that grouping risk zones is, technically, more viable for some perils than others. For instance while earthquakes tend to generate losses in vaster regions, for  flood, or hail, damages can be much more confined, causing zone-grouping less adequate to the profile of the peril itself, as neighbour territories are more likely to be </w:t>
      </w:r>
      <w:r w:rsidRPr="0095798C">
        <w:rPr>
          <w:rFonts w:ascii="Verdana" w:hAnsi="Verdana"/>
        </w:rPr>
        <w:lastRenderedPageBreak/>
        <w:t>impacted by an event in dramatically different ways. Although technically sound, it is possible that the necessary loss of details generated by the simplification would be counterbalanced through prudence.</w:t>
      </w:r>
    </w:p>
    <w:p w:rsidR="0095798C" w:rsidRPr="0095798C" w:rsidRDefault="0095798C" w:rsidP="0095798C">
      <w:pPr>
        <w:jc w:val="both"/>
        <w:rPr>
          <w:rFonts w:ascii="Verdana" w:hAnsi="Verdana"/>
        </w:rPr>
      </w:pPr>
      <w:r w:rsidRPr="0095798C">
        <w:rPr>
          <w:rFonts w:ascii="Verdana" w:hAnsi="Verdana"/>
        </w:rPr>
        <w:t>Oppositely, there are also circumstances where merged risk zones would be technically beneficial, for instance when exposure involves a large dimension structure as a pipeline, a road or a powerline, that are problematics to assign to different risk zones.</w:t>
      </w:r>
    </w:p>
    <w:p w:rsidR="0095798C" w:rsidRPr="0095798C" w:rsidRDefault="0095798C" w:rsidP="0095798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b/>
        </w:rPr>
      </w:pPr>
      <w:r w:rsidRPr="0095798C">
        <w:rPr>
          <w:rFonts w:ascii="Verdana" w:hAnsi="Verdana"/>
          <w:b/>
        </w:rPr>
        <w:t>Mandate for the CAT WS:</w:t>
      </w:r>
    </w:p>
    <w:p w:rsidR="0095798C" w:rsidRPr="0095798C" w:rsidRDefault="00912AE1" w:rsidP="0095798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Pr>
          <w:rFonts w:ascii="Verdana" w:hAnsi="Verdana"/>
        </w:rPr>
        <w:t>The CAT WS shall investigate, whether a less granular approach could be provided as a</w:t>
      </w:r>
      <w:r w:rsidR="000F67F3">
        <w:rPr>
          <w:rFonts w:ascii="Verdana" w:hAnsi="Verdana"/>
        </w:rPr>
        <w:t xml:space="preserve"> “simplified calculation”, </w:t>
      </w:r>
      <w:r>
        <w:rPr>
          <w:rFonts w:ascii="Verdana" w:hAnsi="Verdana"/>
        </w:rPr>
        <w:t xml:space="preserve">where the assignment of exposures across risk zones (e.g. ZIP or CRESTA) is not </w:t>
      </w:r>
      <w:r w:rsidR="000F67F3">
        <w:rPr>
          <w:rFonts w:ascii="Verdana" w:hAnsi="Verdana"/>
        </w:rPr>
        <w:t>proportionate</w:t>
      </w:r>
      <w:r>
        <w:rPr>
          <w:rFonts w:ascii="Verdana" w:hAnsi="Verdana"/>
        </w:rPr>
        <w:t>.</w:t>
      </w:r>
    </w:p>
    <w:p w:rsidR="0095798C" w:rsidRPr="0095798C" w:rsidRDefault="0095798C" w:rsidP="0095798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rPr>
        <w:t xml:space="preserve">It is </w:t>
      </w:r>
      <w:r w:rsidR="00912AE1">
        <w:rPr>
          <w:rFonts w:ascii="Verdana" w:hAnsi="Verdana"/>
        </w:rPr>
        <w:t>likely</w:t>
      </w:r>
      <w:r w:rsidR="00912AE1" w:rsidRPr="0095798C">
        <w:rPr>
          <w:rFonts w:ascii="Verdana" w:hAnsi="Verdana"/>
        </w:rPr>
        <w:t xml:space="preserve"> </w:t>
      </w:r>
      <w:r w:rsidRPr="0095798C">
        <w:rPr>
          <w:rFonts w:ascii="Verdana" w:hAnsi="Verdana"/>
        </w:rPr>
        <w:t>that this less granular approach modifies the level of the SCR</w:t>
      </w:r>
      <w:r w:rsidR="00912AE1">
        <w:rPr>
          <w:rFonts w:ascii="Verdana" w:hAnsi="Verdana"/>
        </w:rPr>
        <w:t xml:space="preserve"> as it currently stands</w:t>
      </w:r>
      <w:r w:rsidRPr="0095798C">
        <w:rPr>
          <w:rFonts w:ascii="Verdana" w:hAnsi="Verdana"/>
        </w:rPr>
        <w:t xml:space="preserve">. </w:t>
      </w:r>
      <w:r w:rsidR="00912AE1">
        <w:rPr>
          <w:rFonts w:ascii="Verdana" w:hAnsi="Verdana"/>
        </w:rPr>
        <w:t>As it cannot be predicted, whether this results in an increase or decrease of the SCR</w:t>
      </w:r>
      <w:r w:rsidRPr="0095798C">
        <w:rPr>
          <w:rFonts w:ascii="Verdana" w:hAnsi="Verdana"/>
        </w:rPr>
        <w:t xml:space="preserve">, </w:t>
      </w:r>
      <w:r w:rsidR="005C2BA1">
        <w:rPr>
          <w:rFonts w:ascii="Verdana" w:hAnsi="Verdana"/>
        </w:rPr>
        <w:t xml:space="preserve">if need be, </w:t>
      </w:r>
      <w:r w:rsidRPr="0095798C">
        <w:rPr>
          <w:rFonts w:ascii="Verdana" w:hAnsi="Verdana"/>
        </w:rPr>
        <w:t xml:space="preserve">priority should be given to prudency (i.e. resulting in higher SCR due to applying more severe coefficients to larger portions of the exposure, and possibly also due to less diversification). </w:t>
      </w:r>
      <w:r w:rsidR="005C2BA1">
        <w:rPr>
          <w:rFonts w:ascii="Verdana" w:hAnsi="Verdana"/>
        </w:rPr>
        <w:t>This would be in line with Article 88 (2) of the Delegated Regulation. The CAT WS is asked to provide different options how this less granular approach could be calculated.</w:t>
      </w:r>
    </w:p>
    <w:p w:rsidR="0095798C" w:rsidRPr="0095798C" w:rsidRDefault="0095798C" w:rsidP="0095798C">
      <w:pPr>
        <w:jc w:val="both"/>
        <w:rPr>
          <w:rFonts w:ascii="Verdana" w:hAnsi="Verdana"/>
        </w:rPr>
      </w:pPr>
      <w:r w:rsidRPr="0095798C">
        <w:rPr>
          <w:rFonts w:ascii="Verdana" w:hAnsi="Verdana"/>
        </w:rPr>
        <w:t xml:space="preserve">This option for a simplified calculation would enter into framework developed by article 88 of the Delegated Regulation, which requires undertakings to perform a proportionality assessment. This allows undertakings to choose between a higher </w:t>
      </w:r>
      <w:r w:rsidRPr="0095798C">
        <w:rPr>
          <w:rFonts w:ascii="Verdana" w:hAnsi="Verdana"/>
          <w:i/>
        </w:rPr>
        <w:t xml:space="preserve">granularity burden and more risk-sensitive calculation vs. a simplification that would be on the prudent side </w:t>
      </w:r>
      <w:r w:rsidRPr="0095798C">
        <w:rPr>
          <w:rFonts w:ascii="Verdana" w:hAnsi="Verdana"/>
        </w:rPr>
        <w:t>according to their risk profile. It has the following features as well:</w:t>
      </w:r>
    </w:p>
    <w:p w:rsidR="0095798C" w:rsidRPr="0095798C" w:rsidRDefault="0095798C" w:rsidP="0095798C">
      <w:pPr>
        <w:numPr>
          <w:ilvl w:val="0"/>
          <w:numId w:val="29"/>
        </w:numPr>
        <w:contextualSpacing/>
        <w:jc w:val="both"/>
        <w:rPr>
          <w:rFonts w:ascii="Verdana" w:hAnsi="Verdana"/>
        </w:rPr>
      </w:pPr>
      <w:r w:rsidRPr="0095798C">
        <w:rPr>
          <w:rFonts w:ascii="Verdana" w:hAnsi="Verdana"/>
        </w:rPr>
        <w:t>Capitalizes on previous work/regulation, which has not been proved wrong, inappropriate or outdated.</w:t>
      </w:r>
    </w:p>
    <w:p w:rsidR="0095798C" w:rsidRPr="0095798C" w:rsidRDefault="0095798C" w:rsidP="00870451">
      <w:pPr>
        <w:numPr>
          <w:ilvl w:val="0"/>
          <w:numId w:val="29"/>
        </w:numPr>
        <w:ind w:left="714" w:hanging="357"/>
        <w:jc w:val="both"/>
        <w:rPr>
          <w:rFonts w:ascii="Verdana" w:hAnsi="Verdana"/>
        </w:rPr>
      </w:pPr>
      <w:r w:rsidRPr="0095798C">
        <w:rPr>
          <w:rFonts w:ascii="Verdana" w:hAnsi="Verdana"/>
        </w:rPr>
        <w:t>It ensures a superior level of regulatory stability in a material and complex component of a freshly in-force regime.</w:t>
      </w:r>
    </w:p>
    <w:p w:rsidR="0095798C" w:rsidRPr="0095798C" w:rsidRDefault="0095798C" w:rsidP="0095798C">
      <w:pPr>
        <w:rPr>
          <w:rFonts w:ascii="Verdana" w:hAnsi="Verdana"/>
          <w:i/>
          <w:iCs/>
          <w:color w:val="000000" w:themeColor="text1"/>
        </w:rPr>
      </w:pPr>
      <w:r w:rsidRPr="0095798C">
        <w:rPr>
          <w:rFonts w:ascii="Verdana" w:hAnsi="Verdana"/>
          <w:i/>
          <w:iCs/>
          <w:color w:val="000000" w:themeColor="text1"/>
        </w:rPr>
        <w:t>Outlook of the way forward and the role of the CAT WS:</w:t>
      </w:r>
    </w:p>
    <w:p w:rsidR="0095798C" w:rsidRPr="0095798C" w:rsidRDefault="0095798C" w:rsidP="0095798C">
      <w:pPr>
        <w:jc w:val="both"/>
        <w:rPr>
          <w:rFonts w:ascii="Verdana" w:hAnsi="Verdana"/>
        </w:rPr>
      </w:pPr>
      <w:r w:rsidRPr="0095798C">
        <w:rPr>
          <w:rFonts w:ascii="Verdana" w:hAnsi="Verdana"/>
        </w:rPr>
        <w:t>The CAT WS should further explore the possibility for an optional (prudent) simplification, ideally through merging risk zones and affecting the combined exposure by the most aggravated coefficient.</w:t>
      </w:r>
    </w:p>
    <w:p w:rsidR="0095798C" w:rsidRPr="0095798C" w:rsidRDefault="0095798C" w:rsidP="0095798C">
      <w:pPr>
        <w:jc w:val="both"/>
        <w:rPr>
          <w:rFonts w:ascii="Verdana" w:hAnsi="Verdana"/>
        </w:rPr>
      </w:pPr>
      <w:r w:rsidRPr="0095798C">
        <w:rPr>
          <w:rFonts w:ascii="Verdana" w:hAnsi="Verdana"/>
        </w:rPr>
        <w:t>The members of the CAT WS may also be in a more suitable position to further elaborate on if the mentioned option for simplification may present unintended, or undesired, effects in data collection by insurance undertakings, or in the reinsurance scope.</w:t>
      </w:r>
    </w:p>
    <w:p w:rsidR="00BC1E71" w:rsidRDefault="0095798C" w:rsidP="0095798C">
      <w:pPr>
        <w:jc w:val="both"/>
        <w:rPr>
          <w:rFonts w:ascii="Verdana" w:hAnsi="Verdana"/>
        </w:rPr>
      </w:pPr>
      <w:r w:rsidRPr="0095798C">
        <w:rPr>
          <w:rFonts w:ascii="Verdana" w:hAnsi="Verdana"/>
        </w:rPr>
        <w:lastRenderedPageBreak/>
        <w:t>This endeavour should be prioritised, in order to settle simplification before contemplating possible areas of refinement. This would avoid continuing to split efforts in opposite directions, on one side trimming down the regulation as it stands (i.e. contemplating simplification in a compulsory manner), while concurrently devoting efforts to expansion where further risk sensitiv</w:t>
      </w:r>
      <w:r w:rsidR="00870451">
        <w:rPr>
          <w:rFonts w:ascii="Verdana" w:hAnsi="Verdana"/>
        </w:rPr>
        <w:t>ity has been seen as desirable.</w:t>
      </w:r>
    </w:p>
    <w:p w:rsidR="00870451" w:rsidRDefault="00870451" w:rsidP="0095798C">
      <w:pPr>
        <w:jc w:val="both"/>
        <w:rPr>
          <w:rFonts w:ascii="Verdana" w:hAnsi="Verdana"/>
        </w:rPr>
      </w:pPr>
    </w:p>
    <w:p w:rsidR="0095798C" w:rsidRPr="00BC1E71" w:rsidRDefault="0095798C" w:rsidP="00BC1E71">
      <w:pPr>
        <w:rPr>
          <w:rFonts w:ascii="Verdana" w:hAnsi="Verdana"/>
        </w:rPr>
      </w:pPr>
      <w:r w:rsidRPr="0095798C">
        <w:rPr>
          <w:rFonts w:ascii="Verdana" w:hAnsi="Verdana"/>
          <w:b/>
          <w:bCs/>
        </w:rPr>
        <w:t>Simplifications within the Health Ca</w:t>
      </w:r>
      <w:r>
        <w:rPr>
          <w:rFonts w:ascii="Verdana" w:hAnsi="Verdana"/>
          <w:b/>
          <w:bCs/>
        </w:rPr>
        <w:t>tastrophe Risk module</w:t>
      </w:r>
    </w:p>
    <w:p w:rsidR="0095798C" w:rsidRPr="0095798C" w:rsidRDefault="0095798C" w:rsidP="0095798C">
      <w:pPr>
        <w:numPr>
          <w:ilvl w:val="0"/>
          <w:numId w:val="31"/>
        </w:numPr>
        <w:rPr>
          <w:rFonts w:ascii="Verdana" w:hAnsi="Verdana"/>
          <w:i/>
          <w:iCs/>
          <w:color w:val="000000" w:themeColor="text1"/>
        </w:rPr>
      </w:pPr>
      <w:r w:rsidRPr="0095798C">
        <w:rPr>
          <w:rFonts w:ascii="Verdana" w:hAnsi="Verdana"/>
          <w:i/>
          <w:iCs/>
          <w:color w:val="000000" w:themeColor="text1"/>
        </w:rPr>
        <w:t>On mass accident and terror risk</w:t>
      </w:r>
    </w:p>
    <w:p w:rsidR="0095798C" w:rsidRDefault="0095798C" w:rsidP="0095798C">
      <w:pPr>
        <w:jc w:val="both"/>
        <w:rPr>
          <w:rFonts w:ascii="Verdana" w:hAnsi="Verdana"/>
          <w:lang w:val="pt-PT"/>
        </w:rPr>
      </w:pPr>
      <w:r w:rsidRPr="0095798C">
        <w:rPr>
          <w:rFonts w:ascii="Verdana" w:hAnsi="Verdana"/>
          <w:lang w:val="pt-PT"/>
        </w:rPr>
        <w:t>In light of stakeholders’ feedback, the SCR review PG agrees this is not a priority. Hence the CAT WS will not be asked to further develop the framework on that matter</w:t>
      </w:r>
    </w:p>
    <w:p w:rsidR="00870451" w:rsidRPr="00FD0C71" w:rsidRDefault="00870451" w:rsidP="00870451">
      <w:pPr>
        <w:ind w:left="720"/>
        <w:contextualSpacing/>
        <w:jc w:val="both"/>
        <w:rPr>
          <w:rFonts w:ascii="Verdana" w:hAnsi="Verdana"/>
          <w:lang w:val="pt-PT"/>
        </w:rPr>
      </w:pPr>
    </w:p>
    <w:p w:rsidR="0095798C" w:rsidRPr="0095798C" w:rsidRDefault="0095798C" w:rsidP="0095798C">
      <w:pPr>
        <w:numPr>
          <w:ilvl w:val="0"/>
          <w:numId w:val="31"/>
        </w:numPr>
        <w:rPr>
          <w:rFonts w:ascii="Verdana" w:hAnsi="Verdana"/>
          <w:i/>
          <w:iCs/>
          <w:color w:val="000000" w:themeColor="text1"/>
        </w:rPr>
      </w:pPr>
      <w:r w:rsidRPr="0095798C">
        <w:rPr>
          <w:rFonts w:ascii="Verdana" w:hAnsi="Verdana"/>
          <w:i/>
          <w:iCs/>
          <w:color w:val="000000" w:themeColor="text1"/>
        </w:rPr>
        <w:t>Simplifying mass-accident risk</w:t>
      </w:r>
    </w:p>
    <w:p w:rsidR="00FD0C71" w:rsidRDefault="0095798C" w:rsidP="0095798C">
      <w:pPr>
        <w:jc w:val="both"/>
        <w:rPr>
          <w:rFonts w:ascii="Verdana" w:hAnsi="Verdana"/>
          <w:lang w:val="pt-PT"/>
        </w:rPr>
      </w:pPr>
      <w:r w:rsidRPr="0095798C">
        <w:rPr>
          <w:rFonts w:ascii="Verdana" w:hAnsi="Verdana"/>
          <w:lang w:val="pt-PT"/>
        </w:rPr>
        <w:t xml:space="preserve">The main difficulty is linked to the estimation of benefits payable in all the scenarios and especially for the scenario “disability that lasts 10 years”. In some countries, disability is temporary for a certain period of time before being permanent. If this period is shorter than 10 years, should the application of this scenario leads to a permanent disability? </w:t>
      </w:r>
    </w:p>
    <w:p w:rsidR="00FD0C71" w:rsidRPr="0095798C"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b/>
        </w:rPr>
        <w:t>Mandate for the CAT WS:</w:t>
      </w:r>
    </w:p>
    <w:p w:rsidR="00FD0C71"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Pr>
          <w:rFonts w:ascii="Verdana" w:hAnsi="Verdana"/>
        </w:rPr>
        <w:t>The</w:t>
      </w:r>
      <w:r w:rsidRPr="00FD0C71">
        <w:rPr>
          <w:rFonts w:ascii="Verdana" w:hAnsi="Verdana"/>
        </w:rPr>
        <w:t xml:space="preserve"> CAT WS should </w:t>
      </w:r>
      <w:r w:rsidR="005C2BA1">
        <w:rPr>
          <w:rFonts w:ascii="Verdana" w:hAnsi="Verdana"/>
        </w:rPr>
        <w:t xml:space="preserve">provide explanations on how to apply the different scenarios. In providing these explanations, the CAT WS may </w:t>
      </w:r>
      <w:r w:rsidRPr="00FD0C71">
        <w:rPr>
          <w:rFonts w:ascii="Verdana" w:hAnsi="Verdana"/>
        </w:rPr>
        <w:t>assess whether it is necessary to have a “permanent disability” scenario and a “disability that lasts 10 years</w:t>
      </w:r>
      <w:r w:rsidR="00870451">
        <w:rPr>
          <w:rFonts w:ascii="Verdana" w:hAnsi="Verdana"/>
        </w:rPr>
        <w:t>” scenario</w:t>
      </w:r>
      <w:r w:rsidRPr="00FD0C71">
        <w:rPr>
          <w:rFonts w:ascii="Verdana" w:hAnsi="Verdana"/>
        </w:rPr>
        <w:t>.</w:t>
      </w:r>
    </w:p>
    <w:p w:rsidR="00FD0C71"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FD0C71">
        <w:rPr>
          <w:rFonts w:ascii="Verdana" w:hAnsi="Verdana"/>
        </w:rPr>
        <w:t>Another difficulty lies in the estimation of benefits payable per country. The CAT WS is asked to investigate whether one coefficient for all countries would be appropriate.</w:t>
      </w:r>
    </w:p>
    <w:p w:rsidR="00FD0C71" w:rsidRPr="00FD0C71" w:rsidRDefault="00FD0C71" w:rsidP="00FD0C71">
      <w:pPr>
        <w:ind w:left="720"/>
        <w:contextualSpacing/>
        <w:jc w:val="both"/>
        <w:rPr>
          <w:rFonts w:ascii="Verdana" w:hAnsi="Verdana"/>
          <w:lang w:val="pt-PT"/>
        </w:rPr>
      </w:pPr>
    </w:p>
    <w:p w:rsidR="0095798C" w:rsidRPr="0095798C" w:rsidRDefault="0095798C" w:rsidP="0095798C">
      <w:pPr>
        <w:numPr>
          <w:ilvl w:val="0"/>
          <w:numId w:val="31"/>
        </w:numPr>
        <w:rPr>
          <w:rFonts w:ascii="Verdana" w:hAnsi="Verdana"/>
          <w:i/>
          <w:iCs/>
          <w:color w:val="000000" w:themeColor="text1"/>
        </w:rPr>
      </w:pPr>
      <w:r w:rsidRPr="0095798C">
        <w:rPr>
          <w:rFonts w:ascii="Verdana" w:hAnsi="Verdana"/>
          <w:i/>
          <w:iCs/>
          <w:color w:val="000000" w:themeColor="text1"/>
        </w:rPr>
        <w:t>Simplifying accident concentration risk</w:t>
      </w:r>
    </w:p>
    <w:p w:rsidR="0095798C" w:rsidRPr="0095798C" w:rsidRDefault="00870451" w:rsidP="0095798C">
      <w:pPr>
        <w:jc w:val="both"/>
        <w:rPr>
          <w:rFonts w:ascii="Verdana" w:hAnsi="Verdana"/>
          <w:lang w:val="pt-PT"/>
        </w:rPr>
      </w:pPr>
      <w:r>
        <w:rPr>
          <w:rFonts w:ascii="Verdana" w:hAnsi="Verdana"/>
          <w:lang w:val="pt-PT"/>
        </w:rPr>
        <w:t xml:space="preserve">The main difficulty </w:t>
      </w:r>
      <w:r w:rsidR="0095798C" w:rsidRPr="0095798C">
        <w:rPr>
          <w:rFonts w:ascii="Verdana" w:hAnsi="Verdana"/>
          <w:lang w:val="pt-PT"/>
        </w:rPr>
        <w:t>lies in collecting the information whether policyholders are located in the same building or not.</w:t>
      </w:r>
    </w:p>
    <w:p w:rsidR="00BC1E71" w:rsidRPr="0095798C" w:rsidRDefault="00BC1E71" w:rsidP="00BC1E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b/>
        </w:rPr>
        <w:t>Mandate for the CAT WS:</w:t>
      </w:r>
    </w:p>
    <w:p w:rsidR="00BC1E71" w:rsidRDefault="0095798C" w:rsidP="00BC1E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rPr>
        <w:t>The CAT WS is asked to envisage other ways to calculate the SCR for this risk. Two possibilities that were mentioned</w:t>
      </w:r>
      <w:r w:rsidR="005C2BA1">
        <w:rPr>
          <w:rFonts w:ascii="Verdana" w:hAnsi="Verdana"/>
        </w:rPr>
        <w:t xml:space="preserve"> as example</w:t>
      </w:r>
      <w:r w:rsidRPr="0095798C">
        <w:rPr>
          <w:rFonts w:ascii="Verdana" w:hAnsi="Verdana"/>
        </w:rPr>
        <w:t>:</w:t>
      </w:r>
    </w:p>
    <w:p w:rsidR="0095798C" w:rsidRPr="00BC1E71" w:rsidRDefault="00BC1E71" w:rsidP="00BC1E71">
      <w:pPr>
        <w:pBdr>
          <w:top w:val="single" w:sz="4" w:space="1" w:color="auto"/>
          <w:left w:val="single" w:sz="4" w:space="4" w:color="auto"/>
          <w:bottom w:val="single" w:sz="4" w:space="1" w:color="auto"/>
          <w:right w:val="single" w:sz="4" w:space="4" w:color="auto"/>
        </w:pBdr>
        <w:shd w:val="clear" w:color="auto" w:fill="D9D9D9" w:themeFill="background1" w:themeFillShade="D9"/>
        <w:ind w:left="709" w:hanging="709"/>
        <w:jc w:val="both"/>
        <w:rPr>
          <w:rFonts w:ascii="Verdana" w:hAnsi="Verdana"/>
        </w:rPr>
      </w:pPr>
      <w:r>
        <w:rPr>
          <w:rFonts w:ascii="Verdana" w:hAnsi="Verdana"/>
        </w:rPr>
        <w:lastRenderedPageBreak/>
        <w:t>•</w:t>
      </w:r>
      <w:r>
        <w:rPr>
          <w:rFonts w:ascii="Verdana" w:hAnsi="Verdana"/>
        </w:rPr>
        <w:tab/>
      </w:r>
      <w:r w:rsidR="0095798C" w:rsidRPr="00BC1E71">
        <w:rPr>
          <w:rFonts w:ascii="Verdana" w:hAnsi="Verdana"/>
        </w:rPr>
        <w:t>Taking the largest policy (i.e. that covers the highest number of people) and assuming all policyholders are working in the same building.</w:t>
      </w:r>
    </w:p>
    <w:p w:rsidR="0095798C" w:rsidRPr="00BC1E71" w:rsidRDefault="00BC1E71" w:rsidP="00BC1E71">
      <w:pPr>
        <w:pBdr>
          <w:top w:val="single" w:sz="4" w:space="1" w:color="auto"/>
          <w:left w:val="single" w:sz="4" w:space="4" w:color="auto"/>
          <w:bottom w:val="single" w:sz="4" w:space="1" w:color="auto"/>
          <w:right w:val="single" w:sz="4" w:space="4" w:color="auto"/>
        </w:pBdr>
        <w:shd w:val="clear" w:color="auto" w:fill="D9D9D9" w:themeFill="background1" w:themeFillShade="D9"/>
        <w:ind w:left="709" w:hanging="709"/>
        <w:jc w:val="both"/>
        <w:rPr>
          <w:rFonts w:ascii="Verdana" w:hAnsi="Verdana"/>
        </w:rPr>
      </w:pPr>
      <w:r>
        <w:rPr>
          <w:rFonts w:ascii="Verdana" w:hAnsi="Verdana"/>
        </w:rPr>
        <w:t>•</w:t>
      </w:r>
      <w:r>
        <w:rPr>
          <w:rFonts w:ascii="Verdana" w:hAnsi="Verdana"/>
        </w:rPr>
        <w:tab/>
      </w:r>
      <w:r w:rsidR="0095798C" w:rsidRPr="00BC1E71">
        <w:rPr>
          <w:rFonts w:ascii="Verdana" w:hAnsi="Verdana"/>
        </w:rPr>
        <w:t>Performing the calculation on an event that hits the headquarter</w:t>
      </w:r>
      <w:r w:rsidR="00937D28">
        <w:rPr>
          <w:rFonts w:ascii="Verdana" w:hAnsi="Verdana"/>
        </w:rPr>
        <w:t>s</w:t>
      </w:r>
      <w:r w:rsidR="0095798C" w:rsidRPr="00BC1E71">
        <w:rPr>
          <w:rFonts w:ascii="Verdana" w:hAnsi="Verdana"/>
        </w:rPr>
        <w:t xml:space="preserve"> of the undertaking.</w:t>
      </w:r>
    </w:p>
    <w:p w:rsidR="0095798C" w:rsidRPr="0095798C" w:rsidRDefault="0095798C" w:rsidP="0095798C">
      <w:pPr>
        <w:ind w:left="720"/>
        <w:contextualSpacing/>
        <w:jc w:val="both"/>
        <w:rPr>
          <w:rFonts w:ascii="Verdana" w:hAnsi="Verdana"/>
          <w:lang w:val="pt-PT"/>
        </w:rPr>
      </w:pPr>
    </w:p>
    <w:p w:rsidR="0095798C" w:rsidRPr="0095798C" w:rsidRDefault="0095798C" w:rsidP="0095798C">
      <w:pPr>
        <w:numPr>
          <w:ilvl w:val="0"/>
          <w:numId w:val="31"/>
        </w:numPr>
        <w:rPr>
          <w:rFonts w:ascii="Verdana" w:hAnsi="Verdana"/>
          <w:i/>
          <w:iCs/>
          <w:color w:val="000000" w:themeColor="text1"/>
        </w:rPr>
      </w:pPr>
      <w:r w:rsidRPr="0095798C">
        <w:rPr>
          <w:rFonts w:ascii="Verdana" w:hAnsi="Verdana"/>
          <w:i/>
          <w:iCs/>
          <w:color w:val="000000" w:themeColor="text1"/>
        </w:rPr>
        <w:t>Simplifying the pandemic risk</w:t>
      </w:r>
    </w:p>
    <w:p w:rsidR="0095798C" w:rsidRPr="0095798C" w:rsidRDefault="0095798C" w:rsidP="0095798C">
      <w:pPr>
        <w:jc w:val="both"/>
        <w:rPr>
          <w:rFonts w:ascii="Verdana" w:hAnsi="Verdana"/>
          <w:lang w:val="pt-PT"/>
        </w:rPr>
      </w:pPr>
      <w:r w:rsidRPr="0095798C">
        <w:rPr>
          <w:rFonts w:ascii="Verdana" w:hAnsi="Verdana"/>
          <w:lang w:val="pt-PT"/>
        </w:rPr>
        <w:t xml:space="preserve">The main difficulties relate to the medical expenses pandemic exposure. The benefits payable in all countries and in all scenarios are sometimes difficult to estimate. </w:t>
      </w:r>
    </w:p>
    <w:p w:rsidR="00BC1E71" w:rsidRDefault="00BC1E71" w:rsidP="00BC1E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b/>
        </w:rPr>
        <w:t>Mandate for the CAT WS:</w:t>
      </w:r>
      <w:r w:rsidRPr="00BC1E71">
        <w:rPr>
          <w:rFonts w:ascii="Verdana" w:hAnsi="Verdana"/>
        </w:rPr>
        <w:t xml:space="preserve"> </w:t>
      </w:r>
    </w:p>
    <w:p w:rsidR="00BC1E71" w:rsidRPr="0095798C" w:rsidRDefault="00BC1E71" w:rsidP="00BC1E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rPr>
        <w:t>The CAT WS is asked to assess simplifications:</w:t>
      </w:r>
    </w:p>
    <w:p w:rsidR="00BC1E71" w:rsidRPr="0095798C"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ind w:left="709" w:hanging="709"/>
        <w:jc w:val="both"/>
        <w:rPr>
          <w:rFonts w:ascii="Verdana" w:hAnsi="Verdana"/>
        </w:rPr>
      </w:pPr>
      <w:r>
        <w:rPr>
          <w:rFonts w:ascii="Verdana" w:hAnsi="Verdana"/>
        </w:rPr>
        <w:t>•</w:t>
      </w:r>
      <w:r>
        <w:rPr>
          <w:rFonts w:ascii="Verdana" w:hAnsi="Verdana"/>
        </w:rPr>
        <w:tab/>
      </w:r>
      <w:r w:rsidR="00BC1E71" w:rsidRPr="0095798C">
        <w:rPr>
          <w:rFonts w:ascii="Verdana" w:hAnsi="Verdana"/>
        </w:rPr>
        <w:t>A first simplification could be to allow for grouping the countries where the exposure is assessed as not proportionate.</w:t>
      </w:r>
    </w:p>
    <w:p w:rsidR="00BC1E71" w:rsidRPr="0095798C"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ind w:left="709" w:hanging="709"/>
        <w:jc w:val="both"/>
        <w:rPr>
          <w:rFonts w:ascii="Verdana" w:hAnsi="Verdana"/>
        </w:rPr>
      </w:pPr>
      <w:r>
        <w:rPr>
          <w:rFonts w:ascii="Verdana" w:hAnsi="Verdana"/>
        </w:rPr>
        <w:t>•</w:t>
      </w:r>
      <w:r>
        <w:rPr>
          <w:rFonts w:ascii="Verdana" w:hAnsi="Verdana"/>
        </w:rPr>
        <w:tab/>
      </w:r>
      <w:r w:rsidR="00BC1E71" w:rsidRPr="0095798C">
        <w:rPr>
          <w:rFonts w:ascii="Verdana" w:hAnsi="Verdana"/>
        </w:rPr>
        <w:t>A second possibility could be to provide maximal unit claim costs per scenario and country. This would allow undertakings for which the risk is not proportionate to take these maximal costs.</w:t>
      </w:r>
    </w:p>
    <w:p w:rsidR="00FD0C71" w:rsidRDefault="00FD0C71" w:rsidP="0095798C">
      <w:pPr>
        <w:jc w:val="both"/>
        <w:rPr>
          <w:rFonts w:ascii="Verdana" w:hAnsi="Verdana"/>
          <w:b/>
          <w:bCs/>
        </w:rPr>
      </w:pPr>
    </w:p>
    <w:p w:rsidR="0095798C" w:rsidRPr="0095798C" w:rsidRDefault="0095798C" w:rsidP="0095798C">
      <w:pPr>
        <w:jc w:val="both"/>
        <w:rPr>
          <w:rFonts w:ascii="Verdana" w:hAnsi="Verdana"/>
          <w:b/>
          <w:bCs/>
        </w:rPr>
      </w:pPr>
      <w:r w:rsidRPr="0095798C">
        <w:rPr>
          <w:rFonts w:ascii="Verdana" w:hAnsi="Verdana"/>
          <w:b/>
          <w:bCs/>
        </w:rPr>
        <w:t>Simplifications within the Man-made Catastrophe Risk module</w:t>
      </w:r>
    </w:p>
    <w:p w:rsidR="0095798C" w:rsidRPr="0095798C" w:rsidRDefault="0095798C" w:rsidP="0095798C">
      <w:pPr>
        <w:numPr>
          <w:ilvl w:val="0"/>
          <w:numId w:val="35"/>
        </w:numPr>
        <w:rPr>
          <w:rFonts w:ascii="Verdana" w:hAnsi="Verdana"/>
          <w:i/>
          <w:iCs/>
          <w:color w:val="000000" w:themeColor="text1"/>
        </w:rPr>
      </w:pPr>
      <w:r w:rsidRPr="0095798C">
        <w:rPr>
          <w:rFonts w:ascii="Verdana" w:hAnsi="Verdana"/>
          <w:i/>
          <w:iCs/>
          <w:color w:val="000000" w:themeColor="text1"/>
        </w:rPr>
        <w:t>Fire risk sub-module</w:t>
      </w:r>
    </w:p>
    <w:p w:rsidR="0095798C" w:rsidRPr="0095798C" w:rsidRDefault="0095798C" w:rsidP="0095798C">
      <w:pPr>
        <w:jc w:val="both"/>
        <w:rPr>
          <w:rFonts w:ascii="Verdana" w:hAnsi="Verdana"/>
        </w:rPr>
      </w:pPr>
      <w:r w:rsidRPr="0095798C">
        <w:rPr>
          <w:rFonts w:ascii="Verdana" w:hAnsi="Verdana"/>
        </w:rPr>
        <w:t xml:space="preserve">The priority for the CAT WS </w:t>
      </w:r>
      <w:r w:rsidR="00870451" w:rsidRPr="00870451">
        <w:rPr>
          <w:rFonts w:ascii="Verdana" w:hAnsi="Verdana"/>
        </w:rPr>
        <w:t xml:space="preserve">within the Man-made Catastrophe Risk module </w:t>
      </w:r>
      <w:r w:rsidRPr="0095798C">
        <w:rPr>
          <w:rFonts w:ascii="Verdana" w:hAnsi="Verdana"/>
        </w:rPr>
        <w:t>should be to work on the fire risk. There are two different aspects that need to be considered.</w:t>
      </w:r>
    </w:p>
    <w:p w:rsidR="0095798C" w:rsidRPr="0095798C" w:rsidRDefault="0095798C" w:rsidP="0095798C">
      <w:pPr>
        <w:jc w:val="both"/>
        <w:rPr>
          <w:rFonts w:ascii="Verdana" w:hAnsi="Verdana"/>
        </w:rPr>
      </w:pPr>
      <w:r w:rsidRPr="0095798C">
        <w:rPr>
          <w:rFonts w:ascii="Verdana" w:hAnsi="Verdana"/>
        </w:rPr>
        <w:t>The first one is the complexity of calculating the SCR for fire risk in an appropriate manner. Most of the stakeholders report that determining the gross exposure within the 200 meters radius is extremely difficult and sometimes even impossible.</w:t>
      </w:r>
    </w:p>
    <w:p w:rsidR="0095798C" w:rsidRPr="0095798C" w:rsidRDefault="0095798C" w:rsidP="0095798C">
      <w:pPr>
        <w:jc w:val="both"/>
        <w:rPr>
          <w:rFonts w:ascii="Verdana" w:hAnsi="Verdana"/>
        </w:rPr>
      </w:pPr>
      <w:r w:rsidRPr="0095798C">
        <w:rPr>
          <w:rFonts w:ascii="Verdana" w:hAnsi="Verdana"/>
        </w:rPr>
        <w:t>The second one is the outcome of the calculation and the level of the SCR for fire risk. Some stakeholders argue that it is overestimated because the 200 meters radius is too large.</w:t>
      </w:r>
    </w:p>
    <w:p w:rsidR="00FD0C71" w:rsidRPr="0095798C"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b/>
        </w:rPr>
        <w:t>Mandate for the CAT WS:</w:t>
      </w:r>
    </w:p>
    <w:p w:rsidR="00FD0C71"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FD0C71">
        <w:rPr>
          <w:rFonts w:ascii="Verdana" w:hAnsi="Verdana"/>
        </w:rPr>
        <w:t>Based on these considerations, the CAT WS is asked to develop an alternative calculatio</w:t>
      </w:r>
      <w:r>
        <w:rPr>
          <w:rFonts w:ascii="Verdana" w:hAnsi="Verdana"/>
        </w:rPr>
        <w:t>n for the fire risk sub-module.</w:t>
      </w:r>
    </w:p>
    <w:p w:rsidR="0095798C" w:rsidRPr="0095798C" w:rsidRDefault="0095798C" w:rsidP="0095798C">
      <w:pPr>
        <w:jc w:val="both"/>
        <w:rPr>
          <w:rFonts w:ascii="Verdana" w:hAnsi="Verdana"/>
        </w:rPr>
      </w:pPr>
      <w:r w:rsidRPr="0095798C">
        <w:rPr>
          <w:rFonts w:ascii="Verdana" w:hAnsi="Verdana"/>
        </w:rPr>
        <w:t>This alternative calculation should be easier to perform by insurance undertakings.</w:t>
      </w:r>
    </w:p>
    <w:p w:rsidR="0095798C" w:rsidRPr="0095798C" w:rsidRDefault="0095798C" w:rsidP="0095798C">
      <w:pPr>
        <w:jc w:val="both"/>
        <w:rPr>
          <w:rFonts w:ascii="Verdana" w:hAnsi="Verdana"/>
        </w:rPr>
      </w:pPr>
      <w:r w:rsidRPr="0095798C">
        <w:rPr>
          <w:rFonts w:ascii="Verdana" w:hAnsi="Verdana"/>
        </w:rPr>
        <w:lastRenderedPageBreak/>
        <w:t>Suggestions for simplification were:</w:t>
      </w:r>
    </w:p>
    <w:p w:rsidR="0095798C" w:rsidRPr="0095798C" w:rsidRDefault="0095798C" w:rsidP="0095798C">
      <w:pPr>
        <w:numPr>
          <w:ilvl w:val="0"/>
          <w:numId w:val="32"/>
        </w:numPr>
        <w:contextualSpacing/>
        <w:jc w:val="both"/>
        <w:rPr>
          <w:rFonts w:ascii="Verdana" w:hAnsi="Verdana"/>
        </w:rPr>
      </w:pPr>
      <w:r w:rsidRPr="0095798C">
        <w:rPr>
          <w:rFonts w:ascii="Verdana" w:hAnsi="Verdana"/>
        </w:rPr>
        <w:t>Taking another exposure measure, for instance the largest exposure with an adjustment to reflect the possibility of conflagration</w:t>
      </w:r>
    </w:p>
    <w:p w:rsidR="0095798C" w:rsidRPr="0095798C" w:rsidRDefault="0095798C" w:rsidP="00993347">
      <w:pPr>
        <w:numPr>
          <w:ilvl w:val="0"/>
          <w:numId w:val="32"/>
        </w:numPr>
        <w:jc w:val="both"/>
        <w:rPr>
          <w:rFonts w:ascii="Verdana" w:hAnsi="Verdana"/>
        </w:rPr>
      </w:pPr>
      <w:r w:rsidRPr="0095798C">
        <w:rPr>
          <w:rFonts w:ascii="Verdana" w:hAnsi="Verdana"/>
        </w:rPr>
        <w:t>Taking the simplification of the QIS5</w:t>
      </w:r>
      <w:r w:rsidR="00993347">
        <w:rPr>
          <w:rFonts w:ascii="Verdana" w:hAnsi="Verdana"/>
        </w:rPr>
        <w:t xml:space="preserve"> (</w:t>
      </w:r>
      <w:r w:rsidR="00DC0F91">
        <w:rPr>
          <w:rFonts w:ascii="Verdana" w:hAnsi="Verdana"/>
        </w:rPr>
        <w:t>refer to</w:t>
      </w:r>
      <w:r w:rsidR="00993347">
        <w:rPr>
          <w:rFonts w:ascii="Verdana" w:hAnsi="Verdana"/>
        </w:rPr>
        <w:t xml:space="preserve"> paras </w:t>
      </w:r>
      <w:r w:rsidR="00993347">
        <w:rPr>
          <w:rFonts w:ascii="Verdana" w:hAnsi="Verdana" w:cs="Verdana"/>
        </w:rPr>
        <w:t xml:space="preserve">3.1108 to 3.1116 on pages 300 to 302 of </w:t>
      </w:r>
      <w:r w:rsidR="00993347">
        <w:rPr>
          <w:rFonts w:ascii="Verdana" w:hAnsi="Verdana" w:cs="Verdana"/>
        </w:rPr>
        <w:fldChar w:fldCharType="begin"/>
      </w:r>
      <w:r w:rsidR="00993347">
        <w:rPr>
          <w:rFonts w:ascii="Verdana" w:hAnsi="Verdana" w:cs="Verdana"/>
        </w:rPr>
        <w:instrText xml:space="preserve"> HYPERLINK "</w:instrText>
      </w:r>
      <w:r w:rsidR="00993347" w:rsidRPr="00993347">
        <w:rPr>
          <w:rFonts w:ascii="Verdana" w:hAnsi="Verdana" w:cs="Verdana"/>
        </w:rPr>
        <w:instrText>https://eiopa.europa.eu/Publications/QIS/CEIOPS-Calibration-paper-Solvency-II.pdf</w:instrText>
      </w:r>
      <w:r w:rsidR="00993347">
        <w:rPr>
          <w:rFonts w:ascii="Verdana" w:hAnsi="Verdana" w:cs="Verdana"/>
        </w:rPr>
        <w:instrText xml:space="preserve">" </w:instrText>
      </w:r>
      <w:r w:rsidR="00993347">
        <w:rPr>
          <w:rFonts w:ascii="Verdana" w:hAnsi="Verdana" w:cs="Verdana"/>
        </w:rPr>
        <w:fldChar w:fldCharType="separate"/>
      </w:r>
      <w:r w:rsidR="00993347" w:rsidRPr="00AC1AEB">
        <w:rPr>
          <w:rStyle w:val="Hyperlink"/>
          <w:rFonts w:ascii="Verdana" w:hAnsi="Verdana" w:cs="Verdana"/>
        </w:rPr>
        <w:t>https://eiopa.europa.eu/Publications/QIS/CEIOPS-Calibration-paper-Solvency-II.pdf</w:t>
      </w:r>
      <w:r w:rsidR="00993347">
        <w:rPr>
          <w:rFonts w:ascii="Verdana" w:hAnsi="Verdana" w:cs="Verdana"/>
        </w:rPr>
        <w:fldChar w:fldCharType="end"/>
      </w:r>
      <w:r w:rsidR="00993347">
        <w:rPr>
          <w:rFonts w:ascii="Verdana" w:hAnsi="Verdana" w:cs="Verdana"/>
        </w:rPr>
        <w:t xml:space="preserve"> for more details on this solution)</w:t>
      </w:r>
    </w:p>
    <w:p w:rsidR="0095798C" w:rsidRPr="0095798C" w:rsidRDefault="0095798C" w:rsidP="0095798C">
      <w:pPr>
        <w:jc w:val="both"/>
        <w:rPr>
          <w:rFonts w:ascii="Verdana" w:hAnsi="Verdana"/>
        </w:rPr>
      </w:pPr>
      <w:r w:rsidRPr="0095798C">
        <w:rPr>
          <w:rFonts w:ascii="Verdana" w:hAnsi="Verdana"/>
        </w:rPr>
        <w:t>Alternative calculations proposed are:</w:t>
      </w:r>
    </w:p>
    <w:p w:rsidR="0095798C" w:rsidRPr="0095798C" w:rsidRDefault="0095798C" w:rsidP="0095798C">
      <w:pPr>
        <w:numPr>
          <w:ilvl w:val="0"/>
          <w:numId w:val="33"/>
        </w:numPr>
        <w:contextualSpacing/>
        <w:jc w:val="both"/>
        <w:rPr>
          <w:rFonts w:ascii="Verdana" w:hAnsi="Verdana"/>
        </w:rPr>
      </w:pPr>
      <w:r w:rsidRPr="0095798C">
        <w:rPr>
          <w:rFonts w:ascii="Verdana" w:hAnsi="Verdana"/>
        </w:rPr>
        <w:t xml:space="preserve">Retaining the largest single exposure of the portfolio of the company to which is added a fixed part (to be calibrated) of the whole portfolio in order to take into account possible cumulative losses in a scenario of conflagration. </w:t>
      </w:r>
    </w:p>
    <w:p w:rsidR="0095798C" w:rsidRPr="0095798C" w:rsidRDefault="0095798C" w:rsidP="0095798C">
      <w:pPr>
        <w:jc w:val="both"/>
        <w:rPr>
          <w:rFonts w:ascii="Verdana" w:hAnsi="Verdana"/>
        </w:rPr>
      </w:pPr>
    </w:p>
    <w:p w:rsidR="0095798C" w:rsidRPr="0095798C" w:rsidRDefault="003D6369" w:rsidP="0095798C">
      <w:pPr>
        <w:jc w:val="center"/>
        <w:rPr>
          <w:rFonts w:ascii="Verdana" w:hAnsi="Verdana"/>
        </w:rPr>
      </w:pPr>
      <m:oMathPara>
        <m:oMath>
          <m:sSub>
            <m:sSubPr>
              <m:ctrlPr>
                <w:rPr>
                  <w:rFonts w:ascii="Cambria Math" w:hAnsi="Cambria Math"/>
                  <w:i/>
                </w:rPr>
              </m:ctrlPr>
            </m:sSubPr>
            <m:e>
              <m:r>
                <w:rPr>
                  <w:rFonts w:ascii="Cambria Math" w:hAnsi="Cambria Math"/>
                </w:rPr>
                <m:t>SCR</m:t>
              </m:r>
            </m:e>
            <m:sub>
              <m:r>
                <w:rPr>
                  <w:rFonts w:ascii="Cambria Math" w:hAnsi="Cambria Math"/>
                </w:rPr>
                <m:t>fire</m:t>
              </m:r>
            </m:sub>
          </m:sSub>
          <m:r>
            <w:rPr>
              <w:rFonts w:ascii="Cambria Math" w:hAnsi="Cambria Math"/>
            </w:rPr>
            <m:t>=</m:t>
          </m:r>
          <m:sSub>
            <m:sSubPr>
              <m:ctrlPr>
                <w:rPr>
                  <w:rFonts w:ascii="Cambria Math" w:hAnsi="Cambria Math"/>
                  <w:i/>
                </w:rPr>
              </m:ctrlPr>
            </m:sSubPr>
            <m:e>
              <m:r>
                <w:rPr>
                  <w:rFonts w:ascii="Cambria Math" w:hAnsi="Cambria Math"/>
                </w:rPr>
                <m:t>SI</m:t>
              </m:r>
            </m:e>
            <m:sub>
              <m:r>
                <w:rPr>
                  <w:rFonts w:ascii="Cambria Math" w:hAnsi="Cambria Math"/>
                </w:rPr>
                <m:t>largest_exposure</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∙Expo_Ptf</m:t>
          </m:r>
        </m:oMath>
      </m:oMathPara>
    </w:p>
    <w:p w:rsidR="0095798C" w:rsidRPr="0095798C" w:rsidRDefault="0095798C" w:rsidP="0095798C">
      <w:pPr>
        <w:ind w:firstLine="360"/>
        <w:jc w:val="both"/>
        <w:rPr>
          <w:rFonts w:ascii="Verdana" w:hAnsi="Verdana"/>
        </w:rPr>
      </w:pPr>
      <w:r w:rsidRPr="0095798C">
        <w:rPr>
          <w:rFonts w:ascii="Verdana" w:hAnsi="Verdana"/>
        </w:rPr>
        <w:t>With:</w:t>
      </w:r>
    </w:p>
    <w:p w:rsidR="0095798C" w:rsidRPr="0095798C" w:rsidRDefault="003D6369" w:rsidP="0095798C">
      <w:pPr>
        <w:numPr>
          <w:ilvl w:val="0"/>
          <w:numId w:val="32"/>
        </w:numPr>
        <w:contextualSpacing/>
        <w:jc w:val="both"/>
        <w:rPr>
          <w:rFonts w:ascii="Verdana" w:hAnsi="Verdana"/>
        </w:rPr>
      </w:pPr>
      <m:oMath>
        <m:sSub>
          <m:sSubPr>
            <m:ctrlPr>
              <w:rPr>
                <w:rFonts w:ascii="Cambria Math" w:hAnsi="Cambria Math"/>
                <w:i/>
              </w:rPr>
            </m:ctrlPr>
          </m:sSubPr>
          <m:e>
            <m:r>
              <w:rPr>
                <w:rFonts w:ascii="Cambria Math" w:hAnsi="Cambria Math"/>
              </w:rPr>
              <m:t>SI</m:t>
            </m:r>
          </m:e>
          <m:sub>
            <m:r>
              <w:rPr>
                <w:rFonts w:ascii="Cambria Math" w:hAnsi="Cambria Math"/>
              </w:rPr>
              <m:t>largest_exposure</m:t>
            </m:r>
          </m:sub>
        </m:sSub>
      </m:oMath>
      <w:r w:rsidR="007843A1">
        <w:rPr>
          <w:rFonts w:ascii="Verdana" w:hAnsi="Verdana"/>
        </w:rPr>
        <w:tab/>
        <w:t>=</w:t>
      </w:r>
      <w:r w:rsidR="007843A1">
        <w:rPr>
          <w:rFonts w:ascii="Verdana" w:hAnsi="Verdana"/>
        </w:rPr>
        <w:tab/>
      </w:r>
      <w:r w:rsidR="0095798C" w:rsidRPr="0095798C">
        <w:rPr>
          <w:rFonts w:ascii="Verdana" w:hAnsi="Verdana"/>
        </w:rPr>
        <w:t xml:space="preserve">the (re)insurer largest single exposure </w:t>
      </w:r>
    </w:p>
    <w:p w:rsidR="0095798C" w:rsidRPr="0095798C" w:rsidRDefault="007843A1" w:rsidP="0095798C">
      <w:pPr>
        <w:numPr>
          <w:ilvl w:val="0"/>
          <w:numId w:val="32"/>
        </w:numPr>
        <w:contextualSpacing/>
        <w:jc w:val="both"/>
        <w:rPr>
          <w:rFonts w:ascii="Verdana" w:hAnsi="Verdana"/>
        </w:rPr>
      </w:pPr>
      <m:oMath>
        <m:r>
          <w:rPr>
            <w:rFonts w:ascii="Cambria Math" w:hAnsi="Cambria Math"/>
          </w:rPr>
          <m:t>Expo_Ptf</m:t>
        </m:r>
      </m:oMath>
      <w:r>
        <w:rPr>
          <w:rFonts w:ascii="Verdana" w:hAnsi="Verdana"/>
        </w:rPr>
        <w:tab/>
      </w:r>
      <w:r>
        <w:rPr>
          <w:rFonts w:ascii="Verdana" w:hAnsi="Verdana"/>
        </w:rPr>
        <w:tab/>
        <w:t>=</w:t>
      </w:r>
      <w:r>
        <w:rPr>
          <w:rFonts w:ascii="Verdana" w:hAnsi="Verdana"/>
        </w:rPr>
        <w:tab/>
      </w:r>
      <w:r w:rsidR="0095798C" w:rsidRPr="0095798C">
        <w:rPr>
          <w:rFonts w:ascii="Verdana" w:hAnsi="Verdana"/>
        </w:rPr>
        <w:t>the (re)insurer</w:t>
      </w:r>
      <w:r>
        <w:rPr>
          <w:rFonts w:ascii="Verdana" w:hAnsi="Verdana"/>
        </w:rPr>
        <w:t>’s</w:t>
      </w:r>
      <w:r w:rsidR="0095798C" w:rsidRPr="0095798C">
        <w:rPr>
          <w:rFonts w:ascii="Verdana" w:hAnsi="Verdana"/>
        </w:rPr>
        <w:t xml:space="preserve"> total exposure in the postal </w:t>
      </w:r>
      <w:r>
        <w:rPr>
          <w:rFonts w:ascii="Verdana" w:hAnsi="Verdana"/>
        </w:rPr>
        <w:br/>
      </w:r>
      <w:r>
        <w:rPr>
          <w:rFonts w:ascii="Verdana" w:hAnsi="Verdana"/>
        </w:rPr>
        <w:tab/>
      </w:r>
      <w:r>
        <w:rPr>
          <w:rFonts w:ascii="Verdana" w:hAnsi="Verdana"/>
        </w:rPr>
        <w:tab/>
      </w:r>
      <w:r>
        <w:rPr>
          <w:rFonts w:ascii="Verdana" w:hAnsi="Verdana"/>
        </w:rPr>
        <w:tab/>
      </w:r>
      <w:r>
        <w:rPr>
          <w:rFonts w:ascii="Verdana" w:hAnsi="Verdana"/>
        </w:rPr>
        <w:tab/>
        <w:t xml:space="preserve">code, </w:t>
      </w:r>
      <w:r w:rsidR="0095798C" w:rsidRPr="0095798C">
        <w:rPr>
          <w:rFonts w:ascii="Verdana" w:hAnsi="Verdana"/>
        </w:rPr>
        <w:t>where the largest single exposure</w:t>
      </w:r>
      <w:r w:rsidRPr="007843A1">
        <w:rPr>
          <w:rFonts w:ascii="Verdana" w:hAnsi="Verdana"/>
        </w:rPr>
        <w:t xml:space="preserve"> </w:t>
      </w:r>
      <w:r w:rsidRPr="0095798C">
        <w:rPr>
          <w:rFonts w:ascii="Verdana" w:hAnsi="Verdana"/>
        </w:rPr>
        <w:t>is</w:t>
      </w:r>
      <w:r>
        <w:rPr>
          <w:rFonts w:ascii="Verdana" w:hAnsi="Verdana"/>
        </w:rPr>
        <w:br/>
      </w:r>
      <w:r>
        <w:rPr>
          <w:rFonts w:ascii="Verdana" w:hAnsi="Verdana"/>
        </w:rPr>
        <w:tab/>
      </w:r>
      <w:r>
        <w:rPr>
          <w:rFonts w:ascii="Verdana" w:hAnsi="Verdana"/>
        </w:rPr>
        <w:tab/>
      </w:r>
      <w:r>
        <w:rPr>
          <w:rFonts w:ascii="Verdana" w:hAnsi="Verdana"/>
        </w:rPr>
        <w:tab/>
      </w:r>
      <w:r>
        <w:rPr>
          <w:rFonts w:ascii="Verdana" w:hAnsi="Verdana"/>
        </w:rPr>
        <w:tab/>
      </w:r>
      <w:r w:rsidRPr="0095798C">
        <w:rPr>
          <w:rFonts w:ascii="Verdana" w:hAnsi="Verdana"/>
        </w:rPr>
        <w:t xml:space="preserve"> located</w:t>
      </w:r>
    </w:p>
    <w:p w:rsidR="0095798C" w:rsidRPr="0095798C" w:rsidRDefault="003D6369" w:rsidP="00D05D70">
      <w:pPr>
        <w:numPr>
          <w:ilvl w:val="0"/>
          <w:numId w:val="32"/>
        </w:numPr>
        <w:spacing w:before="240"/>
        <w:ind w:left="714" w:hanging="357"/>
        <w:jc w:val="both"/>
        <w:rPr>
          <w:rFonts w:ascii="Verdana" w:hAnsi="Verdana"/>
        </w:rPr>
      </w:pPr>
      <m:oMath>
        <m:sSub>
          <m:sSubPr>
            <m:ctrlPr>
              <w:rPr>
                <w:rFonts w:ascii="Cambria Math" w:hAnsi="Cambria Math"/>
                <w:i/>
              </w:rPr>
            </m:ctrlPr>
          </m:sSubPr>
          <m:e>
            <m:r>
              <w:rPr>
                <w:rFonts w:ascii="Cambria Math" w:hAnsi="Cambria Math"/>
              </w:rPr>
              <m:t>α</m:t>
            </m:r>
          </m:e>
          <m:sub>
            <m:r>
              <w:rPr>
                <w:rFonts w:ascii="Cambria Math" w:hAnsi="Cambria Math"/>
              </w:rPr>
              <m:t>i</m:t>
            </m:r>
          </m:sub>
        </m:sSub>
      </m:oMath>
      <w:r w:rsidR="007843A1">
        <w:rPr>
          <w:rFonts w:ascii="Verdana" w:hAnsi="Verdana"/>
        </w:rPr>
        <w:tab/>
      </w:r>
      <w:r w:rsidR="007843A1">
        <w:rPr>
          <w:rFonts w:ascii="Verdana" w:hAnsi="Verdana"/>
        </w:rPr>
        <w:tab/>
      </w:r>
      <w:r w:rsidR="007843A1">
        <w:rPr>
          <w:rFonts w:ascii="Verdana" w:hAnsi="Verdana"/>
        </w:rPr>
        <w:tab/>
        <w:t>=</w:t>
      </w:r>
      <w:r w:rsidR="007843A1">
        <w:rPr>
          <w:rFonts w:ascii="Verdana" w:hAnsi="Verdana"/>
        </w:rPr>
        <w:tab/>
      </w:r>
      <w:r w:rsidR="0095798C" w:rsidRPr="0095798C">
        <w:rPr>
          <w:rFonts w:ascii="Verdana" w:hAnsi="Verdana"/>
        </w:rPr>
        <w:t>a damage rate of the (re)insurer</w:t>
      </w:r>
      <w:r w:rsidR="00312124">
        <w:rPr>
          <w:rFonts w:ascii="Verdana" w:hAnsi="Verdana"/>
        </w:rPr>
        <w:t>’s</w:t>
      </w:r>
      <w:r w:rsidR="0095798C" w:rsidRPr="0095798C">
        <w:rPr>
          <w:rFonts w:ascii="Verdana" w:hAnsi="Verdana"/>
        </w:rPr>
        <w:t xml:space="preserve"> total </w:t>
      </w:r>
      <w:r w:rsidR="00312124">
        <w:rPr>
          <w:rFonts w:ascii="Verdana" w:hAnsi="Verdana"/>
        </w:rPr>
        <w:br/>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r>
      <w:proofErr w:type="gramStart"/>
      <w:r w:rsidR="0095798C" w:rsidRPr="0095798C">
        <w:rPr>
          <w:rFonts w:ascii="Verdana" w:hAnsi="Verdana"/>
        </w:rPr>
        <w:t xml:space="preserve">exposure </w:t>
      </w:r>
      <w:proofErr w:type="gramEnd"/>
      <m:oMath>
        <m:r>
          <w:rPr>
            <w:rFonts w:ascii="Cambria Math" w:hAnsi="Cambria Math"/>
          </w:rPr>
          <m:t>Expo_Ptf</m:t>
        </m:r>
      </m:oMath>
      <w:r w:rsidR="0095798C" w:rsidRPr="0095798C">
        <w:rPr>
          <w:rFonts w:ascii="Verdana" w:hAnsi="Verdana"/>
        </w:rPr>
        <w:t xml:space="preserve">, depending of postal code </w:t>
      </w:r>
      <w:r w:rsidR="00312124">
        <w:rPr>
          <w:rFonts w:ascii="Verdana" w:hAnsi="Verdana"/>
        </w:rPr>
        <w:br/>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r>
      <w:r w:rsidR="0095798C" w:rsidRPr="0095798C">
        <w:rPr>
          <w:rFonts w:ascii="Verdana" w:hAnsi="Verdana"/>
        </w:rPr>
        <w:t xml:space="preserve">density level. This rate would be obviously lower </w:t>
      </w:r>
      <w:r w:rsidR="00312124">
        <w:rPr>
          <w:rFonts w:ascii="Verdana" w:hAnsi="Verdana"/>
        </w:rPr>
        <w:br/>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t>for a lower density level (three</w:t>
      </w:r>
      <w:r w:rsidR="0095798C" w:rsidRPr="0095798C">
        <w:rPr>
          <w:rFonts w:ascii="Verdana" w:hAnsi="Verdana"/>
        </w:rPr>
        <w:t xml:space="preserve"> categories could </w:t>
      </w:r>
      <w:r w:rsidR="00312124">
        <w:rPr>
          <w:rFonts w:ascii="Verdana" w:hAnsi="Verdana"/>
        </w:rPr>
        <w:br/>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r>
      <w:r w:rsidR="0095798C" w:rsidRPr="0095798C">
        <w:rPr>
          <w:rFonts w:ascii="Verdana" w:hAnsi="Verdana"/>
        </w:rPr>
        <w:t xml:space="preserve">be defined : </w:t>
      </w:r>
      <w:r w:rsidR="00312124">
        <w:rPr>
          <w:rFonts w:ascii="Verdana" w:hAnsi="Verdana"/>
        </w:rPr>
        <w:t>large</w:t>
      </w:r>
      <w:r w:rsidR="0095798C" w:rsidRPr="0095798C">
        <w:rPr>
          <w:rFonts w:ascii="Verdana" w:hAnsi="Verdana"/>
        </w:rPr>
        <w:t xml:space="preserve">, medium sized and </w:t>
      </w:r>
      <w:r w:rsidR="00312124">
        <w:rPr>
          <w:rFonts w:ascii="Verdana" w:hAnsi="Verdana"/>
        </w:rPr>
        <w:t>small</w:t>
      </w:r>
      <w:r w:rsidR="00312124">
        <w:rPr>
          <w:rFonts w:ascii="Verdana" w:hAnsi="Verdana"/>
        </w:rPr>
        <w:br/>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r>
      <w:r w:rsidR="00312124">
        <w:rPr>
          <w:rFonts w:ascii="Verdana" w:hAnsi="Verdana"/>
        </w:rPr>
        <w:tab/>
      </w:r>
      <w:r w:rsidR="0095798C" w:rsidRPr="0095798C">
        <w:rPr>
          <w:rFonts w:ascii="Verdana" w:hAnsi="Verdana"/>
        </w:rPr>
        <w:t>towns)</w:t>
      </w:r>
    </w:p>
    <w:p w:rsidR="0095798C" w:rsidRPr="0095798C" w:rsidRDefault="00EF5D11" w:rsidP="00D05D70">
      <w:pPr>
        <w:numPr>
          <w:ilvl w:val="0"/>
          <w:numId w:val="33"/>
        </w:numPr>
        <w:spacing w:before="200"/>
        <w:ind w:left="357" w:hanging="357"/>
        <w:jc w:val="both"/>
        <w:rPr>
          <w:rFonts w:ascii="Verdana" w:hAnsi="Verdana"/>
        </w:rPr>
      </w:pPr>
      <w:r>
        <w:rPr>
          <w:rFonts w:ascii="Verdana" w:hAnsi="Verdana"/>
        </w:rPr>
        <w:tab/>
      </w:r>
      <w:r>
        <w:rPr>
          <w:rFonts w:ascii="Verdana" w:hAnsi="Verdana"/>
        </w:rPr>
        <w:tab/>
      </w:r>
      <w:r>
        <w:rPr>
          <w:rFonts w:ascii="Verdana" w:hAnsi="Verdana"/>
        </w:rPr>
        <w:tab/>
      </w:r>
      <m:oMath>
        <m:sSub>
          <m:sSubPr>
            <m:ctrlPr>
              <w:rPr>
                <w:rFonts w:ascii="Cambria Math" w:hAnsi="Cambria Math"/>
                <w:i/>
              </w:rPr>
            </m:ctrlPr>
          </m:sSubPr>
          <m:e>
            <m:r>
              <w:rPr>
                <w:rFonts w:ascii="Cambria Math" w:hAnsi="Cambria Math"/>
              </w:rPr>
              <m:t>SCR</m:t>
            </m:r>
          </m:e>
          <m:sub>
            <m:r>
              <w:rPr>
                <w:rFonts w:ascii="Cambria Math" w:hAnsi="Cambria Math"/>
              </w:rPr>
              <m:t>fire_risk</m:t>
            </m:r>
          </m:sub>
        </m:sSub>
        <m:r>
          <w:rPr>
            <w:rFonts w:ascii="Cambria Math" w:hAnsi="Cambria Math"/>
          </w:rPr>
          <m:t>=%MS ∙%DS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∙NF∙</m:t>
        </m:r>
        <m:f>
          <m:fPr>
            <m:ctrlPr>
              <w:rPr>
                <w:rFonts w:ascii="Cambria Math" w:hAnsi="Cambria Math"/>
                <w:i/>
              </w:rPr>
            </m:ctrlPr>
          </m:fPr>
          <m:num>
            <m:r>
              <w:rPr>
                <w:rFonts w:ascii="Cambria Math" w:hAnsi="Cambria Math"/>
              </w:rPr>
              <m:t>€</m:t>
            </m:r>
          </m:num>
          <m:den>
            <m:sSup>
              <m:sSupPr>
                <m:ctrlPr>
                  <w:rPr>
                    <w:rFonts w:ascii="Cambria Math" w:hAnsi="Cambria Math"/>
                    <w:i/>
                  </w:rPr>
                </m:ctrlPr>
              </m:sSupPr>
              <m:e>
                <m:r>
                  <w:rPr>
                    <w:rFonts w:ascii="Cambria Math" w:hAnsi="Cambria Math"/>
                  </w:rPr>
                  <m:t>m</m:t>
                </m:r>
              </m:e>
              <m:sup>
                <m:r>
                  <w:rPr>
                    <w:rFonts w:ascii="Cambria Math" w:hAnsi="Cambria Math"/>
                  </w:rPr>
                  <m:t>2</m:t>
                </m:r>
              </m:sup>
            </m:sSup>
          </m:den>
        </m:f>
      </m:oMath>
    </w:p>
    <w:p w:rsidR="0095798C" w:rsidRPr="0095798C" w:rsidRDefault="0095798C" w:rsidP="0095798C">
      <w:pPr>
        <w:ind w:firstLine="360"/>
        <w:jc w:val="both"/>
        <w:rPr>
          <w:rFonts w:ascii="Verdana" w:hAnsi="Verdana"/>
        </w:rPr>
      </w:pPr>
      <w:proofErr w:type="gramStart"/>
      <w:r w:rsidRPr="0095798C">
        <w:rPr>
          <w:rFonts w:ascii="Verdana" w:hAnsi="Verdana"/>
        </w:rPr>
        <w:t>in</w:t>
      </w:r>
      <w:proofErr w:type="gramEnd"/>
      <w:r w:rsidRPr="0095798C">
        <w:rPr>
          <w:rFonts w:ascii="Verdana" w:hAnsi="Verdana"/>
        </w:rPr>
        <w:t xml:space="preserve"> which: </w:t>
      </w:r>
    </w:p>
    <w:p w:rsidR="0095798C" w:rsidRPr="0095798C" w:rsidRDefault="007843A1" w:rsidP="0095798C">
      <w:pPr>
        <w:numPr>
          <w:ilvl w:val="0"/>
          <w:numId w:val="32"/>
        </w:numPr>
        <w:contextualSpacing/>
        <w:jc w:val="both"/>
        <w:rPr>
          <w:rFonts w:ascii="Verdana" w:hAnsi="Verdana"/>
        </w:rPr>
      </w:pPr>
      <m:oMath>
        <m:r>
          <w:rPr>
            <w:rFonts w:ascii="Cambria Math" w:hAnsi="Cambria Math"/>
          </w:rPr>
          <m:t>%MS</m:t>
        </m:r>
      </m:oMath>
      <w:r>
        <w:rPr>
          <w:rFonts w:ascii="Verdana" w:hAnsi="Verdana"/>
        </w:rPr>
        <w:tab/>
        <w:t>=</w:t>
      </w:r>
      <w:r>
        <w:rPr>
          <w:rFonts w:ascii="Verdana" w:hAnsi="Verdana"/>
        </w:rPr>
        <w:tab/>
      </w:r>
      <w:r w:rsidR="0095798C" w:rsidRPr="0095798C">
        <w:rPr>
          <w:rFonts w:ascii="Verdana" w:hAnsi="Verdana"/>
        </w:rPr>
        <w:t>% market share in premiums of the insurer in Fire business</w:t>
      </w:r>
    </w:p>
    <w:p w:rsidR="0095798C" w:rsidRPr="0095798C" w:rsidRDefault="007843A1" w:rsidP="0095798C">
      <w:pPr>
        <w:numPr>
          <w:ilvl w:val="0"/>
          <w:numId w:val="32"/>
        </w:numPr>
        <w:contextualSpacing/>
        <w:jc w:val="both"/>
        <w:rPr>
          <w:rFonts w:ascii="Verdana" w:hAnsi="Verdana"/>
        </w:rPr>
      </w:pPr>
      <m:oMath>
        <m:r>
          <w:rPr>
            <w:rFonts w:ascii="Cambria Math" w:hAnsi="Cambria Math"/>
          </w:rPr>
          <m:t>%DS</m:t>
        </m:r>
      </m:oMath>
      <w:r>
        <w:rPr>
          <w:rFonts w:ascii="Verdana" w:hAnsi="Verdana"/>
        </w:rPr>
        <w:tab/>
        <w:t>=</w:t>
      </w:r>
      <w:r>
        <w:rPr>
          <w:rFonts w:ascii="Verdana" w:hAnsi="Verdana"/>
        </w:rPr>
        <w:tab/>
      </w:r>
      <w:r w:rsidR="0095798C" w:rsidRPr="0095798C">
        <w:rPr>
          <w:rFonts w:ascii="Verdana" w:hAnsi="Verdana"/>
        </w:rPr>
        <w:t xml:space="preserve">% density of buildings in the circle area (DS = 60% in </w:t>
      </w:r>
      <w:r>
        <w:rPr>
          <w:rFonts w:ascii="Verdana" w:hAnsi="Verdana"/>
        </w:rPr>
        <w:br/>
      </w:r>
      <w:r>
        <w:rPr>
          <w:rFonts w:ascii="Verdana" w:hAnsi="Verdana"/>
        </w:rPr>
        <w:tab/>
      </w:r>
      <w:r>
        <w:rPr>
          <w:rFonts w:ascii="Verdana" w:hAnsi="Verdana"/>
        </w:rPr>
        <w:tab/>
      </w:r>
      <w:r w:rsidR="0095798C" w:rsidRPr="0095798C">
        <w:rPr>
          <w:rFonts w:ascii="Verdana" w:hAnsi="Verdana"/>
        </w:rPr>
        <w:t>Luxembourg city)</w:t>
      </w:r>
    </w:p>
    <w:p w:rsidR="0095798C" w:rsidRPr="0095798C" w:rsidRDefault="007843A1" w:rsidP="0095798C">
      <w:pPr>
        <w:numPr>
          <w:ilvl w:val="0"/>
          <w:numId w:val="32"/>
        </w:numPr>
        <w:contextualSpacing/>
        <w:jc w:val="both"/>
        <w:rPr>
          <w:rFonts w:ascii="Verdana" w:hAnsi="Verdana"/>
        </w:rPr>
      </w:pPr>
      <m:oMath>
        <m:r>
          <w:rPr>
            <w:rFonts w:ascii="Cambria Math" w:hAnsi="Cambria Math"/>
          </w:rPr>
          <m:t>R</m:t>
        </m:r>
      </m:oMath>
      <w:r>
        <w:rPr>
          <w:rFonts w:ascii="Verdana" w:hAnsi="Verdana"/>
        </w:rPr>
        <w:tab/>
      </w:r>
      <w:r w:rsidR="0095798C" w:rsidRPr="0095798C">
        <w:rPr>
          <w:rFonts w:ascii="Verdana" w:hAnsi="Verdana"/>
        </w:rPr>
        <w:t>=</w:t>
      </w:r>
      <w:r>
        <w:rPr>
          <w:rFonts w:ascii="Verdana" w:hAnsi="Verdana"/>
        </w:rPr>
        <w:tab/>
      </w:r>
      <w:r w:rsidR="0095798C" w:rsidRPr="0095798C">
        <w:rPr>
          <w:rFonts w:ascii="Verdana" w:hAnsi="Verdana"/>
        </w:rPr>
        <w:t xml:space="preserve">Radius of circle </w:t>
      </w:r>
    </w:p>
    <w:p w:rsidR="0095798C" w:rsidRPr="0095798C" w:rsidRDefault="007843A1" w:rsidP="0095798C">
      <w:pPr>
        <w:numPr>
          <w:ilvl w:val="0"/>
          <w:numId w:val="32"/>
        </w:numPr>
        <w:contextualSpacing/>
        <w:jc w:val="both"/>
        <w:rPr>
          <w:rFonts w:ascii="Verdana" w:hAnsi="Verdana"/>
        </w:rPr>
      </w:pPr>
      <m:oMath>
        <m:r>
          <w:rPr>
            <w:rFonts w:ascii="Cambria Math" w:hAnsi="Cambria Math"/>
          </w:rPr>
          <m:t>NF</m:t>
        </m:r>
      </m:oMath>
      <w:r>
        <w:rPr>
          <w:rFonts w:ascii="Verdana" w:hAnsi="Verdana"/>
        </w:rPr>
        <w:tab/>
      </w:r>
      <w:r w:rsidR="0095798C" w:rsidRPr="0095798C">
        <w:rPr>
          <w:rFonts w:ascii="Verdana" w:hAnsi="Verdana"/>
        </w:rPr>
        <w:t>=</w:t>
      </w:r>
      <w:r>
        <w:rPr>
          <w:rFonts w:ascii="Verdana" w:hAnsi="Verdana"/>
        </w:rPr>
        <w:tab/>
      </w:r>
      <w:r w:rsidR="0095798C" w:rsidRPr="0095798C">
        <w:rPr>
          <w:rFonts w:ascii="Verdana" w:hAnsi="Verdana"/>
        </w:rPr>
        <w:t>Average number of floors per building (</w:t>
      </w:r>
      <m:oMath>
        <m:r>
          <w:rPr>
            <w:rFonts w:ascii="Cambria Math" w:hAnsi="Cambria Math"/>
          </w:rPr>
          <m:t>NF=8</m:t>
        </m:r>
      </m:oMath>
      <w:r w:rsidR="0095798C" w:rsidRPr="0095798C">
        <w:rPr>
          <w:rFonts w:ascii="Verdana" w:hAnsi="Verdana"/>
        </w:rPr>
        <w:t xml:space="preserve"> in Luxembourg </w:t>
      </w:r>
      <w:r>
        <w:rPr>
          <w:rFonts w:ascii="Verdana" w:hAnsi="Verdana"/>
        </w:rPr>
        <w:br/>
      </w:r>
      <w:r>
        <w:rPr>
          <w:rFonts w:ascii="Verdana" w:hAnsi="Verdana"/>
        </w:rPr>
        <w:tab/>
      </w:r>
      <w:r>
        <w:rPr>
          <w:rFonts w:ascii="Verdana" w:hAnsi="Verdana"/>
        </w:rPr>
        <w:tab/>
      </w:r>
      <w:r w:rsidR="0095798C" w:rsidRPr="0095798C">
        <w:rPr>
          <w:rFonts w:ascii="Verdana" w:hAnsi="Verdana"/>
        </w:rPr>
        <w:t>city // 6 positive floors, 2 basements)</w:t>
      </w:r>
    </w:p>
    <w:p w:rsidR="0095798C" w:rsidRPr="0095798C" w:rsidRDefault="003D6369" w:rsidP="00D05D70">
      <w:pPr>
        <w:numPr>
          <w:ilvl w:val="0"/>
          <w:numId w:val="32"/>
        </w:numPr>
        <w:ind w:left="714" w:hanging="357"/>
        <w:jc w:val="both"/>
        <w:rPr>
          <w:rFonts w:ascii="Verdana" w:hAnsi="Verdana"/>
        </w:rPr>
      </w:pPr>
      <m:oMath>
        <m:f>
          <m:fPr>
            <m:ctrlPr>
              <w:rPr>
                <w:rFonts w:ascii="Cambria Math" w:hAnsi="Cambria Math"/>
                <w:i/>
              </w:rPr>
            </m:ctrlPr>
          </m:fPr>
          <m:num>
            <m:r>
              <w:rPr>
                <w:rFonts w:ascii="Cambria Math" w:hAnsi="Cambria Math"/>
              </w:rPr>
              <m:t>€</m:t>
            </m:r>
          </m:num>
          <m:den>
            <m:sSup>
              <m:sSupPr>
                <m:ctrlPr>
                  <w:rPr>
                    <w:rFonts w:ascii="Cambria Math" w:hAnsi="Cambria Math"/>
                    <w:i/>
                  </w:rPr>
                </m:ctrlPr>
              </m:sSupPr>
              <m:e>
                <m:r>
                  <w:rPr>
                    <w:rFonts w:ascii="Cambria Math" w:hAnsi="Cambria Math"/>
                  </w:rPr>
                  <m:t>m</m:t>
                </m:r>
              </m:e>
              <m:sup>
                <m:r>
                  <w:rPr>
                    <w:rFonts w:ascii="Cambria Math" w:hAnsi="Cambria Math"/>
                  </w:rPr>
                  <m:t>2</m:t>
                </m:r>
              </m:sup>
            </m:sSup>
          </m:den>
        </m:f>
      </m:oMath>
      <w:r w:rsidR="007843A1">
        <w:rPr>
          <w:rFonts w:ascii="Verdana" w:hAnsi="Verdana"/>
        </w:rPr>
        <w:tab/>
        <w:t>=</w:t>
      </w:r>
      <w:r w:rsidR="007843A1">
        <w:rPr>
          <w:rFonts w:ascii="Verdana" w:hAnsi="Verdana"/>
        </w:rPr>
        <w:tab/>
      </w:r>
      <w:r w:rsidR="0095798C" w:rsidRPr="0095798C">
        <w:rPr>
          <w:rFonts w:ascii="Verdana" w:hAnsi="Verdana"/>
        </w:rPr>
        <w:t xml:space="preserve">Average cost of reconstruction (2000 </w:t>
      </w:r>
      <m:oMath>
        <m:f>
          <m:fPr>
            <m:ctrlPr>
              <w:rPr>
                <w:rFonts w:ascii="Cambria Math" w:hAnsi="Cambria Math"/>
                <w:i/>
              </w:rPr>
            </m:ctrlPr>
          </m:fPr>
          <m:num>
            <m:r>
              <w:rPr>
                <w:rFonts w:ascii="Cambria Math" w:hAnsi="Cambria Math"/>
              </w:rPr>
              <m:t>€</m:t>
            </m:r>
          </m:num>
          <m:den>
            <m:sSup>
              <m:sSupPr>
                <m:ctrlPr>
                  <w:rPr>
                    <w:rFonts w:ascii="Cambria Math" w:hAnsi="Cambria Math"/>
                    <w:i/>
                  </w:rPr>
                </m:ctrlPr>
              </m:sSupPr>
              <m:e>
                <m:r>
                  <w:rPr>
                    <w:rFonts w:ascii="Cambria Math" w:hAnsi="Cambria Math"/>
                  </w:rPr>
                  <m:t>m</m:t>
                </m:r>
              </m:e>
              <m:sup>
                <m:r>
                  <w:rPr>
                    <w:rFonts w:ascii="Cambria Math" w:hAnsi="Cambria Math"/>
                  </w:rPr>
                  <m:t>2</m:t>
                </m:r>
              </m:sup>
            </m:sSup>
          </m:den>
        </m:f>
        <m:r>
          <w:rPr>
            <w:rFonts w:ascii="Cambria Math" w:hAnsi="Cambria Math"/>
          </w:rPr>
          <m:t xml:space="preserve"> </m:t>
        </m:r>
      </m:oMath>
      <w:r w:rsidR="0095798C" w:rsidRPr="0095798C">
        <w:rPr>
          <w:rFonts w:ascii="Verdana" w:hAnsi="Verdana"/>
        </w:rPr>
        <w:t>in Luxembourg city)</w:t>
      </w:r>
    </w:p>
    <w:p w:rsidR="0095798C" w:rsidRPr="0095798C" w:rsidRDefault="0095798C" w:rsidP="00D05D70">
      <w:pPr>
        <w:spacing w:before="200"/>
        <w:jc w:val="both"/>
        <w:rPr>
          <w:rFonts w:ascii="Verdana" w:hAnsi="Verdana"/>
        </w:rPr>
      </w:pPr>
      <w:r w:rsidRPr="0095798C">
        <w:rPr>
          <w:rFonts w:ascii="Verdana" w:hAnsi="Verdana"/>
        </w:rPr>
        <w:t>The discussion paper also described alternatives that could be considered, such as reducing the radius, using a percentage of the sum insured or replacing the sum insured by PML or EML.</w:t>
      </w:r>
    </w:p>
    <w:p w:rsidR="00FD0C71" w:rsidRDefault="0095798C" w:rsidP="0095798C">
      <w:pPr>
        <w:jc w:val="both"/>
        <w:rPr>
          <w:rFonts w:ascii="Verdana" w:hAnsi="Verdana"/>
        </w:rPr>
      </w:pPr>
      <w:r w:rsidRPr="0095798C">
        <w:rPr>
          <w:rFonts w:ascii="Verdana" w:hAnsi="Verdana"/>
        </w:rPr>
        <w:t xml:space="preserve">The responses confirmed that using PML or EML has strong disadvantages: there is no common definition across Europe and these are subjective measures. </w:t>
      </w:r>
    </w:p>
    <w:p w:rsidR="00FD0C71" w:rsidRPr="0095798C"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b/>
        </w:rPr>
        <w:lastRenderedPageBreak/>
        <w:t>Mandate for the CAT WS:</w:t>
      </w:r>
    </w:p>
    <w:p w:rsidR="00FD0C71"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FD0C71">
        <w:rPr>
          <w:rFonts w:ascii="Verdana" w:hAnsi="Verdana"/>
        </w:rPr>
        <w:t>Therefore the CAT WS is asked to base its scenario on the sum insured as a first step, taking into account the comments that the SCR is currently overestimated.</w:t>
      </w:r>
    </w:p>
    <w:p w:rsidR="00FD0C71" w:rsidRPr="00FD0C71" w:rsidRDefault="00FD0C71" w:rsidP="00FD0C71">
      <w:pPr>
        <w:ind w:left="720"/>
        <w:contextualSpacing/>
        <w:jc w:val="both"/>
        <w:rPr>
          <w:rFonts w:ascii="Verdana" w:hAnsi="Verdana"/>
          <w:lang w:val="pt-PT"/>
        </w:rPr>
      </w:pPr>
    </w:p>
    <w:p w:rsidR="0095798C" w:rsidRPr="0095798C" w:rsidRDefault="0095798C" w:rsidP="0095798C">
      <w:pPr>
        <w:numPr>
          <w:ilvl w:val="0"/>
          <w:numId w:val="35"/>
        </w:numPr>
        <w:rPr>
          <w:rFonts w:ascii="Verdana" w:hAnsi="Verdana"/>
          <w:i/>
          <w:iCs/>
          <w:color w:val="000000" w:themeColor="text1"/>
        </w:rPr>
      </w:pPr>
      <w:r w:rsidRPr="0095798C">
        <w:rPr>
          <w:rFonts w:ascii="Verdana" w:hAnsi="Verdana"/>
          <w:i/>
          <w:iCs/>
          <w:color w:val="000000" w:themeColor="text1"/>
        </w:rPr>
        <w:t>Motor vehicle liability risk sub-module</w:t>
      </w:r>
    </w:p>
    <w:p w:rsidR="0095798C" w:rsidRPr="0095798C" w:rsidRDefault="0095798C" w:rsidP="0095798C">
      <w:pPr>
        <w:jc w:val="both"/>
        <w:rPr>
          <w:rFonts w:ascii="Verdana" w:hAnsi="Verdana"/>
        </w:rPr>
      </w:pPr>
      <w:r w:rsidRPr="0095798C">
        <w:rPr>
          <w:rFonts w:ascii="Verdana" w:hAnsi="Verdana"/>
        </w:rPr>
        <w:t>Several stakeholders expressed some doubts as regard</w:t>
      </w:r>
      <w:r w:rsidR="00870451">
        <w:rPr>
          <w:rFonts w:ascii="Verdana" w:hAnsi="Verdana"/>
        </w:rPr>
        <w:t>s</w:t>
      </w:r>
      <w:r w:rsidRPr="0095798C">
        <w:rPr>
          <w:rFonts w:ascii="Verdana" w:hAnsi="Verdana"/>
        </w:rPr>
        <w:t xml:space="preserve"> the specifications of this sub-module on limited and unlimited liability. It seems apparently difficult to apply in practice this distinction in some cases.</w:t>
      </w:r>
    </w:p>
    <w:p w:rsidR="00DC0F91" w:rsidRDefault="00DC0F91" w:rsidP="003D636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b/>
        </w:rPr>
        <w:t>Mandate for the CAT WS:</w:t>
      </w:r>
    </w:p>
    <w:p w:rsidR="0095798C" w:rsidRPr="0095798C" w:rsidRDefault="0095798C" w:rsidP="003D636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rPr>
        <w:t>The CAT WS is asked to specify the scenarios and which input parameters are required.</w:t>
      </w:r>
    </w:p>
    <w:p w:rsidR="0095798C" w:rsidRPr="0095798C" w:rsidRDefault="0095798C" w:rsidP="00FD0C71">
      <w:pPr>
        <w:ind w:left="720"/>
        <w:contextualSpacing/>
        <w:jc w:val="both"/>
        <w:rPr>
          <w:rFonts w:ascii="Verdana" w:hAnsi="Verdana"/>
          <w:lang w:val="pt-PT"/>
        </w:rPr>
      </w:pPr>
    </w:p>
    <w:p w:rsidR="0095798C" w:rsidRPr="0095798C" w:rsidRDefault="0095798C" w:rsidP="0095798C">
      <w:pPr>
        <w:numPr>
          <w:ilvl w:val="0"/>
          <w:numId w:val="35"/>
        </w:numPr>
        <w:rPr>
          <w:rFonts w:ascii="Verdana" w:hAnsi="Verdana"/>
          <w:i/>
          <w:iCs/>
          <w:color w:val="000000" w:themeColor="text1"/>
        </w:rPr>
      </w:pPr>
      <w:r w:rsidRPr="0095798C">
        <w:rPr>
          <w:rFonts w:ascii="Verdana" w:hAnsi="Verdana"/>
          <w:i/>
          <w:iCs/>
          <w:color w:val="000000" w:themeColor="text1"/>
        </w:rPr>
        <w:t>Marine risk sub-module</w:t>
      </w:r>
    </w:p>
    <w:p w:rsidR="0095798C" w:rsidRPr="0095798C" w:rsidRDefault="0095798C" w:rsidP="0095798C">
      <w:pPr>
        <w:rPr>
          <w:rFonts w:ascii="Verdana" w:hAnsi="Verdana"/>
        </w:rPr>
      </w:pPr>
      <w:r w:rsidRPr="0095798C">
        <w:rPr>
          <w:rFonts w:ascii="Verdana" w:hAnsi="Verdana"/>
        </w:rPr>
        <w:t>Currently, the scenarios are ‘tanker collision’, and ‘platform explosion’.</w:t>
      </w:r>
    </w:p>
    <w:p w:rsidR="0095798C" w:rsidRDefault="0095798C" w:rsidP="003D6369">
      <w:pPr>
        <w:jc w:val="both"/>
        <w:rPr>
          <w:rFonts w:ascii="Verdana" w:hAnsi="Verdana"/>
        </w:rPr>
      </w:pPr>
      <w:r w:rsidRPr="0095798C">
        <w:rPr>
          <w:rFonts w:ascii="Verdana" w:hAnsi="Verdana"/>
        </w:rPr>
        <w:t xml:space="preserve">Since Article 130 of regulation EU/2015/35 refers to ‘tankers/platforms insured by the undertaking’, it can happen that there is no CAT charge at all for companies active in the Marine </w:t>
      </w:r>
      <w:proofErr w:type="spellStart"/>
      <w:r w:rsidRPr="0095798C">
        <w:rPr>
          <w:rFonts w:ascii="Verdana" w:hAnsi="Verdana"/>
        </w:rPr>
        <w:t>LoB</w:t>
      </w:r>
      <w:proofErr w:type="spellEnd"/>
      <w:r w:rsidR="00DC0F91">
        <w:rPr>
          <w:rFonts w:ascii="Verdana" w:hAnsi="Verdana"/>
        </w:rPr>
        <w:t>: i.e. a particular undertaking has marine exposure by providing cover for other vessels than ‘tankers’ or ‘platforms’ or for other types of events than ‘collision’ or ‘explosion’</w:t>
      </w:r>
      <w:r w:rsidRPr="0095798C">
        <w:rPr>
          <w:rFonts w:ascii="Verdana" w:hAnsi="Verdana"/>
        </w:rPr>
        <w:t xml:space="preserve">. </w:t>
      </w:r>
      <w:r w:rsidR="00DC0F91">
        <w:rPr>
          <w:rFonts w:ascii="Verdana" w:hAnsi="Verdana"/>
        </w:rPr>
        <w:t>For such undertakings</w:t>
      </w:r>
      <w:r w:rsidR="00870451">
        <w:rPr>
          <w:rFonts w:ascii="Verdana" w:hAnsi="Verdana"/>
        </w:rPr>
        <w:t>,</w:t>
      </w:r>
      <w:r w:rsidRPr="0095798C">
        <w:rPr>
          <w:rFonts w:ascii="Verdana" w:hAnsi="Verdana"/>
        </w:rPr>
        <w:t xml:space="preserve"> there is clearly a risk (cf</w:t>
      </w:r>
      <w:r w:rsidR="004E03E9">
        <w:rPr>
          <w:rFonts w:ascii="Verdana" w:hAnsi="Verdana"/>
        </w:rPr>
        <w:t>.</w:t>
      </w:r>
      <w:r w:rsidRPr="0095798C">
        <w:rPr>
          <w:rFonts w:ascii="Verdana" w:hAnsi="Verdana"/>
        </w:rPr>
        <w:t xml:space="preserve"> Costa Concordia for instance)</w:t>
      </w:r>
      <w:r w:rsidR="00DC0F91">
        <w:rPr>
          <w:rFonts w:ascii="Verdana" w:hAnsi="Verdana"/>
        </w:rPr>
        <w:t xml:space="preserve"> although the scenarios given in the Delegated Regulation EU/2015/35 would</w:t>
      </w:r>
      <w:r w:rsidR="00582C63">
        <w:rPr>
          <w:rFonts w:ascii="Verdana" w:hAnsi="Verdana"/>
        </w:rPr>
        <w:t xml:space="preserve"> falsely</w:t>
      </w:r>
      <w:r w:rsidR="00DC0F91">
        <w:rPr>
          <w:rFonts w:ascii="Verdana" w:hAnsi="Verdana"/>
        </w:rPr>
        <w:t xml:space="preserve"> result in zero claims</w:t>
      </w:r>
      <w:r w:rsidR="00582C63">
        <w:rPr>
          <w:rFonts w:ascii="Verdana" w:hAnsi="Verdana"/>
        </w:rPr>
        <w:t xml:space="preserve"> according to the modelled SCR</w:t>
      </w:r>
      <w:r w:rsidRPr="0095798C">
        <w:rPr>
          <w:rFonts w:ascii="Verdana" w:hAnsi="Verdana"/>
        </w:rPr>
        <w:t>.</w:t>
      </w:r>
    </w:p>
    <w:p w:rsidR="00FD0C71" w:rsidRPr="0095798C" w:rsidRDefault="00FD0C71" w:rsidP="00FD0C71">
      <w:pPr>
        <w:rPr>
          <w:rFonts w:ascii="Verdana" w:hAnsi="Verdana"/>
        </w:rPr>
      </w:pPr>
      <w:r w:rsidRPr="0095798C">
        <w:rPr>
          <w:rFonts w:ascii="Verdana" w:hAnsi="Verdana"/>
        </w:rPr>
        <w:t>Specifically in relation to P&amp;I Clubs, there might be some of them which do not insure ‘tankers’ or ‘platforms’, but only cargo ships for instance, or Cruise ships.</w:t>
      </w:r>
    </w:p>
    <w:p w:rsidR="00FD0C71" w:rsidRPr="0095798C"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sidRPr="0095798C">
        <w:rPr>
          <w:rFonts w:ascii="Verdana" w:hAnsi="Verdana"/>
          <w:b/>
        </w:rPr>
        <w:t>Mandate for the CAT WS:</w:t>
      </w:r>
    </w:p>
    <w:p w:rsidR="00FD0C71" w:rsidRDefault="00FD0C71" w:rsidP="00FD0C7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Verdana" w:hAnsi="Verdana"/>
        </w:rPr>
      </w:pPr>
      <w:r>
        <w:rPr>
          <w:rFonts w:ascii="Verdana" w:hAnsi="Verdana"/>
        </w:rPr>
        <w:t>T</w:t>
      </w:r>
      <w:r w:rsidRPr="00FD0C71">
        <w:rPr>
          <w:rFonts w:ascii="Verdana" w:hAnsi="Verdana"/>
        </w:rPr>
        <w:t xml:space="preserve">he CAT WS is asked to </w:t>
      </w:r>
      <w:r w:rsidR="00D05D70">
        <w:rPr>
          <w:rFonts w:ascii="Verdana" w:hAnsi="Verdana"/>
        </w:rPr>
        <w:t>provide the basis for an assessment</w:t>
      </w:r>
      <w:r>
        <w:rPr>
          <w:rFonts w:ascii="Verdana" w:hAnsi="Verdana"/>
        </w:rPr>
        <w:t>, whether it w</w:t>
      </w:r>
      <w:r w:rsidR="006037BE">
        <w:rPr>
          <w:rFonts w:ascii="Verdana" w:hAnsi="Verdana"/>
        </w:rPr>
        <w:t>ould</w:t>
      </w:r>
      <w:r w:rsidRPr="0095798C">
        <w:rPr>
          <w:rFonts w:ascii="Verdana" w:hAnsi="Verdana"/>
        </w:rPr>
        <w:t xml:space="preserve"> be an option to consider </w:t>
      </w:r>
      <w:r w:rsidR="009A47C4">
        <w:rPr>
          <w:rFonts w:ascii="Verdana" w:hAnsi="Verdana"/>
        </w:rPr>
        <w:t>other</w:t>
      </w:r>
      <w:r w:rsidRPr="0095798C">
        <w:rPr>
          <w:rFonts w:ascii="Verdana" w:hAnsi="Verdana"/>
        </w:rPr>
        <w:t xml:space="preserve"> scenarios</w:t>
      </w:r>
      <w:r w:rsidR="009A47C4">
        <w:rPr>
          <w:rFonts w:ascii="Verdana" w:hAnsi="Verdana"/>
        </w:rPr>
        <w:t xml:space="preserve"> in addition to ‘tanker collision’ and ‘platform explosion’</w:t>
      </w:r>
      <w:r w:rsidRPr="0095798C">
        <w:rPr>
          <w:rFonts w:ascii="Verdana" w:hAnsi="Verdana"/>
        </w:rPr>
        <w:t>?</w:t>
      </w:r>
    </w:p>
    <w:p w:rsidR="0095798C" w:rsidRPr="0095798C" w:rsidRDefault="0095798C" w:rsidP="0095798C">
      <w:pPr>
        <w:rPr>
          <w:rFonts w:ascii="Verdana" w:hAnsi="Verdana"/>
        </w:rPr>
      </w:pPr>
      <w:r w:rsidRPr="0095798C">
        <w:rPr>
          <w:rFonts w:ascii="Verdana" w:hAnsi="Verdana"/>
        </w:rPr>
        <w:t>Text proposal:</w:t>
      </w:r>
    </w:p>
    <w:p w:rsidR="0095798C" w:rsidRPr="0095798C" w:rsidRDefault="0095798C" w:rsidP="0095798C">
      <w:pPr>
        <w:jc w:val="center"/>
        <w:rPr>
          <w:rFonts w:ascii="Verdana" w:hAnsi="Verdana"/>
          <w:i/>
        </w:rPr>
      </w:pPr>
      <w:r w:rsidRPr="0095798C">
        <w:rPr>
          <w:rFonts w:ascii="Verdana" w:hAnsi="Verdana"/>
          <w:i/>
        </w:rPr>
        <w:t>Article 130</w:t>
      </w:r>
    </w:p>
    <w:p w:rsidR="0095798C" w:rsidRPr="0095798C" w:rsidRDefault="0095798C" w:rsidP="0095798C">
      <w:pPr>
        <w:keepNext/>
        <w:spacing w:before="120" w:after="120" w:line="240" w:lineRule="auto"/>
        <w:jc w:val="center"/>
        <w:rPr>
          <w:rFonts w:ascii="Times New Roman" w:eastAsia="Times New Roman" w:hAnsi="Times New Roman"/>
          <w:i/>
          <w:sz w:val="24"/>
          <w:szCs w:val="24"/>
        </w:rPr>
      </w:pPr>
      <w:r w:rsidRPr="0095798C">
        <w:rPr>
          <w:rFonts w:ascii="Times New Roman" w:eastAsia="Times New Roman" w:hAnsi="Times New Roman"/>
          <w:i/>
          <w:sz w:val="24"/>
          <w:szCs w:val="24"/>
        </w:rPr>
        <w:t>Marine risk sub-module</w:t>
      </w:r>
    </w:p>
    <w:p w:rsidR="0095798C" w:rsidRPr="0095798C" w:rsidRDefault="0095798C" w:rsidP="0095798C">
      <w:pPr>
        <w:spacing w:before="120" w:after="120" w:line="240" w:lineRule="auto"/>
        <w:jc w:val="both"/>
        <w:rPr>
          <w:rFonts w:ascii="Times New Roman" w:eastAsia="Times New Roman" w:hAnsi="Times New Roman"/>
          <w:sz w:val="24"/>
          <w:szCs w:val="24"/>
        </w:rPr>
      </w:pPr>
    </w:p>
    <w:p w:rsidR="00ED11D6" w:rsidRPr="00ED11D6" w:rsidRDefault="00ED11D6" w:rsidP="00ED11D6">
      <w:pPr>
        <w:pStyle w:val="ListParagraph"/>
        <w:numPr>
          <w:ilvl w:val="0"/>
          <w:numId w:val="38"/>
        </w:numPr>
        <w:spacing w:before="120" w:after="120" w:line="240" w:lineRule="auto"/>
        <w:jc w:val="both"/>
        <w:rPr>
          <w:rFonts w:ascii="Times New Roman" w:eastAsia="Times New Roman" w:hAnsi="Times New Roman"/>
          <w:sz w:val="24"/>
          <w:szCs w:val="24"/>
        </w:rPr>
      </w:pPr>
      <w:r w:rsidRPr="00ED11D6">
        <w:rPr>
          <w:rFonts w:ascii="Times New Roman" w:eastAsia="Times New Roman" w:hAnsi="Times New Roman"/>
          <w:sz w:val="24"/>
          <w:szCs w:val="24"/>
        </w:rPr>
        <w:t xml:space="preserve">The capital requirement for marine risk shall be equal to the following: </w:t>
      </w:r>
    </w:p>
    <w:p w:rsidR="00ED11D6" w:rsidRPr="00ED11D6" w:rsidRDefault="003D6369" w:rsidP="00ED11D6">
      <w:pPr>
        <w:spacing w:before="120" w:after="120" w:line="240" w:lineRule="auto"/>
        <w:ind w:left="709" w:hanging="349"/>
        <w:jc w:val="both"/>
        <w:rPr>
          <w:rFonts w:ascii="Times New Roman" w:eastAsia="Times New Roman" w:hAnsi="Times New Roman"/>
          <w:sz w:val="24"/>
          <w:szCs w:val="24"/>
        </w:rPr>
      </w:pPr>
      <m:oMathPara>
        <m:oMathParaPr>
          <m:jc m:val="left"/>
        </m:oMathParaPr>
        <m:oMath>
          <m:sSub>
            <m:sSubPr>
              <m:ctrlPr>
                <w:rPr>
                  <w:rFonts w:ascii="Cambria Math" w:eastAsia="Times New Roman" w:hAnsi="Cambria Math"/>
                  <w:i/>
                  <w:sz w:val="24"/>
                  <w:szCs w:val="24"/>
                </w:rPr>
              </m:ctrlPr>
            </m:sSubPr>
            <m:e>
              <m:r>
                <w:rPr>
                  <w:rFonts w:ascii="Cambria Math" w:eastAsia="Times New Roman" w:hAnsi="Cambria Math"/>
                  <w:sz w:val="24"/>
                  <w:szCs w:val="24"/>
                </w:rPr>
                <m:t>SCR</m:t>
              </m:r>
            </m:e>
            <m:sub>
              <m:r>
                <w:rPr>
                  <w:rFonts w:ascii="Cambria Math" w:eastAsia="Times New Roman" w:hAnsi="Cambria Math"/>
                  <w:sz w:val="24"/>
                  <w:szCs w:val="24"/>
                </w:rPr>
                <m:t>marine</m:t>
              </m:r>
            </m:sub>
          </m:sSub>
          <m:r>
            <w:rPr>
              <w:rFonts w:ascii="Cambria Math" w:eastAsia="Times New Roman" w:hAnsi="Cambria Math"/>
              <w:sz w:val="24"/>
              <w:szCs w:val="24"/>
            </w:rPr>
            <m:t>=</m:t>
          </m:r>
          <m:rad>
            <m:radPr>
              <m:degHide m:val="1"/>
              <m:ctrlPr>
                <w:rPr>
                  <w:rFonts w:ascii="Cambria Math" w:eastAsia="Times New Roman" w:hAnsi="Cambria Math"/>
                  <w:i/>
                  <w:sz w:val="24"/>
                  <w:szCs w:val="24"/>
                </w:rPr>
              </m:ctrlPr>
            </m:radPr>
            <m:deg/>
            <m:e>
              <m:sSubSup>
                <m:sSubSupPr>
                  <m:ctrlPr>
                    <w:rPr>
                      <w:rFonts w:ascii="Cambria Math" w:eastAsia="Times New Roman" w:hAnsi="Cambria Math"/>
                      <w:i/>
                      <w:sz w:val="24"/>
                      <w:szCs w:val="24"/>
                    </w:rPr>
                  </m:ctrlPr>
                </m:sSubSupPr>
                <m:e>
                  <m:r>
                    <w:rPr>
                      <w:rFonts w:ascii="Cambria Math" w:eastAsia="Times New Roman" w:hAnsi="Cambria Math"/>
                      <w:sz w:val="24"/>
                      <w:szCs w:val="24"/>
                    </w:rPr>
                    <m:t>SCR</m:t>
                  </m:r>
                </m:e>
                <m:sub>
                  <m:r>
                    <w:rPr>
                      <w:rFonts w:ascii="Cambria Math" w:eastAsia="Times New Roman" w:hAnsi="Cambria Math"/>
                      <w:sz w:val="24"/>
                      <w:szCs w:val="24"/>
                    </w:rPr>
                    <m:t>tanker</m:t>
                  </m:r>
                </m:sub>
                <m:sup>
                  <m:r>
                    <w:rPr>
                      <w:rFonts w:ascii="Cambria Math" w:eastAsia="Times New Roman" w:hAnsi="Cambria Math"/>
                      <w:sz w:val="24"/>
                      <w:szCs w:val="24"/>
                    </w:rPr>
                    <m:t>2</m:t>
                  </m:r>
                </m:sup>
              </m:sSubSup>
              <m:r>
                <w:rPr>
                  <w:rFonts w:ascii="Cambria Math" w:eastAsia="Times New Roman" w:hAnsi="Cambria Math"/>
                  <w:sz w:val="24"/>
                  <w:szCs w:val="24"/>
                </w:rPr>
                <m:t>+</m:t>
              </m:r>
              <m:sSubSup>
                <m:sSubSupPr>
                  <m:ctrlPr>
                    <w:rPr>
                      <w:rFonts w:ascii="Cambria Math" w:eastAsia="Times New Roman" w:hAnsi="Cambria Math"/>
                      <w:i/>
                      <w:sz w:val="24"/>
                      <w:szCs w:val="24"/>
                    </w:rPr>
                  </m:ctrlPr>
                </m:sSubSupPr>
                <m:e>
                  <m:r>
                    <w:rPr>
                      <w:rFonts w:ascii="Cambria Math" w:eastAsia="Times New Roman" w:hAnsi="Cambria Math"/>
                      <w:sz w:val="24"/>
                      <w:szCs w:val="24"/>
                    </w:rPr>
                    <m:t>SCR</m:t>
                  </m:r>
                </m:e>
                <m:sub>
                  <m:r>
                    <w:rPr>
                      <w:rFonts w:ascii="Cambria Math" w:eastAsia="Times New Roman" w:hAnsi="Cambria Math"/>
                      <w:sz w:val="24"/>
                      <w:szCs w:val="24"/>
                    </w:rPr>
                    <m:t>platform</m:t>
                  </m:r>
                </m:sub>
                <m:sup>
                  <m:r>
                    <w:rPr>
                      <w:rFonts w:ascii="Cambria Math" w:eastAsia="Times New Roman" w:hAnsi="Cambria Math"/>
                      <w:sz w:val="24"/>
                      <w:szCs w:val="24"/>
                    </w:rPr>
                    <m:t>2</m:t>
                  </m:r>
                </m:sup>
              </m:sSubSup>
            </m:e>
          </m:rad>
        </m:oMath>
      </m:oMathPara>
      <w:bookmarkStart w:id="0" w:name="_GoBack"/>
      <w:bookmarkEnd w:id="0"/>
    </w:p>
    <w:p w:rsidR="00ED11D6" w:rsidRDefault="00ED11D6" w:rsidP="00ED11D6">
      <w:pPr>
        <w:spacing w:before="120" w:after="120" w:line="240" w:lineRule="auto"/>
        <w:ind w:left="360"/>
        <w:jc w:val="both"/>
        <w:rPr>
          <w:rFonts w:ascii="Times New Roman" w:eastAsia="Times New Roman" w:hAnsi="Times New Roman"/>
          <w:sz w:val="24"/>
          <w:szCs w:val="24"/>
        </w:rPr>
      </w:pPr>
      <w:proofErr w:type="gramStart"/>
      <w:r w:rsidRPr="00ED11D6">
        <w:rPr>
          <w:rFonts w:ascii="Times New Roman" w:eastAsia="Times New Roman" w:hAnsi="Times New Roman"/>
          <w:sz w:val="24"/>
          <w:szCs w:val="24"/>
        </w:rPr>
        <w:t>where</w:t>
      </w:r>
      <w:proofErr w:type="gramEnd"/>
      <w:r w:rsidRPr="00ED11D6">
        <w:rPr>
          <w:rFonts w:ascii="Times New Roman" w:eastAsia="Times New Roman" w:hAnsi="Times New Roman"/>
          <w:sz w:val="24"/>
          <w:szCs w:val="24"/>
        </w:rPr>
        <w:t xml:space="preserve">: </w:t>
      </w:r>
    </w:p>
    <w:p w:rsidR="00ED11D6" w:rsidRDefault="00ED11D6" w:rsidP="00ED11D6">
      <w:pPr>
        <w:spacing w:before="120" w:after="120" w:line="240" w:lineRule="auto"/>
        <w:ind w:left="360"/>
        <w:jc w:val="both"/>
        <w:rPr>
          <w:rFonts w:ascii="Times New Roman" w:eastAsia="Times New Roman" w:hAnsi="Times New Roman"/>
          <w:sz w:val="24"/>
          <w:szCs w:val="24"/>
        </w:rPr>
      </w:pPr>
      <w:r w:rsidRPr="00ED11D6">
        <w:rPr>
          <w:rFonts w:ascii="Times New Roman" w:eastAsia="Times New Roman" w:hAnsi="Times New Roman"/>
          <w:sz w:val="24"/>
          <w:szCs w:val="24"/>
        </w:rPr>
        <w:t>(</w:t>
      </w:r>
      <w:proofErr w:type="gramStart"/>
      <w:r w:rsidRPr="00ED11D6">
        <w:rPr>
          <w:rFonts w:ascii="Times New Roman" w:eastAsia="Times New Roman" w:hAnsi="Times New Roman"/>
          <w:sz w:val="24"/>
          <w:szCs w:val="24"/>
        </w:rPr>
        <w:t>a</w:t>
      </w:r>
      <w:proofErr w:type="gramEnd"/>
      <w:r w:rsidRPr="00ED11D6">
        <w:rPr>
          <w:rFonts w:ascii="Times New Roman" w:eastAsia="Times New Roman" w:hAnsi="Times New Roman"/>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SCR</m:t>
            </m:r>
          </m:e>
          <m:sub>
            <m:r>
              <w:rPr>
                <w:rFonts w:ascii="Cambria Math" w:eastAsia="Times New Roman" w:hAnsi="Cambria Math"/>
                <w:sz w:val="24"/>
                <w:szCs w:val="24"/>
              </w:rPr>
              <m:t>tanker</m:t>
            </m:r>
          </m:sub>
        </m:sSub>
      </m:oMath>
      <w:r w:rsidRPr="00ED11D6">
        <w:rPr>
          <w:rFonts w:ascii="Times New Roman" w:eastAsia="Times New Roman" w:hAnsi="Times New Roman"/>
          <w:sz w:val="24"/>
          <w:szCs w:val="24"/>
        </w:rPr>
        <w:t xml:space="preserve"> is the capital requirement for the risk of a tanker collision; </w:t>
      </w:r>
    </w:p>
    <w:p w:rsidR="00ED11D6" w:rsidRDefault="00ED11D6" w:rsidP="00ED11D6">
      <w:pPr>
        <w:spacing w:before="120" w:after="120" w:line="240" w:lineRule="auto"/>
        <w:ind w:left="360"/>
        <w:jc w:val="both"/>
        <w:rPr>
          <w:rFonts w:ascii="Times New Roman" w:eastAsia="Times New Roman" w:hAnsi="Times New Roman"/>
          <w:sz w:val="24"/>
          <w:szCs w:val="24"/>
        </w:rPr>
      </w:pPr>
      <w:r w:rsidRPr="00ED11D6">
        <w:rPr>
          <w:rFonts w:ascii="Times New Roman" w:eastAsia="Times New Roman" w:hAnsi="Times New Roman"/>
          <w:sz w:val="24"/>
          <w:szCs w:val="24"/>
        </w:rPr>
        <w:t xml:space="preserve">(b) </w:t>
      </w:r>
      <m:oMath>
        <m:sSub>
          <m:sSubPr>
            <m:ctrlPr>
              <w:rPr>
                <w:rFonts w:ascii="Cambria Math" w:eastAsia="Times New Roman" w:hAnsi="Cambria Math"/>
                <w:i/>
                <w:sz w:val="24"/>
                <w:szCs w:val="24"/>
              </w:rPr>
            </m:ctrlPr>
          </m:sSubPr>
          <m:e>
            <m:r>
              <w:rPr>
                <w:rFonts w:ascii="Cambria Math" w:eastAsia="Times New Roman" w:hAnsi="Cambria Math"/>
                <w:sz w:val="24"/>
                <w:szCs w:val="24"/>
              </w:rPr>
              <m:t>SCR</m:t>
            </m:r>
          </m:e>
          <m:sub>
            <m:r>
              <w:rPr>
                <w:rFonts w:ascii="Cambria Math" w:eastAsia="Times New Roman" w:hAnsi="Cambria Math"/>
                <w:sz w:val="24"/>
                <w:szCs w:val="24"/>
              </w:rPr>
              <m:t>platform</m:t>
            </m:r>
          </m:sub>
        </m:sSub>
      </m:oMath>
      <w:r w:rsidRPr="00ED11D6">
        <w:rPr>
          <w:rFonts w:ascii="Times New Roman" w:eastAsia="Times New Roman" w:hAnsi="Times New Roman"/>
          <w:sz w:val="24"/>
          <w:szCs w:val="24"/>
        </w:rPr>
        <w:t xml:space="preserve"> </w:t>
      </w:r>
      <w:proofErr w:type="gramStart"/>
      <w:r w:rsidRPr="00ED11D6">
        <w:rPr>
          <w:rFonts w:ascii="Times New Roman" w:eastAsia="Times New Roman" w:hAnsi="Times New Roman"/>
          <w:sz w:val="24"/>
          <w:szCs w:val="24"/>
        </w:rPr>
        <w:t>is</w:t>
      </w:r>
      <w:proofErr w:type="gramEnd"/>
      <w:r w:rsidRPr="00ED11D6">
        <w:rPr>
          <w:rFonts w:ascii="Times New Roman" w:eastAsia="Times New Roman" w:hAnsi="Times New Roman"/>
          <w:sz w:val="24"/>
          <w:szCs w:val="24"/>
        </w:rPr>
        <w:t xml:space="preserve"> the capital requirement for the risk of a platform explosion. </w:t>
      </w:r>
    </w:p>
    <w:p w:rsidR="00ED11D6" w:rsidRDefault="00ED11D6" w:rsidP="00ED11D6">
      <w:pPr>
        <w:spacing w:before="120" w:after="120" w:line="240" w:lineRule="auto"/>
        <w:ind w:left="360"/>
        <w:jc w:val="both"/>
        <w:rPr>
          <w:rFonts w:ascii="Times New Roman" w:eastAsia="Times New Roman" w:hAnsi="Times New Roman"/>
          <w:sz w:val="24"/>
          <w:szCs w:val="24"/>
        </w:rPr>
      </w:pPr>
      <w:r w:rsidRPr="00ED11D6">
        <w:rPr>
          <w:rFonts w:ascii="Times New Roman" w:eastAsia="Times New Roman" w:hAnsi="Times New Roman"/>
          <w:sz w:val="24"/>
          <w:szCs w:val="24"/>
        </w:rPr>
        <w:t>2.</w:t>
      </w:r>
      <w:r>
        <w:rPr>
          <w:rFonts w:ascii="Times New Roman" w:eastAsia="Times New Roman" w:hAnsi="Times New Roman"/>
          <w:sz w:val="24"/>
          <w:szCs w:val="24"/>
        </w:rPr>
        <w:tab/>
      </w:r>
      <w:r w:rsidRPr="00ED11D6">
        <w:rPr>
          <w:rFonts w:ascii="Times New Roman" w:eastAsia="Times New Roman" w:hAnsi="Times New Roman"/>
          <w:sz w:val="24"/>
          <w:szCs w:val="24"/>
        </w:rPr>
        <w:t xml:space="preserve">The capital requirement for the risk of a tanker collision shall be equal to the loss in basic own funds of insurance and reinsurance undertakings that would result from an instantaneous loss of an amount that, without deduction of the amounts recoverable from reinsurance contracts and special purpose vehicles, is equal to the following: </w:t>
      </w:r>
    </w:p>
    <w:p w:rsidR="00ED11D6" w:rsidRPr="00ED11D6" w:rsidRDefault="003D6369" w:rsidP="00ED11D6">
      <w:pPr>
        <w:spacing w:before="120" w:after="120" w:line="240" w:lineRule="auto"/>
        <w:ind w:left="709" w:hanging="349"/>
        <w:jc w:val="both"/>
        <w:rPr>
          <w:rFonts w:ascii="Times New Roman" w:eastAsia="Times New Roman" w:hAnsi="Times New Roman"/>
          <w:sz w:val="24"/>
          <w:szCs w:val="24"/>
        </w:rPr>
      </w:pPr>
      <m:oMathPara>
        <m:oMathParaPr>
          <m:jc m:val="left"/>
        </m:oMathParaPr>
        <m:oMath>
          <m:sSub>
            <m:sSubPr>
              <m:ctrlPr>
                <w:rPr>
                  <w:rFonts w:ascii="Cambria Math" w:eastAsia="Times New Roman" w:hAnsi="Cambria Math"/>
                  <w:i/>
                  <w:sz w:val="24"/>
                  <w:szCs w:val="24"/>
                </w:rPr>
              </m:ctrlPr>
            </m:sSubPr>
            <m:e>
              <m:r>
                <w:rPr>
                  <w:rFonts w:ascii="Cambria Math" w:eastAsia="Times New Roman" w:hAnsi="Cambria Math"/>
                  <w:sz w:val="24"/>
                  <w:szCs w:val="24"/>
                </w:rPr>
                <m:t>L</m:t>
              </m:r>
            </m:e>
            <m:sub>
              <m:r>
                <w:rPr>
                  <w:rFonts w:ascii="Cambria Math" w:eastAsia="Times New Roman" w:hAnsi="Cambria Math"/>
                  <w:sz w:val="24"/>
                  <w:szCs w:val="24"/>
                </w:rPr>
                <m:t>tanker</m:t>
              </m:r>
            </m:sub>
          </m:sSub>
          <m:r>
            <w:rPr>
              <w:rFonts w:ascii="Cambria Math" w:eastAsia="Times New Roman" w:hAnsi="Cambria Math"/>
              <w:sz w:val="24"/>
              <w:szCs w:val="24"/>
            </w:rPr>
            <m:t>=</m:t>
          </m:r>
          <m:func>
            <m:funcPr>
              <m:ctrlPr>
                <w:rPr>
                  <w:rFonts w:ascii="Cambria Math" w:eastAsia="Times New Roman" w:hAnsi="Cambria Math"/>
                  <w:i/>
                  <w:sz w:val="24"/>
                  <w:szCs w:val="24"/>
                </w:rPr>
              </m:ctrlPr>
            </m:funcPr>
            <m:fName>
              <m:limLow>
                <m:limLowPr>
                  <m:ctrlPr>
                    <w:rPr>
                      <w:rFonts w:ascii="Cambria Math" w:eastAsia="Times New Roman" w:hAnsi="Cambria Math"/>
                      <w:i/>
                      <w:sz w:val="24"/>
                      <w:szCs w:val="24"/>
                    </w:rPr>
                  </m:ctrlPr>
                </m:limLowPr>
                <m:e>
                  <m:r>
                    <m:rPr>
                      <m:sty m:val="p"/>
                    </m:rPr>
                    <w:rPr>
                      <w:rFonts w:ascii="Cambria Math" w:eastAsia="Times New Roman" w:hAnsi="Cambria Math"/>
                      <w:sz w:val="24"/>
                      <w:szCs w:val="24"/>
                    </w:rPr>
                    <m:t>max</m:t>
                  </m:r>
                </m:e>
                <m:lim>
                  <m:r>
                    <w:rPr>
                      <w:rFonts w:ascii="Cambria Math" w:eastAsia="Times New Roman" w:hAnsi="Cambria Math"/>
                      <w:sz w:val="24"/>
                      <w:szCs w:val="24"/>
                    </w:rPr>
                    <m:t>t</m:t>
                  </m:r>
                </m:lim>
              </m:limLow>
            </m:fName>
            <m:e>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hull,t</m:t>
                          </m:r>
                        </m:e>
                      </m:d>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liab,t</m:t>
                          </m:r>
                        </m:e>
                      </m:d>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pollution,t</m:t>
                          </m:r>
                        </m:e>
                      </m:d>
                    </m:sub>
                  </m:sSub>
                </m:e>
              </m:d>
            </m:e>
          </m:func>
        </m:oMath>
      </m:oMathPara>
    </w:p>
    <w:p w:rsidR="00ED11D6" w:rsidRDefault="00ED11D6" w:rsidP="00ED11D6">
      <w:pPr>
        <w:spacing w:before="120" w:after="120" w:line="240" w:lineRule="auto"/>
        <w:ind w:left="360"/>
        <w:jc w:val="both"/>
        <w:rPr>
          <w:rFonts w:ascii="Times New Roman" w:eastAsia="Times New Roman" w:hAnsi="Times New Roman"/>
          <w:sz w:val="24"/>
          <w:szCs w:val="24"/>
        </w:rPr>
      </w:pPr>
      <w:proofErr w:type="gramStart"/>
      <w:r w:rsidRPr="00ED11D6">
        <w:rPr>
          <w:rFonts w:ascii="Times New Roman" w:eastAsia="Times New Roman" w:hAnsi="Times New Roman"/>
          <w:sz w:val="24"/>
          <w:szCs w:val="24"/>
        </w:rPr>
        <w:t>where</w:t>
      </w:r>
      <w:proofErr w:type="gramEnd"/>
      <w:r w:rsidRPr="00ED11D6">
        <w:rPr>
          <w:rFonts w:ascii="Times New Roman" w:eastAsia="Times New Roman" w:hAnsi="Times New Roman"/>
          <w:sz w:val="24"/>
          <w:szCs w:val="24"/>
        </w:rPr>
        <w:t xml:space="preserve">: </w:t>
      </w:r>
    </w:p>
    <w:p w:rsidR="00ED11D6" w:rsidRDefault="00ED11D6" w:rsidP="00ED11D6">
      <w:pPr>
        <w:spacing w:before="120" w:after="120" w:line="240" w:lineRule="auto"/>
        <w:ind w:left="360"/>
        <w:jc w:val="both"/>
        <w:rPr>
          <w:rFonts w:ascii="Times New Roman" w:eastAsia="Times New Roman" w:hAnsi="Times New Roman"/>
          <w:sz w:val="24"/>
          <w:szCs w:val="24"/>
        </w:rPr>
      </w:pPr>
      <w:r w:rsidRPr="00ED11D6">
        <w:rPr>
          <w:rFonts w:ascii="Times New Roman" w:eastAsia="Times New Roman" w:hAnsi="Times New Roman"/>
          <w:sz w:val="24"/>
          <w:szCs w:val="24"/>
        </w:rPr>
        <w:t xml:space="preserve">(a) the maximum relates to all oil and gas tankers insured by the insurance or reinsurance undertaking in respect of tanker collision in lines of business 6, 18 and 27 set out in Annex I; </w:t>
      </w:r>
    </w:p>
    <w:p w:rsidR="00ED11D6" w:rsidRDefault="00ED11D6" w:rsidP="00ED11D6">
      <w:pPr>
        <w:spacing w:before="120" w:after="120" w:line="240" w:lineRule="auto"/>
        <w:ind w:left="360"/>
        <w:jc w:val="both"/>
        <w:rPr>
          <w:rFonts w:ascii="Times New Roman" w:eastAsia="Times New Roman" w:hAnsi="Times New Roman"/>
          <w:sz w:val="24"/>
          <w:szCs w:val="24"/>
        </w:rPr>
      </w:pPr>
      <w:r w:rsidRPr="00ED11D6">
        <w:rPr>
          <w:rFonts w:ascii="Times New Roman" w:eastAsia="Times New Roman" w:hAnsi="Times New Roman"/>
          <w:sz w:val="24"/>
          <w:szCs w:val="24"/>
        </w:rPr>
        <w:t xml:space="preserve">(b) </w:t>
      </w:r>
      <m:oMath>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hull,t</m:t>
                </m:r>
              </m:e>
            </m:d>
          </m:sub>
        </m:sSub>
      </m:oMath>
      <w:r w:rsidRPr="00ED11D6">
        <w:rPr>
          <w:rFonts w:ascii="Times New Roman" w:eastAsia="Times New Roman" w:hAnsi="Times New Roman"/>
          <w:sz w:val="24"/>
          <w:szCs w:val="24"/>
        </w:rPr>
        <w:t xml:space="preserve"> </w:t>
      </w:r>
      <w:proofErr w:type="gramStart"/>
      <w:r w:rsidRPr="00ED11D6">
        <w:rPr>
          <w:rFonts w:ascii="Times New Roman" w:eastAsia="Times New Roman" w:hAnsi="Times New Roman"/>
          <w:sz w:val="24"/>
          <w:szCs w:val="24"/>
        </w:rPr>
        <w:t>is</w:t>
      </w:r>
      <w:proofErr w:type="gramEnd"/>
      <w:r w:rsidRPr="00ED11D6">
        <w:rPr>
          <w:rFonts w:ascii="Times New Roman" w:eastAsia="Times New Roman" w:hAnsi="Times New Roman"/>
          <w:sz w:val="24"/>
          <w:szCs w:val="24"/>
        </w:rPr>
        <w:t xml:space="preserve"> the sum insured by the insurance or reinsurance undertaking for marine hull insurance and reinsurance in relation to tanker </w:t>
      </w:r>
      <m:oMath>
        <m:r>
          <w:rPr>
            <w:rFonts w:ascii="Cambria Math" w:eastAsia="Times New Roman" w:hAnsi="Cambria Math"/>
            <w:sz w:val="24"/>
            <w:szCs w:val="24"/>
          </w:rPr>
          <m:t>t</m:t>
        </m:r>
      </m:oMath>
      <w:r w:rsidRPr="00ED11D6">
        <w:rPr>
          <w:rFonts w:ascii="Times New Roman" w:eastAsia="Times New Roman" w:hAnsi="Times New Roman"/>
          <w:sz w:val="24"/>
          <w:szCs w:val="24"/>
        </w:rPr>
        <w:t>;</w:t>
      </w:r>
    </w:p>
    <w:p w:rsidR="00EF6EF6" w:rsidRDefault="00EF6EF6" w:rsidP="00ED11D6">
      <w:pPr>
        <w:spacing w:before="120" w:after="120" w:line="240" w:lineRule="auto"/>
        <w:ind w:left="360"/>
        <w:jc w:val="both"/>
        <w:rPr>
          <w:rFonts w:ascii="Times New Roman" w:eastAsia="Times New Roman" w:hAnsi="Times New Roman"/>
          <w:sz w:val="24"/>
          <w:szCs w:val="24"/>
        </w:rPr>
      </w:pPr>
      <w:r w:rsidRPr="00EF6EF6">
        <w:rPr>
          <w:rFonts w:ascii="Times New Roman" w:eastAsia="Times New Roman" w:hAnsi="Times New Roman"/>
          <w:sz w:val="24"/>
          <w:szCs w:val="24"/>
        </w:rPr>
        <w:t xml:space="preserve">(c) </w:t>
      </w:r>
      <m:oMath>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liab,t</m:t>
                </m:r>
              </m:e>
            </m:d>
          </m:sub>
        </m:sSub>
      </m:oMath>
      <w:r w:rsidRPr="00EF6EF6">
        <w:rPr>
          <w:rFonts w:ascii="Times New Roman" w:eastAsia="Times New Roman" w:hAnsi="Times New Roman"/>
          <w:sz w:val="24"/>
          <w:szCs w:val="24"/>
        </w:rPr>
        <w:t xml:space="preserve"> </w:t>
      </w:r>
      <w:proofErr w:type="gramStart"/>
      <w:r w:rsidRPr="00EF6EF6">
        <w:rPr>
          <w:rFonts w:ascii="Times New Roman" w:eastAsia="Times New Roman" w:hAnsi="Times New Roman"/>
          <w:sz w:val="24"/>
          <w:szCs w:val="24"/>
        </w:rPr>
        <w:t>is</w:t>
      </w:r>
      <w:proofErr w:type="gramEnd"/>
      <w:r w:rsidRPr="00EF6EF6">
        <w:rPr>
          <w:rFonts w:ascii="Times New Roman" w:eastAsia="Times New Roman" w:hAnsi="Times New Roman"/>
          <w:sz w:val="24"/>
          <w:szCs w:val="24"/>
        </w:rPr>
        <w:t xml:space="preserve"> the sum insured by the insurance or reinsurance undertaking for marine liability insurance and reinsurance in relation to tanker </w:t>
      </w:r>
      <m:oMath>
        <m:r>
          <w:rPr>
            <w:rFonts w:ascii="Cambria Math" w:eastAsia="Times New Roman" w:hAnsi="Cambria Math"/>
            <w:sz w:val="24"/>
            <w:szCs w:val="24"/>
          </w:rPr>
          <m:t>t</m:t>
        </m:r>
      </m:oMath>
      <w:r w:rsidRPr="00EF6EF6">
        <w:rPr>
          <w:rFonts w:ascii="Times New Roman" w:eastAsia="Times New Roman" w:hAnsi="Times New Roman"/>
          <w:sz w:val="24"/>
          <w:szCs w:val="24"/>
        </w:rPr>
        <w:t xml:space="preserve">; </w:t>
      </w:r>
    </w:p>
    <w:p w:rsidR="00EF6EF6" w:rsidRDefault="00EF6EF6" w:rsidP="00ED11D6">
      <w:pPr>
        <w:spacing w:before="120" w:after="120" w:line="240" w:lineRule="auto"/>
        <w:ind w:left="360"/>
        <w:jc w:val="both"/>
        <w:rPr>
          <w:rFonts w:ascii="Times New Roman" w:eastAsia="Times New Roman" w:hAnsi="Times New Roman"/>
          <w:sz w:val="24"/>
          <w:szCs w:val="24"/>
        </w:rPr>
      </w:pPr>
      <w:r w:rsidRPr="00EF6EF6">
        <w:rPr>
          <w:rFonts w:ascii="Times New Roman" w:eastAsia="Times New Roman" w:hAnsi="Times New Roman"/>
          <w:sz w:val="24"/>
          <w:szCs w:val="24"/>
        </w:rPr>
        <w:t xml:space="preserve">(d) </w:t>
      </w:r>
      <m:oMath>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pollution,t</m:t>
                </m:r>
              </m:e>
            </m:d>
          </m:sub>
        </m:sSub>
      </m:oMath>
      <w:r w:rsidRPr="00EF6EF6">
        <w:rPr>
          <w:rFonts w:ascii="Times New Roman" w:eastAsia="Times New Roman" w:hAnsi="Times New Roman"/>
          <w:sz w:val="24"/>
          <w:szCs w:val="24"/>
        </w:rPr>
        <w:t xml:space="preserve"> </w:t>
      </w:r>
      <w:proofErr w:type="gramStart"/>
      <w:r w:rsidRPr="00EF6EF6">
        <w:rPr>
          <w:rFonts w:ascii="Times New Roman" w:eastAsia="Times New Roman" w:hAnsi="Times New Roman"/>
          <w:sz w:val="24"/>
          <w:szCs w:val="24"/>
        </w:rPr>
        <w:t>is</w:t>
      </w:r>
      <w:proofErr w:type="gramEnd"/>
      <w:r w:rsidRPr="00EF6EF6">
        <w:rPr>
          <w:rFonts w:ascii="Times New Roman" w:eastAsia="Times New Roman" w:hAnsi="Times New Roman"/>
          <w:sz w:val="24"/>
          <w:szCs w:val="24"/>
        </w:rPr>
        <w:t xml:space="preserve"> the sum insured by the insurance or reinsurance undertaking for oil pollution insurance and reinsurance in relation to tanker </w:t>
      </w:r>
      <m:oMath>
        <m:r>
          <w:rPr>
            <w:rFonts w:ascii="Cambria Math" w:eastAsia="Times New Roman" w:hAnsi="Cambria Math"/>
            <w:sz w:val="24"/>
            <w:szCs w:val="24"/>
          </w:rPr>
          <m:t>t</m:t>
        </m:r>
      </m:oMath>
      <w:r w:rsidRPr="00EF6EF6">
        <w:rPr>
          <w:rFonts w:ascii="Times New Roman" w:eastAsia="Times New Roman" w:hAnsi="Times New Roman"/>
          <w:sz w:val="24"/>
          <w:szCs w:val="24"/>
        </w:rPr>
        <w:t xml:space="preserve">. </w:t>
      </w:r>
    </w:p>
    <w:p w:rsidR="00696774" w:rsidRDefault="00EF6EF6" w:rsidP="00ED11D6">
      <w:pPr>
        <w:spacing w:before="120" w:after="120" w:line="240" w:lineRule="auto"/>
        <w:ind w:left="360"/>
        <w:jc w:val="both"/>
        <w:rPr>
          <w:rFonts w:ascii="Times New Roman" w:eastAsia="Times New Roman" w:hAnsi="Times New Roman"/>
          <w:sz w:val="24"/>
          <w:szCs w:val="24"/>
        </w:rPr>
      </w:pPr>
      <w:r w:rsidRPr="00EF6EF6">
        <w:rPr>
          <w:rFonts w:ascii="Times New Roman" w:eastAsia="Times New Roman" w:hAnsi="Times New Roman"/>
          <w:sz w:val="24"/>
          <w:szCs w:val="24"/>
        </w:rPr>
        <w:t>3.</w:t>
      </w:r>
      <w:r w:rsidR="00696774">
        <w:rPr>
          <w:rFonts w:ascii="Times New Roman" w:eastAsia="Times New Roman" w:hAnsi="Times New Roman"/>
          <w:sz w:val="24"/>
          <w:szCs w:val="24"/>
        </w:rPr>
        <w:tab/>
      </w:r>
      <w:r w:rsidRPr="00EF6EF6">
        <w:rPr>
          <w:rFonts w:ascii="Times New Roman" w:eastAsia="Times New Roman" w:hAnsi="Times New Roman"/>
          <w:sz w:val="24"/>
          <w:szCs w:val="24"/>
        </w:rPr>
        <w:t xml:space="preserve">The capital requirement for the risk of a platform explosion shall be equal to the loss in basic own funds of insurance and reinsurance undertakings that would result from an instantaneous loss of an amount that, without deduction of the amounts recoverable from reinsurance contracts and special purpose vehicles, is equal to the following: </w:t>
      </w:r>
    </w:p>
    <w:p w:rsidR="00696774" w:rsidRDefault="003D6369" w:rsidP="00ED11D6">
      <w:pPr>
        <w:spacing w:before="120" w:after="120" w:line="240" w:lineRule="auto"/>
        <w:ind w:left="360"/>
        <w:jc w:val="both"/>
        <w:rPr>
          <w:rFonts w:ascii="Times New Roman" w:eastAsia="Times New Roman" w:hAnsi="Times New Roman"/>
          <w:sz w:val="24"/>
          <w:szCs w:val="24"/>
        </w:rPr>
      </w:pPr>
      <m:oMathPara>
        <m:oMath>
          <m:sSub>
            <m:sSubPr>
              <m:ctrlPr>
                <w:rPr>
                  <w:rFonts w:ascii="Cambria Math" w:eastAsia="Times New Roman" w:hAnsi="Cambria Math"/>
                  <w:i/>
                  <w:sz w:val="24"/>
                  <w:szCs w:val="24"/>
                </w:rPr>
              </m:ctrlPr>
            </m:sSubPr>
            <m:e>
              <m:r>
                <w:rPr>
                  <w:rFonts w:ascii="Cambria Math" w:eastAsia="Times New Roman" w:hAnsi="Cambria Math"/>
                  <w:sz w:val="24"/>
                  <w:szCs w:val="24"/>
                </w:rPr>
                <m:t>L</m:t>
              </m:r>
            </m:e>
            <m:sub>
              <m:r>
                <w:rPr>
                  <w:rFonts w:ascii="Cambria Math" w:eastAsia="Times New Roman" w:hAnsi="Cambria Math"/>
                  <w:sz w:val="24"/>
                  <w:szCs w:val="24"/>
                </w:rPr>
                <m:t>platform</m:t>
              </m:r>
            </m:sub>
          </m:sSub>
          <m:r>
            <w:rPr>
              <w:rFonts w:ascii="Cambria Math" w:eastAsia="Times New Roman" w:hAnsi="Cambria Math"/>
              <w:sz w:val="24"/>
              <w:szCs w:val="24"/>
            </w:rPr>
            <m:t>=</m:t>
          </m:r>
          <m:func>
            <m:funcPr>
              <m:ctrlPr>
                <w:rPr>
                  <w:rFonts w:ascii="Cambria Math" w:eastAsia="Times New Roman" w:hAnsi="Cambria Math"/>
                  <w:i/>
                  <w:sz w:val="24"/>
                  <w:szCs w:val="24"/>
                </w:rPr>
              </m:ctrlPr>
            </m:funcPr>
            <m:fName>
              <m:limLow>
                <m:limLowPr>
                  <m:ctrlPr>
                    <w:rPr>
                      <w:rFonts w:ascii="Cambria Math" w:eastAsia="Times New Roman" w:hAnsi="Cambria Math"/>
                      <w:i/>
                      <w:sz w:val="24"/>
                      <w:szCs w:val="24"/>
                    </w:rPr>
                  </m:ctrlPr>
                </m:limLowPr>
                <m:e>
                  <m:r>
                    <m:rPr>
                      <m:sty m:val="p"/>
                    </m:rPr>
                    <w:rPr>
                      <w:rFonts w:ascii="Cambria Math" w:eastAsia="Times New Roman" w:hAnsi="Cambria Math"/>
                      <w:sz w:val="24"/>
                      <w:szCs w:val="24"/>
                    </w:rPr>
                    <m:t>max</m:t>
                  </m:r>
                </m:e>
                <m:lim>
                  <m:r>
                    <w:rPr>
                      <w:rFonts w:ascii="Cambria Math" w:eastAsia="Times New Roman" w:hAnsi="Cambria Math"/>
                      <w:sz w:val="24"/>
                      <w:szCs w:val="24"/>
                    </w:rPr>
                    <m:t>p</m:t>
                  </m:r>
                </m:lim>
              </m:limLow>
            </m:fName>
            <m:e>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SI</m:t>
                      </m:r>
                    </m:e>
                    <m:sub>
                      <m:r>
                        <w:rPr>
                          <w:rFonts w:ascii="Cambria Math" w:eastAsia="Times New Roman" w:hAnsi="Cambria Math"/>
                          <w:sz w:val="24"/>
                          <w:szCs w:val="24"/>
                        </w:rPr>
                        <m:t>p</m:t>
                      </m:r>
                    </m:sub>
                  </m:sSub>
                </m:e>
              </m:d>
            </m:e>
          </m:func>
        </m:oMath>
      </m:oMathPara>
    </w:p>
    <w:p w:rsidR="00696774" w:rsidRDefault="00EF6EF6" w:rsidP="00ED11D6">
      <w:pPr>
        <w:spacing w:before="120" w:after="120" w:line="240" w:lineRule="auto"/>
        <w:ind w:left="360"/>
        <w:jc w:val="both"/>
        <w:rPr>
          <w:rFonts w:ascii="Times New Roman" w:eastAsia="Times New Roman" w:hAnsi="Times New Roman"/>
          <w:sz w:val="24"/>
          <w:szCs w:val="24"/>
        </w:rPr>
      </w:pPr>
      <w:proofErr w:type="gramStart"/>
      <w:r w:rsidRPr="00EF6EF6">
        <w:rPr>
          <w:rFonts w:ascii="Times New Roman" w:eastAsia="Times New Roman" w:hAnsi="Times New Roman"/>
          <w:sz w:val="24"/>
          <w:szCs w:val="24"/>
        </w:rPr>
        <w:t>where</w:t>
      </w:r>
      <w:proofErr w:type="gramEnd"/>
      <w:r w:rsidRPr="00EF6EF6">
        <w:rPr>
          <w:rFonts w:ascii="Times New Roman" w:eastAsia="Times New Roman" w:hAnsi="Times New Roman"/>
          <w:sz w:val="24"/>
          <w:szCs w:val="24"/>
        </w:rPr>
        <w:t xml:space="preserve">: </w:t>
      </w:r>
    </w:p>
    <w:p w:rsidR="00696774" w:rsidRDefault="00696774" w:rsidP="00696774">
      <w:pPr>
        <w:spacing w:before="120" w:after="120" w:line="240" w:lineRule="auto"/>
        <w:ind w:left="709" w:hanging="349"/>
        <w:jc w:val="both"/>
        <w:rPr>
          <w:rFonts w:ascii="Times New Roman" w:eastAsia="Times New Roman" w:hAnsi="Times New Roman"/>
          <w:sz w:val="24"/>
          <w:szCs w:val="24"/>
        </w:rPr>
      </w:pPr>
      <w:r>
        <w:rPr>
          <w:rFonts w:ascii="Times New Roman" w:eastAsia="Times New Roman" w:hAnsi="Times New Roman"/>
          <w:sz w:val="24"/>
          <w:szCs w:val="24"/>
        </w:rPr>
        <w:t>(a)</w:t>
      </w:r>
      <w:r>
        <w:rPr>
          <w:rFonts w:ascii="Times New Roman" w:eastAsia="Times New Roman" w:hAnsi="Times New Roman"/>
          <w:sz w:val="24"/>
          <w:szCs w:val="24"/>
        </w:rPr>
        <w:tab/>
      </w:r>
      <w:r w:rsidR="00EF6EF6" w:rsidRPr="00EF6EF6">
        <w:rPr>
          <w:rFonts w:ascii="Times New Roman" w:eastAsia="Times New Roman" w:hAnsi="Times New Roman"/>
          <w:sz w:val="24"/>
          <w:szCs w:val="24"/>
        </w:rPr>
        <w:t xml:space="preserve">the maximum relates to all oil and gas offshore platforms insured by the insurance or reinsurance undertaking in respect of platform explosion in lines of business 6, 18 and 27 set out in Annex I; </w:t>
      </w:r>
    </w:p>
    <w:p w:rsidR="00696774" w:rsidRDefault="00696774" w:rsidP="00696774">
      <w:pPr>
        <w:spacing w:before="120" w:after="120" w:line="240" w:lineRule="auto"/>
        <w:ind w:left="709" w:hanging="349"/>
        <w:jc w:val="both"/>
        <w:rPr>
          <w:rFonts w:ascii="Times New Roman" w:eastAsia="Times New Roman" w:hAnsi="Times New Roman"/>
          <w:sz w:val="24"/>
          <w:szCs w:val="24"/>
        </w:rPr>
      </w:pPr>
      <w:r>
        <w:rPr>
          <w:rFonts w:ascii="Times New Roman" w:eastAsia="Times New Roman" w:hAnsi="Times New Roman"/>
          <w:sz w:val="24"/>
          <w:szCs w:val="24"/>
        </w:rPr>
        <w:t>(b)</w:t>
      </w:r>
      <w:r>
        <w:rPr>
          <w:rFonts w:ascii="Times New Roman" w:eastAsia="Times New Roman" w:hAnsi="Times New Roman"/>
          <w:sz w:val="24"/>
          <w:szCs w:val="24"/>
        </w:rPr>
        <w:tab/>
      </w:r>
      <m:oMath>
        <m:sSub>
          <m:sSubPr>
            <m:ctrlPr>
              <w:rPr>
                <w:rFonts w:ascii="Cambria Math" w:eastAsia="Times New Roman" w:hAnsi="Cambria Math"/>
                <w:i/>
                <w:sz w:val="24"/>
                <w:szCs w:val="24"/>
              </w:rPr>
            </m:ctrlPr>
          </m:sSubPr>
          <m:e>
            <m:r>
              <w:rPr>
                <w:rFonts w:ascii="Cambria Math" w:eastAsia="Times New Roman" w:hAnsi="Cambria Math"/>
                <w:sz w:val="24"/>
                <w:szCs w:val="24"/>
              </w:rPr>
              <m:t>SI</m:t>
            </m:r>
          </m:e>
          <m:sub>
            <m:r>
              <w:rPr>
                <w:rFonts w:ascii="Cambria Math" w:eastAsia="Times New Roman" w:hAnsi="Cambria Math"/>
                <w:sz w:val="24"/>
                <w:szCs w:val="24"/>
              </w:rPr>
              <m:t>p</m:t>
            </m:r>
          </m:sub>
        </m:sSub>
      </m:oMath>
      <w:r w:rsidR="00EF6EF6" w:rsidRPr="00EF6EF6">
        <w:rPr>
          <w:rFonts w:ascii="Times New Roman" w:eastAsia="Times New Roman" w:hAnsi="Times New Roman"/>
          <w:sz w:val="24"/>
          <w:szCs w:val="24"/>
        </w:rPr>
        <w:t xml:space="preserve"> </w:t>
      </w:r>
      <w:proofErr w:type="gramStart"/>
      <w:r w:rsidR="00EF6EF6" w:rsidRPr="00EF6EF6">
        <w:rPr>
          <w:rFonts w:ascii="Times New Roman" w:eastAsia="Times New Roman" w:hAnsi="Times New Roman"/>
          <w:sz w:val="24"/>
          <w:szCs w:val="24"/>
        </w:rPr>
        <w:t>is</w:t>
      </w:r>
      <w:proofErr w:type="gramEnd"/>
      <w:r w:rsidR="00EF6EF6" w:rsidRPr="00EF6EF6">
        <w:rPr>
          <w:rFonts w:ascii="Times New Roman" w:eastAsia="Times New Roman" w:hAnsi="Times New Roman"/>
          <w:sz w:val="24"/>
          <w:szCs w:val="24"/>
        </w:rPr>
        <w:t xml:space="preserve"> the accumulated sum insured by the insurance or reinsurance undertaking for the following insurance and reinsurance obligations in relation to platform </w:t>
      </w:r>
      <m:oMath>
        <m:r>
          <w:rPr>
            <w:rFonts w:ascii="Cambria Math" w:eastAsia="Times New Roman" w:hAnsi="Cambria Math"/>
            <w:sz w:val="24"/>
            <w:szCs w:val="24"/>
          </w:rPr>
          <m:t>p</m:t>
        </m:r>
      </m:oMath>
      <w:r w:rsidR="00EF6EF6" w:rsidRPr="00EF6EF6">
        <w:rPr>
          <w:rFonts w:ascii="Times New Roman" w:eastAsia="Times New Roman" w:hAnsi="Times New Roman"/>
          <w:sz w:val="24"/>
          <w:szCs w:val="24"/>
        </w:rPr>
        <w:t xml:space="preserve">: </w:t>
      </w:r>
    </w:p>
    <w:p w:rsidR="00696774" w:rsidRDefault="00696774" w:rsidP="00696774">
      <w:pPr>
        <w:spacing w:before="120" w:after="120" w:line="240" w:lineRule="auto"/>
        <w:ind w:left="360" w:firstLine="360"/>
        <w:jc w:val="both"/>
        <w:rPr>
          <w:rFonts w:ascii="Times New Roman" w:eastAsia="Times New Roman" w:hAnsi="Times New Roman"/>
          <w:sz w:val="24"/>
          <w:szCs w:val="24"/>
        </w:rPr>
      </w:pPr>
      <w:r>
        <w:rPr>
          <w:rFonts w:ascii="Times New Roman" w:eastAsia="Times New Roman" w:hAnsi="Times New Roman"/>
          <w:sz w:val="24"/>
          <w:szCs w:val="24"/>
        </w:rPr>
        <w:t>(</w:t>
      </w:r>
      <w:proofErr w:type="spellStart"/>
      <w:r>
        <w:rPr>
          <w:rFonts w:ascii="Times New Roman" w:eastAsia="Times New Roman" w:hAnsi="Times New Roman"/>
          <w:sz w:val="24"/>
          <w:szCs w:val="24"/>
        </w:rPr>
        <w:t>i</w:t>
      </w:r>
      <w:proofErr w:type="spellEnd"/>
      <w:r>
        <w:rPr>
          <w:rFonts w:ascii="Times New Roman" w:eastAsia="Times New Roman" w:hAnsi="Times New Roman"/>
          <w:sz w:val="24"/>
          <w:szCs w:val="24"/>
        </w:rPr>
        <w:t>)</w:t>
      </w:r>
      <w:r>
        <w:rPr>
          <w:rFonts w:ascii="Times New Roman" w:eastAsia="Times New Roman" w:hAnsi="Times New Roman"/>
          <w:sz w:val="24"/>
          <w:szCs w:val="24"/>
        </w:rPr>
        <w:tab/>
      </w:r>
      <w:proofErr w:type="gramStart"/>
      <w:r w:rsidR="00EF6EF6" w:rsidRPr="00EF6EF6">
        <w:rPr>
          <w:rFonts w:ascii="Times New Roman" w:eastAsia="Times New Roman" w:hAnsi="Times New Roman"/>
          <w:sz w:val="24"/>
          <w:szCs w:val="24"/>
        </w:rPr>
        <w:t>obligations</w:t>
      </w:r>
      <w:proofErr w:type="gramEnd"/>
      <w:r w:rsidR="00EF6EF6" w:rsidRPr="00EF6EF6">
        <w:rPr>
          <w:rFonts w:ascii="Times New Roman" w:eastAsia="Times New Roman" w:hAnsi="Times New Roman"/>
          <w:sz w:val="24"/>
          <w:szCs w:val="24"/>
        </w:rPr>
        <w:t xml:space="preserve"> to compensate for property damage; </w:t>
      </w:r>
    </w:p>
    <w:p w:rsidR="00696774" w:rsidRDefault="00EF6EF6" w:rsidP="00696774">
      <w:pPr>
        <w:spacing w:before="120" w:after="120" w:line="240" w:lineRule="auto"/>
        <w:ind w:left="360" w:firstLine="360"/>
        <w:jc w:val="both"/>
        <w:rPr>
          <w:rFonts w:ascii="Times New Roman" w:eastAsia="Times New Roman" w:hAnsi="Times New Roman"/>
          <w:sz w:val="24"/>
          <w:szCs w:val="24"/>
        </w:rPr>
      </w:pPr>
      <w:r w:rsidRPr="00EF6EF6">
        <w:rPr>
          <w:rFonts w:ascii="Times New Roman" w:eastAsia="Times New Roman" w:hAnsi="Times New Roman"/>
          <w:sz w:val="24"/>
          <w:szCs w:val="24"/>
        </w:rPr>
        <w:t>(ii)</w:t>
      </w:r>
      <w:r w:rsidR="00696774">
        <w:rPr>
          <w:rFonts w:ascii="Times New Roman" w:eastAsia="Times New Roman" w:hAnsi="Times New Roman"/>
          <w:sz w:val="24"/>
          <w:szCs w:val="24"/>
        </w:rPr>
        <w:tab/>
      </w:r>
      <w:proofErr w:type="gramStart"/>
      <w:r w:rsidRPr="00EF6EF6">
        <w:rPr>
          <w:rFonts w:ascii="Times New Roman" w:eastAsia="Times New Roman" w:hAnsi="Times New Roman"/>
          <w:sz w:val="24"/>
          <w:szCs w:val="24"/>
        </w:rPr>
        <w:t>obligations</w:t>
      </w:r>
      <w:proofErr w:type="gramEnd"/>
      <w:r w:rsidRPr="00EF6EF6">
        <w:rPr>
          <w:rFonts w:ascii="Times New Roman" w:eastAsia="Times New Roman" w:hAnsi="Times New Roman"/>
          <w:sz w:val="24"/>
          <w:szCs w:val="24"/>
        </w:rPr>
        <w:t xml:space="preserve"> to compensate for the expenses for the removal of wreckage; </w:t>
      </w:r>
    </w:p>
    <w:p w:rsidR="00696774" w:rsidRDefault="00696774" w:rsidP="00696774">
      <w:pPr>
        <w:spacing w:before="120" w:after="120" w:line="240" w:lineRule="auto"/>
        <w:ind w:left="360" w:firstLine="360"/>
        <w:jc w:val="both"/>
        <w:rPr>
          <w:rFonts w:ascii="Times New Roman" w:eastAsia="Times New Roman" w:hAnsi="Times New Roman"/>
          <w:sz w:val="24"/>
          <w:szCs w:val="24"/>
        </w:rPr>
      </w:pPr>
      <w:r>
        <w:rPr>
          <w:rFonts w:ascii="Times New Roman" w:eastAsia="Times New Roman" w:hAnsi="Times New Roman"/>
          <w:sz w:val="24"/>
          <w:szCs w:val="24"/>
        </w:rPr>
        <w:t>(iii)</w:t>
      </w:r>
      <w:r>
        <w:rPr>
          <w:rFonts w:ascii="Times New Roman" w:eastAsia="Times New Roman" w:hAnsi="Times New Roman"/>
          <w:sz w:val="24"/>
          <w:szCs w:val="24"/>
        </w:rPr>
        <w:tab/>
      </w:r>
      <w:proofErr w:type="gramStart"/>
      <w:r w:rsidR="00EF6EF6" w:rsidRPr="00EF6EF6">
        <w:rPr>
          <w:rFonts w:ascii="Times New Roman" w:eastAsia="Times New Roman" w:hAnsi="Times New Roman"/>
          <w:sz w:val="24"/>
          <w:szCs w:val="24"/>
        </w:rPr>
        <w:t>obligations</w:t>
      </w:r>
      <w:proofErr w:type="gramEnd"/>
      <w:r w:rsidR="00EF6EF6" w:rsidRPr="00EF6EF6">
        <w:rPr>
          <w:rFonts w:ascii="Times New Roman" w:eastAsia="Times New Roman" w:hAnsi="Times New Roman"/>
          <w:sz w:val="24"/>
          <w:szCs w:val="24"/>
        </w:rPr>
        <w:t xml:space="preserve"> to compensate for loss of production income; </w:t>
      </w:r>
    </w:p>
    <w:p w:rsidR="00696774" w:rsidRDefault="00696774" w:rsidP="00696774">
      <w:pPr>
        <w:spacing w:before="120" w:after="120" w:line="240" w:lineRule="auto"/>
        <w:ind w:left="1418" w:hanging="698"/>
        <w:jc w:val="both"/>
        <w:rPr>
          <w:rFonts w:ascii="Times New Roman" w:eastAsia="Times New Roman" w:hAnsi="Times New Roman"/>
          <w:sz w:val="24"/>
          <w:szCs w:val="24"/>
        </w:rPr>
      </w:pPr>
      <w:r>
        <w:rPr>
          <w:rFonts w:ascii="Times New Roman" w:eastAsia="Times New Roman" w:hAnsi="Times New Roman"/>
          <w:sz w:val="24"/>
          <w:szCs w:val="24"/>
        </w:rPr>
        <w:t>(iv)</w:t>
      </w:r>
      <w:r>
        <w:rPr>
          <w:rFonts w:ascii="Times New Roman" w:eastAsia="Times New Roman" w:hAnsi="Times New Roman"/>
          <w:sz w:val="24"/>
          <w:szCs w:val="24"/>
        </w:rPr>
        <w:tab/>
      </w:r>
      <w:r>
        <w:rPr>
          <w:rFonts w:ascii="Times New Roman" w:eastAsia="Times New Roman" w:hAnsi="Times New Roman"/>
          <w:sz w:val="24"/>
          <w:szCs w:val="24"/>
        </w:rPr>
        <w:tab/>
      </w:r>
      <w:proofErr w:type="gramStart"/>
      <w:r w:rsidR="00EF6EF6" w:rsidRPr="00EF6EF6">
        <w:rPr>
          <w:rFonts w:ascii="Times New Roman" w:eastAsia="Times New Roman" w:hAnsi="Times New Roman"/>
          <w:sz w:val="24"/>
          <w:szCs w:val="24"/>
        </w:rPr>
        <w:t>obligations</w:t>
      </w:r>
      <w:proofErr w:type="gramEnd"/>
      <w:r w:rsidR="00EF6EF6" w:rsidRPr="00EF6EF6">
        <w:rPr>
          <w:rFonts w:ascii="Times New Roman" w:eastAsia="Times New Roman" w:hAnsi="Times New Roman"/>
          <w:sz w:val="24"/>
          <w:szCs w:val="24"/>
        </w:rPr>
        <w:t xml:space="preserve"> to compensate for the expenses for capping of the well or making the well secure; </w:t>
      </w:r>
    </w:p>
    <w:p w:rsidR="00EF6EF6" w:rsidRDefault="00696774" w:rsidP="00696774">
      <w:pPr>
        <w:spacing w:before="120" w:after="120" w:line="240" w:lineRule="auto"/>
        <w:ind w:left="360" w:firstLine="360"/>
        <w:jc w:val="both"/>
        <w:rPr>
          <w:rFonts w:ascii="Times New Roman" w:eastAsia="Times New Roman" w:hAnsi="Times New Roman"/>
          <w:sz w:val="24"/>
          <w:szCs w:val="24"/>
        </w:rPr>
      </w:pPr>
      <w:r>
        <w:rPr>
          <w:rFonts w:ascii="Times New Roman" w:eastAsia="Times New Roman" w:hAnsi="Times New Roman"/>
          <w:sz w:val="24"/>
          <w:szCs w:val="24"/>
        </w:rPr>
        <w:t>(v)</w:t>
      </w:r>
      <w:r>
        <w:rPr>
          <w:rFonts w:ascii="Times New Roman" w:eastAsia="Times New Roman" w:hAnsi="Times New Roman"/>
          <w:sz w:val="24"/>
          <w:szCs w:val="24"/>
        </w:rPr>
        <w:tab/>
      </w:r>
      <w:proofErr w:type="gramStart"/>
      <w:r w:rsidR="00EF6EF6" w:rsidRPr="00EF6EF6">
        <w:rPr>
          <w:rFonts w:ascii="Times New Roman" w:eastAsia="Times New Roman" w:hAnsi="Times New Roman"/>
          <w:sz w:val="24"/>
          <w:szCs w:val="24"/>
        </w:rPr>
        <w:t>liability</w:t>
      </w:r>
      <w:proofErr w:type="gramEnd"/>
      <w:r w:rsidR="00EF6EF6" w:rsidRPr="00EF6EF6">
        <w:rPr>
          <w:rFonts w:ascii="Times New Roman" w:eastAsia="Times New Roman" w:hAnsi="Times New Roman"/>
          <w:sz w:val="24"/>
          <w:szCs w:val="24"/>
        </w:rPr>
        <w:t xml:space="preserve"> insurance and reinsurance obligations.</w:t>
      </w:r>
    </w:p>
    <w:p w:rsidR="00696774" w:rsidRDefault="00696774" w:rsidP="0095798C">
      <w:pPr>
        <w:spacing w:before="120" w:after="120" w:line="240" w:lineRule="auto"/>
        <w:jc w:val="both"/>
        <w:rPr>
          <w:rFonts w:ascii="Times New Roman" w:eastAsia="Times New Roman" w:hAnsi="Times New Roman"/>
          <w:sz w:val="24"/>
          <w:szCs w:val="24"/>
        </w:rPr>
      </w:pPr>
    </w:p>
    <w:p w:rsidR="0095798C" w:rsidRPr="00696774" w:rsidRDefault="00696774" w:rsidP="00696774">
      <w:pPr>
        <w:rPr>
          <w:rFonts w:ascii="Verdana" w:hAnsi="Verdana"/>
        </w:rPr>
      </w:pPr>
      <w:r>
        <w:rPr>
          <w:rFonts w:ascii="Verdana" w:hAnsi="Verdana"/>
        </w:rPr>
        <w:lastRenderedPageBreak/>
        <w:t>Additional</w:t>
      </w:r>
      <w:r w:rsidR="0095798C" w:rsidRPr="00696774">
        <w:rPr>
          <w:rFonts w:ascii="Verdana" w:hAnsi="Verdana"/>
        </w:rPr>
        <w:t xml:space="preserve"> to </w:t>
      </w:r>
      <m:oMath>
        <m:sSub>
          <m:sSubPr>
            <m:ctrlPr>
              <w:rPr>
                <w:rFonts w:ascii="Cambria Math" w:eastAsia="Times New Roman" w:hAnsi="Cambria Math"/>
                <w:i/>
                <w:sz w:val="24"/>
                <w:szCs w:val="24"/>
              </w:rPr>
            </m:ctrlPr>
          </m:sSubPr>
          <m:e>
            <m:r>
              <w:rPr>
                <w:rFonts w:ascii="Cambria Math" w:eastAsia="Times New Roman" w:hAnsi="Cambria Math"/>
                <w:sz w:val="24"/>
                <w:szCs w:val="24"/>
              </w:rPr>
              <m:t>SCR</m:t>
            </m:r>
          </m:e>
          <m:sub>
            <m:r>
              <w:rPr>
                <w:rFonts w:ascii="Cambria Math" w:eastAsia="Times New Roman" w:hAnsi="Cambria Math"/>
                <w:sz w:val="24"/>
                <w:szCs w:val="24"/>
              </w:rPr>
              <m:t>tanker</m:t>
            </m:r>
          </m:sub>
        </m:sSub>
      </m:oMath>
      <w:r w:rsidR="0095798C" w:rsidRPr="00696774">
        <w:rPr>
          <w:rFonts w:ascii="Verdana" w:hAnsi="Verdana"/>
        </w:rPr>
        <w:t xml:space="preserve"> </w:t>
      </w:r>
      <w:proofErr w:type="gramStart"/>
      <w:r w:rsidR="0095798C" w:rsidRPr="00696774">
        <w:rPr>
          <w:rFonts w:ascii="Verdana" w:hAnsi="Verdana"/>
        </w:rPr>
        <w:t xml:space="preserve">and </w:t>
      </w:r>
      <w:proofErr w:type="gramEnd"/>
      <m:oMath>
        <m:sSub>
          <m:sSubPr>
            <m:ctrlPr>
              <w:rPr>
                <w:rFonts w:ascii="Cambria Math" w:eastAsia="Times New Roman" w:hAnsi="Cambria Math"/>
                <w:i/>
                <w:sz w:val="24"/>
                <w:szCs w:val="24"/>
              </w:rPr>
            </m:ctrlPr>
          </m:sSubPr>
          <m:e>
            <m:r>
              <w:rPr>
                <w:rFonts w:ascii="Cambria Math" w:eastAsia="Times New Roman" w:hAnsi="Cambria Math"/>
                <w:sz w:val="24"/>
                <w:szCs w:val="24"/>
              </w:rPr>
              <m:t>SCR</m:t>
            </m:r>
          </m:e>
          <m:sub>
            <m:r>
              <w:rPr>
                <w:rFonts w:ascii="Cambria Math" w:eastAsia="Times New Roman" w:hAnsi="Cambria Math"/>
                <w:sz w:val="24"/>
                <w:szCs w:val="24"/>
              </w:rPr>
              <m:t>platform</m:t>
            </m:r>
          </m:sub>
        </m:sSub>
      </m:oMath>
      <w:r w:rsidR="0095798C" w:rsidRPr="00696774">
        <w:rPr>
          <w:rFonts w:ascii="Verdana" w:hAnsi="Verdana"/>
        </w:rPr>
        <w:t xml:space="preserve">, another submodule could be included </w:t>
      </w:r>
      <w:r>
        <w:rPr>
          <w:rFonts w:ascii="Verdana" w:hAnsi="Verdana"/>
        </w:rPr>
        <w:t xml:space="preserve">in Article 130 of the Delegated Regulation, </w:t>
      </w:r>
      <w:r w:rsidR="0095798C" w:rsidRPr="00696774">
        <w:rPr>
          <w:rFonts w:ascii="Verdana" w:hAnsi="Verdana"/>
        </w:rPr>
        <w:t xml:space="preserve">which does not diversify with the other </w:t>
      </w:r>
      <w:r>
        <w:rPr>
          <w:rFonts w:ascii="Verdana" w:hAnsi="Verdana"/>
        </w:rPr>
        <w:t>two</w:t>
      </w:r>
      <w:r w:rsidR="0095798C" w:rsidRPr="00696774">
        <w:rPr>
          <w:rFonts w:ascii="Verdana" w:hAnsi="Verdana"/>
        </w:rPr>
        <w:t>:</w:t>
      </w:r>
    </w:p>
    <w:p w:rsidR="00696774" w:rsidRPr="003D6369" w:rsidRDefault="00560A7B" w:rsidP="003D6369">
      <w:pPr>
        <w:pStyle w:val="ListParagraph"/>
        <w:numPr>
          <w:ilvl w:val="0"/>
          <w:numId w:val="35"/>
        </w:numPr>
        <w:spacing w:before="120" w:after="120" w:line="240" w:lineRule="auto"/>
        <w:ind w:left="350" w:firstLine="10"/>
        <w:jc w:val="both"/>
        <w:rPr>
          <w:rFonts w:ascii="Times New Roman" w:eastAsia="Times New Roman" w:hAnsi="Times New Roman"/>
          <w:sz w:val="24"/>
          <w:szCs w:val="24"/>
        </w:rPr>
      </w:pPr>
      <w:r>
        <w:rPr>
          <w:rFonts w:ascii="Times New Roman" w:eastAsia="Times New Roman" w:hAnsi="Times New Roman"/>
          <w:sz w:val="24"/>
          <w:szCs w:val="24"/>
          <w:vertAlign w:val="subscript"/>
        </w:rPr>
        <w:tab/>
      </w:r>
      <m:oMath>
        <m:sSub>
          <m:sSubPr>
            <m:ctrlPr>
              <w:rPr>
                <w:rFonts w:ascii="Cambria Math" w:eastAsia="Times New Roman" w:hAnsi="Cambria Math"/>
                <w:i/>
                <w:sz w:val="24"/>
                <w:szCs w:val="24"/>
              </w:rPr>
            </m:ctrlPr>
          </m:sSubPr>
          <m:e>
            <m:r>
              <w:rPr>
                <w:rFonts w:ascii="Cambria Math" w:eastAsia="Times New Roman" w:hAnsi="Cambria Math"/>
                <w:sz w:val="24"/>
                <w:szCs w:val="24"/>
              </w:rPr>
              <m:t>SCR</m:t>
            </m:r>
          </m:e>
          <m:sub>
            <m:r>
              <w:rPr>
                <w:rFonts w:ascii="Cambria Math" w:eastAsia="Times New Roman" w:hAnsi="Cambria Math"/>
                <w:sz w:val="24"/>
                <w:szCs w:val="24"/>
              </w:rPr>
              <m:t>cargo/cruis</m:t>
            </m:r>
            <m:r>
              <w:rPr>
                <w:rFonts w:ascii="Cambria Math" w:eastAsia="Times New Roman" w:hAnsi="Cambria Math"/>
                <w:sz w:val="24"/>
                <w:szCs w:val="24"/>
              </w:rPr>
              <m:t>e_ships/other_vessels</m:t>
            </m:r>
          </m:sub>
        </m:sSub>
        <m:r>
          <w:rPr>
            <w:rFonts w:ascii="Cambria Math" w:eastAsia="Times New Roman" w:hAnsi="Cambria Math"/>
            <w:sz w:val="24"/>
            <w:szCs w:val="24"/>
          </w:rPr>
          <m:t>=</m:t>
        </m:r>
        <m:func>
          <m:funcPr>
            <m:ctrlPr>
              <w:rPr>
                <w:rFonts w:ascii="Cambria Math" w:eastAsia="Times New Roman" w:hAnsi="Cambria Math"/>
                <w:i/>
                <w:sz w:val="24"/>
                <w:szCs w:val="24"/>
              </w:rPr>
            </m:ctrlPr>
          </m:funcPr>
          <m:fName>
            <m:limLow>
              <m:limLowPr>
                <m:ctrlPr>
                  <w:rPr>
                    <w:rFonts w:ascii="Cambria Math" w:eastAsia="Times New Roman" w:hAnsi="Cambria Math"/>
                    <w:i/>
                    <w:sz w:val="24"/>
                    <w:szCs w:val="24"/>
                  </w:rPr>
                </m:ctrlPr>
              </m:limLowPr>
              <m:e>
                <m:r>
                  <m:rPr>
                    <m:sty m:val="p"/>
                  </m:rPr>
                  <w:rPr>
                    <w:rFonts w:ascii="Cambria Math" w:eastAsia="Times New Roman" w:hAnsi="Cambria Math"/>
                    <w:sz w:val="24"/>
                    <w:szCs w:val="24"/>
                  </w:rPr>
                  <m:t>max</m:t>
                </m:r>
              </m:e>
              <m:lim>
                <m:r>
                  <w:rPr>
                    <w:rFonts w:ascii="Cambria Math" w:eastAsia="Times New Roman" w:hAnsi="Cambria Math"/>
                    <w:sz w:val="24"/>
                    <w:szCs w:val="24"/>
                  </w:rPr>
                  <m:t>v</m:t>
                </m:r>
              </m:lim>
            </m:limLow>
          </m:fName>
          <m:e>
            <m:d>
              <m:dPr>
                <m:ctrlPr>
                  <w:rPr>
                    <w:rFonts w:ascii="Cambria Math" w:eastAsia="Times New Roman" w:hAnsi="Cambria Math"/>
                    <w:i/>
                    <w:sz w:val="24"/>
                    <w:szCs w:val="24"/>
                  </w:rPr>
                </m:ctrlPr>
              </m:dPr>
              <m:e>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liab,v</m:t>
                        </m:r>
                      </m:e>
                    </m:d>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hull,v</m:t>
                        </m:r>
                      </m:e>
                    </m:d>
                  </m:sub>
                </m:sSub>
              </m:e>
            </m:d>
          </m:e>
        </m:func>
      </m:oMath>
    </w:p>
    <w:p w:rsidR="00696774" w:rsidRPr="0095798C" w:rsidRDefault="00CF6483" w:rsidP="003D6369">
      <w:pPr>
        <w:spacing w:before="120" w:after="120" w:line="240" w:lineRule="auto"/>
        <w:ind w:left="350" w:firstLine="10"/>
        <w:jc w:val="both"/>
        <w:rPr>
          <w:rFonts w:ascii="Times New Roman" w:eastAsia="Times New Roman" w:hAnsi="Times New Roman"/>
          <w:sz w:val="24"/>
          <w:szCs w:val="24"/>
        </w:rPr>
      </w:pPr>
      <w:proofErr w:type="gramStart"/>
      <w:r>
        <w:rPr>
          <w:rFonts w:ascii="Times New Roman" w:eastAsia="Times New Roman" w:hAnsi="Times New Roman"/>
          <w:sz w:val="24"/>
          <w:szCs w:val="24"/>
        </w:rPr>
        <w:t>w</w:t>
      </w:r>
      <w:r w:rsidR="00696774" w:rsidRPr="0095798C">
        <w:rPr>
          <w:rFonts w:ascii="Times New Roman" w:eastAsia="Times New Roman" w:hAnsi="Times New Roman"/>
          <w:sz w:val="24"/>
          <w:szCs w:val="24"/>
        </w:rPr>
        <w:t>here</w:t>
      </w:r>
      <w:proofErr w:type="gramEnd"/>
    </w:p>
    <w:p w:rsidR="00696774" w:rsidRPr="0095798C" w:rsidRDefault="003D6369" w:rsidP="003D6369">
      <w:pPr>
        <w:numPr>
          <w:ilvl w:val="0"/>
          <w:numId w:val="39"/>
        </w:numPr>
        <w:spacing w:before="120" w:after="120" w:line="240" w:lineRule="auto"/>
        <w:contextualSpacing/>
        <w:jc w:val="both"/>
        <w:rPr>
          <w:rFonts w:ascii="Times New Roman" w:eastAsia="Times New Roman" w:hAnsi="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liab,v</m:t>
                </m:r>
              </m:e>
            </m:d>
          </m:sub>
        </m:sSub>
      </m:oMath>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rPr>
        <w:t>=</w:t>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the maximum sum (re) insured for vessel </w:t>
      </w:r>
      <m:oMath>
        <m:r>
          <w:rPr>
            <w:rFonts w:ascii="Cambria Math" w:eastAsia="Times New Roman" w:hAnsi="Cambria Math"/>
            <w:sz w:val="24"/>
            <w:szCs w:val="24"/>
          </w:rPr>
          <m:t>v</m:t>
        </m:r>
      </m:oMath>
      <w:r w:rsidR="00696774" w:rsidRPr="0095798C">
        <w:rPr>
          <w:rFonts w:ascii="Times New Roman" w:eastAsia="Times New Roman" w:hAnsi="Times New Roman"/>
          <w:sz w:val="24"/>
          <w:szCs w:val="24"/>
        </w:rPr>
        <w:t xml:space="preserve"> by the insurance or</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reinsurance undertaking for marine liability insurance and </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reinsurance, for all kind of liability which could arise by </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operating a vessel or cruise ship (examples: damage caused to </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other ships or property, liability for workers compensation </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following the revision of the marine labour convention – </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asbestos or Mesothelioma or Benzene </w:t>
      </w:r>
      <w:proofErr w:type="spellStart"/>
      <w:r w:rsidR="00696774" w:rsidRPr="0095798C">
        <w:rPr>
          <w:rFonts w:ascii="Times New Roman" w:eastAsia="Times New Roman" w:hAnsi="Times New Roman"/>
          <w:sz w:val="24"/>
          <w:szCs w:val="24"/>
        </w:rPr>
        <w:t>etc</w:t>
      </w:r>
      <w:proofErr w:type="spellEnd"/>
      <w:r w:rsidR="00696774" w:rsidRPr="0095798C">
        <w:rPr>
          <w:rFonts w:ascii="Times New Roman" w:eastAsia="Times New Roman" w:hAnsi="Times New Roman"/>
          <w:sz w:val="24"/>
          <w:szCs w:val="24"/>
        </w:rPr>
        <w:t xml:space="preserve">, pollution, failure of </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all kind of systems or people operating the ship, liability for </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damage caused to the passengers of a cruise ship </w:t>
      </w:r>
      <w:proofErr w:type="spellStart"/>
      <w:r w:rsidR="00696774" w:rsidRPr="0095798C">
        <w:rPr>
          <w:rFonts w:ascii="Times New Roman" w:eastAsia="Times New Roman" w:hAnsi="Times New Roman"/>
          <w:sz w:val="24"/>
          <w:szCs w:val="24"/>
        </w:rPr>
        <w:t>etc</w:t>
      </w:r>
      <w:proofErr w:type="spellEnd"/>
      <w:r w:rsidR="00696774" w:rsidRPr="0095798C">
        <w:rPr>
          <w:rFonts w:ascii="Times New Roman" w:eastAsia="Times New Roman" w:hAnsi="Times New Roman"/>
          <w:sz w:val="24"/>
          <w:szCs w:val="24"/>
        </w:rPr>
        <w:t>)</w:t>
      </w:r>
    </w:p>
    <w:p w:rsidR="00696774" w:rsidRPr="0095798C" w:rsidRDefault="00696774" w:rsidP="00CF6483">
      <w:pPr>
        <w:spacing w:before="120" w:after="120" w:line="240" w:lineRule="auto"/>
        <w:ind w:left="350" w:firstLine="10"/>
        <w:contextualSpacing/>
        <w:jc w:val="both"/>
        <w:rPr>
          <w:rFonts w:ascii="Times New Roman" w:eastAsia="Times New Roman" w:hAnsi="Times New Roman"/>
          <w:sz w:val="24"/>
          <w:szCs w:val="24"/>
        </w:rPr>
      </w:pPr>
    </w:p>
    <w:p w:rsidR="00696774" w:rsidRPr="0095798C" w:rsidRDefault="003D6369" w:rsidP="003D6369">
      <w:pPr>
        <w:numPr>
          <w:ilvl w:val="0"/>
          <w:numId w:val="39"/>
        </w:numPr>
        <w:spacing w:before="120" w:after="120" w:line="240" w:lineRule="auto"/>
        <w:contextualSpacing/>
        <w:jc w:val="both"/>
        <w:rPr>
          <w:rFonts w:ascii="Times New Roman" w:eastAsia="Times New Roman" w:hAnsi="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rPr>
              <m:t>SI</m:t>
            </m:r>
          </m:e>
          <m:sub>
            <m:d>
              <m:dPr>
                <m:ctrlPr>
                  <w:rPr>
                    <w:rFonts w:ascii="Cambria Math" w:eastAsia="Times New Roman" w:hAnsi="Cambria Math"/>
                    <w:i/>
                    <w:sz w:val="24"/>
                    <w:szCs w:val="24"/>
                  </w:rPr>
                </m:ctrlPr>
              </m:dPr>
              <m:e>
                <m:r>
                  <w:rPr>
                    <w:rFonts w:ascii="Cambria Math" w:eastAsia="Times New Roman" w:hAnsi="Cambria Math"/>
                    <w:sz w:val="24"/>
                    <w:szCs w:val="24"/>
                  </w:rPr>
                  <m:t>hull,v</m:t>
                </m:r>
              </m:e>
            </m:d>
          </m:sub>
        </m:sSub>
      </m:oMath>
      <w:r w:rsidR="00696774" w:rsidRPr="0095798C">
        <w:rPr>
          <w:rFonts w:ascii="Times New Roman" w:eastAsia="Times New Roman" w:hAnsi="Times New Roman"/>
          <w:sz w:val="24"/>
          <w:szCs w:val="24"/>
          <w:vertAlign w:val="subscript"/>
        </w:rPr>
        <w:t xml:space="preserve"> </w:t>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rPr>
        <w:t>=</w:t>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the maximum sum (re) insured by the insurance or reinsurance </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undertaking for marine hull insurance and reinsurance in </w:t>
      </w:r>
      <w:r w:rsidR="00670226">
        <w:rPr>
          <w:rFonts w:ascii="Times New Roman" w:eastAsia="Times New Roman" w:hAnsi="Times New Roman"/>
          <w:sz w:val="24"/>
          <w:szCs w:val="24"/>
        </w:rPr>
        <w:br/>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70226">
        <w:rPr>
          <w:rFonts w:ascii="Times New Roman" w:eastAsia="Times New Roman" w:hAnsi="Times New Roman"/>
          <w:sz w:val="24"/>
          <w:szCs w:val="24"/>
          <w:vertAlign w:val="subscript"/>
        </w:rPr>
        <w:tab/>
      </w:r>
      <w:r w:rsidR="00696774" w:rsidRPr="0095798C">
        <w:rPr>
          <w:rFonts w:ascii="Times New Roman" w:eastAsia="Times New Roman" w:hAnsi="Times New Roman"/>
          <w:sz w:val="24"/>
          <w:szCs w:val="24"/>
        </w:rPr>
        <w:t xml:space="preserve">relation to vessel </w:t>
      </w:r>
      <m:oMath>
        <m:r>
          <w:rPr>
            <w:rFonts w:ascii="Cambria Math" w:eastAsia="Times New Roman" w:hAnsi="Cambria Math"/>
            <w:sz w:val="24"/>
            <w:szCs w:val="24"/>
          </w:rPr>
          <m:t>v</m:t>
        </m:r>
      </m:oMath>
      <w:r w:rsidR="00696774" w:rsidRPr="0095798C">
        <w:rPr>
          <w:rFonts w:ascii="Times New Roman" w:eastAsia="Times New Roman" w:hAnsi="Times New Roman"/>
          <w:sz w:val="24"/>
          <w:szCs w:val="24"/>
        </w:rPr>
        <w:t xml:space="preserve"> </w:t>
      </w:r>
    </w:p>
    <w:p w:rsidR="00696774" w:rsidRPr="0095798C" w:rsidRDefault="00696774" w:rsidP="00CF6483">
      <w:pPr>
        <w:spacing w:before="120" w:after="120" w:line="240" w:lineRule="auto"/>
        <w:ind w:left="350" w:firstLine="10"/>
        <w:jc w:val="both"/>
        <w:rPr>
          <w:rFonts w:ascii="Times New Roman" w:eastAsia="Times New Roman" w:hAnsi="Times New Roman"/>
          <w:sz w:val="24"/>
          <w:szCs w:val="24"/>
        </w:rPr>
      </w:pPr>
    </w:p>
    <w:p w:rsidR="00696774" w:rsidRPr="003D6369" w:rsidRDefault="003D6369" w:rsidP="003D6369">
      <w:pPr>
        <w:ind w:firstLine="10"/>
        <w:rPr>
          <w:rFonts w:ascii="Verdana" w:eastAsia="Times New Roman" w:hAnsi="Verdana"/>
        </w:rPr>
      </w:pPr>
      <m:oMath>
        <m:sSub>
          <m:sSubPr>
            <m:ctrlPr>
              <w:rPr>
                <w:rFonts w:ascii="Cambria Math" w:eastAsia="Times New Roman" w:hAnsi="Cambria Math"/>
                <w:i/>
                <w:sz w:val="24"/>
                <w:szCs w:val="24"/>
              </w:rPr>
            </m:ctrlPr>
          </m:sSubPr>
          <m:e>
            <m:r>
              <w:rPr>
                <w:rFonts w:ascii="Cambria Math" w:eastAsia="Times New Roman" w:hAnsi="Cambria Math"/>
                <w:sz w:val="24"/>
                <w:szCs w:val="24"/>
              </w:rPr>
              <m:t>SCR</m:t>
            </m:r>
          </m:e>
          <m:sub>
            <m:r>
              <w:rPr>
                <w:rFonts w:ascii="Cambria Math" w:eastAsia="Times New Roman" w:hAnsi="Cambria Math"/>
                <w:sz w:val="24"/>
                <w:szCs w:val="24"/>
              </w:rPr>
              <m:t>cargo/cruise_ships/other_vessels</m:t>
            </m:r>
          </m:sub>
        </m:sSub>
      </m:oMath>
      <w:r w:rsidR="00696774" w:rsidRPr="0095798C">
        <w:rPr>
          <w:rFonts w:ascii="Times New Roman" w:eastAsia="Times New Roman" w:hAnsi="Times New Roman"/>
          <w:sz w:val="24"/>
          <w:szCs w:val="24"/>
          <w:vertAlign w:val="subscript"/>
        </w:rPr>
        <w:t xml:space="preserve"> </w:t>
      </w:r>
      <w:r w:rsidR="00696774" w:rsidRPr="003D6369">
        <w:rPr>
          <w:rFonts w:ascii="Verdana" w:eastAsia="Times New Roman" w:hAnsi="Verdana"/>
        </w:rPr>
        <w:t>would then be integrated in the first formula of article 130.1 of the regulation UE/2015/35.</w:t>
      </w:r>
    </w:p>
    <w:p w:rsidR="0095798C" w:rsidRPr="0095798C" w:rsidRDefault="0095798C" w:rsidP="0095798C">
      <w:pPr>
        <w:rPr>
          <w:rFonts w:ascii="Verdana" w:eastAsia="Times New Roman" w:hAnsi="Verdana"/>
        </w:rPr>
      </w:pPr>
      <w:r w:rsidRPr="0095798C">
        <w:rPr>
          <w:rFonts w:ascii="Verdana" w:eastAsia="Times New Roman" w:hAnsi="Verdana"/>
        </w:rPr>
        <w:t>Additional info</w:t>
      </w:r>
      <w:r w:rsidR="00D05D70">
        <w:rPr>
          <w:rFonts w:ascii="Verdana" w:eastAsia="Times New Roman" w:hAnsi="Verdana"/>
        </w:rPr>
        <w:t>rmation</w:t>
      </w:r>
      <w:r w:rsidRPr="0095798C">
        <w:rPr>
          <w:rFonts w:ascii="Verdana" w:eastAsia="Times New Roman" w:hAnsi="Verdana"/>
        </w:rPr>
        <w:t xml:space="preserve"> on revision of marine labour convention:</w:t>
      </w:r>
    </w:p>
    <w:p w:rsidR="0095798C" w:rsidRPr="0095798C" w:rsidRDefault="003D6369" w:rsidP="0095798C">
      <w:pPr>
        <w:rPr>
          <w:rFonts w:ascii="Verdana" w:eastAsia="Times New Roman" w:hAnsi="Verdana"/>
        </w:rPr>
      </w:pPr>
      <w:hyperlink r:id="rId10" w:history="1">
        <w:r w:rsidR="0095798C" w:rsidRPr="0095798C">
          <w:rPr>
            <w:rFonts w:ascii="Verdana" w:eastAsia="Times New Roman" w:hAnsi="Verdana"/>
            <w:color w:val="0000FF" w:themeColor="hyperlink"/>
            <w:u w:val="single"/>
          </w:rPr>
          <w:t>http://ilo.org/global/standards/maritime-labour-convention/lang--en/index.htm</w:t>
        </w:r>
      </w:hyperlink>
    </w:p>
    <w:p w:rsidR="0095798C" w:rsidRPr="0095798C" w:rsidRDefault="0095798C" w:rsidP="0095798C">
      <w:pPr>
        <w:rPr>
          <w:rFonts w:ascii="Verdana" w:eastAsia="Times New Roman" w:hAnsi="Verdana"/>
        </w:rPr>
      </w:pPr>
      <w:r w:rsidRPr="0095798C">
        <w:rPr>
          <w:rFonts w:ascii="Verdana" w:eastAsia="Times New Roman" w:hAnsi="Verdana"/>
        </w:rPr>
        <w:t>The revision includes the following risks:</w:t>
      </w:r>
    </w:p>
    <w:p w:rsidR="0095798C" w:rsidRPr="0095798C" w:rsidRDefault="0095798C" w:rsidP="0095798C">
      <w:pPr>
        <w:numPr>
          <w:ilvl w:val="0"/>
          <w:numId w:val="34"/>
        </w:numPr>
        <w:spacing w:before="100" w:beforeAutospacing="1" w:after="100" w:afterAutospacing="1" w:line="240" w:lineRule="auto"/>
        <w:rPr>
          <w:rFonts w:ascii="Verdana" w:eastAsia="Times New Roman" w:hAnsi="Verdana" w:cs="Times New Roman"/>
          <w:lang w:eastAsia="en-GB"/>
        </w:rPr>
      </w:pPr>
      <w:r w:rsidRPr="0095798C">
        <w:rPr>
          <w:rFonts w:ascii="Verdana" w:eastAsia="Times New Roman" w:hAnsi="Verdana" w:cs="Times New Roman"/>
          <w:lang w:eastAsia="en-GB"/>
        </w:rPr>
        <w:t>Crew repatriation as well as up to four months contractually entitled arrears of wages and entitlements following abandonment (MLC Regulation 2.5.2, as amended), and</w:t>
      </w:r>
    </w:p>
    <w:p w:rsidR="0095798C" w:rsidRPr="00696774" w:rsidRDefault="0095798C" w:rsidP="00696774">
      <w:pPr>
        <w:numPr>
          <w:ilvl w:val="0"/>
          <w:numId w:val="34"/>
        </w:numPr>
        <w:spacing w:before="100" w:beforeAutospacing="1" w:after="100" w:afterAutospacing="1" w:line="240" w:lineRule="auto"/>
        <w:rPr>
          <w:rFonts w:ascii="Verdana" w:hAnsi="Verdana"/>
        </w:rPr>
      </w:pPr>
      <w:r w:rsidRPr="0095798C">
        <w:rPr>
          <w:rFonts w:ascii="Verdana" w:eastAsia="Times New Roman" w:hAnsi="Verdana" w:cs="Times New Roman"/>
          <w:lang w:eastAsia="en-GB"/>
        </w:rPr>
        <w:t>Liabilities for contractual claims arising from seafarer personal injury, disability or death (MLC Standard A4.2, as amended)</w:t>
      </w:r>
    </w:p>
    <w:sectPr w:rsidR="0095798C" w:rsidRPr="00696774" w:rsidSect="00217291">
      <w:footerReference w:type="default" r:id="rId11"/>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38E" w:rsidRDefault="0002138E" w:rsidP="00217291">
      <w:pPr>
        <w:spacing w:after="0" w:line="240" w:lineRule="auto"/>
      </w:pPr>
      <w:r>
        <w:separator/>
      </w:r>
    </w:p>
  </w:endnote>
  <w:endnote w:type="continuationSeparator" w:id="0">
    <w:p w:rsidR="0002138E" w:rsidRDefault="0002138E" w:rsidP="00217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397383"/>
      <w:docPartObj>
        <w:docPartGallery w:val="Page Numbers (Bottom of Page)"/>
        <w:docPartUnique/>
      </w:docPartObj>
    </w:sdtPr>
    <w:sdtEndPr>
      <w:rPr>
        <w:rFonts w:ascii="Verdana" w:hAnsi="Verdana"/>
        <w:noProof/>
      </w:rPr>
    </w:sdtEndPr>
    <w:sdtContent>
      <w:p w:rsidR="00217291" w:rsidRPr="00217291" w:rsidRDefault="00217291">
        <w:pPr>
          <w:pStyle w:val="Footer"/>
          <w:jc w:val="center"/>
          <w:rPr>
            <w:rFonts w:ascii="Verdana" w:hAnsi="Verdana"/>
          </w:rPr>
        </w:pPr>
        <w:r w:rsidRPr="00217291">
          <w:rPr>
            <w:rFonts w:ascii="Verdana" w:hAnsi="Verdana"/>
          </w:rPr>
          <w:fldChar w:fldCharType="begin"/>
        </w:r>
        <w:r w:rsidRPr="00217291">
          <w:rPr>
            <w:rFonts w:ascii="Verdana" w:hAnsi="Verdana"/>
          </w:rPr>
          <w:instrText xml:space="preserve"> PAGE   \* MERGEFORMAT </w:instrText>
        </w:r>
        <w:r w:rsidRPr="00217291">
          <w:rPr>
            <w:rFonts w:ascii="Verdana" w:hAnsi="Verdana"/>
          </w:rPr>
          <w:fldChar w:fldCharType="separate"/>
        </w:r>
        <w:r w:rsidR="003D6369">
          <w:rPr>
            <w:rFonts w:ascii="Verdana" w:hAnsi="Verdana"/>
            <w:noProof/>
          </w:rPr>
          <w:t>9</w:t>
        </w:r>
        <w:r w:rsidRPr="00217291">
          <w:rPr>
            <w:rFonts w:ascii="Verdana" w:hAnsi="Verdana"/>
            <w:noProof/>
          </w:rPr>
          <w:fldChar w:fldCharType="end"/>
        </w:r>
      </w:p>
    </w:sdtContent>
  </w:sdt>
  <w:p w:rsidR="00217291" w:rsidRDefault="002172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38E" w:rsidRDefault="0002138E" w:rsidP="00217291">
      <w:pPr>
        <w:spacing w:after="0" w:line="240" w:lineRule="auto"/>
      </w:pPr>
      <w:r>
        <w:separator/>
      </w:r>
    </w:p>
  </w:footnote>
  <w:footnote w:type="continuationSeparator" w:id="0">
    <w:p w:rsidR="0002138E" w:rsidRDefault="0002138E" w:rsidP="002172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D0F"/>
    <w:multiLevelType w:val="hybridMultilevel"/>
    <w:tmpl w:val="2496D732"/>
    <w:lvl w:ilvl="0" w:tplc="08160001">
      <w:start w:val="1"/>
      <w:numFmt w:val="bullet"/>
      <w:lvlText w:val=""/>
      <w:lvlJc w:val="left"/>
      <w:pPr>
        <w:ind w:left="720" w:hanging="360"/>
      </w:pPr>
      <w:rPr>
        <w:rFonts w:ascii="Symbol" w:hAnsi="Symbol" w:hint="default"/>
      </w:rPr>
    </w:lvl>
    <w:lvl w:ilvl="1" w:tplc="1122A496">
      <w:numFmt w:val="bullet"/>
      <w:lvlText w:val="-"/>
      <w:lvlJc w:val="left"/>
      <w:pPr>
        <w:ind w:left="1440" w:hanging="360"/>
      </w:pPr>
      <w:rPr>
        <w:rFonts w:ascii="Verdana" w:eastAsiaTheme="minorHAnsi" w:hAnsi="Verdana" w:cstheme="minorBidi"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37E2B1C"/>
    <w:multiLevelType w:val="hybridMultilevel"/>
    <w:tmpl w:val="FABA4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CD779C"/>
    <w:multiLevelType w:val="hybridMultilevel"/>
    <w:tmpl w:val="23B664BA"/>
    <w:lvl w:ilvl="0" w:tplc="95D80856">
      <w:start w:val="3"/>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5D7F07"/>
    <w:multiLevelType w:val="hybridMultilevel"/>
    <w:tmpl w:val="F236C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87644D3"/>
    <w:multiLevelType w:val="multilevel"/>
    <w:tmpl w:val="4812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3246BF"/>
    <w:multiLevelType w:val="hybridMultilevel"/>
    <w:tmpl w:val="BAE4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8D5F3B"/>
    <w:multiLevelType w:val="hybridMultilevel"/>
    <w:tmpl w:val="3E56C1E8"/>
    <w:lvl w:ilvl="0" w:tplc="61CC51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CED0777"/>
    <w:multiLevelType w:val="hybridMultilevel"/>
    <w:tmpl w:val="224C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0F3A6412"/>
    <w:multiLevelType w:val="hybridMultilevel"/>
    <w:tmpl w:val="90B64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31A07D8"/>
    <w:multiLevelType w:val="hybridMultilevel"/>
    <w:tmpl w:val="E018B8BC"/>
    <w:lvl w:ilvl="0" w:tplc="95D8085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4147F29"/>
    <w:multiLevelType w:val="hybridMultilevel"/>
    <w:tmpl w:val="6246A3BA"/>
    <w:lvl w:ilvl="0" w:tplc="6C6CD288">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4F38FF"/>
    <w:multiLevelType w:val="hybridMultilevel"/>
    <w:tmpl w:val="9124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AA519C"/>
    <w:multiLevelType w:val="hybridMultilevel"/>
    <w:tmpl w:val="8FFC1E18"/>
    <w:lvl w:ilvl="0" w:tplc="E68E83EC">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7A26497"/>
    <w:multiLevelType w:val="hybridMultilevel"/>
    <w:tmpl w:val="C768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9352ABE"/>
    <w:multiLevelType w:val="hybridMultilevel"/>
    <w:tmpl w:val="0AF4A86C"/>
    <w:lvl w:ilvl="0" w:tplc="66C2AC76">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A5274AC"/>
    <w:multiLevelType w:val="hybridMultilevel"/>
    <w:tmpl w:val="6602E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1D4A6282"/>
    <w:multiLevelType w:val="hybridMultilevel"/>
    <w:tmpl w:val="30023F04"/>
    <w:lvl w:ilvl="0" w:tplc="A2540654">
      <w:start w:val="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E9568F3"/>
    <w:multiLevelType w:val="hybridMultilevel"/>
    <w:tmpl w:val="F5789702"/>
    <w:lvl w:ilvl="0" w:tplc="08090015">
      <w:start w:val="1"/>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1EFE2AD9"/>
    <w:multiLevelType w:val="hybridMultilevel"/>
    <w:tmpl w:val="2A08C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9556668"/>
    <w:multiLevelType w:val="hybridMultilevel"/>
    <w:tmpl w:val="D2FE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9D3482F"/>
    <w:multiLevelType w:val="hybridMultilevel"/>
    <w:tmpl w:val="44980DA0"/>
    <w:lvl w:ilvl="0" w:tplc="BAD0322C">
      <w:start w:val="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FCA6ABB"/>
    <w:multiLevelType w:val="hybridMultilevel"/>
    <w:tmpl w:val="919A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63234E"/>
    <w:multiLevelType w:val="hybridMultilevel"/>
    <w:tmpl w:val="48C2B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B47CBA"/>
    <w:multiLevelType w:val="hybridMultilevel"/>
    <w:tmpl w:val="5E3CA39E"/>
    <w:lvl w:ilvl="0" w:tplc="6500399C">
      <w:start w:val="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435945"/>
    <w:multiLevelType w:val="hybridMultilevel"/>
    <w:tmpl w:val="3392E4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AA226E"/>
    <w:multiLevelType w:val="hybridMultilevel"/>
    <w:tmpl w:val="0C92A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7A71EF9"/>
    <w:multiLevelType w:val="hybridMultilevel"/>
    <w:tmpl w:val="B5D2DE68"/>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50EE07F3"/>
    <w:multiLevelType w:val="hybridMultilevel"/>
    <w:tmpl w:val="63D8AC2A"/>
    <w:lvl w:ilvl="0" w:tplc="08090015">
      <w:start w:val="1"/>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54574C0C"/>
    <w:multiLevelType w:val="hybridMultilevel"/>
    <w:tmpl w:val="65086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077053A"/>
    <w:multiLevelType w:val="hybridMultilevel"/>
    <w:tmpl w:val="86EA4B3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25E6F70"/>
    <w:multiLevelType w:val="hybridMultilevel"/>
    <w:tmpl w:val="EE829C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nsid w:val="658B58CF"/>
    <w:multiLevelType w:val="hybridMultilevel"/>
    <w:tmpl w:val="97E8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99A7B85"/>
    <w:multiLevelType w:val="hybridMultilevel"/>
    <w:tmpl w:val="0204912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3">
    <w:nsid w:val="6AB60D79"/>
    <w:multiLevelType w:val="hybridMultilevel"/>
    <w:tmpl w:val="FBF80052"/>
    <w:lvl w:ilvl="0" w:tplc="08090015">
      <w:start w:val="1"/>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AD404F7"/>
    <w:multiLevelType w:val="hybridMultilevel"/>
    <w:tmpl w:val="5FB4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917F9D"/>
    <w:multiLevelType w:val="hybridMultilevel"/>
    <w:tmpl w:val="D7322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90F7491"/>
    <w:multiLevelType w:val="hybridMultilevel"/>
    <w:tmpl w:val="3C806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BE67080"/>
    <w:multiLevelType w:val="hybridMultilevel"/>
    <w:tmpl w:val="5EC29D8E"/>
    <w:lvl w:ilvl="0" w:tplc="7CDA5BBA">
      <w:start w:val="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DD82C13"/>
    <w:multiLevelType w:val="hybridMultilevel"/>
    <w:tmpl w:val="452AB6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1"/>
  </w:num>
  <w:num w:numId="3">
    <w:abstractNumId w:val="32"/>
  </w:num>
  <w:num w:numId="4">
    <w:abstractNumId w:val="13"/>
  </w:num>
  <w:num w:numId="5">
    <w:abstractNumId w:val="34"/>
  </w:num>
  <w:num w:numId="6">
    <w:abstractNumId w:val="1"/>
  </w:num>
  <w:num w:numId="7">
    <w:abstractNumId w:val="38"/>
  </w:num>
  <w:num w:numId="8">
    <w:abstractNumId w:val="7"/>
  </w:num>
  <w:num w:numId="9">
    <w:abstractNumId w:val="22"/>
  </w:num>
  <w:num w:numId="10">
    <w:abstractNumId w:val="25"/>
  </w:num>
  <w:num w:numId="11">
    <w:abstractNumId w:val="8"/>
  </w:num>
  <w:num w:numId="12">
    <w:abstractNumId w:val="15"/>
  </w:num>
  <w:num w:numId="13">
    <w:abstractNumId w:val="29"/>
  </w:num>
  <w:num w:numId="14">
    <w:abstractNumId w:val="33"/>
  </w:num>
  <w:num w:numId="15">
    <w:abstractNumId w:val="27"/>
  </w:num>
  <w:num w:numId="16">
    <w:abstractNumId w:val="17"/>
  </w:num>
  <w:num w:numId="17">
    <w:abstractNumId w:val="3"/>
  </w:num>
  <w:num w:numId="18">
    <w:abstractNumId w:val="36"/>
  </w:num>
  <w:num w:numId="19">
    <w:abstractNumId w:val="10"/>
  </w:num>
  <w:num w:numId="20">
    <w:abstractNumId w:val="12"/>
  </w:num>
  <w:num w:numId="21">
    <w:abstractNumId w:val="23"/>
  </w:num>
  <w:num w:numId="22">
    <w:abstractNumId w:val="16"/>
  </w:num>
  <w:num w:numId="23">
    <w:abstractNumId w:val="37"/>
  </w:num>
  <w:num w:numId="24">
    <w:abstractNumId w:val="20"/>
  </w:num>
  <w:num w:numId="25">
    <w:abstractNumId w:val="31"/>
  </w:num>
  <w:num w:numId="26">
    <w:abstractNumId w:val="18"/>
  </w:num>
  <w:num w:numId="27">
    <w:abstractNumId w:val="5"/>
  </w:num>
  <w:num w:numId="28">
    <w:abstractNumId w:val="30"/>
  </w:num>
  <w:num w:numId="29">
    <w:abstractNumId w:val="0"/>
  </w:num>
  <w:num w:numId="30">
    <w:abstractNumId w:val="2"/>
  </w:num>
  <w:num w:numId="31">
    <w:abstractNumId w:val="28"/>
  </w:num>
  <w:num w:numId="32">
    <w:abstractNumId w:val="14"/>
  </w:num>
  <w:num w:numId="33">
    <w:abstractNumId w:val="26"/>
  </w:num>
  <w:num w:numId="34">
    <w:abstractNumId w:val="4"/>
  </w:num>
  <w:num w:numId="35">
    <w:abstractNumId w:val="35"/>
  </w:num>
  <w:num w:numId="36">
    <w:abstractNumId w:val="21"/>
  </w:num>
  <w:num w:numId="37">
    <w:abstractNumId w:val="9"/>
  </w:num>
  <w:num w:numId="38">
    <w:abstractNumId w:val="24"/>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804AE"/>
    <w:rsid w:val="00006DF1"/>
    <w:rsid w:val="00016D07"/>
    <w:rsid w:val="0002138E"/>
    <w:rsid w:val="00044581"/>
    <w:rsid w:val="00051F5C"/>
    <w:rsid w:val="00053D49"/>
    <w:rsid w:val="00055DF2"/>
    <w:rsid w:val="000747C6"/>
    <w:rsid w:val="0007583C"/>
    <w:rsid w:val="00077CFB"/>
    <w:rsid w:val="00081A1D"/>
    <w:rsid w:val="00092057"/>
    <w:rsid w:val="0009258A"/>
    <w:rsid w:val="000A27EA"/>
    <w:rsid w:val="000A3D4E"/>
    <w:rsid w:val="000A7271"/>
    <w:rsid w:val="000C7A1B"/>
    <w:rsid w:val="000D0179"/>
    <w:rsid w:val="000E680F"/>
    <w:rsid w:val="000F46C2"/>
    <w:rsid w:val="000F67F3"/>
    <w:rsid w:val="00100369"/>
    <w:rsid w:val="00103B22"/>
    <w:rsid w:val="001145D5"/>
    <w:rsid w:val="00136CE3"/>
    <w:rsid w:val="0015019D"/>
    <w:rsid w:val="001C6873"/>
    <w:rsid w:val="001E03C4"/>
    <w:rsid w:val="001E0A5E"/>
    <w:rsid w:val="001E3B2B"/>
    <w:rsid w:val="001F4FC0"/>
    <w:rsid w:val="00200127"/>
    <w:rsid w:val="00217291"/>
    <w:rsid w:val="0022155F"/>
    <w:rsid w:val="00222C7B"/>
    <w:rsid w:val="00226C3B"/>
    <w:rsid w:val="002358C8"/>
    <w:rsid w:val="0024479D"/>
    <w:rsid w:val="00244F0F"/>
    <w:rsid w:val="0024655F"/>
    <w:rsid w:val="00251F36"/>
    <w:rsid w:val="00252C79"/>
    <w:rsid w:val="00260379"/>
    <w:rsid w:val="00262A75"/>
    <w:rsid w:val="00264D19"/>
    <w:rsid w:val="00266F50"/>
    <w:rsid w:val="002804AE"/>
    <w:rsid w:val="00290831"/>
    <w:rsid w:val="002B05D9"/>
    <w:rsid w:val="002E797A"/>
    <w:rsid w:val="002F7E69"/>
    <w:rsid w:val="00312124"/>
    <w:rsid w:val="00327A3E"/>
    <w:rsid w:val="00335B14"/>
    <w:rsid w:val="00343592"/>
    <w:rsid w:val="00361063"/>
    <w:rsid w:val="003728BD"/>
    <w:rsid w:val="003A6527"/>
    <w:rsid w:val="003B3B67"/>
    <w:rsid w:val="003B79B8"/>
    <w:rsid w:val="003C2DEA"/>
    <w:rsid w:val="003D18FC"/>
    <w:rsid w:val="003D36BA"/>
    <w:rsid w:val="003D6369"/>
    <w:rsid w:val="00413136"/>
    <w:rsid w:val="00441100"/>
    <w:rsid w:val="004447C4"/>
    <w:rsid w:val="0044737E"/>
    <w:rsid w:val="004523C6"/>
    <w:rsid w:val="0045388A"/>
    <w:rsid w:val="00467F8C"/>
    <w:rsid w:val="00470C8C"/>
    <w:rsid w:val="004A62AC"/>
    <w:rsid w:val="004C3E04"/>
    <w:rsid w:val="004C777F"/>
    <w:rsid w:val="004E03E9"/>
    <w:rsid w:val="004E203D"/>
    <w:rsid w:val="004E56C2"/>
    <w:rsid w:val="00500550"/>
    <w:rsid w:val="00501FCA"/>
    <w:rsid w:val="0051277C"/>
    <w:rsid w:val="00531516"/>
    <w:rsid w:val="00533DF8"/>
    <w:rsid w:val="00535489"/>
    <w:rsid w:val="00543ED5"/>
    <w:rsid w:val="00560A7B"/>
    <w:rsid w:val="00577606"/>
    <w:rsid w:val="00582C63"/>
    <w:rsid w:val="00594E26"/>
    <w:rsid w:val="00597BD7"/>
    <w:rsid w:val="005A4FC6"/>
    <w:rsid w:val="005B17E2"/>
    <w:rsid w:val="005C2BA1"/>
    <w:rsid w:val="005E653A"/>
    <w:rsid w:val="006037BE"/>
    <w:rsid w:val="00607B63"/>
    <w:rsid w:val="006141B5"/>
    <w:rsid w:val="00617858"/>
    <w:rsid w:val="00622AF8"/>
    <w:rsid w:val="006259B7"/>
    <w:rsid w:val="00670226"/>
    <w:rsid w:val="006707AC"/>
    <w:rsid w:val="00677C84"/>
    <w:rsid w:val="006856D3"/>
    <w:rsid w:val="006869C1"/>
    <w:rsid w:val="00692023"/>
    <w:rsid w:val="00693DD0"/>
    <w:rsid w:val="0069432F"/>
    <w:rsid w:val="00696774"/>
    <w:rsid w:val="00696793"/>
    <w:rsid w:val="006B2C84"/>
    <w:rsid w:val="006C2B4E"/>
    <w:rsid w:val="006D05F3"/>
    <w:rsid w:val="00720D87"/>
    <w:rsid w:val="007328C7"/>
    <w:rsid w:val="007344BB"/>
    <w:rsid w:val="00744266"/>
    <w:rsid w:val="0075367A"/>
    <w:rsid w:val="00754A5A"/>
    <w:rsid w:val="00772C9F"/>
    <w:rsid w:val="0078354A"/>
    <w:rsid w:val="007843A1"/>
    <w:rsid w:val="00793DD6"/>
    <w:rsid w:val="00797796"/>
    <w:rsid w:val="007D255E"/>
    <w:rsid w:val="007D546D"/>
    <w:rsid w:val="007E576A"/>
    <w:rsid w:val="007E7493"/>
    <w:rsid w:val="00801800"/>
    <w:rsid w:val="0082442C"/>
    <w:rsid w:val="008452E1"/>
    <w:rsid w:val="00870451"/>
    <w:rsid w:val="00871E91"/>
    <w:rsid w:val="0088518B"/>
    <w:rsid w:val="00894FB5"/>
    <w:rsid w:val="008A50B6"/>
    <w:rsid w:val="008B3432"/>
    <w:rsid w:val="008E05C3"/>
    <w:rsid w:val="008F104E"/>
    <w:rsid w:val="00900BF2"/>
    <w:rsid w:val="00907212"/>
    <w:rsid w:val="00912AE1"/>
    <w:rsid w:val="009356C5"/>
    <w:rsid w:val="00936388"/>
    <w:rsid w:val="00937D28"/>
    <w:rsid w:val="009524BC"/>
    <w:rsid w:val="0095798C"/>
    <w:rsid w:val="00970CEE"/>
    <w:rsid w:val="00973CBD"/>
    <w:rsid w:val="009908D6"/>
    <w:rsid w:val="00993347"/>
    <w:rsid w:val="009956D9"/>
    <w:rsid w:val="009A47C4"/>
    <w:rsid w:val="00A04C45"/>
    <w:rsid w:val="00A07538"/>
    <w:rsid w:val="00A1244E"/>
    <w:rsid w:val="00A176F9"/>
    <w:rsid w:val="00A21098"/>
    <w:rsid w:val="00A24433"/>
    <w:rsid w:val="00A42549"/>
    <w:rsid w:val="00A57839"/>
    <w:rsid w:val="00A759D4"/>
    <w:rsid w:val="00A8144C"/>
    <w:rsid w:val="00A8345B"/>
    <w:rsid w:val="00A85076"/>
    <w:rsid w:val="00A8714A"/>
    <w:rsid w:val="00A955C0"/>
    <w:rsid w:val="00AA268F"/>
    <w:rsid w:val="00AA6FB1"/>
    <w:rsid w:val="00AA7FEB"/>
    <w:rsid w:val="00AB1460"/>
    <w:rsid w:val="00AD79BE"/>
    <w:rsid w:val="00AE731D"/>
    <w:rsid w:val="00AF2D0C"/>
    <w:rsid w:val="00B102D5"/>
    <w:rsid w:val="00B437ED"/>
    <w:rsid w:val="00B54DDD"/>
    <w:rsid w:val="00B623CE"/>
    <w:rsid w:val="00BC1E71"/>
    <w:rsid w:val="00BC2206"/>
    <w:rsid w:val="00BC30C7"/>
    <w:rsid w:val="00BC6879"/>
    <w:rsid w:val="00BD1C0B"/>
    <w:rsid w:val="00BD356C"/>
    <w:rsid w:val="00BD7A78"/>
    <w:rsid w:val="00BF19A8"/>
    <w:rsid w:val="00C042FF"/>
    <w:rsid w:val="00C0457B"/>
    <w:rsid w:val="00C4516C"/>
    <w:rsid w:val="00C45533"/>
    <w:rsid w:val="00C649AA"/>
    <w:rsid w:val="00C67913"/>
    <w:rsid w:val="00CA1F80"/>
    <w:rsid w:val="00CA7AA4"/>
    <w:rsid w:val="00CE258C"/>
    <w:rsid w:val="00CE47BF"/>
    <w:rsid w:val="00CE6846"/>
    <w:rsid w:val="00CF2903"/>
    <w:rsid w:val="00CF6483"/>
    <w:rsid w:val="00D022F6"/>
    <w:rsid w:val="00D05D70"/>
    <w:rsid w:val="00D118CD"/>
    <w:rsid w:val="00D237F2"/>
    <w:rsid w:val="00D33657"/>
    <w:rsid w:val="00D339BC"/>
    <w:rsid w:val="00D5063C"/>
    <w:rsid w:val="00D52F1E"/>
    <w:rsid w:val="00D63E74"/>
    <w:rsid w:val="00D83387"/>
    <w:rsid w:val="00D847A8"/>
    <w:rsid w:val="00D879A8"/>
    <w:rsid w:val="00D956C3"/>
    <w:rsid w:val="00DA61E7"/>
    <w:rsid w:val="00DB281E"/>
    <w:rsid w:val="00DC0A09"/>
    <w:rsid w:val="00DC0F91"/>
    <w:rsid w:val="00DC16A0"/>
    <w:rsid w:val="00DC55B2"/>
    <w:rsid w:val="00DD7134"/>
    <w:rsid w:val="00DE06DF"/>
    <w:rsid w:val="00DE6BE3"/>
    <w:rsid w:val="00DF2A58"/>
    <w:rsid w:val="00E0167A"/>
    <w:rsid w:val="00E01713"/>
    <w:rsid w:val="00E031B3"/>
    <w:rsid w:val="00E06832"/>
    <w:rsid w:val="00E129B6"/>
    <w:rsid w:val="00E2278C"/>
    <w:rsid w:val="00E24EA1"/>
    <w:rsid w:val="00E30328"/>
    <w:rsid w:val="00E37EC7"/>
    <w:rsid w:val="00E518C7"/>
    <w:rsid w:val="00E70A6D"/>
    <w:rsid w:val="00E722D7"/>
    <w:rsid w:val="00E753A1"/>
    <w:rsid w:val="00E83351"/>
    <w:rsid w:val="00E84794"/>
    <w:rsid w:val="00E92FDF"/>
    <w:rsid w:val="00E97D94"/>
    <w:rsid w:val="00EA7335"/>
    <w:rsid w:val="00EB7205"/>
    <w:rsid w:val="00ED11D6"/>
    <w:rsid w:val="00ED39AF"/>
    <w:rsid w:val="00ED3D36"/>
    <w:rsid w:val="00EE1FBC"/>
    <w:rsid w:val="00EE445F"/>
    <w:rsid w:val="00EF2761"/>
    <w:rsid w:val="00EF5A61"/>
    <w:rsid w:val="00EF5D11"/>
    <w:rsid w:val="00EF6EF6"/>
    <w:rsid w:val="00F00569"/>
    <w:rsid w:val="00F10D87"/>
    <w:rsid w:val="00F44E3F"/>
    <w:rsid w:val="00F62C9C"/>
    <w:rsid w:val="00F73F1D"/>
    <w:rsid w:val="00F751F1"/>
    <w:rsid w:val="00F76112"/>
    <w:rsid w:val="00F761BE"/>
    <w:rsid w:val="00FB6798"/>
    <w:rsid w:val="00FD0C71"/>
    <w:rsid w:val="00FE0C63"/>
    <w:rsid w:val="00FF1163"/>
    <w:rsid w:val="00FF22F4"/>
    <w:rsid w:val="00FF4B6C"/>
    <w:rsid w:val="00FF6245"/>
    <w:rsid w:val="00FF7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0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0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0369"/>
    <w:pPr>
      <w:ind w:left="720"/>
      <w:contextualSpacing/>
    </w:pPr>
  </w:style>
  <w:style w:type="paragraph" w:styleId="BalloonText">
    <w:name w:val="Balloon Text"/>
    <w:basedOn w:val="Normal"/>
    <w:link w:val="BalloonTextChar"/>
    <w:uiPriority w:val="99"/>
    <w:semiHidden/>
    <w:unhideWhenUsed/>
    <w:rsid w:val="00A04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C45"/>
    <w:rPr>
      <w:rFonts w:ascii="Tahoma" w:hAnsi="Tahoma" w:cs="Tahoma"/>
      <w:sz w:val="16"/>
      <w:szCs w:val="16"/>
    </w:rPr>
  </w:style>
  <w:style w:type="paragraph" w:styleId="Header">
    <w:name w:val="header"/>
    <w:basedOn w:val="Normal"/>
    <w:link w:val="HeaderChar"/>
    <w:uiPriority w:val="99"/>
    <w:unhideWhenUsed/>
    <w:rsid w:val="00217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291"/>
  </w:style>
  <w:style w:type="paragraph" w:styleId="Footer">
    <w:name w:val="footer"/>
    <w:basedOn w:val="Normal"/>
    <w:link w:val="FooterChar"/>
    <w:uiPriority w:val="99"/>
    <w:unhideWhenUsed/>
    <w:rsid w:val="00217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291"/>
  </w:style>
  <w:style w:type="character" w:styleId="CommentReference">
    <w:name w:val="annotation reference"/>
    <w:basedOn w:val="DefaultParagraphFont"/>
    <w:uiPriority w:val="99"/>
    <w:semiHidden/>
    <w:unhideWhenUsed/>
    <w:rsid w:val="0078354A"/>
    <w:rPr>
      <w:sz w:val="16"/>
      <w:szCs w:val="16"/>
    </w:rPr>
  </w:style>
  <w:style w:type="paragraph" w:styleId="CommentText">
    <w:name w:val="annotation text"/>
    <w:basedOn w:val="Normal"/>
    <w:link w:val="CommentTextChar"/>
    <w:uiPriority w:val="99"/>
    <w:semiHidden/>
    <w:unhideWhenUsed/>
    <w:rsid w:val="0078354A"/>
    <w:pPr>
      <w:spacing w:line="240" w:lineRule="auto"/>
    </w:pPr>
    <w:rPr>
      <w:sz w:val="20"/>
      <w:szCs w:val="20"/>
    </w:rPr>
  </w:style>
  <w:style w:type="character" w:customStyle="1" w:styleId="CommentTextChar">
    <w:name w:val="Comment Text Char"/>
    <w:basedOn w:val="DefaultParagraphFont"/>
    <w:link w:val="CommentText"/>
    <w:uiPriority w:val="99"/>
    <w:semiHidden/>
    <w:rsid w:val="0078354A"/>
    <w:rPr>
      <w:sz w:val="20"/>
      <w:szCs w:val="20"/>
    </w:rPr>
  </w:style>
  <w:style w:type="paragraph" w:styleId="CommentSubject">
    <w:name w:val="annotation subject"/>
    <w:basedOn w:val="CommentText"/>
    <w:next w:val="CommentText"/>
    <w:link w:val="CommentSubjectChar"/>
    <w:uiPriority w:val="99"/>
    <w:semiHidden/>
    <w:unhideWhenUsed/>
    <w:rsid w:val="0078354A"/>
    <w:rPr>
      <w:b/>
      <w:bCs/>
    </w:rPr>
  </w:style>
  <w:style w:type="character" w:customStyle="1" w:styleId="CommentSubjectChar">
    <w:name w:val="Comment Subject Char"/>
    <w:basedOn w:val="CommentTextChar"/>
    <w:link w:val="CommentSubject"/>
    <w:uiPriority w:val="99"/>
    <w:semiHidden/>
    <w:rsid w:val="0078354A"/>
    <w:rPr>
      <w:b/>
      <w:bCs/>
      <w:sz w:val="20"/>
      <w:szCs w:val="20"/>
    </w:rPr>
  </w:style>
  <w:style w:type="paragraph" w:styleId="FootnoteText">
    <w:name w:val="footnote text"/>
    <w:basedOn w:val="Normal"/>
    <w:link w:val="FootnoteTextChar"/>
    <w:uiPriority w:val="99"/>
    <w:semiHidden/>
    <w:unhideWhenUsed/>
    <w:rsid w:val="009956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6D9"/>
    <w:rPr>
      <w:sz w:val="20"/>
      <w:szCs w:val="20"/>
    </w:rPr>
  </w:style>
  <w:style w:type="character" w:styleId="FootnoteReference">
    <w:name w:val="footnote reference"/>
    <w:basedOn w:val="DefaultParagraphFont"/>
    <w:uiPriority w:val="99"/>
    <w:semiHidden/>
    <w:unhideWhenUsed/>
    <w:rsid w:val="009956D9"/>
    <w:rPr>
      <w:vertAlign w:val="superscript"/>
    </w:rPr>
  </w:style>
  <w:style w:type="character" w:styleId="Hyperlink">
    <w:name w:val="Hyperlink"/>
    <w:basedOn w:val="DefaultParagraphFont"/>
    <w:uiPriority w:val="99"/>
    <w:unhideWhenUsed/>
    <w:rsid w:val="00993347"/>
    <w:rPr>
      <w:color w:val="0000FF" w:themeColor="hyperlink"/>
      <w:u w:val="single"/>
    </w:rPr>
  </w:style>
  <w:style w:type="character" w:styleId="PlaceholderText">
    <w:name w:val="Placeholder Text"/>
    <w:basedOn w:val="DefaultParagraphFont"/>
    <w:uiPriority w:val="99"/>
    <w:semiHidden/>
    <w:rsid w:val="00ED11D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0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0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0369"/>
    <w:pPr>
      <w:ind w:left="720"/>
      <w:contextualSpacing/>
    </w:pPr>
  </w:style>
  <w:style w:type="paragraph" w:styleId="BalloonText">
    <w:name w:val="Balloon Text"/>
    <w:basedOn w:val="Normal"/>
    <w:link w:val="BalloonTextChar"/>
    <w:uiPriority w:val="99"/>
    <w:semiHidden/>
    <w:unhideWhenUsed/>
    <w:rsid w:val="00A04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C45"/>
    <w:rPr>
      <w:rFonts w:ascii="Tahoma" w:hAnsi="Tahoma" w:cs="Tahoma"/>
      <w:sz w:val="16"/>
      <w:szCs w:val="16"/>
    </w:rPr>
  </w:style>
  <w:style w:type="paragraph" w:styleId="Header">
    <w:name w:val="header"/>
    <w:basedOn w:val="Normal"/>
    <w:link w:val="HeaderChar"/>
    <w:uiPriority w:val="99"/>
    <w:unhideWhenUsed/>
    <w:rsid w:val="00217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291"/>
  </w:style>
  <w:style w:type="paragraph" w:styleId="Footer">
    <w:name w:val="footer"/>
    <w:basedOn w:val="Normal"/>
    <w:link w:val="FooterChar"/>
    <w:uiPriority w:val="99"/>
    <w:unhideWhenUsed/>
    <w:rsid w:val="00217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291"/>
  </w:style>
  <w:style w:type="character" w:styleId="CommentReference">
    <w:name w:val="annotation reference"/>
    <w:basedOn w:val="DefaultParagraphFont"/>
    <w:uiPriority w:val="99"/>
    <w:semiHidden/>
    <w:unhideWhenUsed/>
    <w:rsid w:val="0078354A"/>
    <w:rPr>
      <w:sz w:val="16"/>
      <w:szCs w:val="16"/>
    </w:rPr>
  </w:style>
  <w:style w:type="paragraph" w:styleId="CommentText">
    <w:name w:val="annotation text"/>
    <w:basedOn w:val="Normal"/>
    <w:link w:val="CommentTextChar"/>
    <w:uiPriority w:val="99"/>
    <w:semiHidden/>
    <w:unhideWhenUsed/>
    <w:rsid w:val="0078354A"/>
    <w:pPr>
      <w:spacing w:line="240" w:lineRule="auto"/>
    </w:pPr>
    <w:rPr>
      <w:sz w:val="20"/>
      <w:szCs w:val="20"/>
    </w:rPr>
  </w:style>
  <w:style w:type="character" w:customStyle="1" w:styleId="CommentTextChar">
    <w:name w:val="Comment Text Char"/>
    <w:basedOn w:val="DefaultParagraphFont"/>
    <w:link w:val="CommentText"/>
    <w:uiPriority w:val="99"/>
    <w:semiHidden/>
    <w:rsid w:val="0078354A"/>
    <w:rPr>
      <w:sz w:val="20"/>
      <w:szCs w:val="20"/>
    </w:rPr>
  </w:style>
  <w:style w:type="paragraph" w:styleId="CommentSubject">
    <w:name w:val="annotation subject"/>
    <w:basedOn w:val="CommentText"/>
    <w:next w:val="CommentText"/>
    <w:link w:val="CommentSubjectChar"/>
    <w:uiPriority w:val="99"/>
    <w:semiHidden/>
    <w:unhideWhenUsed/>
    <w:rsid w:val="0078354A"/>
    <w:rPr>
      <w:b/>
      <w:bCs/>
    </w:rPr>
  </w:style>
  <w:style w:type="character" w:customStyle="1" w:styleId="CommentSubjectChar">
    <w:name w:val="Comment Subject Char"/>
    <w:basedOn w:val="CommentTextChar"/>
    <w:link w:val="CommentSubject"/>
    <w:uiPriority w:val="99"/>
    <w:semiHidden/>
    <w:rsid w:val="0078354A"/>
    <w:rPr>
      <w:b/>
      <w:bCs/>
      <w:sz w:val="20"/>
      <w:szCs w:val="20"/>
    </w:rPr>
  </w:style>
  <w:style w:type="paragraph" w:styleId="FootnoteText">
    <w:name w:val="footnote text"/>
    <w:basedOn w:val="Normal"/>
    <w:link w:val="FootnoteTextChar"/>
    <w:uiPriority w:val="99"/>
    <w:semiHidden/>
    <w:unhideWhenUsed/>
    <w:rsid w:val="009956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6D9"/>
    <w:rPr>
      <w:sz w:val="20"/>
      <w:szCs w:val="20"/>
    </w:rPr>
  </w:style>
  <w:style w:type="character" w:styleId="FootnoteReference">
    <w:name w:val="footnote reference"/>
    <w:basedOn w:val="DefaultParagraphFont"/>
    <w:uiPriority w:val="99"/>
    <w:semiHidden/>
    <w:unhideWhenUsed/>
    <w:rsid w:val="009956D9"/>
    <w:rPr>
      <w:vertAlign w:val="superscript"/>
    </w:rPr>
  </w:style>
  <w:style w:type="character" w:styleId="Hyperlink">
    <w:name w:val="Hyperlink"/>
    <w:basedOn w:val="DefaultParagraphFont"/>
    <w:uiPriority w:val="99"/>
    <w:unhideWhenUsed/>
    <w:rsid w:val="00993347"/>
    <w:rPr>
      <w:color w:val="0000FF" w:themeColor="hyperlink"/>
      <w:u w:val="single"/>
    </w:rPr>
  </w:style>
  <w:style w:type="character" w:styleId="PlaceholderText">
    <w:name w:val="Placeholder Text"/>
    <w:basedOn w:val="DefaultParagraphFont"/>
    <w:uiPriority w:val="99"/>
    <w:semiHidden/>
    <w:rsid w:val="00ED11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lo.org/global/standards/maritime-labour-convention/lang--en/index.ht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1D3C4-496F-4C65-8447-0FC7CC32C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2722</Words>
  <Characters>15521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18207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Dieckhoff</dc:creator>
  <cp:lastModifiedBy>Roy Nitze</cp:lastModifiedBy>
  <cp:revision>2</cp:revision>
  <cp:lastPrinted>2017-04-03T14:30:00Z</cp:lastPrinted>
  <dcterms:created xsi:type="dcterms:W3CDTF">2017-04-19T13:55:00Z</dcterms:created>
  <dcterms:modified xsi:type="dcterms:W3CDTF">2017-04-19T13:55:00Z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240136539</vt:i4>
  </property>
  <property fmtid="{D5CDD505-2E9C-101B-9397-08002B2CF9AE}" pid="3" name="_NewReviewCycle">
    <vt:lpwstr/>
  </property>
  <property fmtid="{D5CDD505-2E9C-101B-9397-08002B2CF9AE}" pid="4" name="_EmailSubject">
    <vt:lpwstr>2nd attempt: To CAT WS: documents for 1st physical meeting on 27 April 2017, 10-16h in Frankfurt (EIOPA premises)</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_PreviousAdHocReviewCycleID">
    <vt:i4>-995550406</vt:i4>
  </property>
</Properties>
</file>