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BD" w:rsidRDefault="009E06F0" w:rsidP="00F90EBD">
      <w:pPr>
        <w:pStyle w:val="ListParagraph"/>
        <w:numPr>
          <w:ilvl w:val="0"/>
          <w:numId w:val="1"/>
        </w:numPr>
        <w:jc w:val="both"/>
      </w:pPr>
      <w:r>
        <w:t>V</w:t>
      </w:r>
      <w:r w:rsidR="00F90EBD">
        <w:t xml:space="preserve"> zmysle delegovaného nariadenia (článku 275, bod 1, písm. c) sa koncepcia odmeňovania uplatňuje na podnik ako celok a obsahuje špecifické mechanizmy, v ktorých sa zohľadňujú úlohy a výkonnosť správneho, riadiaceho alebo kontrolného orgánu, osôb, ktoré skutočne riadia podnik alebo držiteľov kľúčových funkcií, a ostatných kategórií zamestnancov, ktorých odborná činnosť má významný dosah na rizikový profil podniku. V tejto súvislosti nás zaujímajú </w:t>
      </w:r>
      <w:r w:rsidR="00F90EBD">
        <w:rPr>
          <w:b/>
          <w:bCs/>
        </w:rPr>
        <w:t>zodpovednostné synergie v rámci skupiny pre kľúčové funkcie</w:t>
      </w:r>
      <w:r w:rsidR="00F90EBD">
        <w:t>, t.</w:t>
      </w:r>
      <w:r w:rsidR="00296AEC">
        <w:t xml:space="preserve"> </w:t>
      </w:r>
      <w:r w:rsidR="00F90EBD">
        <w:t>j. z pohľadu fungovania skupiny vidíme tieto synergie ako argument pre uplatnenie zásady proporcionality a vyňatie držiteľov kľúčových funkcií z </w:t>
      </w:r>
      <w:proofErr w:type="spellStart"/>
      <w:r w:rsidR="00F90EBD">
        <w:t>deferalov</w:t>
      </w:r>
      <w:proofErr w:type="spellEnd"/>
      <w:r w:rsidR="00F90EBD">
        <w:t xml:space="preserve"> (spod konceptu </w:t>
      </w:r>
      <w:proofErr w:type="spellStart"/>
      <w:r w:rsidR="00F90EBD">
        <w:t>remuneration</w:t>
      </w:r>
      <w:proofErr w:type="spellEnd"/>
      <w:r w:rsidR="00F90EBD">
        <w:t>)</w:t>
      </w:r>
    </w:p>
    <w:p w:rsidR="00B47179" w:rsidRPr="00B47179" w:rsidRDefault="00B47179" w:rsidP="00F90EBD">
      <w:pPr>
        <w:pStyle w:val="ListParagraph"/>
        <w:jc w:val="both"/>
        <w:rPr>
          <w:color w:val="00B0F0"/>
        </w:rPr>
      </w:pPr>
      <w:r>
        <w:rPr>
          <w:color w:val="00B0F0"/>
        </w:rPr>
        <w:t>Je to striktne dané, každá dcérska spoločnosť si to musí uplatniť.</w:t>
      </w:r>
    </w:p>
    <w:p w:rsidR="00B47179" w:rsidRDefault="00B47179" w:rsidP="00F90EBD">
      <w:pPr>
        <w:pStyle w:val="ListParagraph"/>
        <w:jc w:val="both"/>
      </w:pPr>
    </w:p>
    <w:p w:rsidR="00F90EBD" w:rsidRDefault="009E06F0" w:rsidP="00F90EBD">
      <w:pPr>
        <w:pStyle w:val="ListParagraph"/>
        <w:numPr>
          <w:ilvl w:val="0"/>
          <w:numId w:val="1"/>
        </w:numPr>
        <w:jc w:val="both"/>
      </w:pPr>
      <w:r>
        <w:t>V</w:t>
      </w:r>
      <w:r w:rsidR="00F90EBD">
        <w:t xml:space="preserve"> zmysle článku 275 ods. 2 písm. c) delegovaného nariadenia, platba podstatnej časti pohyblivej zložky odmeny, nezávisle od formy, akou sa platí, musí obsahovať pružnú, odloženú zložku, ktorá zohľadňuje povahu a časový horizont činnosti podniku. </w:t>
      </w:r>
      <w:r w:rsidR="00F90EBD">
        <w:rPr>
          <w:b/>
          <w:bCs/>
        </w:rPr>
        <w:t>V tejto oblasti nás zaujíma stanovenie čiastky odloženia</w:t>
      </w:r>
      <w:r w:rsidR="00F90EBD">
        <w:t xml:space="preserve">. Aký je pohľad NBS v prípade stanovenia variabilnej zložky - 40% vopred a všetko čo je nad tým by bolo predmetom </w:t>
      </w:r>
      <w:proofErr w:type="spellStart"/>
      <w:r w:rsidR="00F90EBD">
        <w:t>deferalu</w:t>
      </w:r>
      <w:proofErr w:type="spellEnd"/>
      <w:r w:rsidR="00F90EBD">
        <w:t xml:space="preserve">? </w:t>
      </w:r>
    </w:p>
    <w:p w:rsidR="00B47179" w:rsidRPr="00B47179" w:rsidRDefault="00B26B2A" w:rsidP="00B47179">
      <w:pPr>
        <w:pStyle w:val="ListParagraph"/>
        <w:jc w:val="both"/>
        <w:rPr>
          <w:color w:val="00B0F0"/>
        </w:rPr>
      </w:pPr>
      <w:r>
        <w:rPr>
          <w:color w:val="00B0F0"/>
        </w:rPr>
        <w:t>Vzhľadom na absenciu presného stanovenia v primárnej legislatíve NBS bude</w:t>
      </w:r>
      <w:r w:rsidR="00C70432">
        <w:rPr>
          <w:color w:val="00B0F0"/>
        </w:rPr>
        <w:t xml:space="preserve"> </w:t>
      </w:r>
      <w:r>
        <w:rPr>
          <w:color w:val="00B0F0"/>
        </w:rPr>
        <w:t xml:space="preserve">za podstatnú časť pohyblivej zložky považovať rovnakú hranicu ako v bankovom sektore t.j. 40 %. Zároveň NBS prediskutuje s inými orgánmi dohľadu možnosť, že v prípade súm (napr. menej ako 10 %), ktoré sú zanedbateľné k pomeru celkového príjmu by sa vzhľadom na ich minimálny dopad na rozhodovanie dotknutých osôb, odloženie odmeny neuplatnilo. </w:t>
      </w:r>
    </w:p>
    <w:p w:rsidR="009E06F0" w:rsidRDefault="009E06F0" w:rsidP="009E06F0">
      <w:pPr>
        <w:pStyle w:val="ListParagraph"/>
        <w:jc w:val="both"/>
      </w:pPr>
    </w:p>
    <w:p w:rsidR="00F90EBD" w:rsidRDefault="00F90EBD" w:rsidP="00F90EBD">
      <w:pPr>
        <w:pStyle w:val="ListParagraph"/>
        <w:numPr>
          <w:ilvl w:val="0"/>
          <w:numId w:val="1"/>
        </w:numPr>
      </w:pPr>
      <w:r>
        <w:t>Môže byť odmeňovanie závislé od výsledku skupiny?</w:t>
      </w:r>
    </w:p>
    <w:p w:rsidR="00B47179" w:rsidRPr="00B47179" w:rsidRDefault="00B26B2A" w:rsidP="00B47179">
      <w:pPr>
        <w:pStyle w:val="ListParagraph"/>
        <w:jc w:val="both"/>
        <w:rPr>
          <w:color w:val="00B0F0"/>
        </w:rPr>
      </w:pPr>
      <w:r>
        <w:rPr>
          <w:color w:val="FF0000"/>
        </w:rPr>
        <w:t xml:space="preserve">Nakoľko hospodársky výsledok podniku je úzko previazaný s hospodárskym výsledkom skupiny, máme za to, že osoby ktoré vykonávajú </w:t>
      </w:r>
      <w:r w:rsidRPr="000951F8">
        <w:rPr>
          <w:color w:val="00B0F0"/>
        </w:rPr>
        <w:t xml:space="preserve"> úloh</w:t>
      </w:r>
      <w:r>
        <w:rPr>
          <w:color w:val="00B0F0"/>
        </w:rPr>
        <w:t>y spojené</w:t>
      </w:r>
      <w:r w:rsidRPr="000951F8">
        <w:rPr>
          <w:color w:val="00B0F0"/>
        </w:rPr>
        <w:t xml:space="preserve"> s oceňovaním rizík</w:t>
      </w:r>
      <w:r>
        <w:rPr>
          <w:color w:val="00B0F0"/>
        </w:rPr>
        <w:t xml:space="preserve"> nemôžu byť odmeňované na základe hospodárskeho výsledku ani poisťovne ani celej skupiny. Na druhú stranu vzhľadom na skutočnosť, že </w:t>
      </w:r>
      <w:r w:rsidR="00713EC7" w:rsidRPr="00296AEC">
        <w:rPr>
          <w:color w:val="FF0000"/>
        </w:rPr>
        <w:t xml:space="preserve"> </w:t>
      </w:r>
      <w:r w:rsidR="00713EC7" w:rsidRPr="00713EC7">
        <w:rPr>
          <w:color w:val="00B0F0"/>
        </w:rPr>
        <w:t xml:space="preserve">podiel hospodárskeho výsledku lokálnych poisťovní na </w:t>
      </w:r>
      <w:r>
        <w:rPr>
          <w:color w:val="00B0F0"/>
        </w:rPr>
        <w:t>hospodárskom výsledku</w:t>
      </w:r>
      <w:r w:rsidR="00713EC7" w:rsidRPr="00713EC7">
        <w:rPr>
          <w:color w:val="00B0F0"/>
        </w:rPr>
        <w:t xml:space="preserve"> skupiny </w:t>
      </w:r>
      <w:r>
        <w:rPr>
          <w:color w:val="00B0F0"/>
        </w:rPr>
        <w:t xml:space="preserve">je vo väčšine prípadov nižší ako </w:t>
      </w:r>
      <w:r w:rsidR="00C70432">
        <w:rPr>
          <w:color w:val="00B0F0"/>
        </w:rPr>
        <w:t>5 percent</w:t>
      </w:r>
      <w:r>
        <w:rPr>
          <w:color w:val="00B0F0"/>
        </w:rPr>
        <w:t xml:space="preserve"> máme za to, že aj ak by odmeňovanie takýchto osôb bolo závislé na výsledku skupiny ich dopad na celkové riziká, ktoré skupina preberá je zanedbateľný. Samozrejme ak je podiel lokálnej poisťovne na hospodárskom výsledku skupiny  vyšší (viac ako 5%) uvedené nemožno uplatniť. </w:t>
      </w:r>
      <w:r w:rsidR="00713EC7">
        <w:rPr>
          <w:color w:val="00B0F0"/>
        </w:rPr>
        <w:t xml:space="preserve"> </w:t>
      </w:r>
    </w:p>
    <w:p w:rsidR="009E06F0" w:rsidRDefault="009E06F0" w:rsidP="009E06F0">
      <w:pPr>
        <w:pStyle w:val="ListParagraph"/>
      </w:pPr>
    </w:p>
    <w:p w:rsidR="00F90EBD" w:rsidRDefault="00F90EBD" w:rsidP="00F90EBD">
      <w:pPr>
        <w:pStyle w:val="ListParagraph"/>
        <w:numPr>
          <w:ilvl w:val="0"/>
          <w:numId w:val="1"/>
        </w:numPr>
      </w:pPr>
      <w:r w:rsidRPr="00F90EBD">
        <w:t>Čo sa považuje sa „</w:t>
      </w:r>
      <w:proofErr w:type="spellStart"/>
      <w:r w:rsidRPr="00F90EBD">
        <w:t>substantial</w:t>
      </w:r>
      <w:proofErr w:type="spellEnd"/>
      <w:r w:rsidRPr="00F90EBD">
        <w:t xml:space="preserve"> </w:t>
      </w:r>
      <w:proofErr w:type="spellStart"/>
      <w:r w:rsidRPr="00F90EBD">
        <w:t>portion</w:t>
      </w:r>
      <w:proofErr w:type="spellEnd"/>
      <w:r w:rsidRPr="00F90EBD">
        <w:t>“?</w:t>
      </w:r>
    </w:p>
    <w:p w:rsidR="007676AA" w:rsidRPr="007676AA" w:rsidRDefault="00B26B2A" w:rsidP="007676AA">
      <w:pPr>
        <w:pStyle w:val="ListParagraph"/>
        <w:rPr>
          <w:color w:val="00B0F0"/>
        </w:rPr>
      </w:pPr>
      <w:r>
        <w:rPr>
          <w:color w:val="00B0F0"/>
        </w:rPr>
        <w:t>40 %</w:t>
      </w:r>
    </w:p>
    <w:p w:rsidR="00F90EBD" w:rsidRPr="00F90EBD" w:rsidRDefault="00F90EBD" w:rsidP="00F90EBD">
      <w:pPr>
        <w:pStyle w:val="ListParagraph"/>
        <w:rPr>
          <w:b/>
        </w:rPr>
      </w:pPr>
    </w:p>
    <w:p w:rsidR="00F90EBD" w:rsidRDefault="00F90EBD" w:rsidP="00F90EBD">
      <w:pPr>
        <w:pStyle w:val="ListParagraph"/>
        <w:numPr>
          <w:ilvl w:val="0"/>
          <w:numId w:val="1"/>
        </w:numPr>
      </w:pPr>
      <w:r w:rsidRPr="00F90EBD">
        <w:t>Má sa odloženie variabilnej zložky mzdy týkať iba osôb, ktoré sú zodpovedné za kľúčové funkcie, alebo aj osôb, ktoré vykonávajú akékoľvek činnosti spadajúce pod kľúčové funkcie?</w:t>
      </w:r>
    </w:p>
    <w:p w:rsidR="0037071E" w:rsidRPr="0037071E" w:rsidRDefault="0037071E" w:rsidP="0037071E">
      <w:pPr>
        <w:pStyle w:val="ListParagraph"/>
        <w:jc w:val="both"/>
        <w:rPr>
          <w:color w:val="00B0F0"/>
        </w:rPr>
      </w:pPr>
      <w:r w:rsidRPr="0037071E">
        <w:rPr>
          <w:color w:val="00B0F0"/>
        </w:rPr>
        <w:t>Odloženie variabilnej zložky mzdy  sa týka všetkých osôb, ktoré zodpovedajú za výkon kľúčovej funkcie a majú potrebné rozhodovacie kompetencie, ktorými môžu ovplyvniť smerovanie poisťovne</w:t>
      </w:r>
      <w:r w:rsidR="001431EB">
        <w:rPr>
          <w:color w:val="00B0F0"/>
        </w:rPr>
        <w:t>. Odloženie variabilnej zložky mzdy sa nemusí uplatniť</w:t>
      </w:r>
      <w:r w:rsidRPr="0037071E">
        <w:rPr>
          <w:color w:val="00B0F0"/>
        </w:rPr>
        <w:t xml:space="preserve"> </w:t>
      </w:r>
      <w:r w:rsidR="001431EB">
        <w:rPr>
          <w:color w:val="00B0F0"/>
        </w:rPr>
        <w:t xml:space="preserve">na </w:t>
      </w:r>
      <w:r w:rsidRPr="0037071E">
        <w:rPr>
          <w:color w:val="00B0F0"/>
        </w:rPr>
        <w:t>bežných zamestnancov</w:t>
      </w:r>
      <w:r w:rsidR="001431EB">
        <w:rPr>
          <w:color w:val="00B0F0"/>
        </w:rPr>
        <w:t>, ktorí nemajú zásadné rozhodovacie právomoci</w:t>
      </w:r>
      <w:r w:rsidRPr="0037071E">
        <w:rPr>
          <w:color w:val="00B0F0"/>
        </w:rPr>
        <w:t xml:space="preserve"> ako napr. junior aktuár, bežný zamestnanec compliance.</w:t>
      </w:r>
      <w:r w:rsidR="00F074EC">
        <w:rPr>
          <w:color w:val="00B0F0"/>
        </w:rPr>
        <w:t xml:space="preserve"> </w:t>
      </w:r>
    </w:p>
    <w:p w:rsidR="007F4C35" w:rsidRPr="007F4C35" w:rsidRDefault="007F4C35" w:rsidP="007F4C35">
      <w:pPr>
        <w:pStyle w:val="ListParagraph"/>
        <w:rPr>
          <w:color w:val="00B0F0"/>
        </w:rPr>
      </w:pPr>
    </w:p>
    <w:p w:rsidR="00F90EBD" w:rsidRDefault="00F90EBD" w:rsidP="00F90EBD">
      <w:pPr>
        <w:pStyle w:val="ListParagraph"/>
        <w:numPr>
          <w:ilvl w:val="0"/>
          <w:numId w:val="1"/>
        </w:numPr>
      </w:pPr>
      <w:r w:rsidRPr="00F90EBD">
        <w:t>Môžu mať osoby zodpovedné za výkon kľúčových funkcií nepodstatnú časť variabilnej zložky odmeňovania (napr. 20 %) naviazanú hospodársky výsledok poisťovne?</w:t>
      </w:r>
    </w:p>
    <w:p w:rsidR="00F90EBD" w:rsidRPr="000951F8" w:rsidRDefault="001431EB" w:rsidP="000951F8">
      <w:pPr>
        <w:pStyle w:val="ListParagraph"/>
        <w:jc w:val="both"/>
        <w:rPr>
          <w:color w:val="00B0F0"/>
        </w:rPr>
      </w:pPr>
      <w:r w:rsidRPr="000951F8">
        <w:rPr>
          <w:color w:val="00B0F0"/>
        </w:rPr>
        <w:t>Zákon o poisťovníctve v § 23 ods. 5 výslovne vylučuje naviazanie hospodárskeho výsledku na odmeňovanie iba pre výkon úloh spojených s oceňovaním rizík. Nariadenie EK nemá výslovný zákaz naviazania hospodárskeho výsledku na odmeňovanie, podľa článku 275 ods. 2 písm. h) odmeňovanie</w:t>
      </w:r>
      <w:r w:rsidR="00314320" w:rsidRPr="000951F8">
        <w:rPr>
          <w:color w:val="00B0F0"/>
        </w:rPr>
        <w:t xml:space="preserve"> kľúčových funkcií</w:t>
      </w:r>
      <w:r w:rsidRPr="000951F8">
        <w:rPr>
          <w:color w:val="00B0F0"/>
        </w:rPr>
        <w:t xml:space="preserve"> musí byť nezávislé iba od výkonu organizačných jednotiek a oblastí, ktoré sú podriadené ich kontrole</w:t>
      </w:r>
      <w:r w:rsidR="00314320" w:rsidRPr="000951F8">
        <w:rPr>
          <w:color w:val="00B0F0"/>
        </w:rPr>
        <w:t>.</w:t>
      </w:r>
      <w:r w:rsidR="00C70432">
        <w:rPr>
          <w:color w:val="00B0F0"/>
        </w:rPr>
        <w:t xml:space="preserve"> </w:t>
      </w:r>
    </w:p>
    <w:p w:rsidR="00F074EC" w:rsidRDefault="00F074EC" w:rsidP="00F90EBD">
      <w:pPr>
        <w:pStyle w:val="ListParagraph"/>
      </w:pPr>
    </w:p>
    <w:p w:rsidR="000951F8" w:rsidRPr="00F90EBD" w:rsidRDefault="000951F8" w:rsidP="00F90EBD">
      <w:pPr>
        <w:pStyle w:val="ListParagraph"/>
      </w:pPr>
    </w:p>
    <w:p w:rsidR="00F90EBD" w:rsidRDefault="00F90EBD" w:rsidP="00F90EBD">
      <w:pPr>
        <w:pStyle w:val="ListParagraph"/>
        <w:numPr>
          <w:ilvl w:val="0"/>
          <w:numId w:val="1"/>
        </w:numPr>
      </w:pPr>
      <w:r w:rsidRPr="00F90EBD">
        <w:t>Kto má schvaľovať kritériá, podľa ktorých sa má rozhodovať o vyplatení variabilnej zložky mzdy? Predstavenstvo alebo dozorná rada?</w:t>
      </w:r>
    </w:p>
    <w:p w:rsidR="00F90EBD" w:rsidRPr="00F90EBD" w:rsidRDefault="00B26B2A" w:rsidP="00F90EBD">
      <w:pPr>
        <w:pStyle w:val="ListParagraph"/>
        <w:rPr>
          <w:b/>
        </w:rPr>
      </w:pPr>
      <w:r w:rsidRPr="00B26B2A">
        <w:rPr>
          <w:rFonts w:ascii="ms sans serif" w:hAnsi="ms sans serif"/>
          <w:color w:val="000000"/>
          <w:sz w:val="20"/>
          <w:szCs w:val="20"/>
          <w:shd w:val="clear" w:color="auto" w:fill="D5D5D5"/>
        </w:rPr>
        <w:t xml:space="preserve"> </w:t>
      </w:r>
      <w:r w:rsidRPr="00C70432">
        <w:rPr>
          <w:color w:val="00B0F0"/>
        </w:rPr>
        <w:t>V</w:t>
      </w:r>
      <w:r w:rsidRPr="00C70432">
        <w:rPr>
          <w:rFonts w:hint="eastAsia"/>
          <w:color w:val="00B0F0"/>
        </w:rPr>
        <w:t> </w:t>
      </w:r>
      <w:r w:rsidRPr="00C70432">
        <w:rPr>
          <w:color w:val="00B0F0"/>
        </w:rPr>
        <w:t>zmysle platnej pr</w:t>
      </w:r>
      <w:r w:rsidRPr="00C70432">
        <w:rPr>
          <w:rFonts w:hint="eastAsia"/>
          <w:color w:val="00B0F0"/>
        </w:rPr>
        <w:t>á</w:t>
      </w:r>
      <w:r w:rsidRPr="00C70432">
        <w:rPr>
          <w:color w:val="00B0F0"/>
        </w:rPr>
        <w:t xml:space="preserve">vnej </w:t>
      </w:r>
      <w:r w:rsidRPr="00C70432">
        <w:rPr>
          <w:rFonts w:hint="eastAsia"/>
          <w:color w:val="00B0F0"/>
        </w:rPr>
        <w:t>ú</w:t>
      </w:r>
      <w:r w:rsidRPr="00C70432">
        <w:rPr>
          <w:color w:val="00B0F0"/>
        </w:rPr>
        <w:t xml:space="preserve">pravy OZ predstavenstvo je </w:t>
      </w:r>
      <w:r w:rsidRPr="00C70432">
        <w:rPr>
          <w:rFonts w:hint="eastAsia"/>
          <w:color w:val="00B0F0"/>
        </w:rPr>
        <w:t>š</w:t>
      </w:r>
      <w:r w:rsidRPr="00C70432">
        <w:rPr>
          <w:color w:val="00B0F0"/>
        </w:rPr>
        <w:t>tatut</w:t>
      </w:r>
      <w:r w:rsidRPr="00C70432">
        <w:rPr>
          <w:rFonts w:hint="eastAsia"/>
          <w:color w:val="00B0F0"/>
        </w:rPr>
        <w:t>á</w:t>
      </w:r>
      <w:r w:rsidRPr="00C70432">
        <w:rPr>
          <w:color w:val="00B0F0"/>
        </w:rPr>
        <w:t>rnym org</w:t>
      </w:r>
      <w:r w:rsidRPr="00C70432">
        <w:rPr>
          <w:rFonts w:hint="eastAsia"/>
          <w:color w:val="00B0F0"/>
        </w:rPr>
        <w:t>á</w:t>
      </w:r>
      <w:r w:rsidRPr="00C70432">
        <w:rPr>
          <w:color w:val="00B0F0"/>
        </w:rPr>
        <w:t>nom spolo</w:t>
      </w:r>
      <w:r w:rsidRPr="00C70432">
        <w:rPr>
          <w:rFonts w:hint="eastAsia"/>
          <w:color w:val="00B0F0"/>
        </w:rPr>
        <w:t>č</w:t>
      </w:r>
      <w:r w:rsidRPr="00C70432">
        <w:rPr>
          <w:color w:val="00B0F0"/>
        </w:rPr>
        <w:t>nosti, ktor</w:t>
      </w:r>
      <w:r w:rsidRPr="00C70432">
        <w:rPr>
          <w:rFonts w:hint="eastAsia"/>
          <w:color w:val="00B0F0"/>
        </w:rPr>
        <w:t>ý</w:t>
      </w:r>
      <w:r w:rsidRPr="00C70432">
        <w:rPr>
          <w:color w:val="00B0F0"/>
        </w:rPr>
        <w:t xml:space="preserve"> riadi </w:t>
      </w:r>
      <w:r w:rsidRPr="00C70432">
        <w:rPr>
          <w:rFonts w:hint="eastAsia"/>
          <w:color w:val="00B0F0"/>
        </w:rPr>
        <w:t>č</w:t>
      </w:r>
      <w:r w:rsidRPr="00C70432">
        <w:rPr>
          <w:color w:val="00B0F0"/>
        </w:rPr>
        <w:t>innos</w:t>
      </w:r>
      <w:r w:rsidRPr="00C70432">
        <w:rPr>
          <w:rFonts w:hint="eastAsia"/>
          <w:color w:val="00B0F0"/>
        </w:rPr>
        <w:t>ť</w:t>
      </w:r>
      <w:r w:rsidRPr="00C70432">
        <w:rPr>
          <w:color w:val="00B0F0"/>
        </w:rPr>
        <w:t xml:space="preserve"> spolo</w:t>
      </w:r>
      <w:r w:rsidRPr="00C70432">
        <w:rPr>
          <w:rFonts w:hint="eastAsia"/>
          <w:color w:val="00B0F0"/>
        </w:rPr>
        <w:t>č</w:t>
      </w:r>
      <w:r w:rsidRPr="00C70432">
        <w:rPr>
          <w:color w:val="00B0F0"/>
        </w:rPr>
        <w:t>nosti a kon</w:t>
      </w:r>
      <w:r w:rsidRPr="00C70432">
        <w:rPr>
          <w:rFonts w:hint="eastAsia"/>
          <w:color w:val="00B0F0"/>
        </w:rPr>
        <w:t>á</w:t>
      </w:r>
      <w:r w:rsidRPr="00C70432">
        <w:rPr>
          <w:color w:val="00B0F0"/>
        </w:rPr>
        <w:t xml:space="preserve"> v jej mene. Predstavenstvo rozhoduje o v</w:t>
      </w:r>
      <w:r w:rsidRPr="00C70432">
        <w:rPr>
          <w:rFonts w:hint="eastAsia"/>
          <w:color w:val="00B0F0"/>
        </w:rPr>
        <w:t>š</w:t>
      </w:r>
      <w:r w:rsidRPr="00C70432">
        <w:rPr>
          <w:color w:val="00B0F0"/>
        </w:rPr>
        <w:t>etk</w:t>
      </w:r>
      <w:r w:rsidRPr="00C70432">
        <w:rPr>
          <w:rFonts w:hint="eastAsia"/>
          <w:color w:val="00B0F0"/>
        </w:rPr>
        <w:t>ý</w:t>
      </w:r>
      <w:r w:rsidRPr="00C70432">
        <w:rPr>
          <w:color w:val="00B0F0"/>
        </w:rPr>
        <w:t>ch z</w:t>
      </w:r>
      <w:r w:rsidRPr="00C70432">
        <w:rPr>
          <w:rFonts w:hint="eastAsia"/>
          <w:color w:val="00B0F0"/>
        </w:rPr>
        <w:t>á</w:t>
      </w:r>
      <w:r w:rsidRPr="00C70432">
        <w:rPr>
          <w:color w:val="00B0F0"/>
        </w:rPr>
        <w:t>le</w:t>
      </w:r>
      <w:r w:rsidRPr="00C70432">
        <w:rPr>
          <w:rFonts w:hint="eastAsia"/>
          <w:color w:val="00B0F0"/>
        </w:rPr>
        <w:t>ž</w:t>
      </w:r>
      <w:r w:rsidRPr="00C70432">
        <w:rPr>
          <w:color w:val="00B0F0"/>
        </w:rPr>
        <w:t>itostiach spolo</w:t>
      </w:r>
      <w:r w:rsidRPr="00C70432">
        <w:rPr>
          <w:rFonts w:hint="eastAsia"/>
          <w:color w:val="00B0F0"/>
        </w:rPr>
        <w:t>č</w:t>
      </w:r>
      <w:r w:rsidRPr="00C70432">
        <w:rPr>
          <w:color w:val="00B0F0"/>
        </w:rPr>
        <w:t>nosti, pokia</w:t>
      </w:r>
      <w:r w:rsidRPr="00C70432">
        <w:rPr>
          <w:rFonts w:hint="eastAsia"/>
          <w:color w:val="00B0F0"/>
        </w:rPr>
        <w:t>ľ</w:t>
      </w:r>
      <w:r w:rsidRPr="00C70432">
        <w:rPr>
          <w:color w:val="00B0F0"/>
        </w:rPr>
        <w:t xml:space="preserve"> nie s</w:t>
      </w:r>
      <w:r w:rsidRPr="00C70432">
        <w:rPr>
          <w:rFonts w:hint="eastAsia"/>
          <w:color w:val="00B0F0"/>
        </w:rPr>
        <w:t>ú</w:t>
      </w:r>
      <w:r w:rsidRPr="00C70432">
        <w:rPr>
          <w:color w:val="00B0F0"/>
        </w:rPr>
        <w:t xml:space="preserve"> t</w:t>
      </w:r>
      <w:r w:rsidRPr="00C70432">
        <w:rPr>
          <w:rFonts w:hint="eastAsia"/>
          <w:color w:val="00B0F0"/>
        </w:rPr>
        <w:t>ý</w:t>
      </w:r>
      <w:r w:rsidRPr="00C70432">
        <w:rPr>
          <w:color w:val="00B0F0"/>
        </w:rPr>
        <w:t>mto z</w:t>
      </w:r>
      <w:r w:rsidRPr="00C70432">
        <w:rPr>
          <w:rFonts w:hint="eastAsia"/>
          <w:color w:val="00B0F0"/>
        </w:rPr>
        <w:t>á</w:t>
      </w:r>
      <w:r w:rsidRPr="00C70432">
        <w:rPr>
          <w:color w:val="00B0F0"/>
        </w:rPr>
        <w:t>konom alebo stanovami vyhraden</w:t>
      </w:r>
      <w:r w:rsidRPr="00C70432">
        <w:rPr>
          <w:rFonts w:hint="eastAsia"/>
          <w:color w:val="00B0F0"/>
        </w:rPr>
        <w:t>é</w:t>
      </w:r>
      <w:r w:rsidRPr="00C70432">
        <w:rPr>
          <w:color w:val="00B0F0"/>
        </w:rPr>
        <w:t xml:space="preserve"> do p</w:t>
      </w:r>
      <w:r w:rsidRPr="00C70432">
        <w:rPr>
          <w:rFonts w:hint="eastAsia"/>
          <w:color w:val="00B0F0"/>
        </w:rPr>
        <w:t>ô</w:t>
      </w:r>
      <w:r w:rsidRPr="00C70432">
        <w:rPr>
          <w:color w:val="00B0F0"/>
        </w:rPr>
        <w:t>sobnosti valn</w:t>
      </w:r>
      <w:r w:rsidRPr="00C70432">
        <w:rPr>
          <w:rFonts w:hint="eastAsia"/>
          <w:color w:val="00B0F0"/>
        </w:rPr>
        <w:t>é</w:t>
      </w:r>
      <w:r w:rsidRPr="00C70432">
        <w:rPr>
          <w:color w:val="00B0F0"/>
        </w:rPr>
        <w:t>ho zhroma</w:t>
      </w:r>
      <w:r w:rsidRPr="00C70432">
        <w:rPr>
          <w:rFonts w:hint="eastAsia"/>
          <w:color w:val="00B0F0"/>
        </w:rPr>
        <w:t>ž</w:t>
      </w:r>
      <w:r w:rsidRPr="00C70432">
        <w:rPr>
          <w:color w:val="00B0F0"/>
        </w:rPr>
        <w:t>denia alebo dozornej rady.</w:t>
      </w:r>
      <w:r w:rsidRPr="00C70432">
        <w:rPr>
          <w:rFonts w:hint="eastAsia"/>
          <w:color w:val="00B0F0"/>
        </w:rPr>
        <w:t> </w:t>
      </w:r>
      <w:r w:rsidRPr="00C70432">
        <w:rPr>
          <w:color w:val="00B0F0"/>
        </w:rPr>
        <w:t>Nako</w:t>
      </w:r>
      <w:r w:rsidRPr="00C70432">
        <w:rPr>
          <w:rFonts w:hint="eastAsia"/>
          <w:color w:val="00B0F0"/>
        </w:rPr>
        <w:t>ľ</w:t>
      </w:r>
      <w:r w:rsidRPr="00C70432">
        <w:rPr>
          <w:color w:val="00B0F0"/>
        </w:rPr>
        <w:t>ko z</w:t>
      </w:r>
      <w:r w:rsidRPr="00C70432">
        <w:rPr>
          <w:rFonts w:hint="eastAsia"/>
          <w:color w:val="00B0F0"/>
        </w:rPr>
        <w:t>á</w:t>
      </w:r>
      <w:r w:rsidRPr="00C70432">
        <w:rPr>
          <w:color w:val="00B0F0"/>
        </w:rPr>
        <w:t>kon uveden</w:t>
      </w:r>
      <w:r w:rsidRPr="00C70432">
        <w:rPr>
          <w:rFonts w:hint="eastAsia"/>
          <w:color w:val="00B0F0"/>
        </w:rPr>
        <w:t>ú</w:t>
      </w:r>
      <w:r w:rsidRPr="00C70432">
        <w:rPr>
          <w:color w:val="00B0F0"/>
        </w:rPr>
        <w:t xml:space="preserve"> pr</w:t>
      </w:r>
      <w:r w:rsidRPr="00C70432">
        <w:rPr>
          <w:rFonts w:hint="eastAsia"/>
          <w:color w:val="00B0F0"/>
        </w:rPr>
        <w:t>á</w:t>
      </w:r>
      <w:r w:rsidRPr="00C70432">
        <w:rPr>
          <w:color w:val="00B0F0"/>
        </w:rPr>
        <w:t>vomoc v</w:t>
      </w:r>
      <w:r w:rsidRPr="00C70432">
        <w:rPr>
          <w:rFonts w:hint="eastAsia"/>
          <w:color w:val="00B0F0"/>
        </w:rPr>
        <w:t>ý</w:t>
      </w:r>
      <w:r w:rsidRPr="00C70432">
        <w:rPr>
          <w:color w:val="00B0F0"/>
        </w:rPr>
        <w:t>slovne neupravuje a</w:t>
      </w:r>
      <w:r w:rsidRPr="00C70432">
        <w:rPr>
          <w:rFonts w:hint="eastAsia"/>
          <w:color w:val="00B0F0"/>
        </w:rPr>
        <w:t> </w:t>
      </w:r>
      <w:r w:rsidRPr="00C70432">
        <w:rPr>
          <w:color w:val="00B0F0"/>
        </w:rPr>
        <w:t>ak stanovy spolo</w:t>
      </w:r>
      <w:r w:rsidRPr="00C70432">
        <w:rPr>
          <w:rFonts w:hint="eastAsia"/>
          <w:color w:val="00B0F0"/>
        </w:rPr>
        <w:t>č</w:t>
      </w:r>
      <w:r w:rsidRPr="00C70432">
        <w:rPr>
          <w:color w:val="00B0F0"/>
        </w:rPr>
        <w:t>nosti neupravuj</w:t>
      </w:r>
      <w:r w:rsidRPr="00C70432">
        <w:rPr>
          <w:rFonts w:hint="eastAsia"/>
          <w:color w:val="00B0F0"/>
        </w:rPr>
        <w:t>ú</w:t>
      </w:r>
      <w:r w:rsidRPr="00C70432">
        <w:rPr>
          <w:color w:val="00B0F0"/>
        </w:rPr>
        <w:t xml:space="preserve"> inak, patr</w:t>
      </w:r>
      <w:r w:rsidRPr="00C70432">
        <w:rPr>
          <w:rFonts w:hint="eastAsia"/>
          <w:color w:val="00B0F0"/>
        </w:rPr>
        <w:t>í</w:t>
      </w:r>
      <w:r w:rsidRPr="00C70432">
        <w:rPr>
          <w:color w:val="00B0F0"/>
        </w:rPr>
        <w:t xml:space="preserve"> t</w:t>
      </w:r>
      <w:r w:rsidRPr="00C70432">
        <w:rPr>
          <w:rFonts w:hint="eastAsia"/>
          <w:color w:val="00B0F0"/>
        </w:rPr>
        <w:t>á</w:t>
      </w:r>
      <w:r w:rsidRPr="00C70432">
        <w:rPr>
          <w:color w:val="00B0F0"/>
        </w:rPr>
        <w:t>to pr</w:t>
      </w:r>
      <w:r w:rsidRPr="00C70432">
        <w:rPr>
          <w:rFonts w:hint="eastAsia"/>
          <w:color w:val="00B0F0"/>
        </w:rPr>
        <w:t>á</w:t>
      </w:r>
      <w:r w:rsidRPr="00C70432">
        <w:rPr>
          <w:color w:val="00B0F0"/>
        </w:rPr>
        <w:t>vomoc predstavenstvu.</w:t>
      </w:r>
    </w:p>
    <w:p w:rsidR="00F90EBD" w:rsidRDefault="00F90EBD" w:rsidP="00F90EBD">
      <w:pPr>
        <w:pStyle w:val="ListParagraph"/>
        <w:numPr>
          <w:ilvl w:val="0"/>
          <w:numId w:val="1"/>
        </w:numPr>
        <w:jc w:val="both"/>
      </w:pPr>
      <w:r w:rsidRPr="00F90EBD">
        <w:t>Ako sa má uplatňovať usmernenie 9 k systému správy a riadenia vo vzťahu k poskytovateľom služieb (ods. 1.</w:t>
      </w:r>
      <w:r w:rsidR="00DB493E">
        <w:t>3</w:t>
      </w:r>
      <w:r w:rsidRPr="00F90EBD">
        <w:t>8 písm. b))?</w:t>
      </w:r>
    </w:p>
    <w:p w:rsidR="0037071E" w:rsidRPr="00DB493E" w:rsidRDefault="0037071E" w:rsidP="0037071E">
      <w:pPr>
        <w:pStyle w:val="ListParagraph"/>
        <w:jc w:val="both"/>
        <w:rPr>
          <w:color w:val="00B0F0"/>
        </w:rPr>
      </w:pPr>
      <w:r w:rsidRPr="00DB493E">
        <w:rPr>
          <w:color w:val="00B0F0"/>
        </w:rPr>
        <w:t xml:space="preserve">Len tam, </w:t>
      </w:r>
      <w:r w:rsidR="00DB493E" w:rsidRPr="00DB493E">
        <w:rPr>
          <w:color w:val="00B0F0"/>
        </w:rPr>
        <w:t>kde majú dopad na rizikový profil</w:t>
      </w:r>
      <w:r w:rsidR="00DB493E">
        <w:rPr>
          <w:color w:val="00B0F0"/>
        </w:rPr>
        <w:t>.</w:t>
      </w:r>
    </w:p>
    <w:p w:rsidR="009E06F0" w:rsidRPr="00F90EBD" w:rsidRDefault="009E06F0" w:rsidP="00F90EBD">
      <w:pPr>
        <w:pStyle w:val="ListParagraph"/>
        <w:rPr>
          <w:b/>
        </w:rPr>
      </w:pPr>
    </w:p>
    <w:p w:rsidR="00F90EBD" w:rsidRDefault="00F90EBD" w:rsidP="00F90EBD">
      <w:pPr>
        <w:pStyle w:val="ListParagraph"/>
        <w:numPr>
          <w:ilvl w:val="0"/>
          <w:numId w:val="1"/>
        </w:numPr>
        <w:jc w:val="both"/>
      </w:pPr>
      <w:r w:rsidRPr="00F90EBD">
        <w:t>Má sa koncepcia odmeňovania vzťahovať aj na dozornú radu spoločnosti? Ak áno, znamená to, že prípadné tantiémy vyplatené členom dozornej rady tiež podliehajú povinnosti odkladu ich vyplatenia?</w:t>
      </w:r>
    </w:p>
    <w:p w:rsidR="00F074EC" w:rsidRDefault="00F074EC" w:rsidP="00F074EC">
      <w:pPr>
        <w:pStyle w:val="ListParagraph"/>
        <w:jc w:val="both"/>
        <w:rPr>
          <w:color w:val="00B0F0"/>
        </w:rPr>
      </w:pPr>
      <w:r w:rsidRPr="00F074EC">
        <w:rPr>
          <w:color w:val="00B0F0"/>
        </w:rPr>
        <w:t>Nie je to upravené v</w:t>
      </w:r>
      <w:r>
        <w:rPr>
          <w:color w:val="00B0F0"/>
        </w:rPr>
        <w:t xml:space="preserve"> zákone, je to diskusná záležitosť, </w:t>
      </w:r>
      <w:r w:rsidR="007A6D0D">
        <w:rPr>
          <w:color w:val="00B0F0"/>
        </w:rPr>
        <w:t xml:space="preserve">ktorá súvisí aj s tým, aký okruh osôb sa má považovať za osoby, ktoré skutočne riadia poisťovňu. NBS v tejto súvislosti chce iniciovať rokovania s MF SR a navrhnúť zmenu zákona o poisťovníctve, aby sa </w:t>
      </w:r>
      <w:r w:rsidR="00B26B2A">
        <w:rPr>
          <w:color w:val="00B0F0"/>
        </w:rPr>
        <w:t>určité presne vymedzené povinnosti vzťahovali aj na členov dozornej rady (napr. požiadavky na odbornosť a dôveryhodnosť)</w:t>
      </w:r>
      <w:r>
        <w:rPr>
          <w:color w:val="00B0F0"/>
        </w:rPr>
        <w:t>.</w:t>
      </w:r>
    </w:p>
    <w:p w:rsidR="00F90EBD" w:rsidRPr="00F90EBD" w:rsidRDefault="00F90EBD" w:rsidP="00F90EBD">
      <w:pPr>
        <w:pStyle w:val="ListParagraph"/>
        <w:rPr>
          <w:b/>
        </w:rPr>
      </w:pPr>
    </w:p>
    <w:p w:rsidR="00F90EBD" w:rsidRDefault="00F90EBD" w:rsidP="00F90EBD">
      <w:pPr>
        <w:pStyle w:val="ListParagraph"/>
        <w:numPr>
          <w:ilvl w:val="0"/>
          <w:numId w:val="1"/>
        </w:numPr>
        <w:jc w:val="both"/>
      </w:pPr>
      <w:r w:rsidRPr="00F90EBD">
        <w:t>Odkedy sa uplatňuje povinnosť odloženia variabilnej zložky odmeny? Vzťahuje sa aj na odmeny za rok 2015, ak majú byť priznané a vyplatené v roku 2016 (koncoročné odmeny, tantiémy za zisk za rok 2015 a pod.)?</w:t>
      </w:r>
    </w:p>
    <w:p w:rsidR="00713EC7" w:rsidRDefault="00713EC7" w:rsidP="00713EC7">
      <w:pPr>
        <w:pStyle w:val="ListParagraph"/>
      </w:pPr>
    </w:p>
    <w:p w:rsidR="00713EC7" w:rsidRPr="00713EC7" w:rsidRDefault="001024FB" w:rsidP="00713EC7">
      <w:pPr>
        <w:pStyle w:val="ListParagraph"/>
        <w:jc w:val="both"/>
        <w:rPr>
          <w:color w:val="00B0F0"/>
        </w:rPr>
      </w:pPr>
      <w:r>
        <w:rPr>
          <w:color w:val="00B0F0"/>
        </w:rPr>
        <w:t xml:space="preserve">Variabilné zložky odmeny vyplácané za </w:t>
      </w:r>
      <w:r w:rsidR="00713EC7">
        <w:rPr>
          <w:color w:val="00B0F0"/>
        </w:rPr>
        <w:t>rok 2015</w:t>
      </w:r>
      <w:r>
        <w:rPr>
          <w:color w:val="00B0F0"/>
        </w:rPr>
        <w:t xml:space="preserve"> sú odmenami, ktoré boli dohodnuté ešte starom režime a uplatní sa na ne starý režim</w:t>
      </w:r>
      <w:r w:rsidR="00713EC7">
        <w:rPr>
          <w:color w:val="00B0F0"/>
        </w:rPr>
        <w:t>, te</w:t>
      </w:r>
      <w:r w:rsidR="001C0745">
        <w:rPr>
          <w:color w:val="00B0F0"/>
        </w:rPr>
        <w:t xml:space="preserve">da </w:t>
      </w:r>
      <w:r w:rsidR="007A6D0D">
        <w:rPr>
          <w:color w:val="00B0F0"/>
        </w:rPr>
        <w:t xml:space="preserve">na rok 2015 sa režim </w:t>
      </w:r>
      <w:proofErr w:type="spellStart"/>
      <w:r w:rsidR="007A6D0D">
        <w:rPr>
          <w:color w:val="00B0F0"/>
        </w:rPr>
        <w:t>Solvency</w:t>
      </w:r>
      <w:proofErr w:type="spellEnd"/>
      <w:r w:rsidR="007A6D0D">
        <w:rPr>
          <w:color w:val="00B0F0"/>
        </w:rPr>
        <w:t xml:space="preserve"> II </w:t>
      </w:r>
      <w:r w:rsidR="001C0745">
        <w:rPr>
          <w:color w:val="00B0F0"/>
        </w:rPr>
        <w:t>nevzťahuje.</w:t>
      </w:r>
      <w:r>
        <w:rPr>
          <w:color w:val="00B0F0"/>
        </w:rPr>
        <w:t xml:space="preserve"> Povinnosť odloženia sa vzťahuje až na variabilné zložky odmeny vyplácané za obdobie od 1.1.2016.</w:t>
      </w:r>
    </w:p>
    <w:p w:rsidR="00D02892" w:rsidRDefault="00D02892" w:rsidP="00D02892">
      <w:pPr>
        <w:pStyle w:val="ListParagraph"/>
      </w:pPr>
    </w:p>
    <w:p w:rsidR="00F90EBD" w:rsidRDefault="00F90EBD" w:rsidP="00F90EBD">
      <w:pPr>
        <w:pStyle w:val="ListParagraph"/>
        <w:numPr>
          <w:ilvl w:val="0"/>
          <w:numId w:val="1"/>
        </w:numPr>
        <w:jc w:val="both"/>
      </w:pPr>
      <w:r w:rsidRPr="00F90EBD">
        <w:t>Ako sa majú spravovať odložené prostriedky variabilnej zložky odmeny? Sú nejaké obmedzenia v tom, ako s nimi naložiť?</w:t>
      </w:r>
    </w:p>
    <w:p w:rsidR="00F90EBD" w:rsidRPr="001C0745" w:rsidRDefault="001C0745" w:rsidP="001C0745">
      <w:pPr>
        <w:ind w:left="708"/>
        <w:rPr>
          <w:color w:val="00B0F0"/>
        </w:rPr>
      </w:pPr>
      <w:r w:rsidRPr="001C0745">
        <w:rPr>
          <w:color w:val="00B0F0"/>
        </w:rPr>
        <w:t>Nie sú na to pravidlá</w:t>
      </w:r>
      <w:r w:rsidR="001024FB">
        <w:rPr>
          <w:color w:val="00B0F0"/>
        </w:rPr>
        <w:t xml:space="preserve">. Poisťovňa  nie je limitovaná v tom, akým spôsobom uloží prostriedky vytvorenej rezervy na odloženú časť odmeny. Poisťovňa túto </w:t>
      </w:r>
      <w:r>
        <w:rPr>
          <w:color w:val="00B0F0"/>
        </w:rPr>
        <w:t>rezervu môže ale nemusí zhodnocovať.</w:t>
      </w:r>
    </w:p>
    <w:p w:rsidR="00F90EBD" w:rsidRDefault="00F90EBD" w:rsidP="00F90EBD">
      <w:pPr>
        <w:pStyle w:val="ListParagraph"/>
        <w:numPr>
          <w:ilvl w:val="0"/>
          <w:numId w:val="1"/>
        </w:numPr>
        <w:jc w:val="both"/>
      </w:pPr>
      <w:r w:rsidRPr="00F90EBD">
        <w:t>Ako postupovať v prípade, ak osoba ukončí pôsobenie v poisťovni pred dobou viazanosti odloženej časti variabilnej zložky odmeny?</w:t>
      </w:r>
    </w:p>
    <w:p w:rsidR="001C0745" w:rsidRPr="001C0745" w:rsidRDefault="001C0745" w:rsidP="001C0745">
      <w:pPr>
        <w:pStyle w:val="ListParagraph"/>
        <w:jc w:val="both"/>
        <w:rPr>
          <w:color w:val="00B0F0"/>
        </w:rPr>
      </w:pPr>
      <w:r>
        <w:rPr>
          <w:color w:val="00B0F0"/>
        </w:rPr>
        <w:t xml:space="preserve">Treba postupovať podľa legislatívy, teda odložená časť variabilnej zložky </w:t>
      </w:r>
      <w:r w:rsidR="007A6D0D">
        <w:rPr>
          <w:color w:val="00B0F0"/>
        </w:rPr>
        <w:t xml:space="preserve">môže </w:t>
      </w:r>
      <w:r>
        <w:rPr>
          <w:color w:val="00B0F0"/>
        </w:rPr>
        <w:t>byť vyplatená až po dobe jej viazanosti</w:t>
      </w:r>
      <w:r w:rsidR="00B26B2A">
        <w:rPr>
          <w:color w:val="00B0F0"/>
        </w:rPr>
        <w:t>.</w:t>
      </w:r>
      <w:r w:rsidR="007F4C35">
        <w:rPr>
          <w:color w:val="00B0F0"/>
        </w:rPr>
        <w:t>.</w:t>
      </w:r>
    </w:p>
    <w:p w:rsidR="00F90EBD" w:rsidRPr="00F90EBD" w:rsidRDefault="00F90EBD" w:rsidP="00F90EBD">
      <w:pPr>
        <w:pStyle w:val="ListParagraph"/>
        <w:rPr>
          <w:b/>
        </w:rPr>
      </w:pPr>
    </w:p>
    <w:p w:rsidR="00F90EBD" w:rsidRDefault="00F90EBD" w:rsidP="00F90EBD">
      <w:pPr>
        <w:pStyle w:val="ListParagraph"/>
        <w:numPr>
          <w:ilvl w:val="0"/>
          <w:numId w:val="1"/>
        </w:numPr>
        <w:jc w:val="both"/>
      </w:pPr>
      <w:r w:rsidRPr="00F90EBD">
        <w:t>Ako postupovať v prípade úmrtia?</w:t>
      </w:r>
    </w:p>
    <w:p w:rsidR="007A6D0D" w:rsidRPr="00990034" w:rsidRDefault="00B26B2A" w:rsidP="007A6D0D">
      <w:pPr>
        <w:pStyle w:val="ListParagraph"/>
        <w:jc w:val="both"/>
        <w:rPr>
          <w:color w:val="00B0F0"/>
        </w:rPr>
      </w:pPr>
      <w:r>
        <w:rPr>
          <w:color w:val="00B0F0"/>
        </w:rPr>
        <w:t xml:space="preserve">Uvedený problém legislatíva špecificky neupravuje. V prípade aplikácie všeobecného pravidla by bola poisťovňa povinná aj túto odmenu vyplatiť až po uplynutí doby odloženia. Avšak vzhľadom na prakticky minimálny </w:t>
      </w:r>
      <w:proofErr w:type="spellStart"/>
      <w:r>
        <w:rPr>
          <w:color w:val="00B0F0"/>
        </w:rPr>
        <w:t>moral</w:t>
      </w:r>
      <w:proofErr w:type="spellEnd"/>
      <w:r>
        <w:rPr>
          <w:color w:val="00B0F0"/>
        </w:rPr>
        <w:t xml:space="preserve"> hazard a s prihliadnutím na potenciálne problémy v prípade dedičského konania ako aj na sociálny rozmer problému, považujeme za vhodné v prípade úmrtia takejto osoby, vyplatiť  odloženú časť variabilnej zložky odmeny. </w:t>
      </w:r>
    </w:p>
    <w:p w:rsidR="00F90EBD" w:rsidRPr="00F90EBD" w:rsidRDefault="00F90EBD" w:rsidP="00F90EBD">
      <w:pPr>
        <w:pStyle w:val="ListParagraph"/>
        <w:rPr>
          <w:b/>
        </w:rPr>
      </w:pPr>
    </w:p>
    <w:p w:rsidR="00F90EBD" w:rsidRDefault="00F90EBD" w:rsidP="00F90EBD">
      <w:pPr>
        <w:pStyle w:val="ListParagraph"/>
        <w:numPr>
          <w:ilvl w:val="0"/>
          <w:numId w:val="1"/>
        </w:numPr>
        <w:jc w:val="both"/>
      </w:pPr>
      <w:r w:rsidRPr="00F90EBD">
        <w:t>K akému dňu sa má vyhodnocovať plnenie kritérií rozhodujúcich pre vyplatenie odmeny?</w:t>
      </w:r>
    </w:p>
    <w:p w:rsidR="001C0745" w:rsidRDefault="00ED27E1" w:rsidP="001C0745">
      <w:pPr>
        <w:pStyle w:val="ListParagraph"/>
        <w:jc w:val="both"/>
        <w:rPr>
          <w:color w:val="00B0F0"/>
        </w:rPr>
      </w:pPr>
      <w:r>
        <w:rPr>
          <w:color w:val="00B0F0"/>
        </w:rPr>
        <w:t>Je potrebné dodržať lehotu min. 3 roky, do kedy je časť variabilnej zložky odložená. Najskôr prvý deň po 3 rokoch môže byť odložená variabilná zložka vyplatená.</w:t>
      </w:r>
      <w:r w:rsidR="007A6D0D">
        <w:rPr>
          <w:color w:val="00B0F0"/>
        </w:rPr>
        <w:t xml:space="preserve"> Vyhodnotenie plnenia </w:t>
      </w:r>
      <w:r w:rsidR="007A6D0D">
        <w:rPr>
          <w:color w:val="00B0F0"/>
        </w:rPr>
        <w:lastRenderedPageBreak/>
        <w:t>kritérií je možné spraviť aj pred uplynutím troch rokov, avšak takým spôsobom, aby nebol potlačený účel sledovaný povinným odkladaním časti odmeny.</w:t>
      </w:r>
    </w:p>
    <w:p w:rsidR="00F90EBD" w:rsidRDefault="00F90EBD" w:rsidP="00F90EBD">
      <w:pPr>
        <w:pStyle w:val="ListParagraph"/>
      </w:pPr>
    </w:p>
    <w:p w:rsidR="00F90EBD" w:rsidRDefault="00F90EBD" w:rsidP="00F90EBD">
      <w:pPr>
        <w:pStyle w:val="ListParagraph"/>
        <w:numPr>
          <w:ilvl w:val="0"/>
          <w:numId w:val="1"/>
        </w:numPr>
        <w:jc w:val="both"/>
        <w:rPr>
          <w:rFonts w:asciiTheme="minorHAnsi" w:hAnsiTheme="minorHAnsi"/>
        </w:rPr>
      </w:pPr>
      <w:r w:rsidRPr="00F90EBD">
        <w:rPr>
          <w:rFonts w:asciiTheme="minorHAnsi" w:hAnsiTheme="minorHAnsi"/>
        </w:rPr>
        <w:t>Má sa ustanovenie článku 275 ods. 1 písm. g) vykladať v tom zmysle, že koncepcia odmeňovania má byť sprístupnená v celom rozsahu všetkým zamestnancom (napr. aj v časti, ktorá rieši odmeňovanie členov predstavenstva a dozornej rady)?</w:t>
      </w:r>
    </w:p>
    <w:p w:rsidR="00ED27E1" w:rsidRPr="00990034" w:rsidRDefault="007A6D0D" w:rsidP="007A6D0D">
      <w:pPr>
        <w:pStyle w:val="ListParagraph"/>
        <w:jc w:val="both"/>
        <w:rPr>
          <w:rFonts w:asciiTheme="minorHAnsi" w:hAnsiTheme="minorHAnsi"/>
          <w:color w:val="00B0F0"/>
        </w:rPr>
      </w:pPr>
      <w:r>
        <w:rPr>
          <w:rFonts w:asciiTheme="minorHAnsi" w:hAnsiTheme="minorHAnsi"/>
          <w:color w:val="00B0F0"/>
        </w:rPr>
        <w:t>Koncepcia ako taká musí byť sprístupnená všetkým zamestnancom. To však neznamená, že v koncepcii musia byť upravené všetky detaily o odmeňovaní (napr. výška odmeny).</w:t>
      </w:r>
    </w:p>
    <w:p w:rsidR="00F90EBD" w:rsidRPr="00F90EBD" w:rsidRDefault="00F90EBD" w:rsidP="00F90EBD">
      <w:pPr>
        <w:pStyle w:val="ListParagraph"/>
        <w:rPr>
          <w:rFonts w:asciiTheme="minorHAnsi" w:hAnsiTheme="minorHAnsi"/>
        </w:rPr>
      </w:pPr>
    </w:p>
    <w:p w:rsidR="00F90EBD" w:rsidRDefault="00F90EBD" w:rsidP="00F90EBD">
      <w:pPr>
        <w:pStyle w:val="ListParagraph"/>
        <w:numPr>
          <w:ilvl w:val="0"/>
          <w:numId w:val="1"/>
        </w:numPr>
        <w:jc w:val="both"/>
        <w:rPr>
          <w:rFonts w:asciiTheme="minorHAnsi" w:hAnsiTheme="minorHAnsi"/>
        </w:rPr>
      </w:pPr>
      <w:r w:rsidRPr="00F90EBD">
        <w:rPr>
          <w:rFonts w:asciiTheme="minorHAnsi" w:hAnsiTheme="minorHAnsi"/>
        </w:rPr>
        <w:t>Má sa ustanovenie článku 275 ods. 2 písm. g) vykladať tak, že znemožňuje osobám, ktoré riadia poisťovňu alebo vykonávajú kľúčové funkcie, uzavrieť žiadne poistenie zodpovednosti za škodu (spôsobenú pri výkone povolanie, D&amp;O poistenie...)?</w:t>
      </w:r>
    </w:p>
    <w:p w:rsidR="00ED27E1" w:rsidRDefault="00B26B2A" w:rsidP="00ED27E1">
      <w:pPr>
        <w:pStyle w:val="ListParagraph"/>
        <w:jc w:val="both"/>
        <w:rPr>
          <w:rFonts w:asciiTheme="minorHAnsi" w:hAnsiTheme="minorHAnsi"/>
        </w:rPr>
      </w:pPr>
      <w:r>
        <w:rPr>
          <w:rFonts w:asciiTheme="minorHAnsi" w:hAnsiTheme="minorHAnsi"/>
          <w:color w:val="00B0F0"/>
        </w:rPr>
        <w:t xml:space="preserve">Uvedené ustanovenie sleduje zámer, aby osoby, ktoré majú zásadný vplyv na fungovanie spoločnosti z pohľadu rizík účelovo neznižovali obozretný výkon svojej činnosti že sa zabezpečia, proti potenciálnym stratám na plate v súvislosti s podmienkami odmeňovania prijatými v rámci politiky odmeňovania. </w:t>
      </w:r>
      <w:r w:rsidR="007A6D0D">
        <w:rPr>
          <w:rFonts w:asciiTheme="minorHAnsi" w:hAnsiTheme="minorHAnsi"/>
          <w:color w:val="00B0F0"/>
        </w:rPr>
        <w:t xml:space="preserve">Uzavretie všeobecného poistenia zodpovednosti za škodu, ktoré sa nevzťahuje na odmeňovacie schémy, nie je porušením článku </w:t>
      </w:r>
      <w:r w:rsidR="007A6D0D" w:rsidRPr="00F90EBD">
        <w:rPr>
          <w:rFonts w:asciiTheme="minorHAnsi" w:hAnsiTheme="minorHAnsi"/>
        </w:rPr>
        <w:t>275 ods. 2 písm. g)</w:t>
      </w:r>
      <w:r w:rsidR="007A6D0D">
        <w:rPr>
          <w:rFonts w:asciiTheme="minorHAnsi" w:hAnsiTheme="minorHAnsi"/>
        </w:rPr>
        <w:t xml:space="preserve"> nariadenia EK.</w:t>
      </w:r>
    </w:p>
    <w:p w:rsidR="00F90EBD" w:rsidRDefault="00F90EBD" w:rsidP="00F90EBD">
      <w:pPr>
        <w:pStyle w:val="ListParagraph"/>
        <w:rPr>
          <w:rFonts w:asciiTheme="minorHAnsi" w:hAnsiTheme="minorHAnsi"/>
        </w:rPr>
      </w:pPr>
    </w:p>
    <w:p w:rsidR="00F90EBD" w:rsidRPr="00F90EBD" w:rsidRDefault="00F90EBD" w:rsidP="00F90EBD">
      <w:pPr>
        <w:pStyle w:val="ListParagraph"/>
        <w:numPr>
          <w:ilvl w:val="0"/>
          <w:numId w:val="1"/>
        </w:numPr>
        <w:jc w:val="both"/>
        <w:rPr>
          <w:rFonts w:asciiTheme="minorHAnsi" w:hAnsiTheme="minorHAnsi"/>
        </w:rPr>
      </w:pPr>
      <w:r w:rsidRPr="00F90EBD">
        <w:rPr>
          <w:rFonts w:asciiTheme="minorHAnsi" w:hAnsiTheme="minorHAnsi" w:cs="Arial"/>
          <w:bCs/>
        </w:rPr>
        <w:t>Kto sú „relevantní vedúci zamestnanci“ (</w:t>
      </w:r>
      <w:r w:rsidRPr="00F90EBD">
        <w:rPr>
          <w:rFonts w:asciiTheme="minorHAnsi" w:hAnsiTheme="minorHAnsi" w:cs="Arial"/>
          <w:bCs/>
          <w:i/>
          <w:iCs/>
        </w:rPr>
        <w:t xml:space="preserve">viď bod 1. stanoviska NBS: </w:t>
      </w:r>
      <w:hyperlink r:id="rId6" w:history="1">
        <w:r w:rsidRPr="00F90EBD">
          <w:rPr>
            <w:rStyle w:val="Hyperlink"/>
            <w:rFonts w:asciiTheme="minorHAnsi" w:hAnsiTheme="minorHAnsi" w:cs="Arial"/>
            <w:bCs/>
            <w:i/>
            <w:iCs/>
          </w:rPr>
          <w:t>http://www.nbs.sk/sk/dohlad-nad-financnym-trhom/dohlad-nad-poistovnictvom/nazory-a-stanoviska/pilier-ii-kvalitativne-poziadavky</w:t>
        </w:r>
      </w:hyperlink>
      <w:r w:rsidRPr="00F90EBD">
        <w:rPr>
          <w:rFonts w:asciiTheme="minorHAnsi" w:hAnsiTheme="minorHAnsi" w:cs="Arial"/>
          <w:bCs/>
        </w:rPr>
        <w:t>)? Patria medzi osoby, ktoré (skutočne) riadia poisťovňu, prokuristi?</w:t>
      </w:r>
      <w:r w:rsidRPr="00F90EBD">
        <w:rPr>
          <w:rFonts w:asciiTheme="minorHAnsi" w:hAnsiTheme="minorHAnsi"/>
        </w:rPr>
        <w:t xml:space="preserve"> </w:t>
      </w:r>
    </w:p>
    <w:p w:rsidR="00F90EBD" w:rsidRDefault="00B26B2A" w:rsidP="00296AEC">
      <w:pPr>
        <w:pStyle w:val="ListParagraph"/>
        <w:jc w:val="both"/>
        <w:rPr>
          <w:rFonts w:asciiTheme="minorHAnsi" w:hAnsiTheme="minorHAnsi" w:cs="Arial"/>
          <w:bCs/>
          <w:color w:val="00B0F0"/>
        </w:rPr>
      </w:pPr>
      <w:r>
        <w:rPr>
          <w:rFonts w:asciiTheme="minorHAnsi" w:hAnsiTheme="minorHAnsi" w:cs="Arial"/>
          <w:bCs/>
          <w:color w:val="00B0F0"/>
        </w:rPr>
        <w:t xml:space="preserve">V zmysle Usmernení k správe a riadeniu poisťovne sa za </w:t>
      </w:r>
      <w:r w:rsidRPr="00B26B2A">
        <w:rPr>
          <w:rFonts w:asciiTheme="minorHAnsi" w:hAnsiTheme="minorHAnsi" w:cs="Arial"/>
          <w:bCs/>
          <w:color w:val="00B0F0"/>
        </w:rPr>
        <w:t xml:space="preserve">„osoby, ktoré skutočne riadia podnik“ </w:t>
      </w:r>
      <w:r>
        <w:rPr>
          <w:rFonts w:asciiTheme="minorHAnsi" w:hAnsiTheme="minorHAnsi" w:cs="Arial"/>
          <w:bCs/>
          <w:color w:val="00B0F0"/>
        </w:rPr>
        <w:t>považujú</w:t>
      </w:r>
      <w:r w:rsidRPr="00B26B2A">
        <w:rPr>
          <w:rFonts w:asciiTheme="minorHAnsi" w:hAnsiTheme="minorHAnsi" w:cs="Arial"/>
          <w:bCs/>
          <w:color w:val="00B0F0"/>
        </w:rPr>
        <w:t xml:space="preserve"> členovia správneho orgánu, riadiaceho orgánu alebo kontrolného orgánu s ohľadom na vnútroštátne právo, ako aj členovia vrcholového manažmentu. Medzi členov vrcholového manažmentu patria osoby zamestnané podnikom, ktoré zodpovedajú za vysokú úroveň rozhodovania a za vykonávanie navrhnutých stratégií a politík schválených správnym orgánom, riadiacim o</w:t>
      </w:r>
      <w:r>
        <w:rPr>
          <w:rFonts w:asciiTheme="minorHAnsi" w:hAnsiTheme="minorHAnsi" w:cs="Arial"/>
          <w:bCs/>
          <w:color w:val="00B0F0"/>
        </w:rPr>
        <w:t>rgánom alebo kontrolným orgánom</w:t>
      </w:r>
      <w:bookmarkStart w:id="0" w:name="_GoBack"/>
      <w:bookmarkEnd w:id="0"/>
      <w:r>
        <w:rPr>
          <w:rFonts w:asciiTheme="minorHAnsi" w:hAnsiTheme="minorHAnsi" w:cs="Arial"/>
          <w:bCs/>
          <w:color w:val="00B0F0"/>
        </w:rPr>
        <w:t xml:space="preserve">.  </w:t>
      </w:r>
    </w:p>
    <w:p w:rsidR="00296AEC" w:rsidRPr="00296AEC" w:rsidRDefault="00296AEC" w:rsidP="00F90EBD">
      <w:pPr>
        <w:pStyle w:val="ListParagraph"/>
        <w:rPr>
          <w:rFonts w:asciiTheme="minorHAnsi" w:hAnsiTheme="minorHAnsi" w:cs="Arial"/>
          <w:bCs/>
          <w:color w:val="00B0F0"/>
        </w:rPr>
      </w:pPr>
    </w:p>
    <w:p w:rsidR="00F90EBD" w:rsidRDefault="00F90EBD" w:rsidP="00F90EBD">
      <w:pPr>
        <w:pStyle w:val="ListParagraph"/>
        <w:numPr>
          <w:ilvl w:val="0"/>
          <w:numId w:val="1"/>
        </w:numPr>
        <w:jc w:val="both"/>
        <w:rPr>
          <w:rFonts w:asciiTheme="minorHAnsi" w:hAnsiTheme="minorHAnsi"/>
        </w:rPr>
      </w:pPr>
      <w:r w:rsidRPr="00F90EBD">
        <w:rPr>
          <w:rFonts w:asciiTheme="minorHAnsi" w:hAnsiTheme="minorHAnsi" w:cs="Arial"/>
          <w:bCs/>
        </w:rPr>
        <w:t xml:space="preserve">Kto v poisťovni sú </w:t>
      </w:r>
      <w:r w:rsidRPr="00F90EBD">
        <w:rPr>
          <w:rFonts w:asciiTheme="minorHAnsi" w:hAnsiTheme="minorHAnsi" w:cs="Arial"/>
          <w:bCs/>
          <w:u w:val="single"/>
        </w:rPr>
        <w:t>zamestnanci</w:t>
      </w:r>
      <w:r w:rsidRPr="00F90EBD">
        <w:rPr>
          <w:rFonts w:asciiTheme="minorHAnsi" w:hAnsiTheme="minorHAnsi" w:cs="Arial"/>
          <w:bCs/>
        </w:rPr>
        <w:t>, resp. osoby vykonávajúce kľúčové funkcie?</w:t>
      </w:r>
      <w:r w:rsidRPr="00F90EBD">
        <w:rPr>
          <w:rFonts w:asciiTheme="minorHAnsi" w:hAnsiTheme="minorHAnsi"/>
        </w:rPr>
        <w:t xml:space="preserve"> </w:t>
      </w:r>
    </w:p>
    <w:p w:rsidR="00296AEC" w:rsidRPr="00296AEC" w:rsidRDefault="001431EB" w:rsidP="00296AEC">
      <w:pPr>
        <w:pStyle w:val="ListParagraph"/>
        <w:jc w:val="both"/>
        <w:rPr>
          <w:rFonts w:asciiTheme="minorHAnsi" w:hAnsiTheme="minorHAnsi"/>
          <w:color w:val="00B0F0"/>
        </w:rPr>
      </w:pPr>
      <w:r>
        <w:rPr>
          <w:rFonts w:asciiTheme="minorHAnsi" w:hAnsiTheme="minorHAnsi"/>
          <w:color w:val="00B0F0"/>
        </w:rPr>
        <w:t xml:space="preserve">Podľa regulácie sú vždy minimálne </w:t>
      </w:r>
      <w:r w:rsidR="00296AEC">
        <w:rPr>
          <w:rFonts w:asciiTheme="minorHAnsi" w:hAnsiTheme="minorHAnsi"/>
          <w:color w:val="00B0F0"/>
        </w:rPr>
        <w:t xml:space="preserve">štyri kľúčové funkcie ale v prípade, že poisťovňa vyhodnotí, </w:t>
      </w:r>
      <w:r>
        <w:rPr>
          <w:rFonts w:asciiTheme="minorHAnsi" w:hAnsiTheme="minorHAnsi"/>
          <w:color w:val="00B0F0"/>
        </w:rPr>
        <w:t>môže zaviesť ďalšie kľúčové funkcie</w:t>
      </w:r>
      <w:r w:rsidR="00296AEC">
        <w:rPr>
          <w:rFonts w:asciiTheme="minorHAnsi" w:hAnsiTheme="minorHAnsi"/>
          <w:color w:val="00B0F0"/>
        </w:rPr>
        <w:t>.</w:t>
      </w:r>
      <w:r w:rsidR="003F4463">
        <w:rPr>
          <w:rFonts w:cs="Arial"/>
          <w:color w:val="010202"/>
          <w:szCs w:val="20"/>
        </w:rPr>
        <w:t xml:space="preserve"> </w:t>
      </w:r>
    </w:p>
    <w:p w:rsidR="009E06F0" w:rsidRPr="009E06F0" w:rsidRDefault="009E06F0" w:rsidP="009E06F0">
      <w:pPr>
        <w:pStyle w:val="ListParagraph"/>
        <w:rPr>
          <w:rFonts w:asciiTheme="minorHAnsi" w:hAnsiTheme="minorHAnsi"/>
        </w:rPr>
      </w:pPr>
    </w:p>
    <w:p w:rsidR="00F90EBD" w:rsidRDefault="00F90EBD" w:rsidP="00F90EBD">
      <w:pPr>
        <w:pStyle w:val="ListParagraph"/>
        <w:numPr>
          <w:ilvl w:val="0"/>
          <w:numId w:val="1"/>
        </w:numPr>
        <w:jc w:val="both"/>
        <w:rPr>
          <w:rFonts w:asciiTheme="minorHAnsi" w:hAnsiTheme="minorHAnsi"/>
        </w:rPr>
      </w:pPr>
      <w:r w:rsidRPr="00F90EBD">
        <w:rPr>
          <w:rFonts w:asciiTheme="minorHAnsi" w:hAnsiTheme="minorHAnsi" w:cs="Arial"/>
          <w:bCs/>
        </w:rPr>
        <w:t>Kto v poisťovni sú zamestnanci, ktorých odborná činnosť má významný dosah na rizikový profil poisťovne?        </w:t>
      </w:r>
      <w:r w:rsidRPr="00F90EBD">
        <w:rPr>
          <w:rFonts w:asciiTheme="minorHAnsi" w:hAnsiTheme="minorHAnsi" w:cs="Arial"/>
          <w:bCs/>
          <w:i/>
          <w:iCs/>
        </w:rPr>
        <w:t>(v zmysle článku 275 ods. 1. písm. c) delegovaného nariadenia Komisie (EÚ) 2015/35)</w:t>
      </w:r>
      <w:r w:rsidRPr="00F90EBD">
        <w:rPr>
          <w:rFonts w:asciiTheme="minorHAnsi" w:hAnsiTheme="minorHAnsi"/>
        </w:rPr>
        <w:t xml:space="preserve"> </w:t>
      </w:r>
    </w:p>
    <w:p w:rsidR="00296AEC" w:rsidRPr="00296AEC" w:rsidRDefault="00296AEC" w:rsidP="00296AEC">
      <w:pPr>
        <w:pStyle w:val="ListParagraph"/>
        <w:jc w:val="both"/>
        <w:rPr>
          <w:rFonts w:asciiTheme="minorHAnsi" w:hAnsiTheme="minorHAnsi"/>
          <w:color w:val="00B0F0"/>
        </w:rPr>
      </w:pPr>
      <w:r>
        <w:rPr>
          <w:rFonts w:asciiTheme="minorHAnsi" w:hAnsiTheme="minorHAnsi"/>
          <w:color w:val="00B0F0"/>
        </w:rPr>
        <w:t>Je to na osobnom hodnotení poisťovne</w:t>
      </w:r>
      <w:r w:rsidR="007A6D0D">
        <w:rPr>
          <w:rFonts w:asciiTheme="minorHAnsi" w:hAnsiTheme="minorHAnsi"/>
          <w:color w:val="00B0F0"/>
        </w:rPr>
        <w:t xml:space="preserve"> podľa toho, či má konkrétny zamestnanec k dispozícii také rozhodovacie právomoci, ktorými môže významne </w:t>
      </w:r>
      <w:r w:rsidR="001431EB">
        <w:rPr>
          <w:rFonts w:asciiTheme="minorHAnsi" w:hAnsiTheme="minorHAnsi"/>
          <w:color w:val="00B0F0"/>
        </w:rPr>
        <w:t>ovplyvniť činnosť poisťovne.</w:t>
      </w:r>
      <w:r w:rsidR="007A6D0D">
        <w:rPr>
          <w:rFonts w:asciiTheme="minorHAnsi" w:hAnsiTheme="minorHAnsi"/>
          <w:color w:val="00B0F0"/>
        </w:rPr>
        <w:t xml:space="preserve"> </w:t>
      </w:r>
    </w:p>
    <w:p w:rsidR="00F90EBD" w:rsidRPr="00F90EBD" w:rsidRDefault="00F90EBD" w:rsidP="00F90EBD">
      <w:pPr>
        <w:pStyle w:val="ListParagraph"/>
        <w:rPr>
          <w:rFonts w:asciiTheme="minorHAnsi" w:hAnsiTheme="minorHAnsi" w:cs="Arial"/>
          <w:bCs/>
        </w:rPr>
      </w:pPr>
    </w:p>
    <w:p w:rsidR="00F90EBD" w:rsidRPr="00F90EBD" w:rsidRDefault="00F90EBD" w:rsidP="00F90EBD">
      <w:pPr>
        <w:pStyle w:val="ListParagraph"/>
        <w:numPr>
          <w:ilvl w:val="0"/>
          <w:numId w:val="1"/>
        </w:numPr>
        <w:jc w:val="both"/>
        <w:rPr>
          <w:rFonts w:asciiTheme="minorHAnsi" w:hAnsiTheme="minorHAnsi"/>
        </w:rPr>
      </w:pPr>
      <w:r w:rsidRPr="00F90EBD">
        <w:rPr>
          <w:rFonts w:asciiTheme="minorHAnsi" w:hAnsiTheme="minorHAnsi" w:cs="Arial"/>
          <w:bCs/>
        </w:rPr>
        <w:t>Ako aplikovať ustanovenie článku 275 ods. 2 písm. c) delegovaného nariadenia Komisie (EÚ) 2015/35?</w:t>
      </w:r>
    </w:p>
    <w:p w:rsidR="00F90EBD" w:rsidRDefault="00296AEC" w:rsidP="00F90EBD">
      <w:pPr>
        <w:pStyle w:val="ListParagraph"/>
        <w:rPr>
          <w:color w:val="00B0F0"/>
        </w:rPr>
      </w:pPr>
      <w:r w:rsidRPr="00296AEC">
        <w:rPr>
          <w:color w:val="00B0F0"/>
        </w:rPr>
        <w:t xml:space="preserve">Viď </w:t>
      </w:r>
      <w:r w:rsidR="0025008C">
        <w:rPr>
          <w:color w:val="00B0F0"/>
        </w:rPr>
        <w:t>odpove</w:t>
      </w:r>
      <w:r w:rsidR="003E548A">
        <w:rPr>
          <w:color w:val="00B0F0"/>
        </w:rPr>
        <w:t>de</w:t>
      </w:r>
      <w:r w:rsidR="0025008C">
        <w:rPr>
          <w:color w:val="00B0F0"/>
        </w:rPr>
        <w:t xml:space="preserve"> </w:t>
      </w:r>
      <w:r w:rsidR="00C70432">
        <w:rPr>
          <w:color w:val="00B0F0"/>
        </w:rPr>
        <w:t>vyššie</w:t>
      </w:r>
      <w:r w:rsidR="0025008C">
        <w:rPr>
          <w:color w:val="00B0F0"/>
        </w:rPr>
        <w:t>.</w:t>
      </w:r>
    </w:p>
    <w:p w:rsidR="003E548A" w:rsidRPr="00C70432" w:rsidRDefault="003E548A" w:rsidP="00C70432">
      <w:pPr>
        <w:pStyle w:val="ListParagraph"/>
        <w:ind w:left="0"/>
        <w:jc w:val="both"/>
        <w:rPr>
          <w:b/>
          <w:color w:val="00B0F0"/>
        </w:rPr>
      </w:pPr>
    </w:p>
    <w:sectPr w:rsidR="003E548A" w:rsidRPr="00C70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sans serif">
    <w:altName w:val="Times New Roman"/>
    <w:panose1 w:val="00000000000000000000"/>
    <w:charset w:val="00"/>
    <w:family w:val="roman"/>
    <w:notTrueType/>
    <w:pitch w:val="default"/>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0872"/>
    <w:multiLevelType w:val="hybridMultilevel"/>
    <w:tmpl w:val="34DA0B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542C6C14"/>
    <w:multiLevelType w:val="hybridMultilevel"/>
    <w:tmpl w:val="26E8E3AE"/>
    <w:lvl w:ilvl="0" w:tplc="3C747C9A">
      <w:start w:val="1"/>
      <w:numFmt w:val="decimal"/>
      <w:lvlText w:val="%1."/>
      <w:lvlJc w:val="left"/>
      <w:pPr>
        <w:ind w:left="720" w:hanging="360"/>
      </w:pPr>
      <w:rPr>
        <w:rFonts w:ascii="Calibri" w:eastAsiaTheme="minorHAnsi" w:hAnsi="Calibri"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61B07225"/>
    <w:multiLevelType w:val="hybridMultilevel"/>
    <w:tmpl w:val="4FB668AA"/>
    <w:lvl w:ilvl="0" w:tplc="A29CC8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BD"/>
    <w:rsid w:val="00021451"/>
    <w:rsid w:val="000951F8"/>
    <w:rsid w:val="000A37FB"/>
    <w:rsid w:val="001024FB"/>
    <w:rsid w:val="00102D45"/>
    <w:rsid w:val="00114587"/>
    <w:rsid w:val="001431EB"/>
    <w:rsid w:val="001B0E62"/>
    <w:rsid w:val="001B1247"/>
    <w:rsid w:val="001C0745"/>
    <w:rsid w:val="0025008C"/>
    <w:rsid w:val="00296AEC"/>
    <w:rsid w:val="00297015"/>
    <w:rsid w:val="002F6387"/>
    <w:rsid w:val="00314320"/>
    <w:rsid w:val="0037071E"/>
    <w:rsid w:val="003E548A"/>
    <w:rsid w:val="003F4463"/>
    <w:rsid w:val="005666CD"/>
    <w:rsid w:val="0057138C"/>
    <w:rsid w:val="00646CFC"/>
    <w:rsid w:val="006D11EF"/>
    <w:rsid w:val="006E072F"/>
    <w:rsid w:val="00712DF1"/>
    <w:rsid w:val="00713EC7"/>
    <w:rsid w:val="007676AA"/>
    <w:rsid w:val="007A6D0D"/>
    <w:rsid w:val="007F4C35"/>
    <w:rsid w:val="008612AC"/>
    <w:rsid w:val="008B3914"/>
    <w:rsid w:val="00950A51"/>
    <w:rsid w:val="00972971"/>
    <w:rsid w:val="00990034"/>
    <w:rsid w:val="009E06F0"/>
    <w:rsid w:val="00A2149A"/>
    <w:rsid w:val="00B003DD"/>
    <w:rsid w:val="00B26B2A"/>
    <w:rsid w:val="00B47179"/>
    <w:rsid w:val="00C70432"/>
    <w:rsid w:val="00CA471C"/>
    <w:rsid w:val="00D02892"/>
    <w:rsid w:val="00DB493E"/>
    <w:rsid w:val="00DB692E"/>
    <w:rsid w:val="00E57C7A"/>
    <w:rsid w:val="00ED27E1"/>
    <w:rsid w:val="00F074EC"/>
    <w:rsid w:val="00F90EBD"/>
    <w:rsid w:val="00FC20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BD"/>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F90EBD"/>
    <w:rPr>
      <w:color w:val="0000FF"/>
      <w:u w:val="single"/>
    </w:rPr>
  </w:style>
  <w:style w:type="character" w:styleId="FollowedHyperlink">
    <w:name w:val="FollowedHyperlink"/>
    <w:basedOn w:val="DefaultParagraphFont"/>
    <w:uiPriority w:val="99"/>
    <w:semiHidden/>
    <w:unhideWhenUsed/>
    <w:rsid w:val="00F90EBD"/>
    <w:rPr>
      <w:color w:val="954F72" w:themeColor="followedHyperlink"/>
      <w:u w:val="single"/>
    </w:rPr>
  </w:style>
  <w:style w:type="paragraph" w:styleId="BalloonText">
    <w:name w:val="Balloon Text"/>
    <w:basedOn w:val="Normal"/>
    <w:link w:val="BalloonTextChar"/>
    <w:uiPriority w:val="99"/>
    <w:semiHidden/>
    <w:unhideWhenUsed/>
    <w:rsid w:val="009E0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6F0"/>
    <w:rPr>
      <w:rFonts w:ascii="Segoe UI" w:hAnsi="Segoe UI" w:cs="Segoe UI"/>
      <w:sz w:val="18"/>
      <w:szCs w:val="18"/>
    </w:rPr>
  </w:style>
  <w:style w:type="character" w:customStyle="1" w:styleId="apple-converted-space">
    <w:name w:val="apple-converted-space"/>
    <w:basedOn w:val="DefaultParagraphFont"/>
    <w:rsid w:val="00B26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BD"/>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F90EBD"/>
    <w:rPr>
      <w:color w:val="0000FF"/>
      <w:u w:val="single"/>
    </w:rPr>
  </w:style>
  <w:style w:type="character" w:styleId="FollowedHyperlink">
    <w:name w:val="FollowedHyperlink"/>
    <w:basedOn w:val="DefaultParagraphFont"/>
    <w:uiPriority w:val="99"/>
    <w:semiHidden/>
    <w:unhideWhenUsed/>
    <w:rsid w:val="00F90EBD"/>
    <w:rPr>
      <w:color w:val="954F72" w:themeColor="followedHyperlink"/>
      <w:u w:val="single"/>
    </w:rPr>
  </w:style>
  <w:style w:type="paragraph" w:styleId="BalloonText">
    <w:name w:val="Balloon Text"/>
    <w:basedOn w:val="Normal"/>
    <w:link w:val="BalloonTextChar"/>
    <w:uiPriority w:val="99"/>
    <w:semiHidden/>
    <w:unhideWhenUsed/>
    <w:rsid w:val="009E0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6F0"/>
    <w:rPr>
      <w:rFonts w:ascii="Segoe UI" w:hAnsi="Segoe UI" w:cs="Segoe UI"/>
      <w:sz w:val="18"/>
      <w:szCs w:val="18"/>
    </w:rPr>
  </w:style>
  <w:style w:type="character" w:customStyle="1" w:styleId="apple-converted-space">
    <w:name w:val="apple-converted-space"/>
    <w:basedOn w:val="DefaultParagraphFont"/>
    <w:rsid w:val="00B2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84707">
      <w:bodyDiv w:val="1"/>
      <w:marLeft w:val="0"/>
      <w:marRight w:val="0"/>
      <w:marTop w:val="0"/>
      <w:marBottom w:val="0"/>
      <w:divBdr>
        <w:top w:val="none" w:sz="0" w:space="0" w:color="auto"/>
        <w:left w:val="none" w:sz="0" w:space="0" w:color="auto"/>
        <w:bottom w:val="none" w:sz="0" w:space="0" w:color="auto"/>
        <w:right w:val="none" w:sz="0" w:space="0" w:color="auto"/>
      </w:divBdr>
    </w:div>
    <w:div w:id="1193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s.sk/sk/dohlad-nad-financnym-trhom/dohlad-nad-poistovnictvom/nazory-a-stanoviska/pilier-ii-kvalitativne-poziadav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1409</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Baková Lucia</dc:creator>
  <cp:lastModifiedBy>štefan velčický</cp:lastModifiedBy>
  <cp:revision>3</cp:revision>
  <cp:lastPrinted>2015-12-04T08:21:00Z</cp:lastPrinted>
  <dcterms:created xsi:type="dcterms:W3CDTF">2015-12-07T10:13:00Z</dcterms:created>
  <dcterms:modified xsi:type="dcterms:W3CDTF">2015-12-07T10:13:00Z</dcterms:modified>
</cp:coreProperties>
</file>