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A3E7C" w14:textId="77777777" w:rsidR="00D710A5" w:rsidRPr="00661635" w:rsidRDefault="00D710A5" w:rsidP="00D710A5">
      <w:pPr>
        <w:widowControl/>
        <w:spacing w:after="0" w:line="240" w:lineRule="auto"/>
        <w:jc w:val="center"/>
        <w:rPr>
          <w:rFonts w:ascii="Times New Roman" w:hAnsi="Times New Roman" w:cs="Calibri"/>
          <w:b/>
          <w:caps/>
          <w:sz w:val="28"/>
          <w:szCs w:val="28"/>
        </w:rPr>
      </w:pPr>
      <w:r w:rsidRPr="00661635">
        <w:rPr>
          <w:rFonts w:ascii="Times New Roman" w:hAnsi="Times New Roman" w:cs="Calibri"/>
          <w:b/>
          <w:caps/>
          <w:sz w:val="28"/>
          <w:szCs w:val="28"/>
        </w:rPr>
        <w:t>vznesené Pripomienky v rámci medzirezortného pripomienkového konania</w:t>
      </w:r>
    </w:p>
    <w:p w14:paraId="211BC529" w14:textId="77777777" w:rsidR="002F00DB" w:rsidRPr="005A1161" w:rsidRDefault="002F00DB" w:rsidP="00D710A5">
      <w:pPr>
        <w:widowControl/>
        <w:spacing w:after="0" w:line="240" w:lineRule="auto"/>
        <w:jc w:val="center"/>
        <w:rPr>
          <w:rFonts w:ascii="Times New Roman" w:hAnsi="Times New Roman" w:cs="Calibri"/>
          <w:b/>
          <w:caps/>
          <w:sz w:val="20"/>
          <w:szCs w:val="20"/>
        </w:rPr>
      </w:pPr>
    </w:p>
    <w:p w14:paraId="41676C85" w14:textId="77777777" w:rsidR="00D82053" w:rsidRDefault="00D82053">
      <w:pPr>
        <w:jc w:val="center"/>
        <w:divId w:val="1012490038"/>
        <w:rPr>
          <w:rFonts w:ascii="Times" w:hAnsi="Times" w:cs="Times"/>
          <w:sz w:val="25"/>
          <w:szCs w:val="25"/>
        </w:rPr>
      </w:pPr>
      <w:r>
        <w:rPr>
          <w:rFonts w:ascii="Times" w:hAnsi="Times" w:cs="Times"/>
          <w:sz w:val="25"/>
          <w:szCs w:val="25"/>
        </w:rPr>
        <w:t xml:space="preserve">Zákon o </w:t>
      </w:r>
      <w:proofErr w:type="spellStart"/>
      <w:r>
        <w:rPr>
          <w:rFonts w:ascii="Times" w:hAnsi="Times" w:cs="Times"/>
          <w:sz w:val="25"/>
          <w:szCs w:val="25"/>
        </w:rPr>
        <w:t>dorovnávacej</w:t>
      </w:r>
      <w:proofErr w:type="spellEnd"/>
      <w:r>
        <w:rPr>
          <w:rFonts w:ascii="Times" w:hAnsi="Times" w:cs="Times"/>
          <w:sz w:val="25"/>
          <w:szCs w:val="25"/>
        </w:rPr>
        <w:t xml:space="preserve">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14:paraId="37BAFC24" w14:textId="77777777" w:rsidR="00D710A5" w:rsidRPr="005A1161" w:rsidRDefault="00D710A5" w:rsidP="00D710A5">
      <w:pPr>
        <w:widowControl/>
        <w:spacing w:after="0" w:line="240" w:lineRule="auto"/>
        <w:rPr>
          <w:rFonts w:ascii="Times New Roman" w:hAnsi="Times New Roman" w:cs="Calibri"/>
          <w:sz w:val="20"/>
          <w:szCs w:val="20"/>
        </w:rPr>
      </w:pPr>
    </w:p>
    <w:p w14:paraId="1B67B20B" w14:textId="77777777" w:rsidR="00BA14D6" w:rsidRPr="005A1161"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5A1161" w14:paraId="7274C6F2" w14:textId="77777777" w:rsidTr="00087ADB">
        <w:tc>
          <w:tcPr>
            <w:tcW w:w="6379" w:type="dxa"/>
            <w:tcBorders>
              <w:top w:val="nil"/>
              <w:left w:val="nil"/>
              <w:bottom w:val="nil"/>
              <w:right w:val="nil"/>
            </w:tcBorders>
          </w:tcPr>
          <w:p w14:paraId="742615FA" w14:textId="77777777" w:rsidR="00D710A5" w:rsidRPr="00772C99" w:rsidRDefault="0087529A" w:rsidP="00F10D72">
            <w:pPr>
              <w:widowControl/>
              <w:spacing w:after="0" w:line="240" w:lineRule="auto"/>
              <w:rPr>
                <w:rFonts w:ascii="Times New Roman" w:hAnsi="Times New Roman" w:cs="Calibri"/>
                <w:sz w:val="25"/>
                <w:szCs w:val="25"/>
              </w:rPr>
            </w:pPr>
            <w:r w:rsidRPr="00772C99">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14:paraId="74260AAF" w14:textId="77777777" w:rsidR="00D710A5" w:rsidRPr="005A1161" w:rsidRDefault="00D82053" w:rsidP="00D82053">
            <w:pPr>
              <w:widowControl/>
              <w:spacing w:after="0" w:line="240" w:lineRule="auto"/>
              <w:rPr>
                <w:rFonts w:ascii="Times New Roman" w:hAnsi="Times New Roman" w:cs="Calibri"/>
                <w:sz w:val="20"/>
                <w:szCs w:val="20"/>
              </w:rPr>
            </w:pPr>
            <w:r>
              <w:rPr>
                <w:rFonts w:ascii="Times" w:hAnsi="Times" w:cs="Times"/>
                <w:sz w:val="25"/>
                <w:szCs w:val="25"/>
              </w:rPr>
              <w:t>6 / 0</w:t>
            </w:r>
          </w:p>
        </w:tc>
      </w:tr>
    </w:tbl>
    <w:p w14:paraId="050116FF" w14:textId="77777777" w:rsidR="00D710A5" w:rsidRPr="005A1161" w:rsidRDefault="00D710A5" w:rsidP="00D710A5">
      <w:pPr>
        <w:pStyle w:val="Zkladntext"/>
        <w:widowControl/>
        <w:jc w:val="both"/>
        <w:rPr>
          <w:b w:val="0"/>
          <w:bCs w:val="0"/>
          <w:color w:val="000000"/>
          <w:sz w:val="20"/>
          <w:szCs w:val="20"/>
        </w:rPr>
      </w:pPr>
    </w:p>
    <w:p w14:paraId="15DBE977" w14:textId="77777777" w:rsidR="00D82053" w:rsidRDefault="00D82053" w:rsidP="00D710A5">
      <w:pPr>
        <w:widowControl/>
        <w:spacing w:after="0" w:line="240" w:lineRule="auto"/>
        <w:rPr>
          <w:rFonts w:ascii="Times New Roman" w:hAnsi="Times New Roman" w:cs="Calibri"/>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37"/>
        <w:gridCol w:w="8473"/>
        <w:gridCol w:w="1412"/>
      </w:tblGrid>
      <w:tr w:rsidR="00D82053" w14:paraId="34AF9E04" w14:textId="77777777">
        <w:trPr>
          <w:divId w:val="955479210"/>
          <w:jc w:val="center"/>
        </w:trPr>
        <w:tc>
          <w:tcPr>
            <w:tcW w:w="1500" w:type="pct"/>
            <w:tcBorders>
              <w:top w:val="outset" w:sz="6" w:space="0" w:color="000000"/>
              <w:left w:val="outset" w:sz="6" w:space="0" w:color="000000"/>
              <w:bottom w:val="outset" w:sz="6" w:space="0" w:color="000000"/>
              <w:right w:val="outset" w:sz="6" w:space="0" w:color="000000"/>
            </w:tcBorders>
            <w:vAlign w:val="center"/>
            <w:hideMark/>
          </w:tcPr>
          <w:p w14:paraId="30982FE1" w14:textId="77777777" w:rsidR="00D82053" w:rsidRDefault="00D82053">
            <w:pPr>
              <w:jc w:val="center"/>
              <w:rPr>
                <w:rFonts w:ascii="Times" w:hAnsi="Times" w:cs="Times"/>
                <w:b/>
                <w:bCs/>
                <w:sz w:val="25"/>
                <w:szCs w:val="25"/>
              </w:rPr>
            </w:pPr>
            <w:r>
              <w:rPr>
                <w:rFonts w:ascii="Times" w:hAnsi="Times" w:cs="Times"/>
                <w:b/>
                <w:bCs/>
                <w:sz w:val="25"/>
                <w:szCs w:val="25"/>
              </w:rPr>
              <w:t>Subjekt</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5971A6AD" w14:textId="77777777" w:rsidR="00D82053" w:rsidRDefault="00D82053">
            <w:pPr>
              <w:jc w:val="center"/>
              <w:rPr>
                <w:rFonts w:ascii="Times" w:hAnsi="Times" w:cs="Times"/>
                <w:b/>
                <w:bCs/>
                <w:sz w:val="25"/>
                <w:szCs w:val="25"/>
              </w:rPr>
            </w:pPr>
            <w:r>
              <w:rPr>
                <w:rFonts w:ascii="Times" w:hAnsi="Times" w:cs="Times"/>
                <w:b/>
                <w:bCs/>
                <w:sz w:val="25"/>
                <w:szCs w:val="25"/>
              </w:rPr>
              <w:t>Pripomienka</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8140FD0" w14:textId="77777777" w:rsidR="00D82053" w:rsidRDefault="00D82053">
            <w:pPr>
              <w:jc w:val="center"/>
              <w:rPr>
                <w:rFonts w:ascii="Times" w:hAnsi="Times" w:cs="Times"/>
                <w:b/>
                <w:bCs/>
                <w:sz w:val="25"/>
                <w:szCs w:val="25"/>
              </w:rPr>
            </w:pPr>
            <w:r>
              <w:rPr>
                <w:rFonts w:ascii="Times" w:hAnsi="Times" w:cs="Times"/>
                <w:b/>
                <w:bCs/>
                <w:sz w:val="25"/>
                <w:szCs w:val="25"/>
              </w:rPr>
              <w:t>Typ</w:t>
            </w:r>
          </w:p>
        </w:tc>
      </w:tr>
      <w:tr w:rsidR="00D82053" w14:paraId="2819AF3A" w14:textId="77777777">
        <w:trPr>
          <w:divId w:val="955479210"/>
          <w:jc w:val="center"/>
        </w:trPr>
        <w:tc>
          <w:tcPr>
            <w:tcW w:w="1500" w:type="pct"/>
            <w:tcBorders>
              <w:top w:val="outset" w:sz="6" w:space="0" w:color="000000"/>
              <w:left w:val="outset" w:sz="6" w:space="0" w:color="000000"/>
              <w:bottom w:val="outset" w:sz="6" w:space="0" w:color="000000"/>
              <w:right w:val="outset" w:sz="6" w:space="0" w:color="000000"/>
            </w:tcBorders>
            <w:hideMark/>
          </w:tcPr>
          <w:p w14:paraId="504DD83E" w14:textId="77777777" w:rsidR="00D82053" w:rsidRDefault="00D82053">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556DA5BA" w14:textId="77777777" w:rsidR="00D82053" w:rsidRDefault="00D82053">
            <w:pPr>
              <w:rPr>
                <w:rFonts w:ascii="Times" w:hAnsi="Times" w:cs="Times"/>
                <w:sz w:val="25"/>
                <w:szCs w:val="25"/>
              </w:rPr>
            </w:pPr>
            <w:r>
              <w:rPr>
                <w:rFonts w:ascii="Times" w:hAnsi="Times" w:cs="Times"/>
                <w:b/>
                <w:bCs/>
                <w:sz w:val="25"/>
                <w:szCs w:val="25"/>
              </w:rPr>
              <w:t>§ § 5</w:t>
            </w:r>
            <w:r>
              <w:rPr>
                <w:rFonts w:ascii="Times" w:hAnsi="Times" w:cs="Times"/>
                <w:sz w:val="25"/>
                <w:szCs w:val="25"/>
              </w:rPr>
              <w:br/>
              <w:t>Navrhujeme spresnenie znenia ustanovenia: „Oprávneným príjmom alebo oprávnenou stratou základného subjektu je čistý zisk alebo čistá strata základného subjektu za príslušné účtovné obdobie“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6A7BBD4A" w14:textId="77777777" w:rsidR="00D82053" w:rsidRDefault="00D82053">
            <w:pPr>
              <w:jc w:val="center"/>
              <w:rPr>
                <w:rFonts w:ascii="Times" w:hAnsi="Times" w:cs="Times"/>
                <w:b/>
                <w:bCs/>
                <w:sz w:val="25"/>
                <w:szCs w:val="25"/>
              </w:rPr>
            </w:pPr>
            <w:r>
              <w:rPr>
                <w:rFonts w:ascii="Times" w:hAnsi="Times" w:cs="Times"/>
                <w:b/>
                <w:bCs/>
                <w:sz w:val="25"/>
                <w:szCs w:val="25"/>
              </w:rPr>
              <w:t>O</w:t>
            </w:r>
          </w:p>
        </w:tc>
      </w:tr>
      <w:tr w:rsidR="00D82053" w14:paraId="0405B0A4" w14:textId="77777777">
        <w:trPr>
          <w:divId w:val="955479210"/>
          <w:jc w:val="center"/>
        </w:trPr>
        <w:tc>
          <w:tcPr>
            <w:tcW w:w="1500" w:type="pct"/>
            <w:tcBorders>
              <w:top w:val="outset" w:sz="6" w:space="0" w:color="000000"/>
              <w:left w:val="outset" w:sz="6" w:space="0" w:color="000000"/>
              <w:bottom w:val="outset" w:sz="6" w:space="0" w:color="000000"/>
              <w:right w:val="outset" w:sz="6" w:space="0" w:color="000000"/>
            </w:tcBorders>
            <w:hideMark/>
          </w:tcPr>
          <w:p w14:paraId="7C641AC2" w14:textId="77777777" w:rsidR="00D82053" w:rsidRDefault="00D82053">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27638AC0" w14:textId="77777777" w:rsidR="00D82053" w:rsidRDefault="00D82053">
            <w:pPr>
              <w:rPr>
                <w:rFonts w:ascii="Times" w:hAnsi="Times" w:cs="Times"/>
                <w:sz w:val="25"/>
                <w:szCs w:val="25"/>
              </w:rPr>
            </w:pPr>
            <w:r>
              <w:rPr>
                <w:rFonts w:ascii="Times" w:hAnsi="Times" w:cs="Times"/>
                <w:b/>
                <w:bCs/>
                <w:sz w:val="25"/>
                <w:szCs w:val="25"/>
              </w:rPr>
              <w:t>§ § 39 ods. 1 písm. c) a d)</w:t>
            </w:r>
            <w:r>
              <w:rPr>
                <w:rFonts w:ascii="Times" w:hAnsi="Times" w:cs="Times"/>
                <w:sz w:val="25"/>
                <w:szCs w:val="25"/>
              </w:rPr>
              <w:br/>
              <w:t xml:space="preserve">Navrhujeme nové znenie písmena c) a písmena d) c) o daňovníkovi potrebné na výpočet efektívnej sadzby dane v Slovenskej republike a </w:t>
            </w:r>
            <w:proofErr w:type="spellStart"/>
            <w:r>
              <w:rPr>
                <w:rFonts w:ascii="Times" w:hAnsi="Times" w:cs="Times"/>
                <w:sz w:val="25"/>
                <w:szCs w:val="25"/>
              </w:rPr>
              <w:t>dorovnávacej</w:t>
            </w:r>
            <w:proofErr w:type="spellEnd"/>
            <w:r>
              <w:rPr>
                <w:rFonts w:ascii="Times" w:hAnsi="Times" w:cs="Times"/>
                <w:sz w:val="25"/>
                <w:szCs w:val="25"/>
              </w:rPr>
              <w:t xml:space="preserve"> dane daňovníka, d) o daňovníkovi potrebné na výpočet efektívnej sadzby dane v Slovenskej republike za skupinu spoločného podniku podľa § 21, ktoré sú súčasťou tej istej skupiny a </w:t>
            </w:r>
            <w:proofErr w:type="spellStart"/>
            <w:r>
              <w:rPr>
                <w:rFonts w:ascii="Times" w:hAnsi="Times" w:cs="Times"/>
                <w:sz w:val="25"/>
                <w:szCs w:val="25"/>
              </w:rPr>
              <w:t>dorovnávacej</w:t>
            </w:r>
            <w:proofErr w:type="spellEnd"/>
            <w:r>
              <w:rPr>
                <w:rFonts w:ascii="Times" w:hAnsi="Times" w:cs="Times"/>
                <w:sz w:val="25"/>
                <w:szCs w:val="25"/>
              </w:rPr>
              <w:t xml:space="preserve"> dane daňovníka, ZÁSADNÁ PRIPOMIENKA Odôvodnenie: Navrhované znenie stanovuje daňovníkovi oznamovať citlivé informácie aj za iné subjekty, čo v praxi považujeme za nerealizovateľné. Daňovník nedisponuje požadovanými informáciami o svojich sesterských podnikoch a vzhľadom na zachovávanie daňového tajomstva by nimi ani disponovať nemal. Navrhujeme, aby každý daňovník oznamoval informácie potrebné na výpočet efektívnej sadzby dane a </w:t>
            </w:r>
            <w:proofErr w:type="spellStart"/>
            <w:r>
              <w:rPr>
                <w:rFonts w:ascii="Times" w:hAnsi="Times" w:cs="Times"/>
                <w:sz w:val="25"/>
                <w:szCs w:val="25"/>
              </w:rPr>
              <w:t>dorovnávacej</w:t>
            </w:r>
            <w:proofErr w:type="spellEnd"/>
            <w:r>
              <w:rPr>
                <w:rFonts w:ascii="Times" w:hAnsi="Times" w:cs="Times"/>
                <w:sz w:val="25"/>
                <w:szCs w:val="25"/>
              </w:rPr>
              <w:t xml:space="preserve"> dane sám za seba a identifikoval nadnárodnú skupinu podnikov alebo veľkú vnútroštátnu skupinu, ktorej je súčasťou</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30CEAE69" w14:textId="77777777" w:rsidR="00D82053" w:rsidRDefault="00D82053">
            <w:pPr>
              <w:jc w:val="center"/>
              <w:rPr>
                <w:rFonts w:ascii="Times" w:hAnsi="Times" w:cs="Times"/>
                <w:b/>
                <w:bCs/>
                <w:sz w:val="25"/>
                <w:szCs w:val="25"/>
              </w:rPr>
            </w:pPr>
            <w:r>
              <w:rPr>
                <w:rFonts w:ascii="Times" w:hAnsi="Times" w:cs="Times"/>
                <w:b/>
                <w:bCs/>
                <w:sz w:val="25"/>
                <w:szCs w:val="25"/>
              </w:rPr>
              <w:t>O</w:t>
            </w:r>
          </w:p>
        </w:tc>
      </w:tr>
      <w:tr w:rsidR="00D82053" w14:paraId="684F29BF" w14:textId="77777777">
        <w:trPr>
          <w:divId w:val="955479210"/>
          <w:jc w:val="center"/>
        </w:trPr>
        <w:tc>
          <w:tcPr>
            <w:tcW w:w="1500" w:type="pct"/>
            <w:tcBorders>
              <w:top w:val="outset" w:sz="6" w:space="0" w:color="000000"/>
              <w:left w:val="outset" w:sz="6" w:space="0" w:color="000000"/>
              <w:bottom w:val="outset" w:sz="6" w:space="0" w:color="000000"/>
              <w:right w:val="outset" w:sz="6" w:space="0" w:color="000000"/>
            </w:tcBorders>
            <w:hideMark/>
          </w:tcPr>
          <w:p w14:paraId="6956236C" w14:textId="77777777" w:rsidR="00D82053" w:rsidRDefault="00D82053">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2899C7A5" w14:textId="77777777" w:rsidR="00D82053" w:rsidRDefault="00D82053">
            <w:pPr>
              <w:rPr>
                <w:rFonts w:ascii="Times" w:hAnsi="Times" w:cs="Times"/>
                <w:sz w:val="25"/>
                <w:szCs w:val="25"/>
              </w:rPr>
            </w:pPr>
            <w:r>
              <w:rPr>
                <w:rFonts w:ascii="Times" w:hAnsi="Times" w:cs="Times"/>
                <w:b/>
                <w:bCs/>
                <w:sz w:val="25"/>
                <w:szCs w:val="25"/>
              </w:rPr>
              <w:t>§ 39 ods. 2</w:t>
            </w:r>
            <w:r>
              <w:rPr>
                <w:rFonts w:ascii="Times" w:hAnsi="Times" w:cs="Times"/>
                <w:sz w:val="25"/>
                <w:szCs w:val="25"/>
              </w:rPr>
              <w:br/>
              <w:t>Navrhujeme slová "13 mesiacov" nahradiť slovami "15 mesiacov" Odôvodnenie: Navrhujeme stanoviť lehotu na 15 mesiacov ako je aj uvedené v Smernici Rady (EÚ) 2022/2523.</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2E8CBD83" w14:textId="77777777" w:rsidR="00D82053" w:rsidRDefault="00D82053">
            <w:pPr>
              <w:jc w:val="center"/>
              <w:rPr>
                <w:rFonts w:ascii="Times" w:hAnsi="Times" w:cs="Times"/>
                <w:b/>
                <w:bCs/>
                <w:sz w:val="25"/>
                <w:szCs w:val="25"/>
              </w:rPr>
            </w:pPr>
            <w:r>
              <w:rPr>
                <w:rFonts w:ascii="Times" w:hAnsi="Times" w:cs="Times"/>
                <w:b/>
                <w:bCs/>
                <w:sz w:val="25"/>
                <w:szCs w:val="25"/>
              </w:rPr>
              <w:t>O</w:t>
            </w:r>
          </w:p>
        </w:tc>
      </w:tr>
      <w:tr w:rsidR="00D82053" w14:paraId="0BF509B4" w14:textId="77777777">
        <w:trPr>
          <w:divId w:val="955479210"/>
          <w:jc w:val="center"/>
        </w:trPr>
        <w:tc>
          <w:tcPr>
            <w:tcW w:w="1500" w:type="pct"/>
            <w:tcBorders>
              <w:top w:val="outset" w:sz="6" w:space="0" w:color="000000"/>
              <w:left w:val="outset" w:sz="6" w:space="0" w:color="000000"/>
              <w:bottom w:val="outset" w:sz="6" w:space="0" w:color="000000"/>
              <w:right w:val="outset" w:sz="6" w:space="0" w:color="000000"/>
            </w:tcBorders>
            <w:hideMark/>
          </w:tcPr>
          <w:p w14:paraId="40017873" w14:textId="77777777" w:rsidR="00D82053" w:rsidRDefault="00D82053">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1376BB7B" w14:textId="77777777" w:rsidR="00D82053" w:rsidRDefault="00D82053">
            <w:pPr>
              <w:rPr>
                <w:rFonts w:ascii="Times" w:hAnsi="Times" w:cs="Times"/>
                <w:sz w:val="25"/>
                <w:szCs w:val="25"/>
              </w:rPr>
            </w:pPr>
            <w:r>
              <w:rPr>
                <w:rFonts w:ascii="Times" w:hAnsi="Times" w:cs="Times"/>
                <w:b/>
                <w:bCs/>
                <w:sz w:val="25"/>
                <w:szCs w:val="25"/>
              </w:rPr>
              <w:t>§ 39 ods. 2</w:t>
            </w:r>
            <w:r>
              <w:rPr>
                <w:rFonts w:ascii="Times" w:hAnsi="Times" w:cs="Times"/>
                <w:sz w:val="25"/>
                <w:szCs w:val="25"/>
              </w:rPr>
              <w:br/>
              <w:t>Navrhujeme na konci poslednej vety doplniť slová "najneskôr 90 dní pred termínom na podanie oznámenia". Odôvodnenie: Navrhujeme presne stanoviť lehotu pre zverejnenie formulára, aby daňové subjekty mali dostatok času na prípravu.</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D032025" w14:textId="77777777" w:rsidR="00D82053" w:rsidRDefault="00D82053">
            <w:pPr>
              <w:jc w:val="center"/>
              <w:rPr>
                <w:rFonts w:ascii="Times" w:hAnsi="Times" w:cs="Times"/>
                <w:b/>
                <w:bCs/>
                <w:sz w:val="25"/>
                <w:szCs w:val="25"/>
              </w:rPr>
            </w:pPr>
            <w:r>
              <w:rPr>
                <w:rFonts w:ascii="Times" w:hAnsi="Times" w:cs="Times"/>
                <w:b/>
                <w:bCs/>
                <w:sz w:val="25"/>
                <w:szCs w:val="25"/>
              </w:rPr>
              <w:t>O</w:t>
            </w:r>
          </w:p>
        </w:tc>
      </w:tr>
      <w:tr w:rsidR="00D82053" w14:paraId="0C8F3941" w14:textId="77777777">
        <w:trPr>
          <w:divId w:val="955479210"/>
          <w:jc w:val="center"/>
        </w:trPr>
        <w:tc>
          <w:tcPr>
            <w:tcW w:w="1500" w:type="pct"/>
            <w:tcBorders>
              <w:top w:val="outset" w:sz="6" w:space="0" w:color="000000"/>
              <w:left w:val="outset" w:sz="6" w:space="0" w:color="000000"/>
              <w:bottom w:val="outset" w:sz="6" w:space="0" w:color="000000"/>
              <w:right w:val="outset" w:sz="6" w:space="0" w:color="000000"/>
            </w:tcBorders>
            <w:hideMark/>
          </w:tcPr>
          <w:p w14:paraId="52820532" w14:textId="77777777" w:rsidR="00D82053" w:rsidRDefault="00D82053">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610E41F4" w14:textId="77777777" w:rsidR="00D82053" w:rsidRDefault="00D82053">
            <w:pPr>
              <w:rPr>
                <w:rFonts w:ascii="Times" w:hAnsi="Times" w:cs="Times"/>
                <w:sz w:val="25"/>
                <w:szCs w:val="25"/>
              </w:rPr>
            </w:pPr>
            <w:r>
              <w:rPr>
                <w:rFonts w:ascii="Times" w:hAnsi="Times" w:cs="Times"/>
                <w:b/>
                <w:bCs/>
                <w:sz w:val="25"/>
                <w:szCs w:val="25"/>
              </w:rPr>
              <w:t>§ 40</w:t>
            </w:r>
            <w:r>
              <w:rPr>
                <w:rFonts w:ascii="Times" w:hAnsi="Times" w:cs="Times"/>
                <w:sz w:val="25"/>
                <w:szCs w:val="25"/>
              </w:rPr>
              <w:br/>
              <w:t xml:space="preserve">Navrhujeme v texte ustanovenia špecifikovať, kto je povinný podať daňové priznanie, doplniť ustanovenia v súvislosti s vyrubením výšky </w:t>
            </w:r>
            <w:proofErr w:type="spellStart"/>
            <w:r>
              <w:rPr>
                <w:rFonts w:ascii="Times" w:hAnsi="Times" w:cs="Times"/>
                <w:sz w:val="25"/>
                <w:szCs w:val="25"/>
              </w:rPr>
              <w:t>dorovnávacej</w:t>
            </w:r>
            <w:proofErr w:type="spellEnd"/>
            <w:r>
              <w:rPr>
                <w:rFonts w:ascii="Times" w:hAnsi="Times" w:cs="Times"/>
                <w:sz w:val="25"/>
                <w:szCs w:val="25"/>
              </w:rPr>
              <w:t xml:space="preserve"> dane daňovníka správcom dane a stanoviť inú splatnosť </w:t>
            </w:r>
            <w:proofErr w:type="spellStart"/>
            <w:r>
              <w:rPr>
                <w:rFonts w:ascii="Times" w:hAnsi="Times" w:cs="Times"/>
                <w:sz w:val="25"/>
                <w:szCs w:val="25"/>
              </w:rPr>
              <w:t>dorovnávacej</w:t>
            </w:r>
            <w:proofErr w:type="spellEnd"/>
            <w:r>
              <w:rPr>
                <w:rFonts w:ascii="Times" w:hAnsi="Times" w:cs="Times"/>
                <w:sz w:val="25"/>
                <w:szCs w:val="25"/>
              </w:rPr>
              <w:t xml:space="preserve"> dane. ZÁSADNÁ PRIPOMIENKA Odôvodnenie: V zmysle navrhovaného znenia zákona je potrebné pre výpočet </w:t>
            </w:r>
            <w:proofErr w:type="spellStart"/>
            <w:r>
              <w:rPr>
                <w:rFonts w:ascii="Times" w:hAnsi="Times" w:cs="Times"/>
                <w:sz w:val="25"/>
                <w:szCs w:val="25"/>
              </w:rPr>
              <w:t>dorovnávacej</w:t>
            </w:r>
            <w:proofErr w:type="spellEnd"/>
            <w:r>
              <w:rPr>
                <w:rFonts w:ascii="Times" w:hAnsi="Times" w:cs="Times"/>
                <w:sz w:val="25"/>
                <w:szCs w:val="25"/>
              </w:rPr>
              <w:t xml:space="preserve"> dane daňovníka disponovať citlivými informáciami aj o ďalších subjektoch nadnárodnej skupiny podnikov / veľkej vnútroštátnej skupiny, ktorej je súčasťou. Takýto postup považujeme v praxi za nerealizovateľný a z nášho pohľadu nebude možné podávať daňové priznanie s informáciami týkajúcimi sa iných subjektov (keďže ich daňovník nebude mať k dispozícii) a priamym výpočtom </w:t>
            </w:r>
            <w:proofErr w:type="spellStart"/>
            <w:r>
              <w:rPr>
                <w:rFonts w:ascii="Times" w:hAnsi="Times" w:cs="Times"/>
                <w:sz w:val="25"/>
                <w:szCs w:val="25"/>
              </w:rPr>
              <w:t>dorovnávacej</w:t>
            </w:r>
            <w:proofErr w:type="spellEnd"/>
            <w:r>
              <w:rPr>
                <w:rFonts w:ascii="Times" w:hAnsi="Times" w:cs="Times"/>
                <w:sz w:val="25"/>
                <w:szCs w:val="25"/>
              </w:rPr>
              <w:t xml:space="preserve"> dane daňovníka. Zároveň bude potrebné, aby správca dane vypočítal a vyrubil </w:t>
            </w:r>
            <w:proofErr w:type="spellStart"/>
            <w:r>
              <w:rPr>
                <w:rFonts w:ascii="Times" w:hAnsi="Times" w:cs="Times"/>
                <w:sz w:val="25"/>
                <w:szCs w:val="25"/>
              </w:rPr>
              <w:t>dorovnávaciu</w:t>
            </w:r>
            <w:proofErr w:type="spellEnd"/>
            <w:r>
              <w:rPr>
                <w:rFonts w:ascii="Times" w:hAnsi="Times" w:cs="Times"/>
                <w:sz w:val="25"/>
                <w:szCs w:val="25"/>
              </w:rPr>
              <w:t xml:space="preserve"> daň daňovníka na základe informácií od subjektov patriacich do jednej skupiny a následne určil aj inú lehotu splatnosti dane (lehotu odlišnú od termínu na podanie daňového priznania). Navrhované znenie zákona bližšie nešpecifikuje, ktorí daňovníci sú povinní podávať daňové priznanie. Navrhované znenie sa dá interpretovať v tom zmysle, že daňové priznanie musia podávať všetci daňovníci definovaní podľa tohto zákona a to aj napriek tomu, že si budú plniť notifikačnú povinnosť podľa § 39 a nevznikne im žiadna </w:t>
            </w:r>
            <w:proofErr w:type="spellStart"/>
            <w:r>
              <w:rPr>
                <w:rFonts w:ascii="Times" w:hAnsi="Times" w:cs="Times"/>
                <w:sz w:val="25"/>
                <w:szCs w:val="25"/>
              </w:rPr>
              <w:t>dorovnávacia</w:t>
            </w:r>
            <w:proofErr w:type="spellEnd"/>
            <w:r>
              <w:rPr>
                <w:rFonts w:ascii="Times" w:hAnsi="Times" w:cs="Times"/>
                <w:sz w:val="25"/>
                <w:szCs w:val="25"/>
              </w:rPr>
              <w:t xml:space="preserve"> daň. V prípade, že by </w:t>
            </w:r>
            <w:proofErr w:type="spellStart"/>
            <w:r>
              <w:rPr>
                <w:rFonts w:ascii="Times" w:hAnsi="Times" w:cs="Times"/>
                <w:sz w:val="25"/>
                <w:szCs w:val="25"/>
              </w:rPr>
              <w:t>dorovnávacia</w:t>
            </w:r>
            <w:proofErr w:type="spellEnd"/>
            <w:r>
              <w:rPr>
                <w:rFonts w:ascii="Times" w:hAnsi="Times" w:cs="Times"/>
                <w:sz w:val="25"/>
                <w:szCs w:val="25"/>
              </w:rPr>
              <w:t xml:space="preserve"> daň vznikla, navrhované znenie sa dá interpretovať tak, že zaplatiť ju musí každý jeden daňovník za všetky subjekty patriace do jednej skupiny – daň by teda bola zaplatená viackrát.</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B0511F7" w14:textId="77777777" w:rsidR="00D82053" w:rsidRDefault="00D82053">
            <w:pPr>
              <w:jc w:val="center"/>
              <w:rPr>
                <w:rFonts w:ascii="Times" w:hAnsi="Times" w:cs="Times"/>
                <w:b/>
                <w:bCs/>
                <w:sz w:val="25"/>
                <w:szCs w:val="25"/>
              </w:rPr>
            </w:pPr>
            <w:r>
              <w:rPr>
                <w:rFonts w:ascii="Times" w:hAnsi="Times" w:cs="Times"/>
                <w:b/>
                <w:bCs/>
                <w:sz w:val="25"/>
                <w:szCs w:val="25"/>
              </w:rPr>
              <w:t>O</w:t>
            </w:r>
          </w:p>
        </w:tc>
      </w:tr>
      <w:tr w:rsidR="00D82053" w14:paraId="61A72CEC" w14:textId="77777777">
        <w:trPr>
          <w:divId w:val="955479210"/>
          <w:jc w:val="center"/>
        </w:trPr>
        <w:tc>
          <w:tcPr>
            <w:tcW w:w="1500" w:type="pct"/>
            <w:tcBorders>
              <w:top w:val="outset" w:sz="6" w:space="0" w:color="000000"/>
              <w:left w:val="outset" w:sz="6" w:space="0" w:color="000000"/>
              <w:bottom w:val="outset" w:sz="6" w:space="0" w:color="000000"/>
              <w:right w:val="outset" w:sz="6" w:space="0" w:color="000000"/>
            </w:tcBorders>
            <w:hideMark/>
          </w:tcPr>
          <w:p w14:paraId="6D94244A" w14:textId="77777777" w:rsidR="00D82053" w:rsidRDefault="00D82053">
            <w:pPr>
              <w:jc w:val="center"/>
              <w:rPr>
                <w:rFonts w:ascii="Times" w:hAnsi="Times" w:cs="Times"/>
                <w:b/>
                <w:bCs/>
                <w:sz w:val="25"/>
                <w:szCs w:val="25"/>
              </w:rPr>
            </w:pPr>
            <w:r>
              <w:rPr>
                <w:rFonts w:ascii="Times" w:hAnsi="Times" w:cs="Times"/>
                <w:b/>
                <w:bCs/>
                <w:sz w:val="25"/>
                <w:szCs w:val="25"/>
              </w:rPr>
              <w:t>SLASPO</w:t>
            </w:r>
          </w:p>
        </w:tc>
        <w:tc>
          <w:tcPr>
            <w:tcW w:w="3000" w:type="pct"/>
            <w:tcBorders>
              <w:top w:val="outset" w:sz="6" w:space="0" w:color="000000"/>
              <w:left w:val="outset" w:sz="6" w:space="0" w:color="000000"/>
              <w:bottom w:val="outset" w:sz="6" w:space="0" w:color="000000"/>
              <w:right w:val="outset" w:sz="6" w:space="0" w:color="000000"/>
            </w:tcBorders>
            <w:vAlign w:val="center"/>
            <w:hideMark/>
          </w:tcPr>
          <w:p w14:paraId="67411521" w14:textId="77777777" w:rsidR="00D82053" w:rsidRDefault="00D82053">
            <w:pPr>
              <w:rPr>
                <w:rFonts w:ascii="Times" w:hAnsi="Times" w:cs="Times"/>
                <w:sz w:val="25"/>
                <w:szCs w:val="25"/>
              </w:rPr>
            </w:pPr>
            <w:r>
              <w:rPr>
                <w:rFonts w:ascii="Times" w:hAnsi="Times" w:cs="Times"/>
                <w:b/>
                <w:bCs/>
                <w:sz w:val="25"/>
                <w:szCs w:val="25"/>
              </w:rPr>
              <w:t>§ 40 ods. 1</w:t>
            </w:r>
            <w:r>
              <w:rPr>
                <w:rFonts w:ascii="Times" w:hAnsi="Times" w:cs="Times"/>
                <w:sz w:val="25"/>
                <w:szCs w:val="25"/>
              </w:rPr>
              <w:br/>
              <w:t xml:space="preserve">Navrhujeme slová "13 mesiacov" nahradiť slovami "15 mesiacov". Odôvodnenie: Navrhujeme stanoviť lehotu na 15 mesiacov, aby bola v súlade s lehotou na podanie oznámenia s informáciami na určenie </w:t>
            </w:r>
            <w:proofErr w:type="spellStart"/>
            <w:r>
              <w:rPr>
                <w:rFonts w:ascii="Times" w:hAnsi="Times" w:cs="Times"/>
                <w:sz w:val="25"/>
                <w:szCs w:val="25"/>
              </w:rPr>
              <w:t>dorovnávacej</w:t>
            </w:r>
            <w:proofErr w:type="spellEnd"/>
            <w:r>
              <w:rPr>
                <w:rFonts w:ascii="Times" w:hAnsi="Times" w:cs="Times"/>
                <w:sz w:val="25"/>
                <w:szCs w:val="25"/>
              </w:rPr>
              <w:t xml:space="preserve"> dane ako je špecifikovaná v Smernica Rady (EÚ) 2022/2523.</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46D482B5" w14:textId="77777777" w:rsidR="00D82053" w:rsidRDefault="00D82053">
            <w:pPr>
              <w:jc w:val="center"/>
              <w:rPr>
                <w:rFonts w:ascii="Times" w:hAnsi="Times" w:cs="Times"/>
                <w:b/>
                <w:bCs/>
                <w:sz w:val="25"/>
                <w:szCs w:val="25"/>
              </w:rPr>
            </w:pPr>
            <w:r>
              <w:rPr>
                <w:rFonts w:ascii="Times" w:hAnsi="Times" w:cs="Times"/>
                <w:b/>
                <w:bCs/>
                <w:sz w:val="25"/>
                <w:szCs w:val="25"/>
              </w:rPr>
              <w:t>O</w:t>
            </w:r>
          </w:p>
        </w:tc>
      </w:tr>
    </w:tbl>
    <w:p w14:paraId="65734B66" w14:textId="77777777" w:rsidR="00DD1B41"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F44C37" w14:paraId="50ACB5F3" w14:textId="77777777" w:rsidTr="00C27ACD">
        <w:tc>
          <w:tcPr>
            <w:tcW w:w="4928" w:type="dxa"/>
            <w:tcBorders>
              <w:top w:val="nil"/>
              <w:left w:val="nil"/>
              <w:bottom w:val="nil"/>
              <w:right w:val="nil"/>
            </w:tcBorders>
          </w:tcPr>
          <w:p w14:paraId="132076F4" w14:textId="77777777" w:rsidR="006173E4" w:rsidRPr="00772C99" w:rsidRDefault="006173E4" w:rsidP="00C27ACD">
            <w:pPr>
              <w:pStyle w:val="Zkladntext"/>
              <w:widowControl/>
              <w:jc w:val="both"/>
              <w:rPr>
                <w:b w:val="0"/>
                <w:color w:val="000000"/>
                <w:sz w:val="22"/>
                <w:szCs w:val="22"/>
              </w:rPr>
            </w:pPr>
          </w:p>
          <w:p w14:paraId="5F801B85" w14:textId="77777777" w:rsidR="006173E4" w:rsidRPr="00772C99" w:rsidRDefault="006173E4" w:rsidP="00C27ACD">
            <w:pPr>
              <w:pStyle w:val="Zkladntext"/>
              <w:widowControl/>
              <w:jc w:val="both"/>
              <w:rPr>
                <w:b w:val="0"/>
                <w:color w:val="000000"/>
                <w:sz w:val="22"/>
                <w:szCs w:val="22"/>
              </w:rPr>
            </w:pPr>
            <w:r w:rsidRPr="00772C99">
              <w:rPr>
                <w:b w:val="0"/>
                <w:color w:val="000000"/>
                <w:sz w:val="22"/>
                <w:szCs w:val="22"/>
              </w:rPr>
              <w:t>Vysvetlivky  k použitým skratkám v tabuľke:</w:t>
            </w:r>
          </w:p>
        </w:tc>
      </w:tr>
      <w:tr w:rsidR="006173E4" w:rsidRPr="00F44C37" w14:paraId="32D3C458" w14:textId="77777777" w:rsidTr="00C27ACD">
        <w:tc>
          <w:tcPr>
            <w:tcW w:w="4928" w:type="dxa"/>
            <w:tcBorders>
              <w:top w:val="nil"/>
              <w:left w:val="nil"/>
              <w:bottom w:val="nil"/>
              <w:right w:val="nil"/>
            </w:tcBorders>
          </w:tcPr>
          <w:p w14:paraId="0CCD160E" w14:textId="77777777" w:rsidR="006173E4" w:rsidRPr="00772C99" w:rsidRDefault="006173E4" w:rsidP="00C27ACD">
            <w:pPr>
              <w:pStyle w:val="Zkladntext"/>
              <w:widowControl/>
              <w:jc w:val="both"/>
              <w:rPr>
                <w:b w:val="0"/>
                <w:color w:val="000000"/>
                <w:sz w:val="22"/>
                <w:szCs w:val="22"/>
              </w:rPr>
            </w:pPr>
            <w:r w:rsidRPr="00772C99">
              <w:rPr>
                <w:b w:val="0"/>
                <w:color w:val="000000"/>
                <w:sz w:val="22"/>
                <w:szCs w:val="22"/>
              </w:rPr>
              <w:t>O – obyčajná</w:t>
            </w:r>
          </w:p>
        </w:tc>
      </w:tr>
      <w:tr w:rsidR="006173E4" w:rsidRPr="00F44C37" w14:paraId="4B469303" w14:textId="77777777" w:rsidTr="00C27ACD">
        <w:tc>
          <w:tcPr>
            <w:tcW w:w="4928" w:type="dxa"/>
            <w:tcBorders>
              <w:top w:val="nil"/>
              <w:left w:val="nil"/>
              <w:bottom w:val="nil"/>
              <w:right w:val="nil"/>
            </w:tcBorders>
          </w:tcPr>
          <w:p w14:paraId="012032B9" w14:textId="77777777" w:rsidR="006173E4" w:rsidRPr="00772C99" w:rsidRDefault="006173E4" w:rsidP="00C27ACD">
            <w:pPr>
              <w:pStyle w:val="Zkladntext"/>
              <w:widowControl/>
              <w:jc w:val="both"/>
              <w:rPr>
                <w:b w:val="0"/>
                <w:color w:val="000000"/>
                <w:sz w:val="22"/>
                <w:szCs w:val="22"/>
              </w:rPr>
            </w:pPr>
            <w:r w:rsidRPr="00772C99">
              <w:rPr>
                <w:b w:val="0"/>
                <w:color w:val="000000"/>
                <w:sz w:val="22"/>
                <w:szCs w:val="22"/>
              </w:rPr>
              <w:t>Z – zásadná</w:t>
            </w:r>
          </w:p>
        </w:tc>
      </w:tr>
    </w:tbl>
    <w:p w14:paraId="6D82AF95" w14:textId="77777777" w:rsidR="006173E4" w:rsidRPr="005A1161" w:rsidRDefault="006173E4" w:rsidP="00D710A5">
      <w:pPr>
        <w:widowControl/>
        <w:spacing w:after="0" w:line="240" w:lineRule="auto"/>
        <w:rPr>
          <w:rFonts w:ascii="Times New Roman" w:hAnsi="Times New Roman" w:cs="Calibri"/>
          <w:sz w:val="20"/>
          <w:szCs w:val="20"/>
        </w:rPr>
      </w:pPr>
    </w:p>
    <w:sectPr w:rsidR="006173E4" w:rsidRPr="005A1161">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0"/>
    <w:rsid w:val="000144C3"/>
    <w:rsid w:val="000B3F57"/>
    <w:rsid w:val="002C2B40"/>
    <w:rsid w:val="002F00DB"/>
    <w:rsid w:val="00327A2D"/>
    <w:rsid w:val="003A35EB"/>
    <w:rsid w:val="003C009A"/>
    <w:rsid w:val="004C083B"/>
    <w:rsid w:val="005A1161"/>
    <w:rsid w:val="006173E4"/>
    <w:rsid w:val="00661635"/>
    <w:rsid w:val="006A0E56"/>
    <w:rsid w:val="00761851"/>
    <w:rsid w:val="00772C99"/>
    <w:rsid w:val="00773CE7"/>
    <w:rsid w:val="007750FA"/>
    <w:rsid w:val="008461A5"/>
    <w:rsid w:val="00851B79"/>
    <w:rsid w:val="0087529A"/>
    <w:rsid w:val="008F1A80"/>
    <w:rsid w:val="00A56287"/>
    <w:rsid w:val="00AA4FD0"/>
    <w:rsid w:val="00B3505E"/>
    <w:rsid w:val="00B50E2A"/>
    <w:rsid w:val="00B51490"/>
    <w:rsid w:val="00BA14D6"/>
    <w:rsid w:val="00D02827"/>
    <w:rsid w:val="00D17ED7"/>
    <w:rsid w:val="00D463B0"/>
    <w:rsid w:val="00D710A5"/>
    <w:rsid w:val="00D82053"/>
    <w:rsid w:val="00DD1B41"/>
    <w:rsid w:val="00DF7EB5"/>
    <w:rsid w:val="00F10D72"/>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575F"/>
  <w15:docId w15:val="{D5159A1F-E8A5-4E63-BA6C-5D639EEE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Vraz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0365">
      <w:bodyDiv w:val="1"/>
      <w:marLeft w:val="0"/>
      <w:marRight w:val="0"/>
      <w:marTop w:val="0"/>
      <w:marBottom w:val="0"/>
      <w:divBdr>
        <w:top w:val="none" w:sz="0" w:space="0" w:color="auto"/>
        <w:left w:val="none" w:sz="0" w:space="0" w:color="auto"/>
        <w:bottom w:val="none" w:sz="0" w:space="0" w:color="auto"/>
        <w:right w:val="none" w:sz="0" w:space="0" w:color="auto"/>
      </w:divBdr>
      <w:divsChild>
        <w:div w:id="1646471531">
          <w:marLeft w:val="0"/>
          <w:marRight w:val="0"/>
          <w:marTop w:val="0"/>
          <w:marBottom w:val="0"/>
          <w:divBdr>
            <w:top w:val="none" w:sz="0" w:space="0" w:color="auto"/>
            <w:left w:val="none" w:sz="0" w:space="0" w:color="auto"/>
            <w:bottom w:val="none" w:sz="0" w:space="0" w:color="auto"/>
            <w:right w:val="none" w:sz="0" w:space="0" w:color="auto"/>
          </w:divBdr>
        </w:div>
      </w:divsChild>
    </w:div>
    <w:div w:id="955479210">
      <w:bodyDiv w:val="1"/>
      <w:marLeft w:val="0"/>
      <w:marRight w:val="0"/>
      <w:marTop w:val="0"/>
      <w:marBottom w:val="0"/>
      <w:divBdr>
        <w:top w:val="none" w:sz="0" w:space="0" w:color="auto"/>
        <w:left w:val="none" w:sz="0" w:space="0" w:color="auto"/>
        <w:bottom w:val="none" w:sz="0" w:space="0" w:color="auto"/>
        <w:right w:val="none" w:sz="0" w:space="0" w:color="auto"/>
      </w:divBdr>
    </w:div>
    <w:div w:id="10124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Tlačová zostava pripomienok"/>
    <f:field ref="objsubject" par="" edit="true" text="Tlačová zostava pripomienok"/>
    <f:field ref="objcreatedby" par="" text="Administrator, System"/>
    <f:field ref="objcreatedat" par="" text="18.8.2023 9:03:52"/>
    <f:field ref="objchangedby" par="" text="Administrator, System"/>
    <f:field ref="objmodifiedat" par="" text="18.8.2023 9:03:54"/>
    <f:field ref="doc_FSCFOLIO_1_1001_FieldDocumentNumber" par="" text=""/>
    <f:field ref="doc_FSCFOLIO_1_1001_FieldSubject" par="" edit="true" text="Tlačová zostava pripomienok"/>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6F490CAC-5A73-4C4F-86FD-A999C448D48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maria.lehotska</cp:lastModifiedBy>
  <cp:revision>2</cp:revision>
  <dcterms:created xsi:type="dcterms:W3CDTF">2023-08-18T07:04:00Z</dcterms:created>
  <dcterms:modified xsi:type="dcterms:W3CDTF">2023-08-18T07:04:00Z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align="left"&gt;&amp;nbsp;&lt;/p&gt;&lt;p align="center" style="margin-left:.5pt;"&gt;&lt;strong&gt;SPRÁVA O ÚČASTI VEREJNOSTI NA TVORBE PRÁVNEHO PREDPISU&amp;nbsp; &lt;/strong&gt;&lt;/p&gt;&lt;p align="center" style="margin-left:.05pt;"&gt;&amp;nbsp;&lt;/p&gt;&lt;h1&gt;1.Spôsob zapojenia verejnosti do tvorby právneho predpisu&lt;/h1&gt;&lt;table border="0" cellpadding="0" cellspacing="0" style="width:603px;" width="0"&gt;	&lt;tbody&gt;		&lt;tr&gt;			&lt;td style="width:545px;height:22px;"&gt;			&lt;p align="left"&gt;Informovanie – vyplnia sa body 2 a 3&lt;/p&gt;			&lt;/td&gt;			&lt;td style="width:58px;height:22px;"&gt;			&lt;p align="center" style="margin-left:.35pt;"&gt;☐&lt;/p&gt;			&lt;/td&gt;		&lt;/tr&gt;		&lt;tr&gt;			&lt;td style="width:545px;height:22px;"&gt;			&lt;p align="left"&gt;Prerokovanie – vyplnia sa body 2 až 11&lt;/p&gt;			&lt;/td&gt;			&lt;td style="width:58px;height:22px;"&gt;			&lt;p align="center" style="margin-left:.35pt;"&gt;☒&lt;/p&gt;			&lt;/td&gt;		&lt;/tr&gt;	&lt;/tbody&gt;&lt;/table&gt;&lt;p align="left" style="margin-left:-.25pt;"&gt;&lt;strong&gt;Odôvodnenie:&lt;/strong&gt;&lt;sup&gt;1&lt;/sup&gt;&lt;/p&gt;&lt;p align="left"&gt;&amp;nbsp;&lt;/p&gt;&lt;h1&gt;2.Spôsob informovania verejnosti o začatí tvorby právneho predpisu&lt;/h1&gt;&lt;table border="0" cellpadding="0" cellspacing="0" style="width:603px;" width="0"&gt;	&lt;tbody&gt;		&lt;tr&gt;			&lt;td style="width:545px;height:22px;"&gt;			&lt;p align="left"&gt;Predbežná informácia&lt;/p&gt;			&lt;/td&gt;			&lt;td style="width:58px;height:22px;"&gt;			&lt;p align="center" style="margin-left:.35pt;"&gt;☒&lt;/p&gt;			&lt;/td&gt;		&lt;/tr&gt;		&lt;tr&gt;			&lt;td style="width:545px;height:22px;"&gt;			&lt;p align="left"&gt;Legislatívny zámer&lt;/p&gt;			&lt;/td&gt;			&lt;td style="width:58px;height:22px;"&gt;			&lt;p align="center" style="margin-left:.35pt;"&gt;☐&lt;/p&gt;			&lt;/td&gt;		&lt;/tr&gt;		&lt;tr&gt;			&lt;td style="width:545px;height:22px;"&gt;			&lt;p align="left"&gt;Iné:&lt;sup&gt;1&lt;/sup&gt;&lt;/p&gt;			&lt;/td&gt;			&lt;td style="width:58px;height:22px;"&gt;			&lt;p align="center" style="margin-left:.35pt;"&gt;☐&lt;/p&gt;			&lt;/td&gt;		&lt;/tr&gt;	&lt;/tbody&gt;&lt;/table&gt;&lt;p align="left"&gt;&amp;nbsp;&lt;/p&gt;&lt;h1&gt;3.Informácie poskytnuté verejnosti&lt;/h1&gt;&lt;table border="0" cellpadding="0" cellspacing="0" style="width:603px;" width="0"&gt;	&lt;tbody&gt;		&lt;tr&gt;			&lt;td style="width:545px;height:22px;"&gt;			&lt;p align="left"&gt;O probléme, ktorý má právny predpis riešiť&lt;/p&gt;			&lt;/td&gt;			&lt;td style="width:58px;height:22px;"&gt;			&lt;p align="center" style="margin-left:.35pt;"&gt;☒&lt;/p&gt;			&lt;/td&gt;		&lt;/tr&gt;		&lt;tr&gt;			&lt;td style="width:545px;height:22px;"&gt;			&lt;p align="left"&gt;O spôsobe zapojenia verejnosti do tvorby právneho predpisu&lt;/p&gt;			&lt;/td&gt;			&lt;td style="width:58px;height:22px;"&gt;			&lt;p align="center" style="margin-left:.35pt;"&gt;☐&lt;/p&gt;			&lt;/td&gt;		&lt;/tr&gt;		&lt;tr&gt;			&lt;td style="width:545px;height:22px;"&gt;			&lt;p align="left"&gt;O časovom rámci tvorby právneho predpisu&lt;/p&gt;			&lt;/td&gt;			&lt;td style="width:58px;height:22px;"&gt;			&lt;p align="center" style="margin-left:.35pt;"&gt;☒&lt;/p&gt;			&lt;/td&gt;		&lt;/tr&gt;		&lt;tr&gt;			&lt;td style="width:545px;height:22px;"&gt;			&lt;p align="left"&gt;O procese tvorby právneho predpisu&lt;/p&gt;			&lt;/td&gt;			&lt;td style="width:58px;height:22px;"&gt;			&lt;p align="center" style="margin-left:.35pt;"&gt;☒&lt;/p&gt;			&lt;/td&gt;		&lt;/tr&gt;		&lt;tr&gt;			&lt;td style="width:545px;height:22px;"&gt;			&lt;p align="left"&gt;O spôsobe naloženia s vyjadreniami a návrhmi verejnosti&lt;/p&gt;			&lt;/td&gt;			&lt;td style="width:58px;height:22px;"&gt;			&lt;p align="center" style="margin-left:.35pt;"&gt;☐&lt;/p&gt;			&lt;/td&gt;		&lt;/tr&gt;		&lt;tr&gt;			&lt;td style="width:545px;height:22px;"&gt;			&lt;p align="left"&gt;Iné:&lt;sup&gt;1&lt;/sup&gt;&lt;/p&gt;			&lt;/td&gt;			&lt;td style="width:58px;height:22px;"&gt;			&lt;p align="center" style="margin-left:.35pt;"&gt;☐&lt;/p&gt;			&lt;/td&gt;		&lt;/tr&gt;	&lt;/tbody&gt;&lt;/table&gt;&lt;p align="left"&gt;&amp;nbsp;&lt;/p&gt;&lt;h1&gt;4.Forma prerokovania s verejnosťou&lt;/h1&gt;&lt;table border="0" cellpadding="0" cellspacing="0" style="width:603px;" width="0"&gt;	&lt;tbody&gt;		&lt;tr&gt;			&lt;td style="width:545px;height:22px;"&gt;			&lt;p align="left"&gt;Osobne&amp;nbsp;&lt;/p&gt;			&lt;/td&gt;			&lt;td style="width:58px;height:22px;"&gt;			&lt;p align="center" style="margin-left:.35pt;"&gt;☒&lt;/p&gt;			&lt;/td&gt;		&lt;/tr&gt;		&lt;tr&gt;			&lt;td style="width:545px;height:22px;"&gt;			&lt;p align="left"&gt;Ústne&lt;/p&gt;			&lt;/td&gt;			&lt;td style="width:58px;height:22px;"&gt;			&lt;p align="center" style="margin-left:.35pt;"&gt;☐&lt;/p&gt;			&lt;/td&gt;		&lt;/tr&gt;		&lt;tr&gt;			&lt;td style="width:545px;height:22px;"&gt;			&lt;p align="left"&gt;Písomne&lt;/p&gt;			&lt;/td&gt;			&lt;td style="width:58px;height:22px;"&gt;			&lt;p align="center" style="margin-left:.35pt;"&gt;☐&lt;/p&gt;			&lt;/td&gt;		&lt;/tr&gt;		&lt;tr&gt;			&lt;td style="width:545px;height:22px;"&gt;			&lt;p align="left"&gt;Inou formou:&lt;sup&gt;1&lt;/sup&gt;&amp;nbsp;&lt;/p&gt;			&lt;/td&gt;			&lt;td style="width:58px;height:22px;"&gt;			&lt;p align="center" style="margin-left:.35pt;"&gt;☒&lt;/p&gt;			&lt;/td&gt;		&lt;/tr&gt;	&lt;/tbody&gt;&lt;/table&gt;&lt;p align="left" style="margin-left:-.25pt;"&gt;&lt;strong&gt;Odôvodnenie:&lt;/strong&gt;&lt;sup&gt;1&lt;/sup&gt;&amp;nbsp; Online rokovanie.&lt;/p&gt;&lt;p align="left"&gt;&amp;nbsp;&lt;/p&gt;&lt;h1&gt;5.Spôsoby prerokovania s verejnosťou&amp;nbsp;&lt;/h1&gt;&lt;table border="0" cellpadding="0" cellspacing="0" style="width:603px;" width="0"&gt;	&lt;tbody&gt;		&lt;tr&gt;			&lt;td style="width:548px;height:22px;"&gt;			&lt;p align="left"&gt;Pracovná skupina&lt;/p&gt;			&lt;/td&gt;			&lt;td style="width:55px;height:22px;"&gt;			&lt;p align="center" style="margin-left:.25pt;"&gt;☐&lt;/p&gt;			&lt;/td&gt;		&lt;/tr&gt;		&lt;tr&gt;			&lt;td style="width:548px;height:22px;"&gt;			&lt;p align="left"&gt;Konferencia&lt;/p&gt;			&lt;/td&gt;			&lt;td style="width:55px;height:22px;"&gt;			&lt;p align="center" style="margin-left:.25pt;"&gt;☐&lt;/p&gt;			&lt;/td&gt;		&lt;/tr&gt;		&lt;tr&gt;			&lt;td style="width:548px;height:22px;"&gt;			&lt;p align="left"&gt;Diskusia k legislatívnemu procesu&lt;sup&gt;2&lt;/sup&gt;&lt;/p&gt;			&lt;/td&gt;			&lt;td style="width:55px;height:22px;"&gt;			&lt;p align="center" style="margin-left:.25pt;"&gt;☐&lt;/p&gt;			&lt;/td&gt;		&lt;/tr&gt;		&lt;tr&gt;			&lt;td style="width:548px;height:22px;"&gt;			&lt;p align="left"&gt;Konzultácia&lt;sup&gt;3&lt;/sup&gt;&lt;/p&gt;			&lt;/td&gt;			&lt;td style="width:55px;height:22px;"&gt;			&lt;p align="center" style="margin-left:.25pt;"&gt;☒&lt;/p&gt;			&lt;/td&gt;		&lt;/tr&gt;		&lt;tr&gt;			&lt;td style="width:548px;height:22px;"&gt;			&lt;p align="left"&gt;Pripomienkovanie&lt;/p&gt;			&lt;/td&gt;			&lt;td style="width:55px;height:22px;"&gt;			&lt;p align="center" style="margin-left:.25pt;"&gt;☐&lt;/p&gt;			&lt;/td&gt;		&lt;/tr&gt;		&lt;tr&gt;			&lt;td style="width:548px;height:22px;"&gt;			&lt;p align="left"&gt;Iné:&lt;sup&gt;1&lt;/sup&gt;&lt;/p&gt;			&lt;/td&gt;			&lt;td style="width:55px;height:22px;"&gt;			&lt;p align="center" style="margin-left:.25pt;"&gt;☐&lt;/p&gt;			&lt;/td&gt;		&lt;/tr&gt;	&lt;/tbody&gt;&lt;/table&gt;&lt;p align="left"&gt;&amp;nbsp;&lt;/p&gt;&lt;h1&gt;6.Okruhy subjektov predkladateľom adresne vyzvané na účasť na tvorbe právneho predpisu&lt;/h1&gt;&lt;table border="0" cellpadding="0" cellspacing="0" style="width:603px;" width="0"&gt;	&lt;tbody&gt;		&lt;tr&gt;			&lt;td style="width:482px;height:19px;"&gt;			&lt;p align="center"&gt;Okruh subjektov&lt;/p&gt;			&lt;/td&gt;			&lt;td style="width:121px;height:19px;"&gt;			&lt;p align="left" style="margin-left:1.8pt;"&gt;Počet subjektov&lt;/p&gt;			&lt;/td&gt;		&lt;/tr&gt;		&lt;tr&gt;			&lt;td style="width:482px;height:19px;"&gt;			&lt;p align="left"&gt;Záujmové združenia subjektov územnej samosprávy&lt;/p&gt;			&lt;/td&gt;			&lt;td style="width:121px;height:19px;"&gt;			&lt;p align="center" style="margin-left:1.8pt;"&gt;&amp;nbsp;&lt;/p&gt;			&lt;/td&gt;		&lt;/tr&gt;		&lt;tr&gt;			&lt;td style="width:482px;height:19px;"&gt;			&lt;p align="left"&gt;Podnikatelia a záujmové združenia podnikateľov&lt;/p&gt;			&lt;/td&gt;			&lt;td style="width:121px;height:19px;"&gt;			&lt;p align="center" style="margin-left:1.8pt;"&gt;&amp;nbsp;11&lt;/p&gt;			&lt;/td&gt;		&lt;/tr&gt;		&lt;tr&gt;			&lt;td style="width:482px;height:19px;"&gt;			&lt;p align="left"&gt;Mimovládne neziskové organizácie&lt;sup&gt;4&lt;/sup&gt;&lt;/p&gt;			&lt;/td&gt;			&lt;td style="width:121px;height:19px;"&gt;			&lt;p align="center" style="margin-left:1.8pt;"&gt;&amp;nbsp;&lt;/p&gt;			&lt;/td&gt;		&lt;/tr&gt;		&lt;tr&gt;			&lt;td style="width:482px;height:19px;"&gt;			&lt;p align="left"&gt;Akademická a vedecká obec&lt;/p&gt;			&lt;/td&gt;			&lt;td style="width:121px;height:19px;"&gt;			&lt;p align="center" style="margin-left:1.8pt;"&gt;&amp;nbsp;&lt;/p&gt;			&lt;/td&gt;		&lt;/tr&gt;		&lt;tr&gt;			&lt;td style="width:482px;height:19px;"&gt;			&lt;p align="left"&gt;Cirkvi a náboženské spoločnosti&lt;/p&gt;			&lt;/td&gt;			&lt;td style="width:121px;height:19px;"&gt;			&lt;p align="center" style="margin-left:1.8pt;"&gt;&amp;nbsp;&lt;/p&gt;			&lt;/td&gt;		&lt;/tr&gt;		&lt;tr&gt;			&lt;td style="width:482px;height:19px;"&gt;			&lt;p align="left"&gt;Iné:&lt;sup&gt;1&lt;/sup&gt;&amp;nbsp;&lt;/p&gt;			&lt;/td&gt;			&lt;td style="width:121px;height:19px;"&gt;			&lt;p align="center" style="margin-left:1.8pt;"&gt;&amp;nbsp;&lt;/p&gt;			&lt;/td&gt;		&lt;/tr&gt;	&lt;/tbody&gt;&lt;/table&gt;&lt;p align="left" style="margin-left:-.25pt;"&gt;&lt;strong&gt;Odôvodnenie:&lt;/strong&gt;&lt;sup&gt;1&lt;/sup&gt;&lt;/p&gt;&lt;h1&gt;7.Okruhy adresne vyzvaných subjektov aktívne zúčastnených na tvorbe právneho predpisu&lt;/h1&gt;&lt;table border="0" cellpadding="0" cellspacing="0" style="width:603px;" width="0"&gt;	&lt;tbody&gt;		&lt;tr&gt;			&lt;td style="width:482px;height:19px;"&gt;			&lt;p align="center"&gt;Okruh subjektov&lt;/p&gt;			&lt;/td&gt;			&lt;td style="width:121px;height:19px;"&gt;			&lt;p align="left" style="margin-left:1.8pt;"&gt;Počet subjektov&lt;/p&gt;			&lt;/td&gt;		&lt;/tr&gt;		&lt;tr&gt;			&lt;td style="width:482px;height:19px;"&gt;			&lt;p align="left"&gt;Záujmové združenia subjektov územnej samosprávy&lt;/p&gt;			&lt;/td&gt;			&lt;td style="width:121px;height:19px;"&gt;			&lt;p align="center" style="margin-left:1.8pt;"&gt;&amp;nbsp;&lt;/p&gt;			&lt;/td&gt;		&lt;/tr&gt;		&lt;tr&gt;			&lt;td style="width:482px;height:19px;"&gt;			&lt;p align="left"&gt;Podnikatelia a záujmové združenia podnikateľov&lt;/p&gt;			&lt;/td&gt;			&lt;td style="width:121px;height:19px;"&gt;			&lt;p align="center" style="margin-left:1.8pt;"&gt;&amp;nbsp;10&lt;/p&gt;			&lt;/td&gt;		&lt;/tr&gt;		&lt;tr&gt;			&lt;td style="width:482px;height:19px;"&gt;			&lt;p align="left"&gt;Mimovládne neziskové organizácie&lt;sup&gt;4&lt;/sup&gt;&lt;/p&gt;			&lt;/td&gt;			&lt;td style="width:121px;height:19px;"&gt;			&lt;p align="center" style="margin-left:1.8pt;"&gt;&amp;nbsp;&lt;/p&gt;			&lt;/td&gt;		&lt;/tr&gt;		&lt;tr&gt;			&lt;td style="width:482px;height:19px;"&gt;			&lt;p align="left"&gt;Akademická a vedecká obec&lt;/p&gt;			&lt;/td&gt;			&lt;td style="width:121px;height:19px;"&gt;			&lt;p align="center" style="margin-left:1.8pt;"&gt;&amp;nbsp;&lt;/p&gt;			&lt;/td&gt;		&lt;/tr&gt;		&lt;tr&gt;			&lt;td style="width:482px;height:19px;"&gt;			&lt;p align="left"&gt;Cirkvi a náboženské spoločnosti&lt;/p&gt;			&lt;/td&gt;			&lt;td style="width:121px;height:19px;"&gt;			&lt;p align="center" style="margin-left:1.8pt;"&gt;&amp;nbsp;&lt;/p&gt;			&lt;/td&gt;		&lt;/tr&gt;		&lt;tr&gt;			&lt;td style="width:482px;height:19px;"&gt;			&lt;p align="left"&gt;Iné:&lt;sup&gt;1&lt;/sup&gt;&amp;nbsp;&lt;/p&gt;			&lt;/td&gt;			&lt;td style="width:121px;height:19px;"&gt;			&lt;p align="center" style="margin-left:1.8pt;"&gt;&amp;nbsp;&lt;/p&gt;			&lt;/td&gt;		&lt;/tr&gt;	&lt;/tbody&gt;&lt;/table&gt;&lt;p align="left"&gt;&amp;nbsp;&lt;/p&gt;&lt;h1&gt;8.Okruhy subjektov, ktoré prejavili záujem zúčastniť sa na tvorbe právneho predpisu z vlastnej iniciatívy&lt;/h1&gt;&lt;table border="0" cellpadding="0" cellspacing="0" style="width:603px;" width="0"&gt;	&lt;tbody&gt;		&lt;tr&gt;			&lt;td style="width:482px;height:19px;"&gt;			&lt;p align="center"&gt;Okruh subjektov&lt;/p&gt;			&lt;/td&gt;			&lt;td style="width:121px;height:19px;"&gt;			&lt;p align="left" style="margin-left:1.8pt;"&gt;Počet subjektov&lt;/p&gt;			&lt;/td&gt;		&lt;/tr&gt;		&lt;tr&gt;			&lt;td style="width:482px;height:19px;"&gt;			&lt;p align="left"&gt;Záujmové združenia subjektov územnej samosprávy&lt;/p&gt;			&lt;/td&gt;			&lt;td style="width:121px;height:19px;"&gt;			&lt;p align="center" style="margin-left:1.8pt;"&gt;&amp;nbsp;&lt;/p&gt;			&lt;/td&gt;		&lt;/tr&gt;		&lt;tr&gt;			&lt;td style="width:482px;height:19px;"&gt;			&lt;p align="left"&gt;Podnikatelia a záujmové združenia podnikateľov&lt;/p&gt;			&lt;/td&gt;			&lt;td style="width:121px;height:19px;"&gt;			&lt;p align="center" style="margin-left:1.8pt;"&gt;&amp;nbsp;2&lt;/p&gt;			&lt;/td&gt;		&lt;/tr&gt;		&lt;tr&gt;			&lt;td style="width:482px;height:19px;"&gt;			&lt;p align="left"&gt;Mimovládne neziskové organizácie&lt;sup&gt;4&lt;/sup&gt;&lt;/p&gt;			&lt;/td&gt;			&lt;td style="width:121px;height:19px;"&gt;			&lt;p align="center" style="margin-left:1.8pt;"&gt;&amp;nbsp;&lt;/p&gt;			&lt;/td&gt;		&lt;/tr&gt;		&lt;tr&gt;			&lt;td style="width:482px;height:19px;"&gt;			&lt;p align="left"&gt;Akademická a vedecká obec&lt;/p&gt;			&lt;/td&gt;			&lt;td style="width:121px;height:19px;"&gt;			&lt;p align="center" style="margin-left:1.8pt;"&gt;&amp;nbsp;&lt;/p&gt;			&lt;/td&gt;		&lt;/tr&gt;		&lt;tr&gt;			&lt;td style="width:482px;height:19px;"&gt;			&lt;p align="left"&gt;Cirkvi a náboženské spoločnosti&lt;/p&gt;			&lt;/td&gt;			&lt;td style="width:121px;height:19px;"&gt;			&lt;p align="center" style="margin-left:1.8pt;"&gt;&amp;nbsp;&lt;/p&gt;			&lt;/td&gt;		&lt;/tr&gt;		&lt;tr&gt;			&lt;td style="width:482px;height:19px;"&gt;			&lt;p align="left"&gt;Iné:&lt;sup&gt;1&lt;/sup&gt;&amp;nbsp;&lt;/p&gt;			&lt;/td&gt;			&lt;td style="width:121px;height:19px;"&gt;			&lt;p align="center" style="margin-left:1.8pt;"&gt;&amp;nbsp;&lt;/p&gt;			&lt;/td&gt;		&lt;/tr&gt;	&lt;/tbody&gt;&lt;/table&gt;&lt;p align="left"&gt;&amp;nbsp;&lt;/p&gt;&lt;h1&gt;9.Okruhy iniciatívnych subjektov aktívne zúčastnených na tvorbe právneho predpisu&lt;/h1&gt;&lt;table border="0" cellpadding="0" cellspacing="0" style="width:603px;" width="0"&gt;	&lt;tbody&gt;		&lt;tr&gt;			&lt;td style="width:482px;height:19px;"&gt;			&lt;p align="center"&gt;Okruh subjektov&lt;/p&gt;			&lt;/td&gt;			&lt;td style="width:121px;height:19px;"&gt;			&lt;p align="left" style="margin-left:1.8pt;"&gt;Počet subjektov&lt;/p&gt;			&lt;/td&gt;		&lt;/tr&gt;		&lt;tr&gt;			&lt;td style="width:482px;height:19px;"&gt;			&lt;p align="left"&gt;Záujmové združenia subjektov územnej samosprávy&lt;/p&gt;			&lt;/td&gt;			&lt;td style="width:121px;height:19px;"&gt;			&lt;p align="center" style="margin-left:1.8pt;"&gt;&amp;nbsp;&lt;/p&gt;			&lt;/td&gt;		&lt;/tr&gt;		&lt;tr&gt;			&lt;td style="width:482px;height:19px;"&gt;			&lt;p align="left"&gt;Podnikatelia a záujmové združenia podnikateľov&lt;/p&gt;			&lt;/td&gt;			&lt;td style="width:121px;height:19px;"&gt;			&lt;p align="center" style="margin-left:1.8pt;"&gt;&amp;nbsp;2&lt;/p&gt;			&lt;/td&gt;		&lt;/tr&gt;		&lt;tr&gt;			&lt;td style="width:482px;height:19px;"&gt;			&lt;p align="left"&gt;Mimovládne neziskové organizácie&lt;sup&gt;4&lt;/sup&gt;&lt;/p&gt;			&lt;/td&gt;			&lt;td style="width:121px;height:19px;"&gt;			&lt;p align="center" style="margin-left:1.8pt;"&gt;&amp;nbsp;&lt;/p&gt;			&lt;/td&gt;		&lt;/tr&gt;		&lt;tr&gt;			&lt;td style="width:482px;height:19px;"&gt;			&lt;p align="left"&gt;Akademická a vedecká obec&lt;/p&gt;			&lt;/td&gt;			&lt;td style="width:121px;height:19px;"&gt;			&lt;p align="center" style="margin-left:1.8pt;"&gt;&amp;nbsp;&lt;/p&gt;			&lt;/td&gt;		&lt;/tr&gt;		&lt;tr&gt;			&lt;td style="width:482px;height:19px;"&gt;			&lt;p align="left"&gt;Cirkvi a náboženské spoločnosti&lt;/p&gt;			&lt;/td&gt;			&lt;td style="width:121px;height:19px;"&gt;			&lt;p align="center" style="margin-left:1.8pt;"&gt;&amp;nbsp;&lt;/p&gt;			&lt;/td&gt;		&lt;/tr&gt;		&lt;tr&gt;			&lt;td style="width:482px;height:19px;"&gt;			&lt;p align="left"&gt;Iné:&lt;sup&gt;1&lt;/sup&gt;&amp;nbsp;&lt;/p&gt;			&lt;/td&gt;			&lt;td style="width:121px;height:19px;"&gt;			&lt;p align="center" style="margin-left:1.8pt;"&gt;&amp;nbsp;&lt;/p&gt;			&lt;/td&gt;		&lt;/tr&gt;	&lt;/tbody&gt;&lt;/table&gt;&lt;p align="left"&gt;&amp;nbsp;&lt;/p&gt;&lt;h1&gt;10.Spôsob naloženia s vyjadreniami a návrhmi zapojených subjektov&lt;/h1&gt;&lt;table border="0" cellpadding="0" cellspacing="0" style="width:604px;" width="0"&gt;	&lt;tbody&gt;		&lt;tr&gt;			&lt;td style="width:396px;height:38px;"&gt;			&lt;p align="center"&gt;Okruh subjektov&lt;/p&gt;			&lt;/td&gt;			&lt;td style="width:207px;height:38px;"&gt;			&lt;p align="center" style="margin-left:1.9pt;"&gt;Prevažne&amp;nbsp; akceptované / neakceptované&lt;/p&gt;			&lt;/td&gt;		&lt;/tr&gt;		&lt;tr&gt;			&lt;td style="width:396px;height:22px;"&gt;			&lt;p align="left"&gt;Orgány verejnej správy&lt;/p&gt;			&lt;/td&gt;			&lt;td style="width:207px;height:22px;"&gt;			&lt;p align="center"&gt;☐ / ☐&lt;/p&gt;			&lt;/td&gt;		&lt;/tr&gt;		&lt;tr&gt;			&lt;td style="width:396px;height:22px;"&gt;			&lt;p align="left"&gt;Záujmové združenia subjektov územnej samosprávy&lt;/p&gt;			&lt;/td&gt;			&lt;td style="width:207px;height:22px;"&gt;			&lt;p align="center"&gt;☐ / ☐&lt;/p&gt;			&lt;/td&gt;		&lt;/tr&gt;		&lt;tr&gt;			&lt;td style="width:396px;height:23px;"&gt;			&lt;p align="left"&gt;Podnikatelia a záujmové združenia podnikateľov&lt;/p&gt;			&lt;/td&gt;			&lt;td style="width:207px;height:23px;"&gt;			&lt;p align="center"&gt;☒ / ☐&lt;/p&gt;			&lt;/td&gt;		&lt;/tr&gt;		&lt;tr&gt;			&lt;td style="width:396px;height:22px;"&gt;			&lt;p align="left"&gt;Mimovládne neziskové organizácie&lt;sup&gt;4&lt;/sup&gt;&lt;/p&gt;			&lt;/td&gt;			&lt;td style="width:207px;height:22px;"&gt;			&lt;p align="center"&gt;☐ / ☐&lt;/p&gt;			&lt;/td&gt;		&lt;/tr&gt;		&lt;tr&gt;			&lt;td style="width:396px;height:22px;"&gt;			&lt;p align="left"&gt;Akademická a vedecká obec&lt;/p&gt;			&lt;/td&gt;			&lt;td style="width:207px;height:22px;"&gt;			&lt;p align="center"&gt;☐ / ☐&lt;/p&gt;			&lt;/td&gt;		&lt;/tr&gt;		&lt;tr&gt;			&lt;td style="width:396px;height:22px;"&gt;			&lt;p align="left"&gt;Cirkvi a náboženské spoločnosti&lt;/p&gt;			&lt;/td&gt;			&lt;td style="width:207px;height:22px;"&gt;			&lt;p align="center"&gt;☐ / ☐&lt;/p&gt;			&lt;/td&gt;		&lt;/tr&gt;		&lt;tr&gt;			&lt;td style="width:396px;height:22px;"&gt;			&lt;p align="left"&gt;Iné:&lt;sup&gt;1&lt;/sup&gt;&lt;/p&gt;			&lt;/td&gt;			&lt;td style="width:207px;height:22px;"&gt;			&lt;p align="center"&gt;☐ / ☐&lt;/p&gt;			&lt;/td&gt;		&lt;/tr&gt;	&lt;/tbody&gt;&lt;/table&gt;&lt;p align="left" style="margin-left:-.25pt;"&gt;&lt;strong&gt;Odôvodnenie:&lt;/strong&gt;&lt;sup&gt;1&lt;/sup&gt; &amp;nbsp;&lt;/p&gt;&lt;p align="left"&gt;&amp;nbsp;&lt;/p&gt;&lt;h1&gt;11.Vyhodnotenie účasti verejnosti na tvorbe právneho predpisu predkladateľom:&lt;sup&gt;1&lt;/sup&gt;&lt;/h1&gt;&lt;p align="left"&gt;&amp;nbsp;&lt;/p&gt;&lt;p align="left"&gt;&amp;nbsp;&lt;/p&gt;&lt;p align="left" style="margin-left:-.25pt;"&gt;&lt;strong&gt;Vysvetlivky: &lt;/strong&gt;&lt;/p&gt;&lt;ol&gt;	&lt;li&gt;Vypĺňa sa nepovinne, ak sa predkladateľ rozhodne nepovinné údaje vyplniť, uvedie ich slovne.&amp;nbsp;&lt;/li&gt;	&lt;li&gt;Prostredníctvom právneho a informačného portálu Slov-Lex.&lt;/li&gt;	&lt;li&gt;Podľa Jednotnej metodiky na posudzovanie vybraných vplyvov a podľa § 2 zákona o tripartite.&lt;/li&gt;	&lt;li&gt;Vrátane odborových organizácií a ich združení.&lt;/li&gt;&lt;/ol&gt;&lt;p&gt;&amp;nbsp;&lt;/p&gt;</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Medzirezortné pripomienkové konanie</vt:lpwstr>
  </property>
  <property fmtid="{D5CDD505-2E9C-101B-9397-08002B2CF9AE}" pid="6" name="FSC#SKEDITIONSLOVLEX@103.510:povodpredpis">
    <vt:lpwstr>Slovlex (eLeg)</vt:lpwstr>
  </property>
  <property fmtid="{D5CDD505-2E9C-101B-9397-08002B2CF9AE}" pid="7" name="FSC#SKEDITIONSLOVLEX@103.510:legoblast">
    <vt:lpwstr>Finančné právo_x000d_
Daňové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Katarína Ridošová</vt:lpwstr>
  </property>
  <property fmtid="{D5CDD505-2E9C-101B-9397-08002B2CF9AE}" pid="11" name="FSC#SKEDITIONSLOVLEX@103.510:zodppredkladatel">
    <vt:lpwstr>Mgr. Michal Horváth</vt:lpwstr>
  </property>
  <property fmtid="{D5CDD505-2E9C-101B-9397-08002B2CF9AE}" pid="12" name="FSC#SKEDITIONSLOVLEX@103.510:dalsipredkladatel">
    <vt:lpwstr/>
  </property>
  <property fmtid="{D5CDD505-2E9C-101B-9397-08002B2CF9AE}" pid="13" name="FSC#SKEDITIONSLOVLEX@103.510:nazovpredpis">
    <vt:lpwstr>  o dorovnávacej dani na zabezpečenie minimálnej úrovne zdanenia nadnárodných skupín podnikov a veľkých vnútroštátnych skupín a o doplnení zákona č. 563/2009 Z. z. o správe daní (daňový poriadok) a o zmene a doplnení niektorých zákonov v znení neskorších </vt:lpwstr>
  </property>
  <property fmtid="{D5CDD505-2E9C-101B-9397-08002B2CF9AE}" pid="14" name="FSC#SKEDITIONSLOVLEX@103.510:nazovpredpis1">
    <vt:lpwstr>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financií Slovenskej republiky</vt:lpwstr>
  </property>
  <property fmtid="{D5CDD505-2E9C-101B-9397-08002B2CF9AE}" pid="19"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 Ministerstvo financií Slovenskej republiky</vt:lpwstr>
  </property>
  <property fmtid="{D5CDD505-2E9C-101B-9397-08002B2CF9AE}" pid="20" name="FSC#SKEDITIONSLOVLEX@103.510:autorpredpis">
    <vt:lpwstr/>
  </property>
  <property fmtid="{D5CDD505-2E9C-101B-9397-08002B2CF9AE}" pid="21" name="FSC#SKEDITIONSLOVLEX@103.510:podnetpredpis">
    <vt:lpwstr>Transpozícia smernice Rady EÚ č. 2022/2523 z 15. decembra 2022 o zabezpečení globálnej minimálnej úrovne zdanenia nadnárodných skupín podnikov a veľkých vnútroštátnych skupín v Únii.</vt:lpwstr>
  </property>
  <property fmtid="{D5CDD505-2E9C-101B-9397-08002B2CF9AE}" pid="22" name="FSC#SKEDITIONSLOVLEX@103.510:plnynazovpredpis">
    <vt:lpwstr> Zákon  o dorovnávacej dani na zabezpečenie minimálnej úrovne zdanenia nadnárodných skupín podnikov a veľkých vnútroštátnych skupín a o doplnení zákona č. 563/2009 Z. z. o správe daní (daňový poriadok) a o zmene a doplnení niektorých zákonov v znení nesko</vt:lpwstr>
  </property>
  <property fmtid="{D5CDD505-2E9C-101B-9397-08002B2CF9AE}" pid="23" name="FSC#SKEDITIONSLOVLEX@103.510:plnynazovpredpis1">
    <vt:lpwstr>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MF/005732/2023-724</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LP/2023/477</vt:lpwstr>
  </property>
  <property fmtid="{D5CDD505-2E9C-101B-9397-08002B2CF9AE}" pid="36" name="FSC#SKEDITIONSLOVLEX@103.510:typsprievdok">
    <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
  </property>
  <property fmtid="{D5CDD505-2E9C-101B-9397-08002B2CF9AE}" pid="136" name="FSC#SKEDITIONSLOVLEX@103.510:AttrStrListDocPropUznesenieNaVedomie">
    <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financií Slovenskej republiky</vt:lpwstr>
  </property>
  <property fmtid="{D5CDD505-2E9C-101B-9397-08002B2CF9AE}" pid="141" name="FSC#SKEDITIONSLOVLEX@103.510:funkciaZodpPredAkuzativ">
    <vt:lpwstr>Ministra financií Slovenskej republiky</vt:lpwstr>
  </property>
  <property fmtid="{D5CDD505-2E9C-101B-9397-08002B2CF9AE}" pid="142" name="FSC#SKEDITIONSLOVLEX@103.510:funkciaZodpPredDativ">
    <vt:lpwstr>Ministrovi financií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Mgr. Michal Horváth_x000d_
Minister financií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&lt;p&gt;Predkladacia správa&lt;/p&gt;&lt;p&gt;&amp;nbsp;&lt;/p&gt;&lt;p&gt;&amp;nbsp;&lt;/p&gt;&lt;p&gt;Ministerstvo financií SR predkladá na medzirezortné pripomienkové konanie Návrh zákona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 Predkladaným návrhom zákona sa implementuje smernica Rady (EÚ) 2022/2523 z 15. decembra 2022 o zabezpečení globálnej minimálnej úrovne zdanenia nadnárodných skupín podnikov a veľkých vnútroštátnych skupín v&amp;nbsp;Únii.&lt;/p&gt;&lt;p&gt;&amp;nbsp;&lt;/p&gt;&lt;p&gt;Zámerom návrhu zákona je zabezpečiť minimálne zdanenie príjmov subjektov nachádzajúcich sa v&amp;nbsp;Slovenskej republike, ktorí sú členmi nadnárodnej skupiny podnikov alebo veľkej vnútroštátnej skupiny.&lt;/p&gt;&lt;p&gt;&amp;nbsp;&lt;/p&gt;&lt;p&gt;Návrh zákona sa vzťahuje na subjekty konsolidovanej skupiny podnikov s ročnými výnosmi aspoň 750 miliónov eur dosiahnutých v najmenej dvoch zo štyroch účtovných období predchádzajúcich analyzovanému účtovnému obdobiu. Ak efektívne zdanenie príjmov subjektov skupiny v&amp;nbsp;Slovenskej republike bude pod úrovňou minimálnej sadzby dane 15 %, minimálne zdanenie týchto subjektov sa zabezpečí výberom dorovnávacej dane.&lt;/p&gt;&lt;p&gt;&amp;nbsp;&lt;/p&gt;&lt;p&gt;Z rozsahu pôsobnosti návrhu zákona sú vylúčené subjekty, ktoré vykonávajú činnosti vo verejnom záujme a&amp;nbsp;nevykonávajú obchodnú alebo podnikateľskú činnosť. Ide najmä o vládne subjekty, medzinárodné organizácie, neziskové organizácie, dôchodkové fondy a investičné fondy alebo investičné subjekty v oblasti nehnuteľností nachádzajúce sa na vrchole štruktúry skupiny.&lt;/p&gt;&lt;p&gt;&amp;nbsp;&lt;/p&gt;&lt;p&gt;Návrhom zákona sa sleduje zabezpečenie náležitej transpozície a&amp;nbsp;uplatnenia príslušných ustanovení smernice Európskej únie.&lt;/p&gt;&lt;p&gt;&amp;nbsp;&lt;/p&gt;&lt;p&gt;Vplyvy návrhu zákona na rozpočet verejnej správy, na podnikateľské prostredie, vplyvy na informatizáciu spoločnosti sú uvedené v doložke vybraných vplyvov. Návrh zákona nebude mať sociálne vplyvy, vplyvy na životné prostredie, vplyvy na služby verejnej správy pre občana, ani vplyvy na manželstvo, rodičovstvo a rodinu.&lt;/p&gt;&lt;p&gt;&amp;nbsp;&lt;/p&gt;&lt;p&gt;Účinnosť predkladaného zákona sa navrhuje s&amp;nbsp;dostatočne dlhou legisvakanciou.&lt;/p&gt;&lt;p&gt;&amp;nbsp;&lt;/p&gt;&lt;p&gt;Predkladaný návrh zákona je v súlade s Ústavou Slovenskej republiky,&lt;br /&gt;s ústavnými zákonmi, nálezmi Ústavného súdu Slovenskej republiky, so zákonmi a ostatnými všeobecne záväznými právnymi predpismi, s medzinárodnými zmluvami a inými medzinárodnými dokumentmi, ktorými je Slovenská republika viazaná a s právom Európskej únie.&lt;/p&gt;&lt;p&gt;&amp;nbsp;&lt;/p&gt;&lt;p&gt;Dátum účinnosti sa navrhuje 31. decembra 2023.&lt;/p&gt;&lt;p&gt;&amp;nbsp;&lt;/p&gt;&lt;p&gt;Návrh zákona nie je predmetom vnútrokomunitárneho pripomienkového konania.&lt;/p&gt;</vt:lpwstr>
  </property>
  <property fmtid="{D5CDD505-2E9C-101B-9397-08002B2CF9AE}" pid="149" name="FSC#COOSYSTEM@1.1:Container">
    <vt:lpwstr>COO.2145.1000.3.5800735</vt:lpwstr>
  </property>
  <property fmtid="{D5CDD505-2E9C-101B-9397-08002B2CF9AE}" pid="150" name="FSC#FSCFOLIO@1.1001:docpropproject">
    <vt:lpwstr/>
  </property>
  <property fmtid="{D5CDD505-2E9C-101B-9397-08002B2CF9AE}" pid="151" name="FSC#SKEDITIONSLOVLEX@103.510:aktualnyrok">
    <vt:lpwstr>2023</vt:lpwstr>
  </property>
  <property fmtid="{D5CDD505-2E9C-101B-9397-08002B2CF9AE}" pid="152" name="FSC#SKEDITIONSLOVLEX@103.510:vytvorenedna">
    <vt:lpwstr>18. 8. 2023</vt:lpwstr>
  </property>
</Properties>
</file>