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AB3" w:rsidRDefault="00F373CC" w:rsidP="00F373CC">
      <w:pPr>
        <w:jc w:val="center"/>
        <w:rPr>
          <w:rFonts w:ascii="Arial" w:hAnsi="Arial" w:cs="Arial"/>
          <w:b/>
          <w:sz w:val="18"/>
          <w:szCs w:val="18"/>
        </w:rPr>
      </w:pPr>
      <w:r w:rsidRPr="005F6CE1">
        <w:rPr>
          <w:rFonts w:ascii="Arial" w:hAnsi="Arial" w:cs="Arial"/>
          <w:b/>
          <w:sz w:val="18"/>
          <w:szCs w:val="18"/>
        </w:rPr>
        <w:t xml:space="preserve">MPK: návrh zákona </w:t>
      </w:r>
      <w:r w:rsidR="008C6C4A" w:rsidRPr="005F6CE1">
        <w:rPr>
          <w:rFonts w:ascii="Arial" w:hAnsi="Arial" w:cs="Arial"/>
          <w:b/>
          <w:sz w:val="18"/>
          <w:szCs w:val="18"/>
        </w:rPr>
        <w:t>č. 595/2003 Z.</w:t>
      </w:r>
      <w:r w:rsidR="00691977" w:rsidRPr="005F6CE1">
        <w:rPr>
          <w:rFonts w:ascii="Arial" w:hAnsi="Arial" w:cs="Arial"/>
          <w:b/>
          <w:sz w:val="18"/>
          <w:szCs w:val="18"/>
        </w:rPr>
        <w:t xml:space="preserve"> </w:t>
      </w:r>
      <w:r w:rsidR="008C6C4A" w:rsidRPr="005F6CE1">
        <w:rPr>
          <w:rFonts w:ascii="Arial" w:hAnsi="Arial" w:cs="Arial"/>
          <w:b/>
          <w:sz w:val="18"/>
          <w:szCs w:val="18"/>
        </w:rPr>
        <w:t xml:space="preserve">z. </w:t>
      </w:r>
      <w:r w:rsidR="00026858" w:rsidRPr="005F6CE1">
        <w:rPr>
          <w:rFonts w:ascii="Arial" w:hAnsi="Arial" w:cs="Arial"/>
          <w:b/>
          <w:sz w:val="18"/>
          <w:szCs w:val="18"/>
        </w:rPr>
        <w:t>o</w:t>
      </w:r>
      <w:r w:rsidR="008C6C4A" w:rsidRPr="005F6CE1">
        <w:rPr>
          <w:rFonts w:ascii="Arial" w:hAnsi="Arial" w:cs="Arial"/>
          <w:b/>
          <w:sz w:val="18"/>
          <w:szCs w:val="18"/>
        </w:rPr>
        <w:t xml:space="preserve"> dani z príjmov </w:t>
      </w:r>
      <w:r w:rsidR="007D0357" w:rsidRPr="005F6CE1">
        <w:rPr>
          <w:rFonts w:ascii="Arial" w:hAnsi="Arial" w:cs="Arial"/>
          <w:b/>
          <w:sz w:val="18"/>
          <w:szCs w:val="18"/>
        </w:rPr>
        <w:t>v znení neskorších predpisov</w:t>
      </w:r>
    </w:p>
    <w:p w:rsidR="00EB2508" w:rsidRPr="005F6CE1" w:rsidRDefault="00EB2508" w:rsidP="00F373CC">
      <w:pPr>
        <w:jc w:val="center"/>
        <w:rPr>
          <w:rFonts w:ascii="Arial" w:hAnsi="Arial" w:cs="Arial"/>
          <w:b/>
          <w:sz w:val="18"/>
          <w:szCs w:val="18"/>
        </w:rPr>
      </w:pPr>
      <w:bookmarkStart w:id="0" w:name="_GoBack"/>
      <w:bookmarkEnd w:id="0"/>
    </w:p>
    <w:p w:rsidR="00F373CC" w:rsidRPr="005F6CE1" w:rsidRDefault="00F373CC">
      <w:pPr>
        <w:rPr>
          <w:rFonts w:ascii="Arial" w:hAnsi="Arial" w:cs="Arial"/>
          <w:b/>
          <w:sz w:val="18"/>
          <w:szCs w:val="18"/>
          <w:u w:val="single"/>
        </w:rPr>
      </w:pPr>
      <w:r w:rsidRPr="005F6CE1">
        <w:rPr>
          <w:rFonts w:ascii="Arial" w:hAnsi="Arial" w:cs="Arial"/>
          <w:b/>
          <w:sz w:val="18"/>
          <w:szCs w:val="18"/>
          <w:u w:val="single"/>
        </w:rPr>
        <w:t>Pripomienky k ustanoveniam novely zákona</w:t>
      </w:r>
    </w:p>
    <w:p w:rsidR="00F373CC" w:rsidRPr="005F6CE1" w:rsidRDefault="00F373CC">
      <w:pPr>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
        <w:gridCol w:w="3180"/>
        <w:gridCol w:w="2936"/>
        <w:gridCol w:w="5832"/>
        <w:gridCol w:w="1617"/>
      </w:tblGrid>
      <w:tr w:rsidR="009D0A39" w:rsidRPr="005F6CE1" w:rsidTr="00D17F3E">
        <w:tc>
          <w:tcPr>
            <w:tcW w:w="431" w:type="dxa"/>
          </w:tcPr>
          <w:p w:rsidR="009D0A39" w:rsidRPr="005F6CE1" w:rsidRDefault="009D0A39" w:rsidP="00691977">
            <w:pPr>
              <w:rPr>
                <w:rFonts w:ascii="Arial" w:hAnsi="Arial" w:cs="Arial"/>
                <w:sz w:val="18"/>
                <w:szCs w:val="18"/>
              </w:rPr>
            </w:pPr>
          </w:p>
        </w:tc>
        <w:tc>
          <w:tcPr>
            <w:tcW w:w="3228" w:type="dxa"/>
          </w:tcPr>
          <w:p w:rsidR="009D0A39" w:rsidRPr="005F6CE1" w:rsidRDefault="009D0A39" w:rsidP="00691977">
            <w:pPr>
              <w:rPr>
                <w:rFonts w:ascii="Arial" w:hAnsi="Arial" w:cs="Arial"/>
                <w:sz w:val="18"/>
                <w:szCs w:val="18"/>
              </w:rPr>
            </w:pPr>
            <w:r w:rsidRPr="005F6CE1">
              <w:rPr>
                <w:rFonts w:ascii="Arial" w:hAnsi="Arial" w:cs="Arial"/>
                <w:sz w:val="18"/>
                <w:szCs w:val="18"/>
              </w:rPr>
              <w:t xml:space="preserve">Označenie ustanovenia: </w:t>
            </w:r>
          </w:p>
          <w:p w:rsidR="009D0A39" w:rsidRPr="005F6CE1" w:rsidRDefault="009D0A39" w:rsidP="00691977">
            <w:pPr>
              <w:rPr>
                <w:rFonts w:ascii="Arial" w:hAnsi="Arial" w:cs="Arial"/>
                <w:sz w:val="18"/>
                <w:szCs w:val="18"/>
              </w:rPr>
            </w:pPr>
            <w:r w:rsidRPr="005F6CE1">
              <w:rPr>
                <w:rFonts w:ascii="Arial" w:hAnsi="Arial" w:cs="Arial"/>
                <w:sz w:val="18"/>
                <w:szCs w:val="18"/>
              </w:rPr>
              <w:t>K bodu (k§ ...ods....)</w:t>
            </w:r>
          </w:p>
        </w:tc>
        <w:tc>
          <w:tcPr>
            <w:tcW w:w="2980" w:type="dxa"/>
          </w:tcPr>
          <w:p w:rsidR="009D0A39" w:rsidRPr="005F6CE1" w:rsidRDefault="009D0A39">
            <w:pPr>
              <w:rPr>
                <w:rFonts w:ascii="Arial" w:hAnsi="Arial" w:cs="Arial"/>
                <w:sz w:val="18"/>
                <w:szCs w:val="18"/>
              </w:rPr>
            </w:pPr>
            <w:r w:rsidRPr="005F6CE1">
              <w:rPr>
                <w:rFonts w:ascii="Arial" w:hAnsi="Arial" w:cs="Arial"/>
                <w:sz w:val="18"/>
                <w:szCs w:val="18"/>
              </w:rPr>
              <w:t>Znenie pripomienky</w:t>
            </w:r>
          </w:p>
        </w:tc>
        <w:tc>
          <w:tcPr>
            <w:tcW w:w="5944" w:type="dxa"/>
          </w:tcPr>
          <w:p w:rsidR="009D0A39" w:rsidRPr="005F6CE1" w:rsidRDefault="009D0A39">
            <w:pPr>
              <w:rPr>
                <w:rFonts w:ascii="Arial" w:hAnsi="Arial" w:cs="Arial"/>
                <w:sz w:val="18"/>
                <w:szCs w:val="18"/>
              </w:rPr>
            </w:pPr>
            <w:r w:rsidRPr="005F6CE1">
              <w:rPr>
                <w:rFonts w:ascii="Arial" w:hAnsi="Arial" w:cs="Arial"/>
                <w:sz w:val="18"/>
                <w:szCs w:val="18"/>
              </w:rPr>
              <w:t>Odôvodnenie</w:t>
            </w:r>
          </w:p>
        </w:tc>
        <w:tc>
          <w:tcPr>
            <w:tcW w:w="1637" w:type="dxa"/>
          </w:tcPr>
          <w:p w:rsidR="009D0A39" w:rsidRPr="005F6CE1" w:rsidRDefault="009D0A39" w:rsidP="009D0A39">
            <w:pPr>
              <w:jc w:val="center"/>
              <w:rPr>
                <w:rFonts w:ascii="Arial" w:hAnsi="Arial" w:cs="Arial"/>
                <w:sz w:val="18"/>
                <w:szCs w:val="18"/>
              </w:rPr>
            </w:pPr>
            <w:r w:rsidRPr="005F6CE1">
              <w:rPr>
                <w:rFonts w:ascii="Arial" w:hAnsi="Arial" w:cs="Arial"/>
                <w:sz w:val="18"/>
                <w:szCs w:val="18"/>
              </w:rPr>
              <w:t>Zásadná / Obyčajná</w:t>
            </w:r>
          </w:p>
        </w:tc>
      </w:tr>
      <w:tr w:rsidR="00340320" w:rsidRPr="005F6CE1" w:rsidTr="00D17F3E">
        <w:tc>
          <w:tcPr>
            <w:tcW w:w="431" w:type="dxa"/>
          </w:tcPr>
          <w:p w:rsidR="00340320" w:rsidRPr="005F6CE1" w:rsidRDefault="00340320">
            <w:pPr>
              <w:rPr>
                <w:rFonts w:ascii="Arial" w:hAnsi="Arial" w:cs="Arial"/>
                <w:sz w:val="18"/>
                <w:szCs w:val="18"/>
              </w:rPr>
            </w:pPr>
            <w:r w:rsidRPr="005F6CE1">
              <w:rPr>
                <w:rFonts w:ascii="Arial" w:hAnsi="Arial" w:cs="Arial"/>
                <w:sz w:val="18"/>
                <w:szCs w:val="18"/>
              </w:rPr>
              <w:t>1</w:t>
            </w:r>
          </w:p>
        </w:tc>
        <w:tc>
          <w:tcPr>
            <w:tcW w:w="3228" w:type="dxa"/>
          </w:tcPr>
          <w:p w:rsidR="00340320" w:rsidRPr="005F6CE1" w:rsidRDefault="00340320" w:rsidP="00CF2CEA">
            <w:pPr>
              <w:rPr>
                <w:rFonts w:ascii="Arial" w:hAnsi="Arial" w:cs="Arial"/>
                <w:sz w:val="18"/>
                <w:szCs w:val="18"/>
              </w:rPr>
            </w:pPr>
            <w:r w:rsidRPr="005F6CE1">
              <w:rPr>
                <w:rFonts w:ascii="Arial" w:hAnsi="Arial" w:cs="Arial"/>
                <w:color w:val="000000"/>
                <w:sz w:val="18"/>
                <w:szCs w:val="18"/>
              </w:rPr>
              <w:t xml:space="preserve">Nový bod </w:t>
            </w:r>
            <w:r w:rsidR="00CF2CEA" w:rsidRPr="005F6CE1">
              <w:rPr>
                <w:rFonts w:ascii="Arial" w:hAnsi="Arial" w:cs="Arial"/>
                <w:sz w:val="18"/>
                <w:szCs w:val="18"/>
              </w:rPr>
              <w:t xml:space="preserve">- </w:t>
            </w:r>
            <w:r w:rsidRPr="005F6CE1">
              <w:rPr>
                <w:rFonts w:ascii="Arial" w:hAnsi="Arial" w:cs="Arial"/>
                <w:sz w:val="18"/>
                <w:szCs w:val="18"/>
              </w:rPr>
              <w:t>§ 3, ods. 1, písm. e)</w:t>
            </w:r>
          </w:p>
        </w:tc>
        <w:tc>
          <w:tcPr>
            <w:tcW w:w="2980" w:type="dxa"/>
          </w:tcPr>
          <w:p w:rsidR="00340320" w:rsidRPr="005F6CE1" w:rsidRDefault="00340320" w:rsidP="007C35CF">
            <w:pPr>
              <w:rPr>
                <w:rFonts w:ascii="Arial" w:hAnsi="Arial" w:cs="Arial"/>
                <w:sz w:val="18"/>
                <w:szCs w:val="18"/>
              </w:rPr>
            </w:pPr>
            <w:r w:rsidRPr="005F6CE1">
              <w:rPr>
                <w:rFonts w:ascii="Arial" w:hAnsi="Arial" w:cs="Arial"/>
                <w:sz w:val="18"/>
                <w:szCs w:val="18"/>
              </w:rPr>
              <w:t xml:space="preserve">Navrhujeme text doplniť tak, aby sa za podiel na zisku považovalo aj príjem plynúci zo zníženia rezervného fondu, v časti, v akej bol predtým zvýšený zo zisku po zdanení </w:t>
            </w:r>
          </w:p>
          <w:p w:rsidR="00340320" w:rsidRPr="005F6CE1" w:rsidRDefault="00340320" w:rsidP="007C35CF">
            <w:pPr>
              <w:rPr>
                <w:rFonts w:ascii="Arial" w:hAnsi="Arial" w:cs="Arial"/>
                <w:sz w:val="18"/>
                <w:szCs w:val="18"/>
              </w:rPr>
            </w:pPr>
          </w:p>
        </w:tc>
        <w:tc>
          <w:tcPr>
            <w:tcW w:w="5944" w:type="dxa"/>
          </w:tcPr>
          <w:p w:rsidR="00340320" w:rsidRPr="005F6CE1" w:rsidRDefault="00340320" w:rsidP="00340320">
            <w:pPr>
              <w:rPr>
                <w:rFonts w:ascii="Arial" w:hAnsi="Arial" w:cs="Arial"/>
                <w:sz w:val="18"/>
                <w:szCs w:val="18"/>
              </w:rPr>
            </w:pPr>
            <w:r w:rsidRPr="005F6CE1">
              <w:rPr>
                <w:rFonts w:ascii="Arial" w:hAnsi="Arial" w:cs="Arial"/>
                <w:sz w:val="18"/>
                <w:szCs w:val="18"/>
              </w:rPr>
              <w:t>Daňové posúdenie zníženia rezervného fondu tvoreného zo zisku nie je v súčasnosti v zákone definované</w:t>
            </w:r>
            <w:r w:rsidR="00E81DD1" w:rsidRPr="005F6CE1">
              <w:rPr>
                <w:rFonts w:ascii="Arial" w:hAnsi="Arial" w:cs="Arial"/>
                <w:sz w:val="18"/>
                <w:szCs w:val="18"/>
              </w:rPr>
              <w:t>. V prípade akceptácie je znenie potrebné implementovať aj do paragrafu 16</w:t>
            </w:r>
          </w:p>
        </w:tc>
        <w:tc>
          <w:tcPr>
            <w:tcW w:w="1637" w:type="dxa"/>
          </w:tcPr>
          <w:p w:rsidR="00340320" w:rsidRPr="005F6CE1" w:rsidRDefault="00340320" w:rsidP="009D0A39">
            <w:pPr>
              <w:jc w:val="center"/>
              <w:rPr>
                <w:rFonts w:ascii="Arial" w:hAnsi="Arial" w:cs="Arial"/>
                <w:sz w:val="18"/>
                <w:szCs w:val="18"/>
              </w:rPr>
            </w:pPr>
            <w:r w:rsidRPr="005F6CE1">
              <w:rPr>
                <w:rFonts w:ascii="Arial" w:hAnsi="Arial" w:cs="Arial"/>
                <w:color w:val="000000"/>
                <w:sz w:val="18"/>
                <w:szCs w:val="18"/>
              </w:rPr>
              <w:t>obyčajná</w:t>
            </w:r>
          </w:p>
        </w:tc>
      </w:tr>
      <w:tr w:rsidR="00340320" w:rsidRPr="005F6CE1" w:rsidTr="00D17F3E">
        <w:tc>
          <w:tcPr>
            <w:tcW w:w="431" w:type="dxa"/>
          </w:tcPr>
          <w:p w:rsidR="00340320" w:rsidRPr="005F6CE1" w:rsidRDefault="00646009">
            <w:pPr>
              <w:rPr>
                <w:rFonts w:ascii="Arial" w:hAnsi="Arial" w:cs="Arial"/>
                <w:sz w:val="18"/>
                <w:szCs w:val="18"/>
              </w:rPr>
            </w:pPr>
            <w:r w:rsidRPr="005F6CE1">
              <w:rPr>
                <w:rFonts w:ascii="Arial" w:hAnsi="Arial" w:cs="Arial"/>
                <w:sz w:val="18"/>
                <w:szCs w:val="18"/>
              </w:rPr>
              <w:t>2</w:t>
            </w:r>
          </w:p>
        </w:tc>
        <w:tc>
          <w:tcPr>
            <w:tcW w:w="3228" w:type="dxa"/>
          </w:tcPr>
          <w:p w:rsidR="00340320" w:rsidRPr="005F6CE1" w:rsidRDefault="00646009" w:rsidP="00D13173">
            <w:pPr>
              <w:rPr>
                <w:rFonts w:ascii="Arial" w:hAnsi="Arial" w:cs="Arial"/>
                <w:color w:val="000000"/>
                <w:sz w:val="18"/>
                <w:szCs w:val="18"/>
              </w:rPr>
            </w:pPr>
            <w:r w:rsidRPr="005F6CE1">
              <w:rPr>
                <w:rFonts w:ascii="Arial" w:hAnsi="Arial" w:cs="Arial"/>
                <w:color w:val="000000"/>
                <w:sz w:val="18"/>
                <w:szCs w:val="18"/>
              </w:rPr>
              <w:t>Bod 11 - § 5 sa odsek 7 dopĺňa novým písmenom r)</w:t>
            </w:r>
          </w:p>
        </w:tc>
        <w:tc>
          <w:tcPr>
            <w:tcW w:w="2980" w:type="dxa"/>
          </w:tcPr>
          <w:p w:rsidR="00340320" w:rsidRPr="005F6CE1" w:rsidRDefault="00646009" w:rsidP="00646009">
            <w:pPr>
              <w:rPr>
                <w:rFonts w:ascii="Arial" w:hAnsi="Arial" w:cs="Arial"/>
                <w:sz w:val="18"/>
                <w:szCs w:val="18"/>
              </w:rPr>
            </w:pPr>
            <w:r w:rsidRPr="005F6CE1">
              <w:rPr>
                <w:rFonts w:ascii="Arial" w:hAnsi="Arial" w:cs="Arial"/>
                <w:sz w:val="18"/>
                <w:szCs w:val="18"/>
              </w:rPr>
              <w:t xml:space="preserve">Navrhujeme v zákone vymedziť vzťah medzi </w:t>
            </w:r>
            <w:r w:rsidRPr="005F6CE1">
              <w:rPr>
                <w:rFonts w:ascii="Arial" w:hAnsi="Arial" w:cs="Arial"/>
                <w:color w:val="000000"/>
                <w:sz w:val="18"/>
                <w:szCs w:val="18"/>
              </w:rPr>
              <w:t>§ 19 sa odsek 1 a novým § 5 odsek 7</w:t>
            </w:r>
          </w:p>
        </w:tc>
        <w:tc>
          <w:tcPr>
            <w:tcW w:w="5944" w:type="dxa"/>
          </w:tcPr>
          <w:p w:rsidR="00340320" w:rsidRPr="005F6CE1" w:rsidRDefault="00646009" w:rsidP="00646009">
            <w:pPr>
              <w:rPr>
                <w:rFonts w:ascii="Arial" w:hAnsi="Arial" w:cs="Arial"/>
                <w:color w:val="000000"/>
                <w:sz w:val="18"/>
                <w:szCs w:val="18"/>
              </w:rPr>
            </w:pPr>
            <w:r w:rsidRPr="005F6CE1">
              <w:rPr>
                <w:rFonts w:ascii="Arial" w:hAnsi="Arial" w:cs="Arial"/>
                <w:sz w:val="18"/>
                <w:szCs w:val="18"/>
              </w:rPr>
              <w:t xml:space="preserve">V zmysle </w:t>
            </w:r>
            <w:r w:rsidRPr="005F6CE1">
              <w:rPr>
                <w:rFonts w:ascii="Arial" w:hAnsi="Arial" w:cs="Arial"/>
                <w:color w:val="000000"/>
                <w:sz w:val="18"/>
                <w:szCs w:val="18"/>
              </w:rPr>
              <w:t>§ 19 odsek 1 v prípade výdavkov / nákladov zamestnávateľa na zdaniteľný príjem zamestnanca sa na tieto nev</w:t>
            </w:r>
            <w:r w:rsidR="00B86546">
              <w:rPr>
                <w:rFonts w:ascii="Arial" w:hAnsi="Arial" w:cs="Arial"/>
                <w:color w:val="000000"/>
                <w:sz w:val="18"/>
                <w:szCs w:val="18"/>
              </w:rPr>
              <w:t>z</w:t>
            </w:r>
            <w:r w:rsidRPr="005F6CE1">
              <w:rPr>
                <w:rFonts w:ascii="Arial" w:hAnsi="Arial" w:cs="Arial"/>
                <w:color w:val="000000"/>
                <w:sz w:val="18"/>
                <w:szCs w:val="18"/>
              </w:rPr>
              <w:t xml:space="preserve">ťahujú niektoré limity a sú teda daňovo uznateľné. Zároveň ale nový § 5 odsek 7 podmieňuje oslobodenie nedaňovým nákladom pre zamestnávateľa. V praxi môže prichádzať ku otázke, ktorý z paragrafov má prioritu. </w:t>
            </w:r>
          </w:p>
          <w:p w:rsidR="00CF2CEA" w:rsidRPr="005F6CE1" w:rsidRDefault="00CF2CEA" w:rsidP="00646009">
            <w:pPr>
              <w:rPr>
                <w:rFonts w:ascii="Arial" w:hAnsi="Arial" w:cs="Arial"/>
                <w:sz w:val="18"/>
                <w:szCs w:val="18"/>
              </w:rPr>
            </w:pPr>
          </w:p>
        </w:tc>
        <w:tc>
          <w:tcPr>
            <w:tcW w:w="1637" w:type="dxa"/>
          </w:tcPr>
          <w:p w:rsidR="00340320" w:rsidRPr="005F6CE1" w:rsidRDefault="00646009" w:rsidP="009D0A39">
            <w:pPr>
              <w:jc w:val="center"/>
              <w:rPr>
                <w:rFonts w:ascii="Arial" w:hAnsi="Arial" w:cs="Arial"/>
                <w:sz w:val="18"/>
                <w:szCs w:val="18"/>
              </w:rPr>
            </w:pPr>
            <w:r w:rsidRPr="005F6CE1">
              <w:rPr>
                <w:rFonts w:ascii="Arial" w:hAnsi="Arial" w:cs="Arial"/>
                <w:color w:val="000000"/>
                <w:sz w:val="18"/>
                <w:szCs w:val="18"/>
              </w:rPr>
              <w:t>obyčajná</w:t>
            </w:r>
          </w:p>
        </w:tc>
      </w:tr>
      <w:tr w:rsidR="00CF2CEA" w:rsidRPr="005F6CE1" w:rsidTr="00D17F3E">
        <w:tc>
          <w:tcPr>
            <w:tcW w:w="431" w:type="dxa"/>
          </w:tcPr>
          <w:p w:rsidR="00CF2CEA" w:rsidRPr="005F6CE1" w:rsidRDefault="00606C17">
            <w:pPr>
              <w:rPr>
                <w:rFonts w:ascii="Arial" w:hAnsi="Arial" w:cs="Arial"/>
                <w:sz w:val="18"/>
                <w:szCs w:val="18"/>
              </w:rPr>
            </w:pPr>
            <w:r w:rsidRPr="005F6CE1">
              <w:rPr>
                <w:rFonts w:ascii="Arial" w:hAnsi="Arial" w:cs="Arial"/>
                <w:sz w:val="18"/>
                <w:szCs w:val="18"/>
              </w:rPr>
              <w:t>3</w:t>
            </w:r>
          </w:p>
        </w:tc>
        <w:tc>
          <w:tcPr>
            <w:tcW w:w="3228" w:type="dxa"/>
          </w:tcPr>
          <w:p w:rsidR="00CF2CEA" w:rsidRPr="005F6CE1" w:rsidRDefault="00687498" w:rsidP="00CF2CEA">
            <w:pPr>
              <w:rPr>
                <w:rFonts w:ascii="Arial" w:hAnsi="Arial" w:cs="Arial"/>
                <w:color w:val="000000"/>
                <w:sz w:val="18"/>
                <w:szCs w:val="18"/>
              </w:rPr>
            </w:pPr>
            <w:r w:rsidRPr="005F6CE1">
              <w:rPr>
                <w:rFonts w:ascii="Arial" w:hAnsi="Arial" w:cs="Arial"/>
                <w:color w:val="000000"/>
                <w:sz w:val="18"/>
                <w:szCs w:val="18"/>
              </w:rPr>
              <w:t>Bod 50 - § 20 ods. 3</w:t>
            </w:r>
          </w:p>
        </w:tc>
        <w:tc>
          <w:tcPr>
            <w:tcW w:w="2980" w:type="dxa"/>
          </w:tcPr>
          <w:p w:rsidR="00687498" w:rsidRPr="005F6CE1" w:rsidRDefault="00687498" w:rsidP="00CF2CEA">
            <w:pPr>
              <w:rPr>
                <w:rFonts w:ascii="Arial" w:hAnsi="Arial" w:cs="Arial"/>
                <w:sz w:val="18"/>
                <w:szCs w:val="18"/>
              </w:rPr>
            </w:pPr>
            <w:r w:rsidRPr="005F6CE1">
              <w:rPr>
                <w:rFonts w:ascii="Arial" w:hAnsi="Arial" w:cs="Arial"/>
                <w:sz w:val="18"/>
                <w:szCs w:val="18"/>
              </w:rPr>
              <w:t xml:space="preserve">Znenie: </w:t>
            </w:r>
          </w:p>
          <w:p w:rsidR="00687498" w:rsidRPr="005F6CE1" w:rsidRDefault="00687498" w:rsidP="00CF2CEA">
            <w:pPr>
              <w:rPr>
                <w:rFonts w:ascii="Arial" w:hAnsi="Arial" w:cs="Arial"/>
                <w:sz w:val="18"/>
                <w:szCs w:val="18"/>
              </w:rPr>
            </w:pPr>
          </w:p>
          <w:p w:rsidR="00CF2CEA" w:rsidRPr="005F6CE1" w:rsidRDefault="00687498" w:rsidP="00CF2CEA">
            <w:pPr>
              <w:rPr>
                <w:rFonts w:ascii="Arial" w:hAnsi="Arial" w:cs="Arial"/>
                <w:sz w:val="18"/>
                <w:szCs w:val="18"/>
              </w:rPr>
            </w:pPr>
            <w:r w:rsidRPr="005F6CE1">
              <w:rPr>
                <w:rFonts w:ascii="Arial" w:hAnsi="Arial" w:cs="Arial"/>
                <w:sz w:val="18"/>
                <w:szCs w:val="18"/>
              </w:rPr>
              <w:t>„Pohľadávka sa považuje k poslednému dňu zdaňovacieho obdobia za nepremlčanú, ak v príslušnom zdaňovacom období bola aspoň jeden kalendárny deň nepremlčaná.“</w:t>
            </w:r>
          </w:p>
          <w:p w:rsidR="00687498" w:rsidRPr="005F6CE1" w:rsidRDefault="00687498" w:rsidP="00CF2CEA">
            <w:pPr>
              <w:rPr>
                <w:rFonts w:ascii="Arial" w:hAnsi="Arial" w:cs="Arial"/>
                <w:sz w:val="18"/>
                <w:szCs w:val="18"/>
              </w:rPr>
            </w:pPr>
          </w:p>
          <w:p w:rsidR="00687498" w:rsidRPr="005F6CE1" w:rsidRDefault="00687498" w:rsidP="00CF2CEA">
            <w:pPr>
              <w:rPr>
                <w:rFonts w:ascii="Arial" w:hAnsi="Arial" w:cs="Arial"/>
                <w:sz w:val="18"/>
                <w:szCs w:val="18"/>
              </w:rPr>
            </w:pPr>
            <w:r w:rsidRPr="005F6CE1">
              <w:rPr>
                <w:rFonts w:ascii="Arial" w:hAnsi="Arial" w:cs="Arial"/>
                <w:sz w:val="18"/>
                <w:szCs w:val="18"/>
              </w:rPr>
              <w:t>Náš návrh:</w:t>
            </w:r>
          </w:p>
          <w:p w:rsidR="00687498" w:rsidRPr="005F6CE1" w:rsidRDefault="00687498" w:rsidP="00CF2CEA">
            <w:pPr>
              <w:rPr>
                <w:rFonts w:ascii="Arial" w:hAnsi="Arial" w:cs="Arial"/>
                <w:sz w:val="18"/>
                <w:szCs w:val="18"/>
              </w:rPr>
            </w:pPr>
          </w:p>
          <w:p w:rsidR="00687498" w:rsidRPr="005F6CE1" w:rsidRDefault="00687498" w:rsidP="005F6CE1">
            <w:pPr>
              <w:rPr>
                <w:rFonts w:ascii="Arial" w:hAnsi="Arial" w:cs="Arial"/>
                <w:sz w:val="18"/>
                <w:szCs w:val="18"/>
              </w:rPr>
            </w:pPr>
            <w:r w:rsidRPr="005F6CE1">
              <w:rPr>
                <w:rFonts w:ascii="Arial" w:hAnsi="Arial" w:cs="Arial"/>
                <w:sz w:val="18"/>
                <w:szCs w:val="18"/>
              </w:rPr>
              <w:t>„</w:t>
            </w:r>
            <w:r w:rsidRPr="005F6CE1">
              <w:rPr>
                <w:rFonts w:ascii="Arial" w:hAnsi="Arial" w:cs="Arial"/>
                <w:b/>
                <w:sz w:val="18"/>
                <w:szCs w:val="18"/>
              </w:rPr>
              <w:t>Pre účely tohto zákona sa pohľadávka</w:t>
            </w:r>
            <w:r w:rsidRPr="005F6CE1">
              <w:rPr>
                <w:rFonts w:ascii="Arial" w:hAnsi="Arial" w:cs="Arial"/>
                <w:sz w:val="18"/>
                <w:szCs w:val="18"/>
              </w:rPr>
              <w:t xml:space="preserve"> považuje k poslednému dňu zdaňovacieho obdobia za nepremlčanú, ak v príslušnom zdaňovacom období bola aspoň jeden kalendárny deň nepremlčaná.“</w:t>
            </w:r>
          </w:p>
          <w:p w:rsidR="005F6CE1" w:rsidRPr="005F6CE1" w:rsidRDefault="005F6CE1" w:rsidP="005F6CE1">
            <w:pPr>
              <w:rPr>
                <w:rFonts w:ascii="Arial" w:hAnsi="Arial" w:cs="Arial"/>
                <w:sz w:val="18"/>
                <w:szCs w:val="18"/>
              </w:rPr>
            </w:pPr>
          </w:p>
        </w:tc>
        <w:tc>
          <w:tcPr>
            <w:tcW w:w="5944" w:type="dxa"/>
          </w:tcPr>
          <w:p w:rsidR="00CF2CEA" w:rsidRPr="005F6CE1" w:rsidRDefault="00687498" w:rsidP="00687498">
            <w:pPr>
              <w:rPr>
                <w:rFonts w:ascii="Arial" w:hAnsi="Arial" w:cs="Arial"/>
                <w:sz w:val="18"/>
                <w:szCs w:val="18"/>
              </w:rPr>
            </w:pPr>
            <w:r w:rsidRPr="005F6CE1">
              <w:rPr>
                <w:rFonts w:ascii="Arial" w:hAnsi="Arial" w:cs="Arial"/>
                <w:sz w:val="18"/>
                <w:szCs w:val="18"/>
              </w:rPr>
              <w:t xml:space="preserve">Vzhľadom na to, že definovanie premlčania je dôležité pre celý zákon navrhujeme explicitne stanoviť, že definícia „nepremlčania“ sa vzťahuje na celý zákona a nie len na </w:t>
            </w:r>
            <w:r w:rsidRPr="005F6CE1">
              <w:rPr>
                <w:rFonts w:ascii="Arial" w:hAnsi="Arial" w:cs="Arial"/>
                <w:color w:val="000000"/>
                <w:sz w:val="18"/>
                <w:szCs w:val="18"/>
              </w:rPr>
              <w:t>§ 20 a to aj preto, že z pohľadu iných zákonov môže byť pohľadávka už premlčaná (napr. podľa Občianskeho zákonník v čase odpis premlčaná ale v zmysle zákona o dani z príjmov podľa tejto definície posúdená ako nepremlčaná).</w:t>
            </w:r>
          </w:p>
        </w:tc>
        <w:tc>
          <w:tcPr>
            <w:tcW w:w="1637" w:type="dxa"/>
          </w:tcPr>
          <w:p w:rsidR="00CF2CEA" w:rsidRPr="005F6CE1" w:rsidRDefault="003350B8" w:rsidP="00D12AA7">
            <w:pPr>
              <w:jc w:val="center"/>
              <w:rPr>
                <w:rFonts w:ascii="Arial" w:hAnsi="Arial" w:cs="Arial"/>
                <w:sz w:val="18"/>
                <w:szCs w:val="18"/>
              </w:rPr>
            </w:pPr>
            <w:r>
              <w:rPr>
                <w:rFonts w:ascii="Arial" w:hAnsi="Arial" w:cs="Arial"/>
                <w:sz w:val="18"/>
                <w:szCs w:val="18"/>
              </w:rPr>
              <w:t>zásadná</w:t>
            </w:r>
          </w:p>
        </w:tc>
      </w:tr>
      <w:tr w:rsidR="003350B8" w:rsidRPr="005F6CE1" w:rsidTr="00D17F3E">
        <w:tc>
          <w:tcPr>
            <w:tcW w:w="431" w:type="dxa"/>
          </w:tcPr>
          <w:p w:rsidR="003350B8" w:rsidRPr="005F6CE1" w:rsidRDefault="003350B8">
            <w:pPr>
              <w:rPr>
                <w:rFonts w:ascii="Arial" w:hAnsi="Arial" w:cs="Arial"/>
                <w:sz w:val="18"/>
                <w:szCs w:val="18"/>
              </w:rPr>
            </w:pPr>
            <w:r w:rsidRPr="005F6CE1">
              <w:rPr>
                <w:rFonts w:ascii="Arial" w:hAnsi="Arial" w:cs="Arial"/>
                <w:sz w:val="18"/>
                <w:szCs w:val="18"/>
              </w:rPr>
              <w:t>4</w:t>
            </w:r>
          </w:p>
        </w:tc>
        <w:tc>
          <w:tcPr>
            <w:tcW w:w="3228" w:type="dxa"/>
          </w:tcPr>
          <w:p w:rsidR="003350B8" w:rsidRPr="005F6CE1" w:rsidRDefault="003350B8" w:rsidP="00606C17">
            <w:pPr>
              <w:rPr>
                <w:rFonts w:ascii="Arial" w:hAnsi="Arial" w:cs="Arial"/>
                <w:color w:val="000000"/>
                <w:sz w:val="18"/>
                <w:szCs w:val="18"/>
              </w:rPr>
            </w:pPr>
            <w:r w:rsidRPr="005F6CE1">
              <w:rPr>
                <w:rFonts w:ascii="Arial" w:hAnsi="Arial" w:cs="Arial"/>
                <w:color w:val="000000"/>
                <w:sz w:val="18"/>
                <w:szCs w:val="18"/>
              </w:rPr>
              <w:t>Bod 100 - § 49a </w:t>
            </w:r>
          </w:p>
        </w:tc>
        <w:tc>
          <w:tcPr>
            <w:tcW w:w="2980" w:type="dxa"/>
          </w:tcPr>
          <w:p w:rsidR="003350B8" w:rsidRPr="005F6CE1" w:rsidRDefault="003350B8" w:rsidP="000B7A87">
            <w:pPr>
              <w:rPr>
                <w:rFonts w:ascii="Arial" w:hAnsi="Arial" w:cs="Arial"/>
                <w:sz w:val="18"/>
                <w:szCs w:val="18"/>
              </w:rPr>
            </w:pPr>
            <w:r w:rsidRPr="005F6CE1">
              <w:rPr>
                <w:rFonts w:ascii="Arial" w:hAnsi="Arial" w:cs="Arial"/>
                <w:sz w:val="18"/>
                <w:szCs w:val="18"/>
              </w:rPr>
              <w:t xml:space="preserve">Navrhujem presnejšie definovať ako bude prebiehať automatická registrácia. </w:t>
            </w:r>
          </w:p>
        </w:tc>
        <w:tc>
          <w:tcPr>
            <w:tcW w:w="5944" w:type="dxa"/>
          </w:tcPr>
          <w:p w:rsidR="003350B8" w:rsidRPr="005F6CE1" w:rsidRDefault="003350B8" w:rsidP="00606C17">
            <w:pPr>
              <w:rPr>
                <w:rFonts w:ascii="Arial" w:hAnsi="Arial" w:cs="Arial"/>
                <w:sz w:val="18"/>
                <w:szCs w:val="18"/>
              </w:rPr>
            </w:pPr>
            <w:r w:rsidRPr="005F6CE1">
              <w:rPr>
                <w:rFonts w:ascii="Arial" w:hAnsi="Arial" w:cs="Arial"/>
                <w:sz w:val="18"/>
                <w:szCs w:val="18"/>
              </w:rPr>
              <w:t xml:space="preserve">V zmysle dôvodovej správy (všeobecná časť) je cieľom novelizácie automatická registrácia správcom dane. Avšak odkaz 128) je odkaz na Daňový poriadok pričom Daňový poriadok v  </w:t>
            </w:r>
            <w:r w:rsidRPr="005F6CE1">
              <w:rPr>
                <w:rFonts w:ascii="Arial" w:hAnsi="Arial" w:cs="Arial"/>
                <w:color w:val="000000"/>
                <w:sz w:val="18"/>
                <w:szCs w:val="18"/>
              </w:rPr>
              <w:t xml:space="preserve">§67 dáva povinnosť predložiť žiadosť o registráciu. </w:t>
            </w:r>
          </w:p>
        </w:tc>
        <w:tc>
          <w:tcPr>
            <w:tcW w:w="1637" w:type="dxa"/>
          </w:tcPr>
          <w:p w:rsidR="003350B8" w:rsidRPr="005F6CE1" w:rsidRDefault="003350B8" w:rsidP="00876E6A">
            <w:pPr>
              <w:jc w:val="center"/>
              <w:rPr>
                <w:rFonts w:ascii="Arial" w:hAnsi="Arial" w:cs="Arial"/>
                <w:sz w:val="18"/>
                <w:szCs w:val="18"/>
              </w:rPr>
            </w:pPr>
            <w:r w:rsidRPr="005F6CE1">
              <w:rPr>
                <w:rFonts w:ascii="Arial" w:hAnsi="Arial" w:cs="Arial"/>
                <w:color w:val="000000"/>
                <w:sz w:val="18"/>
                <w:szCs w:val="18"/>
              </w:rPr>
              <w:t>obyčajná</w:t>
            </w:r>
          </w:p>
        </w:tc>
      </w:tr>
      <w:tr w:rsidR="00D17F3E" w:rsidRPr="005F6CE1" w:rsidTr="00D17F3E">
        <w:tc>
          <w:tcPr>
            <w:tcW w:w="431" w:type="dxa"/>
          </w:tcPr>
          <w:p w:rsidR="00D17F3E" w:rsidRPr="005F6CE1" w:rsidRDefault="00D17F3E">
            <w:pPr>
              <w:rPr>
                <w:rFonts w:ascii="Arial" w:hAnsi="Arial" w:cs="Arial"/>
                <w:sz w:val="18"/>
                <w:szCs w:val="18"/>
              </w:rPr>
            </w:pPr>
            <w:r>
              <w:rPr>
                <w:rFonts w:ascii="Arial" w:hAnsi="Arial" w:cs="Arial"/>
                <w:sz w:val="18"/>
                <w:szCs w:val="18"/>
              </w:rPr>
              <w:lastRenderedPageBreak/>
              <w:t>5</w:t>
            </w:r>
          </w:p>
        </w:tc>
        <w:tc>
          <w:tcPr>
            <w:tcW w:w="3228" w:type="dxa"/>
          </w:tcPr>
          <w:p w:rsidR="00D17F3E" w:rsidRPr="005F6CE1" w:rsidRDefault="00D17F3E" w:rsidP="00430E31">
            <w:pPr>
              <w:rPr>
                <w:rFonts w:ascii="Arial" w:hAnsi="Arial" w:cs="Arial"/>
                <w:color w:val="000000"/>
                <w:sz w:val="18"/>
                <w:szCs w:val="18"/>
              </w:rPr>
            </w:pPr>
            <w:r w:rsidRPr="005F6CE1">
              <w:rPr>
                <w:rFonts w:ascii="Arial" w:hAnsi="Arial" w:cs="Arial"/>
                <w:sz w:val="18"/>
                <w:szCs w:val="18"/>
              </w:rPr>
              <w:t>Odpis pohľadávok</w:t>
            </w:r>
          </w:p>
        </w:tc>
        <w:tc>
          <w:tcPr>
            <w:tcW w:w="2980" w:type="dxa"/>
          </w:tcPr>
          <w:p w:rsidR="00D17F3E" w:rsidRPr="005F6CE1" w:rsidRDefault="00D17F3E" w:rsidP="00430E31">
            <w:pPr>
              <w:rPr>
                <w:rFonts w:ascii="Arial" w:hAnsi="Arial" w:cs="Arial"/>
                <w:sz w:val="18"/>
                <w:szCs w:val="18"/>
              </w:rPr>
            </w:pPr>
            <w:r>
              <w:rPr>
                <w:rFonts w:ascii="Arial" w:hAnsi="Arial" w:cs="Arial"/>
                <w:sz w:val="18"/>
                <w:szCs w:val="18"/>
              </w:rPr>
              <w:t>Presné znenie nie je možné navrhnúť pred schválením novely exekučného poriadku</w:t>
            </w:r>
          </w:p>
        </w:tc>
        <w:tc>
          <w:tcPr>
            <w:tcW w:w="5944" w:type="dxa"/>
          </w:tcPr>
          <w:p w:rsidR="00D17F3E" w:rsidRPr="005F6CE1" w:rsidRDefault="00D17F3E" w:rsidP="005F6CE1">
            <w:pPr>
              <w:rPr>
                <w:rFonts w:ascii="Arial" w:hAnsi="Arial" w:cs="Arial"/>
                <w:sz w:val="18"/>
                <w:szCs w:val="18"/>
              </w:rPr>
            </w:pPr>
            <w:r w:rsidRPr="005F6CE1">
              <w:rPr>
                <w:rFonts w:ascii="Arial" w:hAnsi="Arial" w:cs="Arial"/>
                <w:sz w:val="18"/>
                <w:szCs w:val="18"/>
              </w:rPr>
              <w:t>2. pripravovaná novela exekučného poriadku</w:t>
            </w:r>
          </w:p>
          <w:p w:rsidR="00D17F3E" w:rsidRPr="005F6CE1" w:rsidRDefault="00D17F3E" w:rsidP="005F6CE1">
            <w:pPr>
              <w:rPr>
                <w:rFonts w:ascii="Arial" w:hAnsi="Arial" w:cs="Arial"/>
                <w:sz w:val="18"/>
                <w:szCs w:val="18"/>
              </w:rPr>
            </w:pPr>
          </w:p>
          <w:p w:rsidR="00D17F3E" w:rsidRPr="005F6CE1" w:rsidRDefault="00D714F6" w:rsidP="005F6CE1">
            <w:pPr>
              <w:rPr>
                <w:rFonts w:ascii="Arial" w:hAnsi="Arial" w:cs="Arial"/>
                <w:sz w:val="18"/>
                <w:szCs w:val="18"/>
              </w:rPr>
            </w:pPr>
            <w:hyperlink r:id="rId8" w:history="1">
              <w:r w:rsidR="00D17F3E" w:rsidRPr="005F6CE1">
                <w:rPr>
                  <w:rFonts w:ascii="Arial" w:hAnsi="Arial" w:cs="Arial"/>
                  <w:sz w:val="18"/>
                  <w:szCs w:val="18"/>
                </w:rPr>
                <w:t>https://www.slov-lex.sk/legislativne-procesy/SK/LP/2018/763</w:t>
              </w:r>
            </w:hyperlink>
          </w:p>
          <w:p w:rsidR="00D17F3E" w:rsidRPr="005F6CE1" w:rsidRDefault="00D17F3E" w:rsidP="005F6CE1">
            <w:pPr>
              <w:rPr>
                <w:rFonts w:ascii="Arial" w:hAnsi="Arial" w:cs="Arial"/>
                <w:sz w:val="18"/>
                <w:szCs w:val="18"/>
              </w:rPr>
            </w:pPr>
            <w:r w:rsidRPr="005F6CE1">
              <w:rPr>
                <w:rFonts w:ascii="Arial" w:hAnsi="Arial" w:cs="Arial"/>
                <w:sz w:val="18"/>
                <w:szCs w:val="18"/>
              </w:rPr>
              <w:t xml:space="preserve">V zmysle dôvodovej správy: </w:t>
            </w:r>
          </w:p>
          <w:p w:rsidR="00D17F3E" w:rsidRPr="005F6CE1" w:rsidRDefault="00D17F3E" w:rsidP="005F6CE1">
            <w:pPr>
              <w:rPr>
                <w:rFonts w:ascii="Arial" w:hAnsi="Arial" w:cs="Arial"/>
                <w:sz w:val="18"/>
                <w:szCs w:val="18"/>
              </w:rPr>
            </w:pPr>
          </w:p>
          <w:p w:rsidR="00D17F3E" w:rsidRPr="005F6CE1" w:rsidRDefault="00D17F3E" w:rsidP="005F6CE1">
            <w:pPr>
              <w:rPr>
                <w:rFonts w:ascii="Arial" w:hAnsi="Arial" w:cs="Arial"/>
                <w:sz w:val="18"/>
                <w:szCs w:val="18"/>
              </w:rPr>
            </w:pPr>
            <w:r w:rsidRPr="005F6CE1">
              <w:rPr>
                <w:rFonts w:ascii="Arial" w:hAnsi="Arial" w:cs="Arial"/>
                <w:sz w:val="18"/>
                <w:szCs w:val="18"/>
              </w:rPr>
              <w:t xml:space="preserve">Najvýznamnejším cieľom návrhu zákona je preto zmeniť v tejto oblasti „pravidlá hry“ a odhaliť nemajetné exekúcie, ktoré majú byť z tohto dôvodu ukončené. Ambíciou návrhu zákona je preto zavedenie osobitného procesného mechanizmu zastavenia tzv. starých (nemajetných) exekúcií priamo zo zákona, pričom technické otázky súvisiace s ukončením exekučných konaní sa navrhuje zveriť súdnemu exekútorovi (koncepčne ide o obdobu riešenia už aplikovanú v exekučných konaniach začatých od 1. apríla 2017). Obdobný procesný režim zastavenia tzv. starých (nemajetných) exekúcií sa navrhuje použiť aj na prípady dôvodov pre zastavenie exekúcie, ak oprávnený alebo povinný zanikol bez právneho nástupcu, zastavenie exekúcie navrhol oprávnený, či v prípadoch, ak z dôvodu účinkov vyhlásenia konkurzu na majetok povinného resp. oddlženia povinného nastal dôvod pre ich zastavenie. Návrh zákona súčasne dáva oprávnenému možnosť komerčnej úvahy, či je opodstatnené podať opätovný návrh na vykonanie exekúcie, avšak už podľa súčasne platných a účinných právnych predpisov. </w:t>
            </w:r>
          </w:p>
          <w:p w:rsidR="00D17F3E" w:rsidRPr="005F6CE1" w:rsidRDefault="00D17F3E" w:rsidP="005F6CE1">
            <w:pPr>
              <w:rPr>
                <w:rFonts w:ascii="Arial" w:hAnsi="Arial" w:cs="Arial"/>
                <w:sz w:val="18"/>
                <w:szCs w:val="18"/>
              </w:rPr>
            </w:pPr>
          </w:p>
          <w:p w:rsidR="00D17F3E" w:rsidRPr="005F6CE1" w:rsidRDefault="00D17F3E" w:rsidP="005F6CE1">
            <w:pPr>
              <w:rPr>
                <w:rFonts w:ascii="Arial" w:hAnsi="Arial" w:cs="Arial"/>
                <w:sz w:val="18"/>
                <w:szCs w:val="18"/>
              </w:rPr>
            </w:pPr>
            <w:r w:rsidRPr="005F6CE1">
              <w:rPr>
                <w:rFonts w:ascii="Arial" w:hAnsi="Arial" w:cs="Arial"/>
                <w:sz w:val="18"/>
                <w:szCs w:val="18"/>
              </w:rPr>
              <w:t xml:space="preserve">Navrhujeme, aby zákon o dani z príjmov reflektoval, že ak sa oprávnený po komerčnej úvahe rozhodne nepodať opätovný návrh na vykonanie exekúcie, aby odpis takejto pohľadávky bol daňovo uznaným odpisom. </w:t>
            </w:r>
          </w:p>
          <w:p w:rsidR="00D17F3E" w:rsidRPr="005F6CE1" w:rsidRDefault="00D17F3E" w:rsidP="000B7A87">
            <w:pPr>
              <w:rPr>
                <w:rFonts w:ascii="Arial" w:hAnsi="Arial" w:cs="Arial"/>
                <w:sz w:val="18"/>
                <w:szCs w:val="18"/>
              </w:rPr>
            </w:pPr>
          </w:p>
        </w:tc>
        <w:tc>
          <w:tcPr>
            <w:tcW w:w="1637" w:type="dxa"/>
          </w:tcPr>
          <w:p w:rsidR="00D17F3E" w:rsidRPr="005F6CE1" w:rsidRDefault="00D17F3E" w:rsidP="00876E6A">
            <w:pPr>
              <w:jc w:val="center"/>
              <w:rPr>
                <w:rFonts w:ascii="Arial" w:hAnsi="Arial" w:cs="Arial"/>
                <w:sz w:val="18"/>
                <w:szCs w:val="18"/>
              </w:rPr>
            </w:pPr>
            <w:r>
              <w:rPr>
                <w:rFonts w:ascii="Arial" w:hAnsi="Arial" w:cs="Arial"/>
                <w:sz w:val="18"/>
                <w:szCs w:val="18"/>
              </w:rPr>
              <w:t>obyčajná</w:t>
            </w:r>
          </w:p>
        </w:tc>
      </w:tr>
      <w:tr w:rsidR="00D17F3E" w:rsidRPr="005F6CE1" w:rsidTr="00D17F3E">
        <w:tc>
          <w:tcPr>
            <w:tcW w:w="431" w:type="dxa"/>
          </w:tcPr>
          <w:p w:rsidR="00D17F3E" w:rsidRPr="005F6CE1" w:rsidRDefault="00D17F3E">
            <w:pPr>
              <w:rPr>
                <w:rFonts w:ascii="Arial" w:hAnsi="Arial" w:cs="Arial"/>
                <w:sz w:val="18"/>
                <w:szCs w:val="18"/>
              </w:rPr>
            </w:pPr>
            <w:r>
              <w:rPr>
                <w:rFonts w:ascii="Arial" w:hAnsi="Arial" w:cs="Arial"/>
                <w:sz w:val="18"/>
                <w:szCs w:val="18"/>
              </w:rPr>
              <w:t>6</w:t>
            </w:r>
          </w:p>
        </w:tc>
        <w:tc>
          <w:tcPr>
            <w:tcW w:w="3228" w:type="dxa"/>
          </w:tcPr>
          <w:p w:rsidR="00D17F3E" w:rsidRPr="005F6CE1" w:rsidRDefault="00D17F3E" w:rsidP="00D13173">
            <w:pPr>
              <w:rPr>
                <w:rFonts w:ascii="Arial" w:hAnsi="Arial" w:cs="Arial"/>
                <w:sz w:val="18"/>
                <w:szCs w:val="18"/>
              </w:rPr>
            </w:pPr>
            <w:r w:rsidRPr="005F6CE1">
              <w:rPr>
                <w:rFonts w:ascii="Arial" w:hAnsi="Arial" w:cs="Arial"/>
                <w:sz w:val="18"/>
                <w:szCs w:val="18"/>
              </w:rPr>
              <w:t xml:space="preserve">Nový bod - 19, odsek 2, písmeno h) </w:t>
            </w:r>
          </w:p>
        </w:tc>
        <w:tc>
          <w:tcPr>
            <w:tcW w:w="2980" w:type="dxa"/>
          </w:tcPr>
          <w:p w:rsidR="00D17F3E" w:rsidRPr="005F6CE1" w:rsidRDefault="00D17F3E" w:rsidP="00876E6A">
            <w:pPr>
              <w:rPr>
                <w:rFonts w:ascii="Arial" w:hAnsi="Arial" w:cs="Arial"/>
                <w:sz w:val="18"/>
                <w:szCs w:val="18"/>
              </w:rPr>
            </w:pPr>
            <w:r w:rsidRPr="005F6CE1">
              <w:rPr>
                <w:rFonts w:ascii="Arial" w:hAnsi="Arial" w:cs="Arial"/>
                <w:sz w:val="18"/>
                <w:szCs w:val="18"/>
              </w:rPr>
              <w:t>Paragrafu 19, odsek 2, písmeno h) znie:</w:t>
            </w:r>
          </w:p>
          <w:p w:rsidR="00D17F3E" w:rsidRPr="005F6CE1" w:rsidRDefault="00D17F3E" w:rsidP="00876E6A">
            <w:pPr>
              <w:rPr>
                <w:rFonts w:ascii="Arial" w:hAnsi="Arial" w:cs="Arial"/>
                <w:sz w:val="18"/>
                <w:szCs w:val="18"/>
              </w:rPr>
            </w:pPr>
          </w:p>
          <w:p w:rsidR="00D17F3E" w:rsidRPr="005F6CE1" w:rsidRDefault="00D17F3E" w:rsidP="00876E6A">
            <w:pPr>
              <w:rPr>
                <w:rFonts w:ascii="Arial" w:hAnsi="Arial" w:cs="Arial"/>
                <w:sz w:val="18"/>
                <w:szCs w:val="18"/>
              </w:rPr>
            </w:pPr>
            <w:r w:rsidRPr="005F6CE1">
              <w:rPr>
                <w:rFonts w:ascii="Arial" w:hAnsi="Arial" w:cs="Arial"/>
                <w:sz w:val="18"/>
                <w:szCs w:val="18"/>
              </w:rPr>
              <w:t>5. exekútor výkon rozhodnutia alebo exekúciu zastaví z dôvodu podľa osobitného predpisu;88aaa) to sa vzťahuje aj na ostatné pohľadávky evidované daňovníkom voči tomu istému dlžníkovi</w:t>
            </w:r>
          </w:p>
          <w:p w:rsidR="00D17F3E" w:rsidRPr="005F6CE1" w:rsidRDefault="00D17F3E" w:rsidP="00876E6A">
            <w:pPr>
              <w:rPr>
                <w:rFonts w:ascii="Arial" w:hAnsi="Arial" w:cs="Arial"/>
                <w:sz w:val="18"/>
                <w:szCs w:val="18"/>
              </w:rPr>
            </w:pPr>
          </w:p>
          <w:p w:rsidR="00D17F3E" w:rsidRPr="005F6CE1" w:rsidRDefault="00D17F3E" w:rsidP="00876E6A">
            <w:pPr>
              <w:rPr>
                <w:rFonts w:ascii="Arial" w:hAnsi="Arial" w:cs="Arial"/>
                <w:sz w:val="18"/>
                <w:szCs w:val="18"/>
              </w:rPr>
            </w:pPr>
            <w:r w:rsidRPr="005F6CE1">
              <w:rPr>
                <w:rFonts w:ascii="Arial" w:hAnsi="Arial" w:cs="Arial"/>
                <w:sz w:val="18"/>
                <w:szCs w:val="18"/>
              </w:rPr>
              <w:t>Predošlá verzia:</w:t>
            </w:r>
          </w:p>
          <w:p w:rsidR="00D17F3E" w:rsidRPr="005F6CE1" w:rsidRDefault="00D17F3E" w:rsidP="00876E6A">
            <w:pPr>
              <w:rPr>
                <w:rFonts w:ascii="Arial" w:hAnsi="Arial" w:cs="Arial"/>
                <w:sz w:val="18"/>
                <w:szCs w:val="18"/>
              </w:rPr>
            </w:pPr>
          </w:p>
          <w:p w:rsidR="00D17F3E" w:rsidRDefault="00D17F3E" w:rsidP="00876E6A">
            <w:pPr>
              <w:rPr>
                <w:rFonts w:ascii="Arial" w:hAnsi="Arial" w:cs="Arial"/>
                <w:sz w:val="18"/>
                <w:szCs w:val="18"/>
              </w:rPr>
            </w:pPr>
            <w:r w:rsidRPr="005F6CE1">
              <w:rPr>
                <w:rFonts w:ascii="Arial" w:hAnsi="Arial" w:cs="Arial"/>
                <w:sz w:val="18"/>
                <w:szCs w:val="18"/>
              </w:rPr>
              <w:t xml:space="preserve">5. súd výkon rozhodnutia zastaví z dôvodu, že priebeh výkonu </w:t>
            </w:r>
            <w:r w:rsidRPr="005F6CE1">
              <w:rPr>
                <w:rFonts w:ascii="Arial" w:hAnsi="Arial" w:cs="Arial"/>
                <w:sz w:val="18"/>
                <w:szCs w:val="18"/>
              </w:rPr>
              <w:lastRenderedPageBreak/>
              <w:t>rozhodnutia ukazuje, že výťažok, ktorý sa ním dosiahne, nepostačí na krytie jeho trov alebo majetok dlžníka nepostačuje na krytie nákladov exekučného konania, a to aj pri ostatných pohľadávkach evidovaných daňovníkom voči tomu istému dlžníkovi,</w:t>
            </w:r>
          </w:p>
          <w:p w:rsidR="00D17F3E" w:rsidRDefault="00D17F3E" w:rsidP="00876E6A">
            <w:pPr>
              <w:rPr>
                <w:rFonts w:ascii="Arial" w:hAnsi="Arial" w:cs="Arial"/>
                <w:sz w:val="18"/>
                <w:szCs w:val="18"/>
              </w:rPr>
            </w:pPr>
          </w:p>
          <w:p w:rsidR="00D17F3E" w:rsidRDefault="00D17F3E" w:rsidP="00876E6A">
            <w:pPr>
              <w:rPr>
                <w:rFonts w:ascii="Arial" w:hAnsi="Arial" w:cs="Arial"/>
                <w:sz w:val="18"/>
                <w:szCs w:val="18"/>
              </w:rPr>
            </w:pPr>
            <w:r>
              <w:rPr>
                <w:rFonts w:ascii="Arial" w:hAnsi="Arial" w:cs="Arial"/>
                <w:sz w:val="18"/>
                <w:szCs w:val="18"/>
              </w:rPr>
              <w:t>Navrhovaná verzia</w:t>
            </w:r>
          </w:p>
          <w:p w:rsidR="00D17F3E" w:rsidRDefault="00D17F3E" w:rsidP="00876E6A">
            <w:pPr>
              <w:rPr>
                <w:rFonts w:ascii="Arial" w:hAnsi="Arial" w:cs="Arial"/>
                <w:sz w:val="18"/>
                <w:szCs w:val="18"/>
              </w:rPr>
            </w:pPr>
          </w:p>
          <w:p w:rsidR="00D17F3E" w:rsidRPr="005F6CE1" w:rsidRDefault="00D17F3E" w:rsidP="005F6CE1">
            <w:pPr>
              <w:rPr>
                <w:rFonts w:ascii="Arial" w:hAnsi="Arial" w:cs="Arial"/>
                <w:sz w:val="18"/>
                <w:szCs w:val="18"/>
              </w:rPr>
            </w:pPr>
            <w:r w:rsidRPr="005F6CE1">
              <w:rPr>
                <w:rFonts w:ascii="Arial" w:hAnsi="Arial" w:cs="Arial"/>
                <w:sz w:val="18"/>
                <w:szCs w:val="18"/>
              </w:rPr>
              <w:t>5. exekútor výkon rozhodnutia alebo exekúciu zastaví z dôvodu podľa osobitného predpisu;88aaa) to sa vzťahuje aj na ostatné pohľadávky evidované daňovníkom voči tomu istému dlžníkovi</w:t>
            </w:r>
            <w:r>
              <w:rPr>
                <w:rFonts w:ascii="Arial" w:hAnsi="Arial" w:cs="Arial"/>
                <w:sz w:val="18"/>
                <w:szCs w:val="18"/>
              </w:rPr>
              <w:t xml:space="preserve"> alebo </w:t>
            </w:r>
            <w:r w:rsidRPr="005F6CE1">
              <w:rPr>
                <w:rFonts w:ascii="Arial" w:hAnsi="Arial" w:cs="Arial"/>
                <w:sz w:val="18"/>
                <w:szCs w:val="18"/>
              </w:rPr>
              <w:t>súd výkon rozhodnutia zastaví z dôvodu, že priebeh výkonu rozhodnutia ukazuje, že výťažok, ktorý sa ním dosiahne, nepostačí na krytie jeho trov alebo majetok dlžníka nepostačuje na krytie nákladov exekučného konania, a to aj pri ostatných pohľadávkach evidovaných daňovníkom voči tomu istému dlžníkovi,</w:t>
            </w:r>
          </w:p>
          <w:p w:rsidR="00D17F3E" w:rsidRPr="005F6CE1" w:rsidRDefault="00D17F3E" w:rsidP="00876E6A">
            <w:pPr>
              <w:rPr>
                <w:rFonts w:ascii="Arial" w:hAnsi="Arial" w:cs="Arial"/>
                <w:sz w:val="18"/>
                <w:szCs w:val="18"/>
              </w:rPr>
            </w:pPr>
          </w:p>
          <w:p w:rsidR="00D17F3E" w:rsidRPr="005F6CE1" w:rsidRDefault="00D17F3E" w:rsidP="00876E6A">
            <w:pPr>
              <w:rPr>
                <w:rFonts w:ascii="Arial" w:hAnsi="Arial" w:cs="Arial"/>
                <w:sz w:val="18"/>
                <w:szCs w:val="18"/>
              </w:rPr>
            </w:pPr>
          </w:p>
          <w:p w:rsidR="00D17F3E" w:rsidRPr="005F6CE1" w:rsidRDefault="00D17F3E" w:rsidP="000B7A87">
            <w:pPr>
              <w:rPr>
                <w:rFonts w:ascii="Arial" w:hAnsi="Arial" w:cs="Arial"/>
                <w:sz w:val="18"/>
                <w:szCs w:val="18"/>
              </w:rPr>
            </w:pPr>
          </w:p>
        </w:tc>
        <w:tc>
          <w:tcPr>
            <w:tcW w:w="5944" w:type="dxa"/>
          </w:tcPr>
          <w:p w:rsidR="00D17F3E" w:rsidRPr="005F6CE1" w:rsidRDefault="00D17F3E" w:rsidP="005F6CE1">
            <w:pPr>
              <w:rPr>
                <w:rFonts w:ascii="Arial" w:hAnsi="Arial" w:cs="Arial"/>
                <w:sz w:val="18"/>
                <w:szCs w:val="18"/>
              </w:rPr>
            </w:pPr>
            <w:r w:rsidRPr="005F6CE1">
              <w:rPr>
                <w:rFonts w:ascii="Arial" w:hAnsi="Arial" w:cs="Arial"/>
                <w:sz w:val="18"/>
                <w:szCs w:val="18"/>
              </w:rPr>
              <w:lastRenderedPageBreak/>
              <w:t xml:space="preserve">V exekúciách začatých pred 1.4.2017 stále platí zastavenie exekúcie súdom takže toto znenie paragrafu 19, odsek 2, písmeno h), bod 5 je potrebné upraviť a povoliť daňový odpis pohľadávky či rozhodne súd (staré konania) alebo exekútor (nové konania).  </w:t>
            </w:r>
          </w:p>
          <w:p w:rsidR="00D17F3E" w:rsidRPr="005F6CE1" w:rsidRDefault="00D17F3E" w:rsidP="000B7A87">
            <w:pPr>
              <w:rPr>
                <w:rFonts w:ascii="Arial" w:hAnsi="Arial" w:cs="Arial"/>
                <w:sz w:val="18"/>
                <w:szCs w:val="18"/>
              </w:rPr>
            </w:pPr>
          </w:p>
        </w:tc>
        <w:tc>
          <w:tcPr>
            <w:tcW w:w="1637" w:type="dxa"/>
          </w:tcPr>
          <w:p w:rsidR="00D17F3E" w:rsidRPr="005F6CE1" w:rsidRDefault="00D17F3E" w:rsidP="005F6CE1">
            <w:pPr>
              <w:rPr>
                <w:rFonts w:ascii="Arial" w:hAnsi="Arial" w:cs="Arial"/>
                <w:sz w:val="18"/>
                <w:szCs w:val="18"/>
              </w:rPr>
            </w:pPr>
            <w:r>
              <w:rPr>
                <w:rFonts w:ascii="Arial" w:hAnsi="Arial" w:cs="Arial"/>
                <w:sz w:val="18"/>
                <w:szCs w:val="18"/>
              </w:rPr>
              <w:t>obyčajná</w:t>
            </w:r>
          </w:p>
        </w:tc>
      </w:tr>
      <w:tr w:rsidR="00D17F3E" w:rsidRPr="005F6CE1" w:rsidTr="00D17F3E">
        <w:tc>
          <w:tcPr>
            <w:tcW w:w="431" w:type="dxa"/>
          </w:tcPr>
          <w:p w:rsidR="00D17F3E" w:rsidRPr="005F6CE1" w:rsidRDefault="00D17F3E" w:rsidP="00E81DD1">
            <w:pPr>
              <w:rPr>
                <w:rFonts w:ascii="Arial" w:hAnsi="Arial" w:cs="Arial"/>
                <w:sz w:val="18"/>
                <w:szCs w:val="18"/>
              </w:rPr>
            </w:pPr>
            <w:r>
              <w:rPr>
                <w:rFonts w:ascii="Arial" w:hAnsi="Arial" w:cs="Arial"/>
                <w:sz w:val="18"/>
                <w:szCs w:val="18"/>
              </w:rPr>
              <w:t>7</w:t>
            </w:r>
          </w:p>
        </w:tc>
        <w:tc>
          <w:tcPr>
            <w:tcW w:w="3228" w:type="dxa"/>
          </w:tcPr>
          <w:p w:rsidR="00D17F3E" w:rsidRPr="005F6CE1" w:rsidRDefault="00D17F3E" w:rsidP="005F6CE1">
            <w:pPr>
              <w:rPr>
                <w:rFonts w:ascii="Arial" w:hAnsi="Arial" w:cs="Arial"/>
                <w:sz w:val="18"/>
                <w:szCs w:val="18"/>
              </w:rPr>
            </w:pPr>
            <w:r w:rsidRPr="005F6CE1">
              <w:rPr>
                <w:rFonts w:ascii="Arial" w:hAnsi="Arial" w:cs="Arial"/>
                <w:color w:val="000000"/>
                <w:sz w:val="18"/>
                <w:szCs w:val="18"/>
              </w:rPr>
              <w:t>Nový bod – Opatrenie MFSR č. MF/011053/2006-72</w:t>
            </w:r>
          </w:p>
        </w:tc>
        <w:tc>
          <w:tcPr>
            <w:tcW w:w="2980" w:type="dxa"/>
          </w:tcPr>
          <w:p w:rsidR="00D17F3E" w:rsidRPr="005F6CE1" w:rsidRDefault="00D17F3E" w:rsidP="00D17F3E">
            <w:pPr>
              <w:rPr>
                <w:rFonts w:ascii="Arial" w:hAnsi="Arial" w:cs="Arial"/>
                <w:sz w:val="18"/>
                <w:szCs w:val="18"/>
              </w:rPr>
            </w:pPr>
            <w:r w:rsidRPr="005F6CE1">
              <w:rPr>
                <w:rFonts w:ascii="Arial" w:hAnsi="Arial" w:cs="Arial"/>
                <w:sz w:val="18"/>
                <w:szCs w:val="18"/>
              </w:rPr>
              <w:t xml:space="preserve">Súčasné znenie </w:t>
            </w:r>
          </w:p>
          <w:p w:rsidR="00D17F3E" w:rsidRPr="005F6CE1" w:rsidRDefault="00D17F3E" w:rsidP="00D17F3E">
            <w:pPr>
              <w:rPr>
                <w:rFonts w:ascii="Arial" w:hAnsi="Arial" w:cs="Arial"/>
                <w:sz w:val="18"/>
                <w:szCs w:val="18"/>
              </w:rPr>
            </w:pPr>
          </w:p>
          <w:p w:rsidR="00D17F3E" w:rsidRPr="005F6CE1" w:rsidRDefault="00D17F3E" w:rsidP="00D17F3E">
            <w:pPr>
              <w:rPr>
                <w:rFonts w:ascii="Arial" w:hAnsi="Arial" w:cs="Arial"/>
                <w:sz w:val="18"/>
                <w:szCs w:val="18"/>
              </w:rPr>
            </w:pPr>
            <w:r w:rsidRPr="005F6CE1">
              <w:rPr>
                <w:rFonts w:ascii="Arial" w:hAnsi="Arial" w:cs="Arial"/>
                <w:sz w:val="18"/>
                <w:szCs w:val="18"/>
              </w:rPr>
              <w:t>§ 3</w:t>
            </w:r>
          </w:p>
          <w:p w:rsidR="00D17F3E" w:rsidRPr="005F6CE1" w:rsidRDefault="00D17F3E" w:rsidP="00D17F3E">
            <w:pPr>
              <w:rPr>
                <w:rFonts w:ascii="Arial" w:hAnsi="Arial" w:cs="Arial"/>
                <w:sz w:val="18"/>
                <w:szCs w:val="18"/>
              </w:rPr>
            </w:pPr>
            <w:r w:rsidRPr="005F6CE1">
              <w:rPr>
                <w:rFonts w:ascii="Arial" w:hAnsi="Arial" w:cs="Arial"/>
                <w:sz w:val="18"/>
                <w:szCs w:val="18"/>
              </w:rPr>
              <w:t>Úprava pri prenájme</w:t>
            </w:r>
          </w:p>
          <w:p w:rsidR="00D17F3E" w:rsidRPr="005F6CE1" w:rsidRDefault="00D17F3E" w:rsidP="00D17F3E">
            <w:pPr>
              <w:rPr>
                <w:rFonts w:ascii="Arial" w:hAnsi="Arial" w:cs="Arial"/>
                <w:sz w:val="18"/>
                <w:szCs w:val="18"/>
              </w:rPr>
            </w:pPr>
            <w:r w:rsidRPr="005F6CE1">
              <w:rPr>
                <w:rFonts w:ascii="Arial" w:hAnsi="Arial" w:cs="Arial"/>
                <w:sz w:val="18"/>
                <w:szCs w:val="18"/>
              </w:rPr>
              <w:t xml:space="preserve">Výsledok hospodárenia podľa § 1 ods. 1 sa upraví o rozdiely, ktoré vzniknú medzi vykazovaním aktivácie, zaradenia, odpisovania, vyradenia, technického zhodnotenia a oceňovania hmotného majetku prenajatého formou finančného prenájmu a </w:t>
            </w:r>
            <w:r w:rsidRPr="005F6CE1">
              <w:rPr>
                <w:rFonts w:ascii="Arial" w:hAnsi="Arial" w:cs="Arial"/>
                <w:sz w:val="18"/>
                <w:szCs w:val="18"/>
              </w:rPr>
              <w:lastRenderedPageBreak/>
              <w:t>hmotného majetku prenajatého formou operatívneho prenájmu v súlade so štandardami a vykazovaním aktivácie, zaradenia, odpisovania, vyradenia, technického zhodnotenia a oceňovania hmotného majetku prenajatého formou finančného prenájmu a dlhodobého hmotného majetku prenajatého formou finančného prenájmu a dlhodobého hmotného majetku prenajatého formou operatívneho prenájmu podľa príslušných postupov účtovania.</w:t>
            </w:r>
          </w:p>
          <w:p w:rsidR="00D17F3E" w:rsidRPr="005F6CE1" w:rsidRDefault="00D17F3E" w:rsidP="00D17F3E">
            <w:pPr>
              <w:rPr>
                <w:rFonts w:ascii="Arial" w:hAnsi="Arial" w:cs="Arial"/>
                <w:sz w:val="18"/>
                <w:szCs w:val="18"/>
              </w:rPr>
            </w:pPr>
          </w:p>
          <w:p w:rsidR="00D17F3E" w:rsidRPr="005F6CE1" w:rsidRDefault="00D17F3E" w:rsidP="00D17F3E">
            <w:pPr>
              <w:rPr>
                <w:rFonts w:ascii="Arial" w:hAnsi="Arial" w:cs="Arial"/>
                <w:sz w:val="18"/>
                <w:szCs w:val="18"/>
              </w:rPr>
            </w:pPr>
            <w:r w:rsidRPr="005F6CE1">
              <w:rPr>
                <w:rFonts w:ascii="Arial" w:hAnsi="Arial" w:cs="Arial"/>
                <w:sz w:val="18"/>
                <w:szCs w:val="18"/>
              </w:rPr>
              <w:t>Navrhované znenie:</w:t>
            </w:r>
          </w:p>
          <w:p w:rsidR="00D17F3E" w:rsidRPr="005F6CE1" w:rsidRDefault="00D17F3E" w:rsidP="00D17F3E">
            <w:pPr>
              <w:rPr>
                <w:rFonts w:ascii="Arial" w:hAnsi="Arial" w:cs="Arial"/>
                <w:sz w:val="18"/>
                <w:szCs w:val="18"/>
              </w:rPr>
            </w:pPr>
          </w:p>
          <w:p w:rsidR="00D17F3E" w:rsidRPr="005F6CE1" w:rsidRDefault="00D17F3E" w:rsidP="00D17F3E">
            <w:pPr>
              <w:rPr>
                <w:rFonts w:ascii="Arial" w:hAnsi="Arial" w:cs="Arial"/>
                <w:sz w:val="18"/>
                <w:szCs w:val="18"/>
              </w:rPr>
            </w:pPr>
            <w:r w:rsidRPr="005F6CE1">
              <w:rPr>
                <w:rFonts w:ascii="Arial" w:hAnsi="Arial" w:cs="Arial"/>
                <w:sz w:val="18"/>
                <w:szCs w:val="18"/>
              </w:rPr>
              <w:t>§ 3</w:t>
            </w:r>
          </w:p>
          <w:p w:rsidR="00D17F3E" w:rsidRPr="005F6CE1" w:rsidRDefault="00D17F3E" w:rsidP="00D17F3E">
            <w:pPr>
              <w:rPr>
                <w:rFonts w:ascii="Arial" w:hAnsi="Arial" w:cs="Arial"/>
                <w:sz w:val="18"/>
                <w:szCs w:val="18"/>
              </w:rPr>
            </w:pPr>
            <w:r w:rsidRPr="005F6CE1">
              <w:rPr>
                <w:rFonts w:ascii="Arial" w:hAnsi="Arial" w:cs="Arial"/>
                <w:sz w:val="18"/>
                <w:szCs w:val="18"/>
              </w:rPr>
              <w:t>Úprava pri prenájme</w:t>
            </w:r>
          </w:p>
          <w:p w:rsidR="00D17F3E" w:rsidRPr="005F6CE1" w:rsidRDefault="00D17F3E" w:rsidP="00D17F3E">
            <w:pPr>
              <w:rPr>
                <w:rFonts w:ascii="Arial" w:hAnsi="Arial" w:cs="Arial"/>
                <w:sz w:val="18"/>
                <w:szCs w:val="18"/>
              </w:rPr>
            </w:pPr>
            <w:r w:rsidRPr="005F6CE1">
              <w:rPr>
                <w:rFonts w:ascii="Arial" w:hAnsi="Arial" w:cs="Arial"/>
                <w:sz w:val="18"/>
                <w:szCs w:val="18"/>
              </w:rPr>
              <w:t xml:space="preserve">Výsledok hospodárenia podľa § 1 ods. 1 sa upraví o rozdiely, ktoré vzniknú medzi vykazovaním aktivácie, zaradenia, odpisovania, vyradenia, technického zhodnotenia a oceňovania hmotného majetku prenajatého formou finančného prenájmu a hmotného majetku prenajatého formou operatívneho prenájmu v súlade so štandardami a vykazovaním aktivácie, zaradenia, odpisovania, vyradenia, technického zhodnotenia a oceňovania hmotného majetku prenajatého formou finančného prenájmu a dlhodobého hmotného majetku prenajatého formou finančného prenájmu a dlhodobého hmotného majetku prenajatého formou operatívneho prenájmu </w:t>
            </w:r>
            <w:r w:rsidRPr="005F6CE1">
              <w:rPr>
                <w:rFonts w:ascii="Arial" w:hAnsi="Arial" w:cs="Arial"/>
                <w:sz w:val="18"/>
                <w:szCs w:val="18"/>
              </w:rPr>
              <w:lastRenderedPageBreak/>
              <w:t xml:space="preserve">podľa príslušných postupov účtovania </w:t>
            </w:r>
            <w:r w:rsidRPr="005F6CE1">
              <w:rPr>
                <w:rFonts w:ascii="Arial" w:hAnsi="Arial" w:cs="Arial"/>
                <w:b/>
                <w:sz w:val="18"/>
                <w:szCs w:val="18"/>
              </w:rPr>
              <w:t>s výnimkou účtovania o majetku v zmysle IFRS 16</w:t>
            </w:r>
            <w:r w:rsidRPr="005F6CE1">
              <w:rPr>
                <w:rFonts w:ascii="Arial" w:hAnsi="Arial" w:cs="Arial"/>
                <w:sz w:val="18"/>
                <w:szCs w:val="18"/>
              </w:rPr>
              <w:t xml:space="preserve">. </w:t>
            </w:r>
          </w:p>
          <w:p w:rsidR="00D17F3E" w:rsidRPr="005F6CE1" w:rsidRDefault="00D17F3E" w:rsidP="005F6CE1">
            <w:pPr>
              <w:rPr>
                <w:rFonts w:ascii="Arial" w:hAnsi="Arial" w:cs="Arial"/>
                <w:sz w:val="18"/>
                <w:szCs w:val="18"/>
              </w:rPr>
            </w:pPr>
          </w:p>
        </w:tc>
        <w:tc>
          <w:tcPr>
            <w:tcW w:w="5944" w:type="dxa"/>
          </w:tcPr>
          <w:p w:rsidR="00D17F3E" w:rsidRPr="005F6CE1" w:rsidRDefault="00D17F3E" w:rsidP="00D17F3E">
            <w:pPr>
              <w:rPr>
                <w:rFonts w:ascii="Arial" w:hAnsi="Arial" w:cs="Arial"/>
                <w:sz w:val="18"/>
                <w:szCs w:val="18"/>
              </w:rPr>
            </w:pPr>
            <w:r w:rsidRPr="005F6CE1">
              <w:rPr>
                <w:rFonts w:ascii="Arial" w:hAnsi="Arial" w:cs="Arial"/>
                <w:sz w:val="18"/>
                <w:szCs w:val="18"/>
              </w:rPr>
              <w:lastRenderedPageBreak/>
              <w:t xml:space="preserve">Zrušenie opatrenia je dlhodobo navrhované keďže najmä pre banky a poisťovne je neaktuálne. Jeho pretrvaním sa zaťažuje administratívna náročnosť výpočtu základu dane. Napríklad pri účtovaní v zmysle IFRS 16 bude úprava základu dane z IFRS na SK účtovanie zložitá. Zároveň platí, že celkový náklad je rovnaký tak podľa IFRS ako podľa SK postupov účtovania. Rozdiel je len v tom, že podľa IFRS je vyšší náklad v prvých rokoch (odpisy + úrokový náklad) a nižší v ďalších rokoch kým podľa SK postupov je náklad rovnomerný. Rozdiel je minimálny vzhľadom na minimálne úrokové sadzby. </w:t>
            </w:r>
          </w:p>
          <w:p w:rsidR="00D17F3E" w:rsidRPr="005F6CE1" w:rsidRDefault="00D17F3E" w:rsidP="00D17F3E">
            <w:pPr>
              <w:rPr>
                <w:rFonts w:ascii="Arial" w:hAnsi="Arial" w:cs="Arial"/>
                <w:sz w:val="18"/>
                <w:szCs w:val="18"/>
              </w:rPr>
            </w:pPr>
          </w:p>
          <w:p w:rsidR="00D17F3E" w:rsidRPr="005F6CE1" w:rsidRDefault="00D17F3E" w:rsidP="00BB7DEA">
            <w:pPr>
              <w:rPr>
                <w:rFonts w:ascii="Arial" w:hAnsi="Arial" w:cs="Arial"/>
                <w:sz w:val="18"/>
                <w:szCs w:val="18"/>
              </w:rPr>
            </w:pPr>
            <w:r>
              <w:rPr>
                <w:rFonts w:ascii="Arial" w:hAnsi="Arial" w:cs="Arial"/>
                <w:sz w:val="18"/>
                <w:szCs w:val="18"/>
              </w:rPr>
              <w:lastRenderedPageBreak/>
              <w:t xml:space="preserve">Kým nebude celé opatrenie zrušené, navrhujeme aspoň jeho </w:t>
            </w:r>
            <w:r w:rsidRPr="005F6CE1">
              <w:rPr>
                <w:rFonts w:ascii="Arial" w:hAnsi="Arial" w:cs="Arial"/>
                <w:sz w:val="18"/>
                <w:szCs w:val="18"/>
              </w:rPr>
              <w:t>zmenu a vylúčenie IFRS 16 z</w:t>
            </w:r>
            <w:r>
              <w:rPr>
                <w:rFonts w:ascii="Arial" w:hAnsi="Arial" w:cs="Arial"/>
                <w:sz w:val="18"/>
                <w:szCs w:val="18"/>
              </w:rPr>
              <w:t> </w:t>
            </w:r>
            <w:r w:rsidRPr="005F6CE1">
              <w:rPr>
                <w:rFonts w:ascii="Arial" w:hAnsi="Arial" w:cs="Arial"/>
                <w:sz w:val="18"/>
                <w:szCs w:val="18"/>
              </w:rPr>
              <w:t>mostíka</w:t>
            </w:r>
            <w:r>
              <w:rPr>
                <w:rFonts w:ascii="Arial" w:hAnsi="Arial" w:cs="Arial"/>
                <w:sz w:val="18"/>
                <w:szCs w:val="18"/>
              </w:rPr>
              <w:t>,</w:t>
            </w:r>
            <w:r w:rsidRPr="005F6CE1">
              <w:rPr>
                <w:rFonts w:ascii="Arial" w:hAnsi="Arial" w:cs="Arial"/>
                <w:sz w:val="18"/>
                <w:szCs w:val="18"/>
              </w:rPr>
              <w:t xml:space="preserve"> aby subjekty účtujúce podľa IFRS mohli ponechať nájmy tak, ako sú účtované v zmysle IFRS 16.</w:t>
            </w:r>
          </w:p>
        </w:tc>
        <w:tc>
          <w:tcPr>
            <w:tcW w:w="1637" w:type="dxa"/>
          </w:tcPr>
          <w:p w:rsidR="00D17F3E" w:rsidRPr="005F6CE1" w:rsidRDefault="00D17F3E" w:rsidP="005F6CE1">
            <w:pPr>
              <w:rPr>
                <w:rFonts w:ascii="Arial" w:hAnsi="Arial" w:cs="Arial"/>
                <w:sz w:val="18"/>
                <w:szCs w:val="18"/>
              </w:rPr>
            </w:pPr>
            <w:r>
              <w:rPr>
                <w:rFonts w:ascii="Arial" w:hAnsi="Arial" w:cs="Arial"/>
                <w:color w:val="000000"/>
                <w:sz w:val="18"/>
                <w:szCs w:val="18"/>
              </w:rPr>
              <w:lastRenderedPageBreak/>
              <w:t>Zásadná</w:t>
            </w:r>
          </w:p>
        </w:tc>
      </w:tr>
    </w:tbl>
    <w:p w:rsidR="00F373CC" w:rsidRPr="005F6CE1" w:rsidRDefault="00F373CC">
      <w:pPr>
        <w:rPr>
          <w:rFonts w:ascii="Arial" w:hAnsi="Arial" w:cs="Arial"/>
          <w:i/>
          <w:sz w:val="18"/>
          <w:szCs w:val="18"/>
        </w:rPr>
      </w:pPr>
    </w:p>
    <w:sectPr w:rsidR="00F373CC" w:rsidRPr="005F6CE1" w:rsidSect="00F373CC">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4F6" w:rsidRDefault="00D714F6" w:rsidP="006704B8">
      <w:r>
        <w:separator/>
      </w:r>
    </w:p>
  </w:endnote>
  <w:endnote w:type="continuationSeparator" w:id="0">
    <w:p w:rsidR="00D714F6" w:rsidRDefault="00D714F6" w:rsidP="0067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547"/>
      <w:docPartObj>
        <w:docPartGallery w:val="Page Numbers (Bottom of Page)"/>
        <w:docPartUnique/>
      </w:docPartObj>
    </w:sdtPr>
    <w:sdtEndPr/>
    <w:sdtContent>
      <w:p w:rsidR="00430E31" w:rsidRDefault="00430E31">
        <w:pPr>
          <w:pStyle w:val="Pta"/>
          <w:jc w:val="center"/>
        </w:pPr>
        <w:r>
          <w:fldChar w:fldCharType="begin"/>
        </w:r>
        <w:r>
          <w:instrText xml:space="preserve"> PAGE   \* MERGEFORMAT </w:instrText>
        </w:r>
        <w:r>
          <w:fldChar w:fldCharType="separate"/>
        </w:r>
        <w:r w:rsidR="00EB2508">
          <w:rPr>
            <w:noProof/>
          </w:rPr>
          <w:t>5</w:t>
        </w:r>
        <w:r>
          <w:rPr>
            <w:noProof/>
          </w:rPr>
          <w:fldChar w:fldCharType="end"/>
        </w:r>
      </w:p>
    </w:sdtContent>
  </w:sdt>
  <w:p w:rsidR="00430E31" w:rsidRDefault="00430E3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4F6" w:rsidRDefault="00D714F6" w:rsidP="006704B8">
      <w:r>
        <w:separator/>
      </w:r>
    </w:p>
  </w:footnote>
  <w:footnote w:type="continuationSeparator" w:id="0">
    <w:p w:rsidR="00D714F6" w:rsidRDefault="00D714F6" w:rsidP="006704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32E4"/>
    <w:multiLevelType w:val="hybridMultilevel"/>
    <w:tmpl w:val="103420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EEA3789"/>
    <w:multiLevelType w:val="hybridMultilevel"/>
    <w:tmpl w:val="65446C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3577E60"/>
    <w:multiLevelType w:val="hybridMultilevel"/>
    <w:tmpl w:val="BCCA30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E995D2E"/>
    <w:multiLevelType w:val="hybridMultilevel"/>
    <w:tmpl w:val="CBF876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FC256C0"/>
    <w:multiLevelType w:val="hybridMultilevel"/>
    <w:tmpl w:val="B46AFF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1B40CF3"/>
    <w:multiLevelType w:val="hybridMultilevel"/>
    <w:tmpl w:val="F6A821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21A2A80"/>
    <w:multiLevelType w:val="hybridMultilevel"/>
    <w:tmpl w:val="692296BA"/>
    <w:lvl w:ilvl="0" w:tplc="041B0013">
      <w:start w:val="1"/>
      <w:numFmt w:val="upperRoman"/>
      <w:lvlText w:val="%1."/>
      <w:lvlJc w:val="righ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9CD0AFA"/>
    <w:multiLevelType w:val="hybridMultilevel"/>
    <w:tmpl w:val="2D84B1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0"/>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3CC"/>
    <w:rsid w:val="000161BB"/>
    <w:rsid w:val="00022F17"/>
    <w:rsid w:val="00026858"/>
    <w:rsid w:val="0003224B"/>
    <w:rsid w:val="00033D0E"/>
    <w:rsid w:val="00040679"/>
    <w:rsid w:val="000409CF"/>
    <w:rsid w:val="000634A2"/>
    <w:rsid w:val="000731C1"/>
    <w:rsid w:val="00073829"/>
    <w:rsid w:val="000746D4"/>
    <w:rsid w:val="0007635B"/>
    <w:rsid w:val="000850D5"/>
    <w:rsid w:val="000A0305"/>
    <w:rsid w:val="000A5698"/>
    <w:rsid w:val="000B2480"/>
    <w:rsid w:val="000B6D38"/>
    <w:rsid w:val="000B7A87"/>
    <w:rsid w:val="000C1637"/>
    <w:rsid w:val="000C4075"/>
    <w:rsid w:val="000C7AE1"/>
    <w:rsid w:val="000D1402"/>
    <w:rsid w:val="000D2200"/>
    <w:rsid w:val="000E3D28"/>
    <w:rsid w:val="000F469B"/>
    <w:rsid w:val="00106A46"/>
    <w:rsid w:val="00114139"/>
    <w:rsid w:val="00123051"/>
    <w:rsid w:val="0015574E"/>
    <w:rsid w:val="0016036A"/>
    <w:rsid w:val="00160C83"/>
    <w:rsid w:val="00167524"/>
    <w:rsid w:val="001820DF"/>
    <w:rsid w:val="0018617B"/>
    <w:rsid w:val="001864BB"/>
    <w:rsid w:val="00186589"/>
    <w:rsid w:val="001A1C01"/>
    <w:rsid w:val="001B2BF2"/>
    <w:rsid w:val="001B75A9"/>
    <w:rsid w:val="001D021C"/>
    <w:rsid w:val="001D42EE"/>
    <w:rsid w:val="001E46B7"/>
    <w:rsid w:val="001E5C20"/>
    <w:rsid w:val="001E5CB8"/>
    <w:rsid w:val="001F0FC0"/>
    <w:rsid w:val="001F277F"/>
    <w:rsid w:val="001F37DE"/>
    <w:rsid w:val="001F6864"/>
    <w:rsid w:val="0021603B"/>
    <w:rsid w:val="0025283B"/>
    <w:rsid w:val="002531E4"/>
    <w:rsid w:val="00266C33"/>
    <w:rsid w:val="002724C7"/>
    <w:rsid w:val="0027686D"/>
    <w:rsid w:val="002A5065"/>
    <w:rsid w:val="002B2A8F"/>
    <w:rsid w:val="002B5CF8"/>
    <w:rsid w:val="002C24F9"/>
    <w:rsid w:val="002C79FD"/>
    <w:rsid w:val="002E6AF3"/>
    <w:rsid w:val="002F196C"/>
    <w:rsid w:val="002F5310"/>
    <w:rsid w:val="00310306"/>
    <w:rsid w:val="003350B8"/>
    <w:rsid w:val="00340320"/>
    <w:rsid w:val="00381826"/>
    <w:rsid w:val="00386CCE"/>
    <w:rsid w:val="003A17CC"/>
    <w:rsid w:val="003A6866"/>
    <w:rsid w:val="003B20D8"/>
    <w:rsid w:val="003C06F3"/>
    <w:rsid w:val="003C3254"/>
    <w:rsid w:val="003C41B1"/>
    <w:rsid w:val="003E345C"/>
    <w:rsid w:val="00416C0F"/>
    <w:rsid w:val="00427BCD"/>
    <w:rsid w:val="00430E31"/>
    <w:rsid w:val="00454320"/>
    <w:rsid w:val="00465544"/>
    <w:rsid w:val="00466BCF"/>
    <w:rsid w:val="004671D1"/>
    <w:rsid w:val="00467ECB"/>
    <w:rsid w:val="00472822"/>
    <w:rsid w:val="00473E17"/>
    <w:rsid w:val="004838AD"/>
    <w:rsid w:val="00497221"/>
    <w:rsid w:val="004A4EA6"/>
    <w:rsid w:val="004B25BC"/>
    <w:rsid w:val="004B26D6"/>
    <w:rsid w:val="004B43FC"/>
    <w:rsid w:val="004B74B8"/>
    <w:rsid w:val="004D0ED0"/>
    <w:rsid w:val="004D6C60"/>
    <w:rsid w:val="004F5AB3"/>
    <w:rsid w:val="00501132"/>
    <w:rsid w:val="005016B0"/>
    <w:rsid w:val="00503E9B"/>
    <w:rsid w:val="00506EE5"/>
    <w:rsid w:val="00512BAE"/>
    <w:rsid w:val="00514471"/>
    <w:rsid w:val="005204E3"/>
    <w:rsid w:val="00524FCF"/>
    <w:rsid w:val="00531261"/>
    <w:rsid w:val="00540444"/>
    <w:rsid w:val="005407E9"/>
    <w:rsid w:val="00541619"/>
    <w:rsid w:val="00541BC3"/>
    <w:rsid w:val="005542FA"/>
    <w:rsid w:val="00555C19"/>
    <w:rsid w:val="0055790B"/>
    <w:rsid w:val="00560E5C"/>
    <w:rsid w:val="00561CFA"/>
    <w:rsid w:val="00563310"/>
    <w:rsid w:val="00576623"/>
    <w:rsid w:val="0058604E"/>
    <w:rsid w:val="005A6AF7"/>
    <w:rsid w:val="005C56EA"/>
    <w:rsid w:val="005D05D1"/>
    <w:rsid w:val="005D4529"/>
    <w:rsid w:val="005D50E1"/>
    <w:rsid w:val="005D5F61"/>
    <w:rsid w:val="005D5FA4"/>
    <w:rsid w:val="005E083E"/>
    <w:rsid w:val="005F532F"/>
    <w:rsid w:val="005F6CE1"/>
    <w:rsid w:val="00603DA4"/>
    <w:rsid w:val="00606C17"/>
    <w:rsid w:val="00613380"/>
    <w:rsid w:val="006309D1"/>
    <w:rsid w:val="006368FF"/>
    <w:rsid w:val="00637412"/>
    <w:rsid w:val="00640EE2"/>
    <w:rsid w:val="006410EE"/>
    <w:rsid w:val="00645656"/>
    <w:rsid w:val="00646009"/>
    <w:rsid w:val="00647C3D"/>
    <w:rsid w:val="006704B8"/>
    <w:rsid w:val="00687498"/>
    <w:rsid w:val="00691977"/>
    <w:rsid w:val="00692154"/>
    <w:rsid w:val="006962A1"/>
    <w:rsid w:val="006A741C"/>
    <w:rsid w:val="006C5F6C"/>
    <w:rsid w:val="006D0DA4"/>
    <w:rsid w:val="006D0EB5"/>
    <w:rsid w:val="006D1AE7"/>
    <w:rsid w:val="006E33D0"/>
    <w:rsid w:val="006E690A"/>
    <w:rsid w:val="006F3C96"/>
    <w:rsid w:val="006F3CB5"/>
    <w:rsid w:val="006F7D7C"/>
    <w:rsid w:val="0071375D"/>
    <w:rsid w:val="00753D0C"/>
    <w:rsid w:val="007557C7"/>
    <w:rsid w:val="00766C54"/>
    <w:rsid w:val="007822A4"/>
    <w:rsid w:val="00785679"/>
    <w:rsid w:val="00787789"/>
    <w:rsid w:val="007A1AD0"/>
    <w:rsid w:val="007A2CB4"/>
    <w:rsid w:val="007B1E52"/>
    <w:rsid w:val="007B2A79"/>
    <w:rsid w:val="007B7313"/>
    <w:rsid w:val="007C35CF"/>
    <w:rsid w:val="007C3DF3"/>
    <w:rsid w:val="007D0357"/>
    <w:rsid w:val="007E3055"/>
    <w:rsid w:val="007E4BD4"/>
    <w:rsid w:val="007E53E7"/>
    <w:rsid w:val="007F597D"/>
    <w:rsid w:val="00801367"/>
    <w:rsid w:val="00833162"/>
    <w:rsid w:val="00851093"/>
    <w:rsid w:val="00852FBF"/>
    <w:rsid w:val="00853D88"/>
    <w:rsid w:val="00866270"/>
    <w:rsid w:val="0087325F"/>
    <w:rsid w:val="00873918"/>
    <w:rsid w:val="008757F8"/>
    <w:rsid w:val="00885D8F"/>
    <w:rsid w:val="008B76B6"/>
    <w:rsid w:val="008C6C4A"/>
    <w:rsid w:val="008F3A4C"/>
    <w:rsid w:val="008F79EB"/>
    <w:rsid w:val="00905E01"/>
    <w:rsid w:val="00915870"/>
    <w:rsid w:val="009261DB"/>
    <w:rsid w:val="009342C3"/>
    <w:rsid w:val="009434F0"/>
    <w:rsid w:val="00946F0C"/>
    <w:rsid w:val="00957847"/>
    <w:rsid w:val="00962544"/>
    <w:rsid w:val="00964792"/>
    <w:rsid w:val="00964AC7"/>
    <w:rsid w:val="009906F0"/>
    <w:rsid w:val="009A5DC9"/>
    <w:rsid w:val="009B3287"/>
    <w:rsid w:val="009C07E8"/>
    <w:rsid w:val="009C741E"/>
    <w:rsid w:val="009C7A32"/>
    <w:rsid w:val="009D0A39"/>
    <w:rsid w:val="009D159C"/>
    <w:rsid w:val="009E1205"/>
    <w:rsid w:val="009E2786"/>
    <w:rsid w:val="009E4437"/>
    <w:rsid w:val="009E4789"/>
    <w:rsid w:val="009E557A"/>
    <w:rsid w:val="009F6B24"/>
    <w:rsid w:val="00A017B5"/>
    <w:rsid w:val="00A21A36"/>
    <w:rsid w:val="00A23B3E"/>
    <w:rsid w:val="00A25501"/>
    <w:rsid w:val="00A30B6B"/>
    <w:rsid w:val="00A41661"/>
    <w:rsid w:val="00A53F41"/>
    <w:rsid w:val="00A6274A"/>
    <w:rsid w:val="00AA018B"/>
    <w:rsid w:val="00AA2B31"/>
    <w:rsid w:val="00AB5DA7"/>
    <w:rsid w:val="00AC7E51"/>
    <w:rsid w:val="00AD4462"/>
    <w:rsid w:val="00AD5F41"/>
    <w:rsid w:val="00AE1EA9"/>
    <w:rsid w:val="00AE48C4"/>
    <w:rsid w:val="00AE5055"/>
    <w:rsid w:val="00AF2DA8"/>
    <w:rsid w:val="00B07331"/>
    <w:rsid w:val="00B2136F"/>
    <w:rsid w:val="00B42959"/>
    <w:rsid w:val="00B45021"/>
    <w:rsid w:val="00B50BFA"/>
    <w:rsid w:val="00B51B8B"/>
    <w:rsid w:val="00B52A01"/>
    <w:rsid w:val="00B718CA"/>
    <w:rsid w:val="00B77FC0"/>
    <w:rsid w:val="00B83668"/>
    <w:rsid w:val="00B85661"/>
    <w:rsid w:val="00B86546"/>
    <w:rsid w:val="00B96B45"/>
    <w:rsid w:val="00B97AAB"/>
    <w:rsid w:val="00BA0E12"/>
    <w:rsid w:val="00BB4364"/>
    <w:rsid w:val="00BB7DEA"/>
    <w:rsid w:val="00BF0A4C"/>
    <w:rsid w:val="00BF0CFC"/>
    <w:rsid w:val="00BF2478"/>
    <w:rsid w:val="00BF2B99"/>
    <w:rsid w:val="00BF69D7"/>
    <w:rsid w:val="00C0067F"/>
    <w:rsid w:val="00C02C41"/>
    <w:rsid w:val="00C04A2C"/>
    <w:rsid w:val="00C0763E"/>
    <w:rsid w:val="00C172F8"/>
    <w:rsid w:val="00C22619"/>
    <w:rsid w:val="00C24898"/>
    <w:rsid w:val="00C3289B"/>
    <w:rsid w:val="00C33F7C"/>
    <w:rsid w:val="00C37411"/>
    <w:rsid w:val="00C45572"/>
    <w:rsid w:val="00C732D4"/>
    <w:rsid w:val="00C92C77"/>
    <w:rsid w:val="00CA1596"/>
    <w:rsid w:val="00CA6CCB"/>
    <w:rsid w:val="00CB536A"/>
    <w:rsid w:val="00CC79C0"/>
    <w:rsid w:val="00CF2CEA"/>
    <w:rsid w:val="00D072B8"/>
    <w:rsid w:val="00D117CE"/>
    <w:rsid w:val="00D12AA7"/>
    <w:rsid w:val="00D13173"/>
    <w:rsid w:val="00D17F3E"/>
    <w:rsid w:val="00D216EF"/>
    <w:rsid w:val="00D41938"/>
    <w:rsid w:val="00D47409"/>
    <w:rsid w:val="00D550CE"/>
    <w:rsid w:val="00D714F6"/>
    <w:rsid w:val="00D72328"/>
    <w:rsid w:val="00D73C2C"/>
    <w:rsid w:val="00D869DE"/>
    <w:rsid w:val="00D871C2"/>
    <w:rsid w:val="00D91343"/>
    <w:rsid w:val="00DA1B08"/>
    <w:rsid w:val="00DA63D1"/>
    <w:rsid w:val="00DA7527"/>
    <w:rsid w:val="00DB4604"/>
    <w:rsid w:val="00DC4FBC"/>
    <w:rsid w:val="00DC7059"/>
    <w:rsid w:val="00DD0E94"/>
    <w:rsid w:val="00DD5D18"/>
    <w:rsid w:val="00DE40BA"/>
    <w:rsid w:val="00DE6D39"/>
    <w:rsid w:val="00DF6C8A"/>
    <w:rsid w:val="00E00C3A"/>
    <w:rsid w:val="00E04C69"/>
    <w:rsid w:val="00E14022"/>
    <w:rsid w:val="00E15AC6"/>
    <w:rsid w:val="00E23A09"/>
    <w:rsid w:val="00E47834"/>
    <w:rsid w:val="00E53A2D"/>
    <w:rsid w:val="00E603DA"/>
    <w:rsid w:val="00E753E8"/>
    <w:rsid w:val="00E81DD1"/>
    <w:rsid w:val="00E83A57"/>
    <w:rsid w:val="00EA2CAA"/>
    <w:rsid w:val="00EA694E"/>
    <w:rsid w:val="00EB2508"/>
    <w:rsid w:val="00EB2F71"/>
    <w:rsid w:val="00EB301E"/>
    <w:rsid w:val="00EB5D05"/>
    <w:rsid w:val="00EC18EA"/>
    <w:rsid w:val="00EC383C"/>
    <w:rsid w:val="00ED3AC6"/>
    <w:rsid w:val="00ED50DD"/>
    <w:rsid w:val="00ED764F"/>
    <w:rsid w:val="00F13FF5"/>
    <w:rsid w:val="00F160B0"/>
    <w:rsid w:val="00F252B3"/>
    <w:rsid w:val="00F349DB"/>
    <w:rsid w:val="00F373CC"/>
    <w:rsid w:val="00F43599"/>
    <w:rsid w:val="00F549CD"/>
    <w:rsid w:val="00F56CE5"/>
    <w:rsid w:val="00F62935"/>
    <w:rsid w:val="00F85EB3"/>
    <w:rsid w:val="00F91803"/>
    <w:rsid w:val="00F95C4E"/>
    <w:rsid w:val="00FB34AB"/>
    <w:rsid w:val="00FC01F9"/>
    <w:rsid w:val="00FC07A5"/>
    <w:rsid w:val="00FC116D"/>
    <w:rsid w:val="00FD66D4"/>
    <w:rsid w:val="00FE6EF6"/>
    <w:rsid w:val="00FF1C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BB2E0-FA68-4996-818D-A8729C24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7635B"/>
    <w:rPr>
      <w:sz w:val="24"/>
      <w:szCs w:val="24"/>
    </w:rPr>
  </w:style>
  <w:style w:type="paragraph" w:styleId="Nadpis1">
    <w:name w:val="heading 1"/>
    <w:basedOn w:val="Normlny"/>
    <w:next w:val="Normlny"/>
    <w:link w:val="Nadpis1Char"/>
    <w:uiPriority w:val="9"/>
    <w:qFormat/>
    <w:rsid w:val="0007635B"/>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semiHidden/>
    <w:unhideWhenUsed/>
    <w:qFormat/>
    <w:rsid w:val="0007635B"/>
    <w:pPr>
      <w:keepNext/>
      <w:spacing w:before="240" w:after="60"/>
      <w:outlineLvl w:val="1"/>
    </w:pPr>
    <w:rPr>
      <w:rFonts w:ascii="Cambria" w:hAnsi="Cambria"/>
      <w:b/>
      <w:bCs/>
      <w:i/>
      <w:iCs/>
      <w:sz w:val="28"/>
      <w:szCs w:val="28"/>
    </w:rPr>
  </w:style>
  <w:style w:type="paragraph" w:styleId="Nadpis3">
    <w:name w:val="heading 3"/>
    <w:basedOn w:val="Normlny"/>
    <w:next w:val="Normlny"/>
    <w:link w:val="Nadpis3Char"/>
    <w:uiPriority w:val="9"/>
    <w:semiHidden/>
    <w:unhideWhenUsed/>
    <w:qFormat/>
    <w:rsid w:val="0007635B"/>
    <w:pPr>
      <w:keepNext/>
      <w:spacing w:before="240" w:after="60"/>
      <w:outlineLvl w:val="2"/>
    </w:pPr>
    <w:rPr>
      <w:rFonts w:ascii="Cambria" w:hAnsi="Cambria"/>
      <w:b/>
      <w:bCs/>
      <w:sz w:val="26"/>
      <w:szCs w:val="26"/>
    </w:rPr>
  </w:style>
  <w:style w:type="paragraph" w:styleId="Nadpis4">
    <w:name w:val="heading 4"/>
    <w:basedOn w:val="Normlny"/>
    <w:next w:val="Normlny"/>
    <w:link w:val="Nadpis4Char"/>
    <w:uiPriority w:val="9"/>
    <w:semiHidden/>
    <w:unhideWhenUsed/>
    <w:qFormat/>
    <w:rsid w:val="0007635B"/>
    <w:pPr>
      <w:keepNext/>
      <w:spacing w:before="240" w:after="60"/>
      <w:outlineLvl w:val="3"/>
    </w:pPr>
    <w:rPr>
      <w:rFonts w:ascii="Calibri" w:hAnsi="Calibri"/>
      <w:b/>
      <w:bCs/>
      <w:sz w:val="28"/>
      <w:szCs w:val="28"/>
    </w:rPr>
  </w:style>
  <w:style w:type="paragraph" w:styleId="Nadpis5">
    <w:name w:val="heading 5"/>
    <w:basedOn w:val="Normlny"/>
    <w:next w:val="Normlny"/>
    <w:link w:val="Nadpis5Char"/>
    <w:uiPriority w:val="9"/>
    <w:semiHidden/>
    <w:unhideWhenUsed/>
    <w:qFormat/>
    <w:rsid w:val="0007635B"/>
    <w:pPr>
      <w:spacing w:before="240" w:after="60"/>
      <w:outlineLvl w:val="4"/>
    </w:pPr>
    <w:rPr>
      <w:rFonts w:ascii="Calibri" w:hAnsi="Calibri"/>
      <w:b/>
      <w:bCs/>
      <w:i/>
      <w:iCs/>
      <w:sz w:val="26"/>
      <w:szCs w:val="26"/>
    </w:rPr>
  </w:style>
  <w:style w:type="paragraph" w:styleId="Nadpis6">
    <w:name w:val="heading 6"/>
    <w:basedOn w:val="Normlny"/>
    <w:next w:val="Normlny"/>
    <w:link w:val="Nadpis6Char"/>
    <w:uiPriority w:val="9"/>
    <w:semiHidden/>
    <w:unhideWhenUsed/>
    <w:qFormat/>
    <w:rsid w:val="0007635B"/>
    <w:pPr>
      <w:spacing w:before="240" w:after="60"/>
      <w:outlineLvl w:val="5"/>
    </w:pPr>
    <w:rPr>
      <w:rFonts w:ascii="Calibri" w:hAnsi="Calibri"/>
      <w:b/>
      <w:bCs/>
      <w:sz w:val="22"/>
      <w:szCs w:val="22"/>
    </w:rPr>
  </w:style>
  <w:style w:type="paragraph" w:styleId="Nadpis7">
    <w:name w:val="heading 7"/>
    <w:basedOn w:val="Normlny"/>
    <w:next w:val="Normlny"/>
    <w:link w:val="Nadpis7Char"/>
    <w:uiPriority w:val="9"/>
    <w:semiHidden/>
    <w:unhideWhenUsed/>
    <w:qFormat/>
    <w:rsid w:val="0007635B"/>
    <w:pPr>
      <w:spacing w:before="240" w:after="60"/>
      <w:outlineLvl w:val="6"/>
    </w:pPr>
    <w:rPr>
      <w:rFonts w:ascii="Calibri" w:hAnsi="Calibri"/>
    </w:rPr>
  </w:style>
  <w:style w:type="paragraph" w:styleId="Nadpis8">
    <w:name w:val="heading 8"/>
    <w:basedOn w:val="Normlny"/>
    <w:next w:val="Normlny"/>
    <w:link w:val="Nadpis8Char"/>
    <w:uiPriority w:val="9"/>
    <w:semiHidden/>
    <w:unhideWhenUsed/>
    <w:qFormat/>
    <w:rsid w:val="0007635B"/>
    <w:pPr>
      <w:spacing w:before="240" w:after="60"/>
      <w:outlineLvl w:val="7"/>
    </w:pPr>
    <w:rPr>
      <w:rFonts w:ascii="Calibri" w:hAnsi="Calibri"/>
      <w:i/>
      <w:iCs/>
    </w:rPr>
  </w:style>
  <w:style w:type="paragraph" w:styleId="Nadpis9">
    <w:name w:val="heading 9"/>
    <w:basedOn w:val="Normlny"/>
    <w:next w:val="Normlny"/>
    <w:link w:val="Nadpis9Char"/>
    <w:uiPriority w:val="9"/>
    <w:semiHidden/>
    <w:unhideWhenUsed/>
    <w:qFormat/>
    <w:rsid w:val="0007635B"/>
    <w:pPr>
      <w:spacing w:before="240" w:after="60"/>
      <w:outlineLvl w:val="8"/>
    </w:pPr>
    <w:rPr>
      <w:rFonts w:ascii="Cambria"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7635B"/>
    <w:rPr>
      <w:rFonts w:ascii="Cambria" w:eastAsia="Times New Roman" w:hAnsi="Cambria" w:cs="Times New Roman"/>
      <w:b/>
      <w:bCs/>
      <w:kern w:val="32"/>
      <w:sz w:val="32"/>
      <w:szCs w:val="32"/>
    </w:rPr>
  </w:style>
  <w:style w:type="character" w:customStyle="1" w:styleId="Nadpis2Char">
    <w:name w:val="Nadpis 2 Char"/>
    <w:basedOn w:val="Predvolenpsmoodseku"/>
    <w:link w:val="Nadpis2"/>
    <w:uiPriority w:val="9"/>
    <w:semiHidden/>
    <w:rsid w:val="0007635B"/>
    <w:rPr>
      <w:rFonts w:ascii="Cambria" w:eastAsia="Times New Roman" w:hAnsi="Cambria" w:cs="Times New Roman"/>
      <w:b/>
      <w:bCs/>
      <w:i/>
      <w:iCs/>
      <w:sz w:val="28"/>
      <w:szCs w:val="28"/>
    </w:rPr>
  </w:style>
  <w:style w:type="character" w:customStyle="1" w:styleId="Nadpis3Char">
    <w:name w:val="Nadpis 3 Char"/>
    <w:basedOn w:val="Predvolenpsmoodseku"/>
    <w:link w:val="Nadpis3"/>
    <w:uiPriority w:val="9"/>
    <w:semiHidden/>
    <w:rsid w:val="0007635B"/>
    <w:rPr>
      <w:rFonts w:ascii="Cambria" w:eastAsia="Times New Roman" w:hAnsi="Cambria" w:cs="Times New Roman"/>
      <w:b/>
      <w:bCs/>
      <w:sz w:val="26"/>
      <w:szCs w:val="26"/>
    </w:rPr>
  </w:style>
  <w:style w:type="character" w:customStyle="1" w:styleId="Nadpis4Char">
    <w:name w:val="Nadpis 4 Char"/>
    <w:basedOn w:val="Predvolenpsmoodseku"/>
    <w:link w:val="Nadpis4"/>
    <w:uiPriority w:val="9"/>
    <w:semiHidden/>
    <w:rsid w:val="0007635B"/>
    <w:rPr>
      <w:rFonts w:ascii="Calibri" w:eastAsia="Times New Roman" w:hAnsi="Calibri" w:cs="Times New Roman"/>
      <w:b/>
      <w:bCs/>
      <w:sz w:val="28"/>
      <w:szCs w:val="28"/>
    </w:rPr>
  </w:style>
  <w:style w:type="character" w:customStyle="1" w:styleId="Nadpis5Char">
    <w:name w:val="Nadpis 5 Char"/>
    <w:basedOn w:val="Predvolenpsmoodseku"/>
    <w:link w:val="Nadpis5"/>
    <w:uiPriority w:val="9"/>
    <w:semiHidden/>
    <w:rsid w:val="0007635B"/>
    <w:rPr>
      <w:rFonts w:ascii="Calibri" w:eastAsia="Times New Roman" w:hAnsi="Calibri" w:cs="Times New Roman"/>
      <w:b/>
      <w:bCs/>
      <w:i/>
      <w:iCs/>
      <w:sz w:val="26"/>
      <w:szCs w:val="26"/>
    </w:rPr>
  </w:style>
  <w:style w:type="character" w:customStyle="1" w:styleId="Nadpis6Char">
    <w:name w:val="Nadpis 6 Char"/>
    <w:basedOn w:val="Predvolenpsmoodseku"/>
    <w:link w:val="Nadpis6"/>
    <w:uiPriority w:val="9"/>
    <w:semiHidden/>
    <w:rsid w:val="0007635B"/>
    <w:rPr>
      <w:rFonts w:ascii="Calibri" w:eastAsia="Times New Roman" w:hAnsi="Calibri" w:cs="Times New Roman"/>
      <w:b/>
      <w:bCs/>
      <w:sz w:val="22"/>
      <w:szCs w:val="22"/>
    </w:rPr>
  </w:style>
  <w:style w:type="character" w:customStyle="1" w:styleId="Nadpis7Char">
    <w:name w:val="Nadpis 7 Char"/>
    <w:basedOn w:val="Predvolenpsmoodseku"/>
    <w:link w:val="Nadpis7"/>
    <w:uiPriority w:val="9"/>
    <w:semiHidden/>
    <w:rsid w:val="0007635B"/>
    <w:rPr>
      <w:rFonts w:ascii="Calibri" w:eastAsia="Times New Roman" w:hAnsi="Calibri" w:cs="Times New Roman"/>
      <w:sz w:val="24"/>
      <w:szCs w:val="24"/>
    </w:rPr>
  </w:style>
  <w:style w:type="character" w:customStyle="1" w:styleId="Nadpis8Char">
    <w:name w:val="Nadpis 8 Char"/>
    <w:basedOn w:val="Predvolenpsmoodseku"/>
    <w:link w:val="Nadpis8"/>
    <w:uiPriority w:val="9"/>
    <w:semiHidden/>
    <w:rsid w:val="0007635B"/>
    <w:rPr>
      <w:rFonts w:ascii="Calibri" w:eastAsia="Times New Roman" w:hAnsi="Calibri" w:cs="Times New Roman"/>
      <w:i/>
      <w:iCs/>
      <w:sz w:val="24"/>
      <w:szCs w:val="24"/>
    </w:rPr>
  </w:style>
  <w:style w:type="character" w:customStyle="1" w:styleId="Nadpis9Char">
    <w:name w:val="Nadpis 9 Char"/>
    <w:basedOn w:val="Predvolenpsmoodseku"/>
    <w:link w:val="Nadpis9"/>
    <w:uiPriority w:val="9"/>
    <w:semiHidden/>
    <w:rsid w:val="0007635B"/>
    <w:rPr>
      <w:rFonts w:ascii="Cambria" w:eastAsia="Times New Roman" w:hAnsi="Cambria" w:cs="Times New Roman"/>
      <w:sz w:val="22"/>
      <w:szCs w:val="22"/>
    </w:rPr>
  </w:style>
  <w:style w:type="paragraph" w:styleId="Nzov">
    <w:name w:val="Title"/>
    <w:basedOn w:val="Normlny"/>
    <w:next w:val="Normlny"/>
    <w:link w:val="NzovChar"/>
    <w:uiPriority w:val="10"/>
    <w:qFormat/>
    <w:rsid w:val="0007635B"/>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10"/>
    <w:rsid w:val="0007635B"/>
    <w:rPr>
      <w:rFonts w:ascii="Cambria" w:eastAsia="Times New Roman" w:hAnsi="Cambria" w:cs="Times New Roman"/>
      <w:b/>
      <w:bCs/>
      <w:kern w:val="28"/>
      <w:sz w:val="32"/>
      <w:szCs w:val="32"/>
    </w:rPr>
  </w:style>
  <w:style w:type="paragraph" w:styleId="Podtitul">
    <w:name w:val="Subtitle"/>
    <w:basedOn w:val="Normlny"/>
    <w:next w:val="Normlny"/>
    <w:link w:val="PodtitulChar"/>
    <w:uiPriority w:val="11"/>
    <w:qFormat/>
    <w:rsid w:val="0007635B"/>
    <w:pPr>
      <w:spacing w:after="60"/>
      <w:jc w:val="center"/>
      <w:outlineLvl w:val="1"/>
    </w:pPr>
    <w:rPr>
      <w:rFonts w:ascii="Cambria" w:hAnsi="Cambria"/>
    </w:rPr>
  </w:style>
  <w:style w:type="character" w:customStyle="1" w:styleId="PodtitulChar">
    <w:name w:val="Podtitul Char"/>
    <w:basedOn w:val="Predvolenpsmoodseku"/>
    <w:link w:val="Podtitul"/>
    <w:uiPriority w:val="11"/>
    <w:rsid w:val="0007635B"/>
    <w:rPr>
      <w:rFonts w:ascii="Cambria" w:eastAsia="Times New Roman" w:hAnsi="Cambria" w:cs="Times New Roman"/>
      <w:sz w:val="24"/>
      <w:szCs w:val="24"/>
    </w:rPr>
  </w:style>
  <w:style w:type="character" w:styleId="Siln">
    <w:name w:val="Strong"/>
    <w:uiPriority w:val="22"/>
    <w:qFormat/>
    <w:rsid w:val="0007635B"/>
    <w:rPr>
      <w:b/>
      <w:bCs/>
    </w:rPr>
  </w:style>
  <w:style w:type="character" w:styleId="Zvraznenie">
    <w:name w:val="Emphasis"/>
    <w:uiPriority w:val="20"/>
    <w:qFormat/>
    <w:rsid w:val="0007635B"/>
    <w:rPr>
      <w:i/>
      <w:iCs/>
    </w:rPr>
  </w:style>
  <w:style w:type="paragraph" w:styleId="Bezriadkovania">
    <w:name w:val="No Spacing"/>
    <w:basedOn w:val="Normlny"/>
    <w:uiPriority w:val="1"/>
    <w:qFormat/>
    <w:rsid w:val="0007635B"/>
  </w:style>
  <w:style w:type="paragraph" w:styleId="Odsekzoznamu">
    <w:name w:val="List Paragraph"/>
    <w:basedOn w:val="Normlny"/>
    <w:link w:val="OdsekzoznamuChar"/>
    <w:uiPriority w:val="34"/>
    <w:qFormat/>
    <w:rsid w:val="0007635B"/>
    <w:pPr>
      <w:ind w:left="708"/>
    </w:pPr>
  </w:style>
  <w:style w:type="paragraph" w:styleId="Citcia">
    <w:name w:val="Quote"/>
    <w:basedOn w:val="Normlny"/>
    <w:next w:val="Normlny"/>
    <w:link w:val="CitciaChar"/>
    <w:uiPriority w:val="29"/>
    <w:qFormat/>
    <w:rsid w:val="0007635B"/>
    <w:rPr>
      <w:i/>
      <w:iCs/>
      <w:color w:val="000000"/>
    </w:rPr>
  </w:style>
  <w:style w:type="character" w:customStyle="1" w:styleId="CitciaChar">
    <w:name w:val="Citácia Char"/>
    <w:basedOn w:val="Predvolenpsmoodseku"/>
    <w:link w:val="Citcia"/>
    <w:uiPriority w:val="29"/>
    <w:rsid w:val="0007635B"/>
    <w:rPr>
      <w:i/>
      <w:iCs/>
      <w:color w:val="000000"/>
      <w:sz w:val="24"/>
      <w:szCs w:val="24"/>
    </w:rPr>
  </w:style>
  <w:style w:type="paragraph" w:styleId="Zvraznencitcia">
    <w:name w:val="Intense Quote"/>
    <w:basedOn w:val="Normlny"/>
    <w:next w:val="Normlny"/>
    <w:link w:val="ZvraznencitciaChar"/>
    <w:uiPriority w:val="30"/>
    <w:qFormat/>
    <w:rsid w:val="0007635B"/>
    <w:pPr>
      <w:pBdr>
        <w:bottom w:val="single" w:sz="4" w:space="4" w:color="4F81BD"/>
      </w:pBdr>
      <w:spacing w:before="200" w:after="280"/>
      <w:ind w:left="936" w:right="936"/>
    </w:pPr>
    <w:rPr>
      <w:b/>
      <w:bCs/>
      <w:i/>
      <w:iCs/>
      <w:color w:val="4F81BD"/>
    </w:rPr>
  </w:style>
  <w:style w:type="character" w:customStyle="1" w:styleId="ZvraznencitciaChar">
    <w:name w:val="Zvýraznená citácia Char"/>
    <w:basedOn w:val="Predvolenpsmoodseku"/>
    <w:link w:val="Zvraznencitcia"/>
    <w:uiPriority w:val="30"/>
    <w:rsid w:val="0007635B"/>
    <w:rPr>
      <w:b/>
      <w:bCs/>
      <w:i/>
      <w:iCs/>
      <w:color w:val="4F81BD"/>
      <w:sz w:val="24"/>
      <w:szCs w:val="24"/>
    </w:rPr>
  </w:style>
  <w:style w:type="character" w:styleId="Jemnzvraznenie">
    <w:name w:val="Subtle Emphasis"/>
    <w:uiPriority w:val="19"/>
    <w:qFormat/>
    <w:rsid w:val="0007635B"/>
    <w:rPr>
      <w:i/>
      <w:iCs/>
      <w:color w:val="808080"/>
    </w:rPr>
  </w:style>
  <w:style w:type="character" w:styleId="Intenzvnezvraznenie">
    <w:name w:val="Intense Emphasis"/>
    <w:uiPriority w:val="21"/>
    <w:qFormat/>
    <w:rsid w:val="0007635B"/>
    <w:rPr>
      <w:b/>
      <w:bCs/>
      <w:i/>
      <w:iCs/>
      <w:color w:val="4F81BD"/>
    </w:rPr>
  </w:style>
  <w:style w:type="character" w:styleId="Jemnodkaz">
    <w:name w:val="Subtle Reference"/>
    <w:basedOn w:val="Predvolenpsmoodseku"/>
    <w:uiPriority w:val="31"/>
    <w:qFormat/>
    <w:rsid w:val="0007635B"/>
    <w:rPr>
      <w:smallCaps/>
      <w:color w:val="C0504D"/>
      <w:u w:val="single"/>
    </w:rPr>
  </w:style>
  <w:style w:type="character" w:styleId="Intenzvnyodkaz">
    <w:name w:val="Intense Reference"/>
    <w:uiPriority w:val="32"/>
    <w:qFormat/>
    <w:rsid w:val="0007635B"/>
    <w:rPr>
      <w:b/>
      <w:bCs/>
      <w:smallCaps/>
      <w:color w:val="C0504D"/>
      <w:spacing w:val="5"/>
      <w:u w:val="single"/>
    </w:rPr>
  </w:style>
  <w:style w:type="character" w:styleId="Nzovknihy">
    <w:name w:val="Book Title"/>
    <w:basedOn w:val="Predvolenpsmoodseku"/>
    <w:uiPriority w:val="33"/>
    <w:qFormat/>
    <w:rsid w:val="0007635B"/>
    <w:rPr>
      <w:b/>
      <w:bCs/>
      <w:smallCaps/>
      <w:spacing w:val="5"/>
    </w:rPr>
  </w:style>
  <w:style w:type="paragraph" w:styleId="Hlavikaobsahu">
    <w:name w:val="TOC Heading"/>
    <w:basedOn w:val="Nadpis1"/>
    <w:next w:val="Normlny"/>
    <w:uiPriority w:val="39"/>
    <w:semiHidden/>
    <w:unhideWhenUsed/>
    <w:qFormat/>
    <w:rsid w:val="0007635B"/>
    <w:pPr>
      <w:outlineLvl w:val="9"/>
    </w:pPr>
  </w:style>
  <w:style w:type="table" w:styleId="Mriekatabuky">
    <w:name w:val="Table Grid"/>
    <w:basedOn w:val="Normlnatabuka"/>
    <w:uiPriority w:val="59"/>
    <w:rsid w:val="00F373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link w:val="Odsekzoznamu"/>
    <w:uiPriority w:val="34"/>
    <w:locked/>
    <w:rsid w:val="00DD0E94"/>
    <w:rPr>
      <w:sz w:val="24"/>
      <w:szCs w:val="24"/>
    </w:rPr>
  </w:style>
  <w:style w:type="character" w:styleId="Odkaznakomentr">
    <w:name w:val="annotation reference"/>
    <w:basedOn w:val="Predvolenpsmoodseku"/>
    <w:uiPriority w:val="99"/>
    <w:semiHidden/>
    <w:unhideWhenUsed/>
    <w:rsid w:val="00766C54"/>
    <w:rPr>
      <w:sz w:val="16"/>
      <w:szCs w:val="16"/>
    </w:rPr>
  </w:style>
  <w:style w:type="paragraph" w:styleId="Textkomentra">
    <w:name w:val="annotation text"/>
    <w:basedOn w:val="Normlny"/>
    <w:link w:val="TextkomentraChar"/>
    <w:uiPriority w:val="99"/>
    <w:semiHidden/>
    <w:unhideWhenUsed/>
    <w:rsid w:val="00766C54"/>
    <w:rPr>
      <w:sz w:val="20"/>
      <w:szCs w:val="20"/>
    </w:rPr>
  </w:style>
  <w:style w:type="character" w:customStyle="1" w:styleId="TextkomentraChar">
    <w:name w:val="Text komentára Char"/>
    <w:basedOn w:val="Predvolenpsmoodseku"/>
    <w:link w:val="Textkomentra"/>
    <w:uiPriority w:val="99"/>
    <w:semiHidden/>
    <w:rsid w:val="00766C54"/>
  </w:style>
  <w:style w:type="paragraph" w:styleId="Predmetkomentra">
    <w:name w:val="annotation subject"/>
    <w:basedOn w:val="Textkomentra"/>
    <w:next w:val="Textkomentra"/>
    <w:link w:val="PredmetkomentraChar"/>
    <w:uiPriority w:val="99"/>
    <w:semiHidden/>
    <w:unhideWhenUsed/>
    <w:rsid w:val="00766C54"/>
    <w:rPr>
      <w:b/>
      <w:bCs/>
    </w:rPr>
  </w:style>
  <w:style w:type="character" w:customStyle="1" w:styleId="PredmetkomentraChar">
    <w:name w:val="Predmet komentára Char"/>
    <w:basedOn w:val="TextkomentraChar"/>
    <w:link w:val="Predmetkomentra"/>
    <w:uiPriority w:val="99"/>
    <w:semiHidden/>
    <w:rsid w:val="00766C54"/>
    <w:rPr>
      <w:b/>
      <w:bCs/>
    </w:rPr>
  </w:style>
  <w:style w:type="paragraph" w:styleId="Textbubliny">
    <w:name w:val="Balloon Text"/>
    <w:basedOn w:val="Normlny"/>
    <w:link w:val="TextbublinyChar"/>
    <w:uiPriority w:val="99"/>
    <w:semiHidden/>
    <w:unhideWhenUsed/>
    <w:rsid w:val="00766C54"/>
    <w:rPr>
      <w:rFonts w:ascii="Tahoma" w:hAnsi="Tahoma" w:cs="Tahoma"/>
      <w:sz w:val="16"/>
      <w:szCs w:val="16"/>
    </w:rPr>
  </w:style>
  <w:style w:type="character" w:customStyle="1" w:styleId="TextbublinyChar">
    <w:name w:val="Text bubliny Char"/>
    <w:basedOn w:val="Predvolenpsmoodseku"/>
    <w:link w:val="Textbubliny"/>
    <w:uiPriority w:val="99"/>
    <w:semiHidden/>
    <w:rsid w:val="00766C54"/>
    <w:rPr>
      <w:rFonts w:ascii="Tahoma" w:hAnsi="Tahoma" w:cs="Tahoma"/>
      <w:sz w:val="16"/>
      <w:szCs w:val="16"/>
    </w:rPr>
  </w:style>
  <w:style w:type="paragraph" w:styleId="Hlavika">
    <w:name w:val="header"/>
    <w:basedOn w:val="Normlny"/>
    <w:link w:val="HlavikaChar"/>
    <w:uiPriority w:val="99"/>
    <w:semiHidden/>
    <w:unhideWhenUsed/>
    <w:rsid w:val="006704B8"/>
    <w:pPr>
      <w:tabs>
        <w:tab w:val="center" w:pos="4536"/>
        <w:tab w:val="right" w:pos="9072"/>
      </w:tabs>
    </w:pPr>
  </w:style>
  <w:style w:type="character" w:customStyle="1" w:styleId="HlavikaChar">
    <w:name w:val="Hlavička Char"/>
    <w:basedOn w:val="Predvolenpsmoodseku"/>
    <w:link w:val="Hlavika"/>
    <w:uiPriority w:val="99"/>
    <w:semiHidden/>
    <w:rsid w:val="006704B8"/>
    <w:rPr>
      <w:sz w:val="24"/>
      <w:szCs w:val="24"/>
    </w:rPr>
  </w:style>
  <w:style w:type="paragraph" w:styleId="Pta">
    <w:name w:val="footer"/>
    <w:basedOn w:val="Normlny"/>
    <w:link w:val="PtaChar"/>
    <w:uiPriority w:val="99"/>
    <w:unhideWhenUsed/>
    <w:rsid w:val="006704B8"/>
    <w:pPr>
      <w:tabs>
        <w:tab w:val="center" w:pos="4536"/>
        <w:tab w:val="right" w:pos="9072"/>
      </w:tabs>
    </w:pPr>
  </w:style>
  <w:style w:type="character" w:customStyle="1" w:styleId="PtaChar">
    <w:name w:val="Päta Char"/>
    <w:basedOn w:val="Predvolenpsmoodseku"/>
    <w:link w:val="Pta"/>
    <w:uiPriority w:val="99"/>
    <w:rsid w:val="006704B8"/>
    <w:rPr>
      <w:sz w:val="24"/>
      <w:szCs w:val="24"/>
    </w:rPr>
  </w:style>
  <w:style w:type="paragraph" w:styleId="Revzia">
    <w:name w:val="Revision"/>
    <w:hidden/>
    <w:uiPriority w:val="99"/>
    <w:semiHidden/>
    <w:rsid w:val="00E00C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516172">
      <w:bodyDiv w:val="1"/>
      <w:marLeft w:val="0"/>
      <w:marRight w:val="0"/>
      <w:marTop w:val="0"/>
      <w:marBottom w:val="0"/>
      <w:divBdr>
        <w:top w:val="none" w:sz="0" w:space="0" w:color="auto"/>
        <w:left w:val="none" w:sz="0" w:space="0" w:color="auto"/>
        <w:bottom w:val="none" w:sz="0" w:space="0" w:color="auto"/>
        <w:right w:val="none" w:sz="0" w:space="0" w:color="auto"/>
      </w:divBdr>
    </w:div>
    <w:div w:id="912620024">
      <w:bodyDiv w:val="1"/>
      <w:marLeft w:val="0"/>
      <w:marRight w:val="0"/>
      <w:marTop w:val="0"/>
      <w:marBottom w:val="0"/>
      <w:divBdr>
        <w:top w:val="none" w:sz="0" w:space="0" w:color="auto"/>
        <w:left w:val="none" w:sz="0" w:space="0" w:color="auto"/>
        <w:bottom w:val="none" w:sz="0" w:space="0" w:color="auto"/>
        <w:right w:val="none" w:sz="0" w:space="0" w:color="auto"/>
      </w:divBdr>
      <w:divsChild>
        <w:div w:id="27947958">
          <w:marLeft w:val="0"/>
          <w:marRight w:val="0"/>
          <w:marTop w:val="0"/>
          <w:marBottom w:val="0"/>
          <w:divBdr>
            <w:top w:val="none" w:sz="0" w:space="0" w:color="auto"/>
            <w:left w:val="none" w:sz="0" w:space="0" w:color="auto"/>
            <w:bottom w:val="none" w:sz="0" w:space="0" w:color="auto"/>
            <w:right w:val="none" w:sz="0" w:space="0" w:color="auto"/>
          </w:divBdr>
          <w:divsChild>
            <w:div w:id="1162165456">
              <w:marLeft w:val="0"/>
              <w:marRight w:val="0"/>
              <w:marTop w:val="0"/>
              <w:marBottom w:val="0"/>
              <w:divBdr>
                <w:top w:val="none" w:sz="0" w:space="0" w:color="auto"/>
                <w:left w:val="none" w:sz="0" w:space="0" w:color="auto"/>
                <w:bottom w:val="none" w:sz="0" w:space="0" w:color="auto"/>
                <w:right w:val="none" w:sz="0" w:space="0" w:color="auto"/>
              </w:divBdr>
              <w:divsChild>
                <w:div w:id="1646929678">
                  <w:marLeft w:val="0"/>
                  <w:marRight w:val="0"/>
                  <w:marTop w:val="0"/>
                  <w:marBottom w:val="0"/>
                  <w:divBdr>
                    <w:top w:val="none" w:sz="0" w:space="0" w:color="auto"/>
                    <w:left w:val="none" w:sz="0" w:space="0" w:color="auto"/>
                    <w:bottom w:val="none" w:sz="0" w:space="0" w:color="auto"/>
                    <w:right w:val="none" w:sz="0" w:space="0" w:color="auto"/>
                  </w:divBdr>
                  <w:divsChild>
                    <w:div w:id="1848598874">
                      <w:marLeft w:val="0"/>
                      <w:marRight w:val="0"/>
                      <w:marTop w:val="0"/>
                      <w:marBottom w:val="0"/>
                      <w:divBdr>
                        <w:top w:val="none" w:sz="0" w:space="0" w:color="auto"/>
                        <w:left w:val="none" w:sz="0" w:space="0" w:color="auto"/>
                        <w:bottom w:val="none" w:sz="0" w:space="0" w:color="auto"/>
                        <w:right w:val="none" w:sz="0" w:space="0" w:color="auto"/>
                      </w:divBdr>
                      <w:divsChild>
                        <w:div w:id="549847730">
                          <w:marLeft w:val="0"/>
                          <w:marRight w:val="0"/>
                          <w:marTop w:val="0"/>
                          <w:marBottom w:val="0"/>
                          <w:divBdr>
                            <w:top w:val="none" w:sz="0" w:space="0" w:color="auto"/>
                            <w:left w:val="none" w:sz="0" w:space="0" w:color="auto"/>
                            <w:bottom w:val="none" w:sz="0" w:space="0" w:color="auto"/>
                            <w:right w:val="none" w:sz="0" w:space="0" w:color="auto"/>
                          </w:divBdr>
                          <w:divsChild>
                            <w:div w:id="1245066398">
                              <w:marLeft w:val="0"/>
                              <w:marRight w:val="0"/>
                              <w:marTop w:val="0"/>
                              <w:marBottom w:val="0"/>
                              <w:divBdr>
                                <w:top w:val="none" w:sz="0" w:space="0" w:color="auto"/>
                                <w:left w:val="none" w:sz="0" w:space="0" w:color="auto"/>
                                <w:bottom w:val="none" w:sz="0" w:space="0" w:color="auto"/>
                                <w:right w:val="none" w:sz="0" w:space="0" w:color="auto"/>
                              </w:divBdr>
                              <w:divsChild>
                                <w:div w:id="871572207">
                                  <w:marLeft w:val="0"/>
                                  <w:marRight w:val="0"/>
                                  <w:marTop w:val="0"/>
                                  <w:marBottom w:val="0"/>
                                  <w:divBdr>
                                    <w:top w:val="none" w:sz="0" w:space="0" w:color="auto"/>
                                    <w:left w:val="none" w:sz="0" w:space="0" w:color="auto"/>
                                    <w:bottom w:val="none" w:sz="0" w:space="0" w:color="auto"/>
                                    <w:right w:val="none" w:sz="0" w:space="0" w:color="auto"/>
                                  </w:divBdr>
                                  <w:divsChild>
                                    <w:div w:id="364018434">
                                      <w:marLeft w:val="0"/>
                                      <w:marRight w:val="0"/>
                                      <w:marTop w:val="0"/>
                                      <w:marBottom w:val="0"/>
                                      <w:divBdr>
                                        <w:top w:val="none" w:sz="0" w:space="0" w:color="auto"/>
                                        <w:left w:val="none" w:sz="0" w:space="0" w:color="auto"/>
                                        <w:bottom w:val="none" w:sz="0" w:space="0" w:color="auto"/>
                                        <w:right w:val="none" w:sz="0" w:space="0" w:color="auto"/>
                                      </w:divBdr>
                                      <w:divsChild>
                                        <w:div w:id="1221743038">
                                          <w:marLeft w:val="0"/>
                                          <w:marRight w:val="0"/>
                                          <w:marTop w:val="0"/>
                                          <w:marBottom w:val="0"/>
                                          <w:divBdr>
                                            <w:top w:val="none" w:sz="0" w:space="0" w:color="auto"/>
                                            <w:left w:val="none" w:sz="0" w:space="0" w:color="auto"/>
                                            <w:bottom w:val="none" w:sz="0" w:space="0" w:color="auto"/>
                                            <w:right w:val="none" w:sz="0" w:space="0" w:color="auto"/>
                                          </w:divBdr>
                                          <w:divsChild>
                                            <w:div w:id="1362822827">
                                              <w:marLeft w:val="0"/>
                                              <w:marRight w:val="0"/>
                                              <w:marTop w:val="0"/>
                                              <w:marBottom w:val="0"/>
                                              <w:divBdr>
                                                <w:top w:val="none" w:sz="0" w:space="0" w:color="auto"/>
                                                <w:left w:val="none" w:sz="0" w:space="0" w:color="auto"/>
                                                <w:bottom w:val="none" w:sz="0" w:space="0" w:color="auto"/>
                                                <w:right w:val="none" w:sz="0" w:space="0" w:color="auto"/>
                                              </w:divBdr>
                                              <w:divsChild>
                                                <w:div w:id="1041201633">
                                                  <w:marLeft w:val="0"/>
                                                  <w:marRight w:val="0"/>
                                                  <w:marTop w:val="0"/>
                                                  <w:marBottom w:val="0"/>
                                                  <w:divBdr>
                                                    <w:top w:val="none" w:sz="0" w:space="0" w:color="auto"/>
                                                    <w:left w:val="none" w:sz="0" w:space="0" w:color="auto"/>
                                                    <w:bottom w:val="none" w:sz="0" w:space="0" w:color="auto"/>
                                                    <w:right w:val="none" w:sz="0" w:space="0" w:color="auto"/>
                                                  </w:divBdr>
                                                  <w:divsChild>
                                                    <w:div w:id="1130630325">
                                                      <w:marLeft w:val="0"/>
                                                      <w:marRight w:val="0"/>
                                                      <w:marTop w:val="0"/>
                                                      <w:marBottom w:val="0"/>
                                                      <w:divBdr>
                                                        <w:top w:val="none" w:sz="0" w:space="0" w:color="auto"/>
                                                        <w:left w:val="none" w:sz="0" w:space="0" w:color="auto"/>
                                                        <w:bottom w:val="none" w:sz="0" w:space="0" w:color="auto"/>
                                                        <w:right w:val="none" w:sz="0" w:space="0" w:color="auto"/>
                                                      </w:divBdr>
                                                      <w:divsChild>
                                                        <w:div w:id="1642298425">
                                                          <w:marLeft w:val="0"/>
                                                          <w:marRight w:val="0"/>
                                                          <w:marTop w:val="0"/>
                                                          <w:marBottom w:val="0"/>
                                                          <w:divBdr>
                                                            <w:top w:val="none" w:sz="0" w:space="0" w:color="auto"/>
                                                            <w:left w:val="none" w:sz="0" w:space="0" w:color="auto"/>
                                                            <w:bottom w:val="none" w:sz="0" w:space="0" w:color="auto"/>
                                                            <w:right w:val="none" w:sz="0" w:space="0" w:color="auto"/>
                                                          </w:divBdr>
                                                        </w:div>
                                                      </w:divsChild>
                                                    </w:div>
                                                    <w:div w:id="1997606595">
                                                      <w:marLeft w:val="0"/>
                                                      <w:marRight w:val="0"/>
                                                      <w:marTop w:val="0"/>
                                                      <w:marBottom w:val="0"/>
                                                      <w:divBdr>
                                                        <w:top w:val="none" w:sz="0" w:space="0" w:color="auto"/>
                                                        <w:left w:val="none" w:sz="0" w:space="0" w:color="auto"/>
                                                        <w:bottom w:val="none" w:sz="0" w:space="0" w:color="auto"/>
                                                        <w:right w:val="none" w:sz="0" w:space="0" w:color="auto"/>
                                                      </w:divBdr>
                                                      <w:divsChild>
                                                        <w:div w:id="1954626397">
                                                          <w:marLeft w:val="0"/>
                                                          <w:marRight w:val="0"/>
                                                          <w:marTop w:val="0"/>
                                                          <w:marBottom w:val="0"/>
                                                          <w:divBdr>
                                                            <w:top w:val="none" w:sz="0" w:space="0" w:color="auto"/>
                                                            <w:left w:val="none" w:sz="0" w:space="0" w:color="auto"/>
                                                            <w:bottom w:val="none" w:sz="0" w:space="0" w:color="auto"/>
                                                            <w:right w:val="none" w:sz="0" w:space="0" w:color="auto"/>
                                                          </w:divBdr>
                                                        </w:div>
                                                      </w:divsChild>
                                                    </w:div>
                                                    <w:div w:id="1934971738">
                                                      <w:marLeft w:val="0"/>
                                                      <w:marRight w:val="0"/>
                                                      <w:marTop w:val="0"/>
                                                      <w:marBottom w:val="0"/>
                                                      <w:divBdr>
                                                        <w:top w:val="none" w:sz="0" w:space="0" w:color="auto"/>
                                                        <w:left w:val="none" w:sz="0" w:space="0" w:color="auto"/>
                                                        <w:bottom w:val="none" w:sz="0" w:space="0" w:color="auto"/>
                                                        <w:right w:val="none" w:sz="0" w:space="0" w:color="auto"/>
                                                      </w:divBdr>
                                                      <w:divsChild>
                                                        <w:div w:id="183430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050985">
                                              <w:marLeft w:val="0"/>
                                              <w:marRight w:val="0"/>
                                              <w:marTop w:val="0"/>
                                              <w:marBottom w:val="0"/>
                                              <w:divBdr>
                                                <w:top w:val="none" w:sz="0" w:space="0" w:color="auto"/>
                                                <w:left w:val="none" w:sz="0" w:space="0" w:color="auto"/>
                                                <w:bottom w:val="none" w:sz="0" w:space="0" w:color="auto"/>
                                                <w:right w:val="none" w:sz="0" w:space="0" w:color="auto"/>
                                              </w:divBdr>
                                              <w:divsChild>
                                                <w:div w:id="20518903">
                                                  <w:marLeft w:val="0"/>
                                                  <w:marRight w:val="0"/>
                                                  <w:marTop w:val="0"/>
                                                  <w:marBottom w:val="0"/>
                                                  <w:divBdr>
                                                    <w:top w:val="none" w:sz="0" w:space="0" w:color="auto"/>
                                                    <w:left w:val="none" w:sz="0" w:space="0" w:color="auto"/>
                                                    <w:bottom w:val="none" w:sz="0" w:space="0" w:color="auto"/>
                                                    <w:right w:val="none" w:sz="0" w:space="0" w:color="auto"/>
                                                  </w:divBdr>
                                                  <w:divsChild>
                                                    <w:div w:id="1419252532">
                                                      <w:marLeft w:val="0"/>
                                                      <w:marRight w:val="0"/>
                                                      <w:marTop w:val="0"/>
                                                      <w:marBottom w:val="0"/>
                                                      <w:divBdr>
                                                        <w:top w:val="none" w:sz="0" w:space="0" w:color="auto"/>
                                                        <w:left w:val="none" w:sz="0" w:space="0" w:color="auto"/>
                                                        <w:bottom w:val="none" w:sz="0" w:space="0" w:color="auto"/>
                                                        <w:right w:val="none" w:sz="0" w:space="0" w:color="auto"/>
                                                      </w:divBdr>
                                                      <w:divsChild>
                                                        <w:div w:id="1680505036">
                                                          <w:marLeft w:val="0"/>
                                                          <w:marRight w:val="0"/>
                                                          <w:marTop w:val="0"/>
                                                          <w:marBottom w:val="0"/>
                                                          <w:divBdr>
                                                            <w:top w:val="none" w:sz="0" w:space="0" w:color="auto"/>
                                                            <w:left w:val="none" w:sz="0" w:space="0" w:color="auto"/>
                                                            <w:bottom w:val="none" w:sz="0" w:space="0" w:color="auto"/>
                                                            <w:right w:val="none" w:sz="0" w:space="0" w:color="auto"/>
                                                          </w:divBdr>
                                                        </w:div>
                                                      </w:divsChild>
                                                    </w:div>
                                                    <w:div w:id="1974946187">
                                                      <w:marLeft w:val="0"/>
                                                      <w:marRight w:val="0"/>
                                                      <w:marTop w:val="0"/>
                                                      <w:marBottom w:val="0"/>
                                                      <w:divBdr>
                                                        <w:top w:val="none" w:sz="0" w:space="0" w:color="auto"/>
                                                        <w:left w:val="none" w:sz="0" w:space="0" w:color="auto"/>
                                                        <w:bottom w:val="none" w:sz="0" w:space="0" w:color="auto"/>
                                                        <w:right w:val="none" w:sz="0" w:space="0" w:color="auto"/>
                                                      </w:divBdr>
                                                      <w:divsChild>
                                                        <w:div w:id="11678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34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legislativne-procesy/SK/LP/2018/7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A196B-C0FF-4763-84DC-81A261C64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6296</Characters>
  <Application>Microsoft Office Word</Application>
  <DocSecurity>0</DocSecurity>
  <Lines>52</Lines>
  <Paragraphs>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Postova Banka</Company>
  <LinksUpToDate>false</LinksUpToDate>
  <CharactersWithSpaces>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Slovenská banková asociácia</dc:creator>
  <cp:lastModifiedBy>Bachníček Jozef</cp:lastModifiedBy>
  <cp:revision>3</cp:revision>
  <cp:lastPrinted>2014-07-24T07:00:00Z</cp:lastPrinted>
  <dcterms:created xsi:type="dcterms:W3CDTF">2019-05-13T06:52:00Z</dcterms:created>
  <dcterms:modified xsi:type="dcterms:W3CDTF">2019-05-13T06:57:00Z</dcterms:modified>
</cp:coreProperties>
</file>