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="00440246">
        <w:rPr>
          <w:rFonts w:ascii="Times New Roman" w:hAnsi="Times New Roman"/>
          <w:sz w:val="24"/>
          <w:szCs w:val="24"/>
        </w:rPr>
        <w:t>A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70012C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bookmarkEnd w:id="0"/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40246" w:rsidRPr="00303C31" w:rsidRDefault="00440246" w:rsidP="00440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 rizikovému životnému poisteniu (bez </w:t>
      </w:r>
      <w:proofErr w:type="spellStart"/>
      <w:r>
        <w:rPr>
          <w:rFonts w:ascii="Times New Roman" w:hAnsi="Times New Roman"/>
          <w:b/>
          <w:smallCaps/>
          <w:sz w:val="24"/>
          <w:szCs w:val="24"/>
          <w:lang w:eastAsia="sk-SK"/>
        </w:rPr>
        <w:t>odkupnej</w:t>
      </w:r>
      <w:proofErr w:type="spellEnd"/>
      <w:r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hodnoty a bez spojenia s investičnými fondmi)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Pr="000D04C9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C1151D" w:rsidRPr="000D04C9" w:rsidTr="005B1FA7">
        <w:trPr>
          <w:trHeight w:val="552"/>
        </w:trPr>
        <w:tc>
          <w:tcPr>
            <w:tcW w:w="7508" w:type="dxa"/>
            <w:hideMark/>
          </w:tcPr>
          <w:p w:rsidR="00C1151D" w:rsidRPr="000D04C9" w:rsidRDefault="00C1151D" w:rsidP="0044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Predpokladaný podiel z poistného určený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</w:t>
            </w:r>
            <w:r w:rsidR="0044024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rizík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1151D" w:rsidRPr="000D04C9" w:rsidTr="005B1FA7">
        <w:tc>
          <w:tcPr>
            <w:tcW w:w="7508" w:type="dxa"/>
            <w:hideMark/>
          </w:tcPr>
          <w:p w:rsidR="00C1151D" w:rsidRPr="000D04C9" w:rsidRDefault="00FB4149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BB4FB7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Zvyšná časť poistného kalkulovaná najmä  na krytie nákladov na  uzavretie poistenia, správu poistnej zmluvy, správu súvisiaceho finančného majetku</w:t>
            </w:r>
            <w:r w:rsidR="00BB4FB7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="00BB4FB7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 w:rsidR="00BB4FB7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="00BB4FB7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B4FB7" w:rsidRPr="00C37217" w:rsidRDefault="00BB4FB7" w:rsidP="00BB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37217">
        <w:rPr>
          <w:rFonts w:ascii="Times New Roman" w:hAnsi="Times New Roman"/>
          <w:sz w:val="24"/>
          <w:szCs w:val="24"/>
        </w:rPr>
        <w:t>Informácie uvedené v tomto formulári platia za predpokladu, že počas doby trvania poistenia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217">
        <w:rPr>
          <w:rFonts w:ascii="Times New Roman" w:hAnsi="Times New Roman"/>
          <w:color w:val="00B0F0"/>
          <w:sz w:val="24"/>
          <w:szCs w:val="24"/>
        </w:rPr>
        <w:t xml:space="preserve">alebo </w:t>
      </w:r>
      <w:r w:rsidRPr="00C37217">
        <w:rPr>
          <w:rFonts w:ascii="Times New Roman" w:hAnsi="Times New Roman"/>
          <w:sz w:val="24"/>
          <w:szCs w:val="24"/>
        </w:rPr>
        <w:t xml:space="preserve"> počas desiatich rokov pri poistných zmluvách uzavretých na dobu neurčitú, nedôjde k zmene poistnej zmluvy ani k predčasnému ukončeniu zmluvy.</w:t>
      </w:r>
    </w:p>
    <w:p w:rsidR="00763662" w:rsidRPr="00763662" w:rsidRDefault="00763662" w:rsidP="00BB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sk-SK"/>
        </w:rPr>
      </w:pPr>
    </w:p>
    <w:sectPr w:rsidR="00763662" w:rsidRPr="00763662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B2" w:rsidRDefault="00C669B2" w:rsidP="002B1E11">
      <w:pPr>
        <w:spacing w:after="0" w:line="240" w:lineRule="auto"/>
      </w:pPr>
      <w:r>
        <w:separator/>
      </w:r>
    </w:p>
  </w:endnote>
  <w:endnote w:type="continuationSeparator" w:id="0">
    <w:p w:rsidR="00C669B2" w:rsidRDefault="00C669B2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B2" w:rsidRDefault="00C669B2" w:rsidP="002B1E11">
      <w:pPr>
        <w:spacing w:after="0" w:line="240" w:lineRule="auto"/>
      </w:pPr>
      <w:r>
        <w:separator/>
      </w:r>
    </w:p>
  </w:footnote>
  <w:footnote w:type="continuationSeparator" w:id="0">
    <w:p w:rsidR="00C669B2" w:rsidRDefault="00C669B2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0DB9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54247"/>
    <w:rsid w:val="001621A9"/>
    <w:rsid w:val="00165839"/>
    <w:rsid w:val="001723C9"/>
    <w:rsid w:val="00183519"/>
    <w:rsid w:val="001A10B0"/>
    <w:rsid w:val="001A2BE2"/>
    <w:rsid w:val="001A7515"/>
    <w:rsid w:val="001B5613"/>
    <w:rsid w:val="001B5D80"/>
    <w:rsid w:val="001B66DF"/>
    <w:rsid w:val="001D4F93"/>
    <w:rsid w:val="001E3600"/>
    <w:rsid w:val="001E4465"/>
    <w:rsid w:val="001E44FB"/>
    <w:rsid w:val="001E6DF9"/>
    <w:rsid w:val="001F0A47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37C5"/>
    <w:rsid w:val="00286E73"/>
    <w:rsid w:val="002874E4"/>
    <w:rsid w:val="0029018E"/>
    <w:rsid w:val="00294AC3"/>
    <w:rsid w:val="002951BD"/>
    <w:rsid w:val="00296BE0"/>
    <w:rsid w:val="00296F0F"/>
    <w:rsid w:val="0029740D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23241"/>
    <w:rsid w:val="00331D34"/>
    <w:rsid w:val="00334F4A"/>
    <w:rsid w:val="00336208"/>
    <w:rsid w:val="00340242"/>
    <w:rsid w:val="00343DC0"/>
    <w:rsid w:val="00346C85"/>
    <w:rsid w:val="00356624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246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410D0"/>
    <w:rsid w:val="00543A9F"/>
    <w:rsid w:val="00550597"/>
    <w:rsid w:val="005630AC"/>
    <w:rsid w:val="00564391"/>
    <w:rsid w:val="00567EDC"/>
    <w:rsid w:val="00571A89"/>
    <w:rsid w:val="005926A4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012C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662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40257"/>
    <w:rsid w:val="008434A3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26A"/>
    <w:rsid w:val="008C5DCF"/>
    <w:rsid w:val="008D1AE8"/>
    <w:rsid w:val="008F226E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23F8C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B4FB7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1151D"/>
    <w:rsid w:val="00C21C8F"/>
    <w:rsid w:val="00C33E63"/>
    <w:rsid w:val="00C377D3"/>
    <w:rsid w:val="00C432E7"/>
    <w:rsid w:val="00C5383E"/>
    <w:rsid w:val="00C61135"/>
    <w:rsid w:val="00C669B2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198D"/>
    <w:rsid w:val="00D14E3B"/>
    <w:rsid w:val="00D17D03"/>
    <w:rsid w:val="00D22A00"/>
    <w:rsid w:val="00D243ED"/>
    <w:rsid w:val="00D251DC"/>
    <w:rsid w:val="00D32044"/>
    <w:rsid w:val="00D34EEF"/>
    <w:rsid w:val="00D37E1D"/>
    <w:rsid w:val="00D43E48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4294"/>
    <w:rsid w:val="00E15719"/>
    <w:rsid w:val="00E15DB9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B4149"/>
    <w:rsid w:val="00FB6CEB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2"/>
    <f:field ref="objsubject" par="" edit="true" text=""/>
    <f:field ref="objcreatedby" par="" text="Kučerová, Daša, Ing."/>
    <f:field ref="objcreatedat" par="" text="14.1.2019 9:31:09"/>
    <f:field ref="objchangedby" par="" text="Administrator, System"/>
    <f:field ref="objmodifiedat" par="" text="14.1.2019 9:3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A142F0-B4AA-4DB2-BD79-3D11B9E0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7</cp:revision>
  <cp:lastPrinted>2017-11-13T10:12:00Z</cp:lastPrinted>
  <dcterms:created xsi:type="dcterms:W3CDTF">2019-09-20T09:50:00Z</dcterms:created>
  <dcterms:modified xsi:type="dcterms:W3CDTF">2019-10-04T08:51:00Z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COO.2145.1000.3.3161191</vt:lpwstr>
  </property>
  <property fmtid="{D5CDD505-2E9C-101B-9397-08002B2CF9AE}" pid="152" name="FSC#FSCFOLIO@1.1001:docpropproject">
    <vt:lpwstr/>
  </property>
</Properties>
</file>