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B2" w:rsidRDefault="000D62B2" w:rsidP="000D62B2">
      <w:r>
        <w:t>Dobrý deň,</w:t>
      </w:r>
    </w:p>
    <w:p w:rsidR="000D62B2" w:rsidRDefault="000D62B2" w:rsidP="000D62B2"/>
    <w:p w:rsidR="000D62B2" w:rsidRDefault="000D62B2" w:rsidP="000D62B2">
      <w:r>
        <w:t xml:space="preserve">sekcia sociálneho poistenia a dôchodkového sporenia pripravila základný </w:t>
      </w:r>
      <w:r>
        <w:rPr>
          <w:b/>
          <w:bCs/>
          <w:u w:val="single"/>
        </w:rPr>
        <w:t>návrh opatrenia MPSVR SR, ktorým sa ustanovuje vzor výpisu z osobného dôchodkového účtu sporiteľa a pravidlá na určenie prognóz dôchodkov</w:t>
      </w:r>
      <w:r>
        <w:t>. Keďže problematika sa dotýka širšieho okruhu subjektov, sú prizvané aj Národná banka Slovenska a zástupca SLASPO.</w:t>
      </w:r>
    </w:p>
    <w:p w:rsidR="000D62B2" w:rsidRDefault="000D62B2" w:rsidP="000D62B2"/>
    <w:p w:rsidR="000D62B2" w:rsidRDefault="000D62B2" w:rsidP="000D62B2">
      <w:r>
        <w:t xml:space="preserve">Konzultácie s podnikateľskými subjektmi sa uskutočnia dňa </w:t>
      </w:r>
      <w:r>
        <w:rPr>
          <w:b/>
          <w:bCs/>
        </w:rPr>
        <w:t>15. októbra 2019 o 9.00 hod</w:t>
      </w:r>
      <w:r>
        <w:t>. v zasadačke č. 117.</w:t>
      </w:r>
    </w:p>
    <w:p w:rsidR="000D62B2" w:rsidRDefault="000D62B2" w:rsidP="000D62B2"/>
    <w:p w:rsidR="000D62B2" w:rsidRDefault="000D62B2" w:rsidP="000D62B2">
      <w:r>
        <w:t>Prílohou tohto mailu je dokument, ktorý obsahuje návrh opatrenia aj so samotným vzorom výpisu. Napriek tomu, že žiadna regulácia to nevyžaduje, výpisy z II. piliera by mali byť do istej miery porovnateľné s informáciami o ďalších budúcich dôchodkových príjmoch jednotlivca, ako je štátny dôchodok (I. pilier) a iné dôchodkové produkty (najmä III. pilier). Jednotlivcovi to výrazne uľahčí orientáciu a získa komplexnejší prehľad o úrovni svojho dôchodkového zabezpečenia. Návrh výpisu z II. piliera preto vychádza z výpisu z osobného účtu účastníka, ktorý už doplnkové dôchodkové spoločnosti svojim klientom zasielajú (</w:t>
      </w:r>
      <w:hyperlink r:id="rId4" w:history="1">
        <w:r>
          <w:rPr>
            <w:rStyle w:val="Hypertextovprepojenie"/>
          </w:rPr>
          <w:t>https://www.slov-lex.sk/pravne-predpisy/SK/ZZ/2018/295/20190101</w:t>
        </w:r>
      </w:hyperlink>
      <w:r>
        <w:t>), pričom zohľadňuje špecifiká starobného dôchodkového sporenia.</w:t>
      </w:r>
    </w:p>
    <w:p w:rsidR="000D62B2" w:rsidRDefault="000D62B2" w:rsidP="000D62B2"/>
    <w:p w:rsidR="000D62B2" w:rsidRDefault="000D62B2" w:rsidP="000D62B2">
      <w:r>
        <w:t xml:space="preserve">Predmetom konzultácie bude v zásade najmä príloha č. 1 opatrenia a predpoklady na určenie prognóz dôchodkov. Z uvedeného dôvodu si Vám dovoľujeme zaslať aj návrh dokumentu, ktorý vysvetľuje zvolený prístup k výpočtu valorizácie povinných príspevkov a návrhu mesačného inflačného koeficientu podľa zostávajúcej dĺžky sporenia, a ktorý máme záujem po jeho finalizácii zverejniť ako analytický podklad. </w:t>
      </w:r>
    </w:p>
    <w:p w:rsidR="000D62B2" w:rsidRDefault="000D62B2" w:rsidP="000D62B2"/>
    <w:p w:rsidR="000D62B2" w:rsidRDefault="000D62B2" w:rsidP="000D62B2">
      <w:r>
        <w:t>Oboznámte sa, prosím, pred konzultáciou s materiálom v prílohe (najmä s návrhom opatrenia), aby sme na stretnutí mohli konštruktívne diskutovať.</w:t>
      </w:r>
    </w:p>
    <w:p w:rsidR="000D62B2" w:rsidRDefault="000D62B2" w:rsidP="000D62B2"/>
    <w:p w:rsidR="000D62B2" w:rsidRDefault="000D62B2" w:rsidP="000D62B2">
      <w:r>
        <w:t xml:space="preserve">V prípade, ak budete mať k obsahu materiálu akékoľvek otázky ešte pred stretnutím, zasielajte ich na </w:t>
      </w:r>
      <w:hyperlink r:id="rId5" w:history="1">
        <w:r>
          <w:rPr>
            <w:rStyle w:val="Hypertextovprepojenie"/>
          </w:rPr>
          <w:t>monika.pelechova@employment.gov.sk</w:t>
        </w:r>
      </w:hyperlink>
      <w:r>
        <w:t>. Na uvedenej adrese, prosím, potvrďte aj Vašu účasť.</w:t>
      </w:r>
    </w:p>
    <w:p w:rsidR="000D62B2" w:rsidRDefault="000D62B2" w:rsidP="000D62B2">
      <w:r>
        <w:t xml:space="preserve">Akékoľvek otázky súvisiace s predpokladmi na určenie prognóz dôchodkov a k materiálom súvisiacim s návrhom na valorizáciu príspevkov, prosím, smerujte na p. Jaroslava </w:t>
      </w:r>
      <w:proofErr w:type="spellStart"/>
      <w:r>
        <w:t>Hudcovského</w:t>
      </w:r>
      <w:proofErr w:type="spellEnd"/>
      <w:r>
        <w:t xml:space="preserve"> (</w:t>
      </w:r>
      <w:hyperlink r:id="rId6" w:history="1">
        <w:r>
          <w:rPr>
            <w:rStyle w:val="Hypertextovprepojenie"/>
          </w:rPr>
          <w:t>jaroslav.hudcovsky@employment.gov.sk</w:t>
        </w:r>
      </w:hyperlink>
      <w:r>
        <w:t>,  02/ 2046 1920).</w:t>
      </w:r>
    </w:p>
    <w:p w:rsidR="000D62B2" w:rsidRDefault="000D62B2" w:rsidP="000D62B2"/>
    <w:p w:rsidR="000D62B2" w:rsidRDefault="000D62B2" w:rsidP="000D62B2">
      <w:r>
        <w:t>Ďakujem.</w:t>
      </w:r>
    </w:p>
    <w:p w:rsidR="000D62B2" w:rsidRDefault="000D62B2" w:rsidP="000D62B2"/>
    <w:p w:rsidR="000D62B2" w:rsidRDefault="000D62B2" w:rsidP="000D62B2">
      <w:r>
        <w:t>S pozdravom</w:t>
      </w:r>
    </w:p>
    <w:p w:rsidR="000D62B2" w:rsidRDefault="000D62B2" w:rsidP="000D62B2"/>
    <w:p w:rsidR="000D62B2" w:rsidRDefault="000D62B2" w:rsidP="000D62B2">
      <w:pPr>
        <w:autoSpaceDE w:val="0"/>
        <w:autoSpaceDN w:val="0"/>
        <w:spacing w:line="181" w:lineRule="atLeast"/>
        <w:jc w:val="both"/>
        <w:rPr>
          <w:color w:val="1E4E9D"/>
          <w:sz w:val="20"/>
          <w:szCs w:val="20"/>
        </w:rPr>
      </w:pPr>
      <w:proofErr w:type="spellStart"/>
      <w:r>
        <w:rPr>
          <w:color w:val="1E4E9D"/>
          <w:sz w:val="20"/>
          <w:szCs w:val="20"/>
        </w:rPr>
        <w:t>Slavka</w:t>
      </w:r>
      <w:proofErr w:type="spellEnd"/>
      <w:r>
        <w:rPr>
          <w:color w:val="1E4E9D"/>
          <w:sz w:val="20"/>
          <w:szCs w:val="20"/>
        </w:rPr>
        <w:t xml:space="preserve"> </w:t>
      </w:r>
      <w:proofErr w:type="spellStart"/>
      <w:r>
        <w:rPr>
          <w:color w:val="1E4E9D"/>
          <w:sz w:val="20"/>
          <w:szCs w:val="20"/>
        </w:rPr>
        <w:t>Fujdová</w:t>
      </w:r>
      <w:proofErr w:type="spellEnd"/>
    </w:p>
    <w:p w:rsidR="000D62B2" w:rsidRDefault="000D62B2" w:rsidP="000D62B2">
      <w:pPr>
        <w:rPr>
          <w:color w:val="1E4E9D"/>
          <w:sz w:val="20"/>
          <w:szCs w:val="20"/>
          <w:lang w:eastAsia="sk-SK"/>
        </w:rPr>
      </w:pPr>
      <w:r>
        <w:rPr>
          <w:color w:val="1E4E9D"/>
          <w:sz w:val="20"/>
          <w:szCs w:val="20"/>
          <w:lang w:eastAsia="sk-SK"/>
        </w:rPr>
        <w:t xml:space="preserve">riaditeľka </w:t>
      </w:r>
      <w:r>
        <w:rPr>
          <w:color w:val="C3112B"/>
          <w:sz w:val="20"/>
          <w:szCs w:val="20"/>
          <w:lang w:eastAsia="sk-SK"/>
        </w:rPr>
        <w:t>|</w:t>
      </w:r>
      <w:r>
        <w:rPr>
          <w:color w:val="1E4E9D"/>
          <w:sz w:val="20"/>
          <w:szCs w:val="20"/>
          <w:lang w:eastAsia="sk-SK"/>
        </w:rPr>
        <w:t xml:space="preserve"> odbor dôchodkového sporenia </w:t>
      </w:r>
      <w:r>
        <w:rPr>
          <w:color w:val="C3112B"/>
          <w:sz w:val="20"/>
          <w:szCs w:val="20"/>
          <w:lang w:eastAsia="sk-SK"/>
        </w:rPr>
        <w:t>|</w:t>
      </w:r>
      <w:r>
        <w:rPr>
          <w:color w:val="1E4E9D"/>
          <w:sz w:val="20"/>
          <w:szCs w:val="20"/>
          <w:lang w:eastAsia="sk-SK"/>
        </w:rPr>
        <w:t xml:space="preserve"> sekcia sociálneho poistenia a dôchodkového sporenia</w:t>
      </w:r>
    </w:p>
    <w:p w:rsidR="000D62B2" w:rsidRDefault="000D62B2" w:rsidP="000D62B2">
      <w:pPr>
        <w:rPr>
          <w:color w:val="1E4E9D"/>
          <w:sz w:val="20"/>
          <w:szCs w:val="20"/>
          <w:lang w:eastAsia="sk-SK"/>
        </w:rPr>
      </w:pPr>
    </w:p>
    <w:p w:rsidR="000D62B2" w:rsidRDefault="000D62B2" w:rsidP="000D62B2">
      <w:pPr>
        <w:rPr>
          <w:lang w:eastAsia="sk-SK"/>
        </w:rPr>
      </w:pPr>
      <w:r>
        <w:rPr>
          <w:noProof/>
          <w:color w:val="1E4E9D"/>
          <w:sz w:val="20"/>
          <w:szCs w:val="20"/>
          <w:lang w:eastAsia="sk-SK"/>
        </w:rPr>
        <w:drawing>
          <wp:inline distT="0" distB="0" distL="0" distR="0">
            <wp:extent cx="1209675" cy="400050"/>
            <wp:effectExtent l="0" t="0" r="9525" b="0"/>
            <wp:docPr id="1" name="Obrázok 1" descr="LogotypMPSVR-footer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MPSVR-footer-col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B2" w:rsidRDefault="000D62B2" w:rsidP="000D62B2">
      <w:pPr>
        <w:rPr>
          <w:color w:val="1E4E9D"/>
          <w:sz w:val="20"/>
          <w:szCs w:val="20"/>
          <w:lang w:eastAsia="sk-SK"/>
        </w:rPr>
      </w:pPr>
    </w:p>
    <w:p w:rsidR="000D62B2" w:rsidRDefault="000D62B2" w:rsidP="000D62B2">
      <w:pPr>
        <w:autoSpaceDE w:val="0"/>
        <w:autoSpaceDN w:val="0"/>
        <w:spacing w:line="181" w:lineRule="atLeast"/>
        <w:jc w:val="both"/>
        <w:rPr>
          <w:sz w:val="24"/>
          <w:szCs w:val="24"/>
        </w:rPr>
      </w:pPr>
      <w:r>
        <w:rPr>
          <w:color w:val="1E4E9D"/>
          <w:sz w:val="20"/>
          <w:szCs w:val="20"/>
        </w:rPr>
        <w:t xml:space="preserve">Špitálska 4, 6, 8 </w:t>
      </w:r>
      <w:r>
        <w:rPr>
          <w:color w:val="C3112B"/>
          <w:sz w:val="20"/>
          <w:szCs w:val="20"/>
        </w:rPr>
        <w:t>|</w:t>
      </w:r>
      <w:r>
        <w:rPr>
          <w:color w:val="1E4E9D"/>
          <w:sz w:val="20"/>
          <w:szCs w:val="20"/>
        </w:rPr>
        <w:t xml:space="preserve"> 816 43 Bratislava </w:t>
      </w:r>
      <w:r>
        <w:rPr>
          <w:color w:val="C3112B"/>
          <w:sz w:val="20"/>
          <w:szCs w:val="20"/>
        </w:rPr>
        <w:t>|</w:t>
      </w:r>
      <w:r>
        <w:rPr>
          <w:color w:val="1E4E9D"/>
          <w:sz w:val="20"/>
          <w:szCs w:val="20"/>
        </w:rPr>
        <w:t xml:space="preserve"> Slovenská republika</w:t>
      </w:r>
    </w:p>
    <w:p w:rsidR="000D62B2" w:rsidRDefault="000D62B2" w:rsidP="000D62B2">
      <w:pPr>
        <w:autoSpaceDE w:val="0"/>
        <w:autoSpaceDN w:val="0"/>
        <w:spacing w:line="181" w:lineRule="atLeast"/>
        <w:jc w:val="both"/>
        <w:rPr>
          <w:color w:val="1E4E9D"/>
          <w:sz w:val="20"/>
          <w:szCs w:val="20"/>
        </w:rPr>
      </w:pPr>
      <w:r>
        <w:rPr>
          <w:color w:val="1E4E9D"/>
          <w:sz w:val="20"/>
          <w:szCs w:val="20"/>
        </w:rPr>
        <w:t>tel.: +421 2 2046 1931</w:t>
      </w:r>
      <w:r>
        <w:rPr>
          <w:color w:val="C3112B"/>
          <w:sz w:val="20"/>
          <w:szCs w:val="20"/>
        </w:rPr>
        <w:t>|</w:t>
      </w:r>
      <w:r>
        <w:rPr>
          <w:color w:val="1E4E9D"/>
          <w:sz w:val="20"/>
          <w:szCs w:val="20"/>
        </w:rPr>
        <w:t xml:space="preserve"> mobil: +421 905 378 025</w:t>
      </w:r>
    </w:p>
    <w:p w:rsidR="000D62B2" w:rsidRDefault="000D62B2" w:rsidP="000D62B2">
      <w:pPr>
        <w:rPr>
          <w:sz w:val="20"/>
          <w:szCs w:val="20"/>
          <w:lang w:eastAsia="sk-SK"/>
        </w:rPr>
      </w:pPr>
      <w:hyperlink r:id="rId9" w:history="1">
        <w:r>
          <w:rPr>
            <w:rStyle w:val="Hypertextovprepojenie"/>
            <w:sz w:val="20"/>
            <w:szCs w:val="20"/>
            <w:lang w:eastAsia="sk-SK"/>
          </w:rPr>
          <w:t>Slavka.Fujdova@employment.gov.sk</w:t>
        </w:r>
      </w:hyperlink>
      <w:r>
        <w:rPr>
          <w:color w:val="1E4E9D"/>
          <w:sz w:val="20"/>
          <w:szCs w:val="20"/>
          <w:lang w:eastAsia="sk-SK"/>
        </w:rPr>
        <w:t xml:space="preserve"> </w:t>
      </w:r>
      <w:r>
        <w:rPr>
          <w:color w:val="C3112B"/>
          <w:sz w:val="20"/>
          <w:szCs w:val="20"/>
          <w:lang w:eastAsia="sk-SK"/>
        </w:rPr>
        <w:t>|</w:t>
      </w:r>
      <w:r>
        <w:rPr>
          <w:color w:val="1E4E9D"/>
          <w:sz w:val="20"/>
          <w:szCs w:val="20"/>
          <w:lang w:eastAsia="sk-SK"/>
        </w:rPr>
        <w:t xml:space="preserve"> </w:t>
      </w:r>
      <w:hyperlink r:id="rId10" w:history="1">
        <w:r>
          <w:rPr>
            <w:rStyle w:val="Hypertextovprepojenie"/>
            <w:color w:val="1E4E9D"/>
            <w:sz w:val="20"/>
            <w:szCs w:val="20"/>
            <w:u w:val="none"/>
            <w:lang w:eastAsia="sk-SK"/>
          </w:rPr>
          <w:t>www.employment.gov.sk</w:t>
        </w:r>
      </w:hyperlink>
    </w:p>
    <w:p w:rsidR="000D62B2" w:rsidRDefault="000D62B2" w:rsidP="000D62B2"/>
    <w:p w:rsidR="000D62B2" w:rsidRDefault="000D62B2" w:rsidP="000D62B2"/>
    <w:p w:rsidR="00155BD3" w:rsidRDefault="00155BD3">
      <w:bookmarkStart w:id="0" w:name="_GoBack"/>
      <w:bookmarkEnd w:id="0"/>
    </w:p>
    <w:sectPr w:rsidR="0015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3B"/>
    <w:rsid w:val="000D62B2"/>
    <w:rsid w:val="00155BD3"/>
    <w:rsid w:val="006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0AB7D-A075-4FFC-9A6D-D58A6D0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2B2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D6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7D17.F2CBF3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hudcovsky@employment.gov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nika.pelechova@employment.gov.sk" TargetMode="External"/><Relationship Id="rId10" Type="http://schemas.openxmlformats.org/officeDocument/2006/relationships/hyperlink" Target="http://www.employment.gov.sk/" TargetMode="External"/><Relationship Id="rId4" Type="http://schemas.openxmlformats.org/officeDocument/2006/relationships/hyperlink" Target="https://www.slov-lex.sk/pravne-predpisy/SK/ZZ/2018/295/20190101" TargetMode="External"/><Relationship Id="rId9" Type="http://schemas.openxmlformats.org/officeDocument/2006/relationships/hyperlink" Target="mailto:Slavka.Fujdova@employment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3</cp:revision>
  <dcterms:created xsi:type="dcterms:W3CDTF">2019-10-09T08:27:00Z</dcterms:created>
  <dcterms:modified xsi:type="dcterms:W3CDTF">2019-10-09T08:28:00Z</dcterms:modified>
</cp:coreProperties>
</file>