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02" w:rsidRDefault="00120F02" w:rsidP="00120F02">
      <w:pPr>
        <w:pStyle w:val="Odsekzoznamu"/>
        <w:numPr>
          <w:ilvl w:val="0"/>
          <w:numId w:val="1"/>
        </w:numPr>
        <w:rPr>
          <w:rFonts w:asciiTheme="minorHAnsi" w:hAnsiTheme="minorHAnsi" w:cstheme="minorBidi"/>
          <w:color w:val="1F497D"/>
          <w:lang w:eastAsia="en-US"/>
        </w:rPr>
      </w:pPr>
      <w:r w:rsidRPr="00425A81">
        <w:rPr>
          <w:rFonts w:asciiTheme="minorHAnsi" w:hAnsiTheme="minorHAnsi" w:cstheme="minorBidi"/>
          <w:lang w:eastAsia="en-US"/>
        </w:rPr>
        <w:t xml:space="preserve">„Ukazovateľ ROA je pre potreby FSR vhodnejší než ROE, pretože vie lepšie porovnať  ziskovosť jednotlivých častí finančného sektora.“  </w:t>
      </w:r>
      <w:r>
        <w:rPr>
          <w:rFonts w:asciiTheme="minorHAnsi" w:hAnsiTheme="minorHAnsi" w:cstheme="minorBidi"/>
          <w:color w:val="1F497D"/>
          <w:lang w:eastAsia="en-US"/>
        </w:rPr>
        <w:t>Porovnávať ziskovosť  jednotlivých častí finančného sektora pomocou ROA nepovažujem metodicky za správne, pretože štruktúra aktív jednotlivých častí sektora je diametrálne odlišná. Podľa údajov NBS za rok 2018 majú u bánk úvery klientom, ktoré sú pre banky hlavným zdrojom generovania výnosov,  72</w:t>
      </w:r>
      <w:r>
        <w:rPr>
          <w:rFonts w:asciiTheme="minorHAnsi" w:hAnsiTheme="minorHAnsi" w:cstheme="minorBidi"/>
          <w:color w:val="1F497D"/>
          <w:lang w:val="en-US" w:eastAsia="en-US"/>
        </w:rPr>
        <w:t>%</w:t>
      </w:r>
      <w:r>
        <w:rPr>
          <w:rFonts w:asciiTheme="minorHAnsi" w:hAnsiTheme="minorHAnsi" w:cstheme="minorBidi"/>
          <w:color w:val="1F497D"/>
          <w:lang w:eastAsia="en-US"/>
        </w:rPr>
        <w:t xml:space="preserve"> podiel na bilančnej sume. V prípade poisťovní je podiel rezerv na poistné zmluvy spolu s rezervou</w:t>
      </w:r>
      <w:r w:rsidRPr="00120F02">
        <w:rPr>
          <w:rFonts w:asciiTheme="minorHAnsi" w:hAnsiTheme="minorHAnsi" w:cstheme="minorBidi"/>
          <w:color w:val="1F497D"/>
          <w:lang w:eastAsia="en-US"/>
        </w:rPr>
        <w:t xml:space="preserve"> na krytie rizika z investovania finančných prostriedkov v mene poistených</w:t>
      </w:r>
      <w:r>
        <w:rPr>
          <w:rFonts w:asciiTheme="minorHAnsi" w:hAnsiTheme="minorHAnsi" w:cstheme="minorBidi"/>
          <w:color w:val="1F497D"/>
          <w:lang w:eastAsia="en-US"/>
        </w:rPr>
        <w:t xml:space="preserve"> 73</w:t>
      </w:r>
      <w:r>
        <w:rPr>
          <w:rFonts w:asciiTheme="minorHAnsi" w:hAnsiTheme="minorHAnsi" w:cstheme="minorBidi"/>
          <w:color w:val="1F497D"/>
          <w:lang w:val="en-US" w:eastAsia="en-US"/>
        </w:rPr>
        <w:t xml:space="preserve">% </w:t>
      </w:r>
      <w:r>
        <w:rPr>
          <w:rFonts w:asciiTheme="minorHAnsi" w:hAnsiTheme="minorHAnsi" w:cstheme="minorBidi"/>
          <w:color w:val="1F497D"/>
          <w:lang w:eastAsia="en-US"/>
        </w:rPr>
        <w:t xml:space="preserve">z bilančnej sumy (predbežné údaje z výkazu </w:t>
      </w:r>
      <w:r w:rsidRPr="00120F02">
        <w:rPr>
          <w:rFonts w:asciiTheme="minorHAnsi" w:hAnsiTheme="minorHAnsi" w:cstheme="minorBidi"/>
          <w:color w:val="1F497D"/>
          <w:lang w:eastAsia="en-US"/>
        </w:rPr>
        <w:t>VUP (BIL) 1-04</w:t>
      </w:r>
      <w:r>
        <w:rPr>
          <w:rFonts w:asciiTheme="minorHAnsi" w:hAnsiTheme="minorHAnsi" w:cstheme="minorBidi"/>
          <w:color w:val="1F497D"/>
          <w:lang w:eastAsia="en-US"/>
        </w:rPr>
        <w:t xml:space="preserve"> k 31.12.2018). Tieto rezervy sú kryté aktívami približne v rovnakom objeme a tieto aktíva  sa len minimálne podieľajú na generovaní zisku poisťovní (najmä pri nízkych úrokových sadzbách v posledných rokoch). Svojou povahou sa tieto aktíva skôr než na úvery bánk podobajú fondom</w:t>
      </w:r>
      <w:r w:rsidR="00A4159A">
        <w:rPr>
          <w:rFonts w:asciiTheme="minorHAnsi" w:hAnsiTheme="minorHAnsi" w:cstheme="minorBidi"/>
          <w:color w:val="1F497D"/>
          <w:lang w:eastAsia="en-US"/>
        </w:rPr>
        <w:t xml:space="preserve"> kolektívneho investovania</w:t>
      </w:r>
      <w:r>
        <w:rPr>
          <w:rFonts w:asciiTheme="minorHAnsi" w:hAnsiTheme="minorHAnsi" w:cstheme="minorBidi"/>
          <w:color w:val="1F497D"/>
          <w:lang w:eastAsia="en-US"/>
        </w:rPr>
        <w:t xml:space="preserve">, ktoré spravujú </w:t>
      </w:r>
      <w:r w:rsidR="00A4159A">
        <w:rPr>
          <w:rFonts w:asciiTheme="minorHAnsi" w:hAnsiTheme="minorHAnsi" w:cstheme="minorBidi"/>
          <w:color w:val="1F497D"/>
          <w:lang w:eastAsia="en-US"/>
        </w:rPr>
        <w:t>správcovské spoločnosti. Na rozdiel od správcovských spoločností, ktoré tieto fondy vykazujú oddelene, v prípade poisťovní sú tieto aktíva súčasťou súvahy poisťovne.  Ak banke rastie objem úverov, s vysokou pravdepodobnosťou bude rásť aj jej zisk. Ak poisťovni rastú technické rezervy, na zisku sa to môže prejaviť len minimálne</w:t>
      </w:r>
      <w:r w:rsidR="009A446F">
        <w:rPr>
          <w:rFonts w:asciiTheme="minorHAnsi" w:hAnsiTheme="minorHAnsi" w:cstheme="minorBidi"/>
          <w:color w:val="1F497D"/>
          <w:lang w:eastAsia="en-US"/>
        </w:rPr>
        <w:t>. D</w:t>
      </w:r>
      <w:r w:rsidR="00A4159A">
        <w:rPr>
          <w:rFonts w:asciiTheme="minorHAnsi" w:hAnsiTheme="minorHAnsi" w:cstheme="minorBidi"/>
          <w:color w:val="1F497D"/>
          <w:lang w:eastAsia="en-US"/>
        </w:rPr>
        <w:t xml:space="preserve">okonca pri súčasných nízkych úrokových sadzbách niektoré poisťovne musia dotvárať rezervy na nedostatočné poistné na staré poistné zmluvy s garantovým zhodnotením pre klienta vo vyššej </w:t>
      </w:r>
      <w:r w:rsidR="009A446F">
        <w:rPr>
          <w:rFonts w:asciiTheme="minorHAnsi" w:hAnsiTheme="minorHAnsi" w:cstheme="minorBidi"/>
          <w:color w:val="1F497D"/>
          <w:lang w:eastAsia="en-US"/>
        </w:rPr>
        <w:t>výške než sú súčasné úrokové sa</w:t>
      </w:r>
      <w:r w:rsidR="00A4159A">
        <w:rPr>
          <w:rFonts w:asciiTheme="minorHAnsi" w:hAnsiTheme="minorHAnsi" w:cstheme="minorBidi"/>
          <w:color w:val="1F497D"/>
          <w:lang w:eastAsia="en-US"/>
        </w:rPr>
        <w:t>d</w:t>
      </w:r>
      <w:r w:rsidR="009A446F">
        <w:rPr>
          <w:rFonts w:asciiTheme="minorHAnsi" w:hAnsiTheme="minorHAnsi" w:cstheme="minorBidi"/>
          <w:color w:val="1F497D"/>
          <w:lang w:eastAsia="en-US"/>
        </w:rPr>
        <w:t>z</w:t>
      </w:r>
      <w:r w:rsidR="00A4159A">
        <w:rPr>
          <w:rFonts w:asciiTheme="minorHAnsi" w:hAnsiTheme="minorHAnsi" w:cstheme="minorBidi"/>
          <w:color w:val="1F497D"/>
          <w:lang w:eastAsia="en-US"/>
        </w:rPr>
        <w:t>by</w:t>
      </w:r>
      <w:r w:rsidR="009A446F">
        <w:rPr>
          <w:rFonts w:asciiTheme="minorHAnsi" w:hAnsiTheme="minorHAnsi" w:cstheme="minorBidi"/>
          <w:color w:val="1F497D"/>
          <w:lang w:eastAsia="en-US"/>
        </w:rPr>
        <w:t>, pri čom tvorba týchto rezerv priamo znižuje zisk poisťovne, napriek tomu, že objem aktív kryjúcich rezervy rastie</w:t>
      </w:r>
      <w:r w:rsidR="00362B9E">
        <w:rPr>
          <w:rFonts w:asciiTheme="minorHAnsi" w:hAnsiTheme="minorHAnsi" w:cstheme="minorBidi"/>
          <w:color w:val="1F497D"/>
          <w:lang w:eastAsia="en-US"/>
        </w:rPr>
        <w:t xml:space="preserve"> (aj táto rezerva musí byť krytá aktívami</w:t>
      </w:r>
      <w:r w:rsidR="00425A81">
        <w:rPr>
          <w:rFonts w:asciiTheme="minorHAnsi" w:hAnsiTheme="minorHAnsi" w:cstheme="minorBidi"/>
          <w:color w:val="1F497D"/>
          <w:lang w:eastAsia="en-US"/>
        </w:rPr>
        <w:t>, ale výnosy z týchto aktív sú alokované pre klientov</w:t>
      </w:r>
      <w:r w:rsidR="00362B9E">
        <w:rPr>
          <w:rFonts w:asciiTheme="minorHAnsi" w:hAnsiTheme="minorHAnsi" w:cstheme="minorBidi"/>
          <w:color w:val="1F497D"/>
          <w:lang w:eastAsia="en-US"/>
        </w:rPr>
        <w:t>)</w:t>
      </w:r>
      <w:r w:rsidR="009A446F">
        <w:rPr>
          <w:rFonts w:asciiTheme="minorHAnsi" w:hAnsiTheme="minorHAnsi" w:cstheme="minorBidi"/>
          <w:color w:val="1F497D"/>
          <w:lang w:eastAsia="en-US"/>
        </w:rPr>
        <w:t>.  Podľa publikovanej účtovnej závierky  najväčšej poisťovne tvoria u nej rezervy na nedos</w:t>
      </w:r>
      <w:r w:rsidR="00362B9E">
        <w:rPr>
          <w:rFonts w:asciiTheme="minorHAnsi" w:hAnsiTheme="minorHAnsi" w:cstheme="minorBidi"/>
          <w:color w:val="1F497D"/>
          <w:lang w:eastAsia="en-US"/>
        </w:rPr>
        <w:t>tatočnosť životného poistenia 17</w:t>
      </w:r>
      <w:r w:rsidR="00362B9E">
        <w:rPr>
          <w:rFonts w:asciiTheme="minorHAnsi" w:hAnsiTheme="minorHAnsi" w:cstheme="minorBidi"/>
          <w:color w:val="1F497D"/>
          <w:lang w:val="en-US" w:eastAsia="en-US"/>
        </w:rPr>
        <w:t xml:space="preserve">% z </w:t>
      </w:r>
      <w:proofErr w:type="spellStart"/>
      <w:r w:rsidR="00362B9E">
        <w:rPr>
          <w:rFonts w:asciiTheme="minorHAnsi" w:hAnsiTheme="minorHAnsi" w:cstheme="minorBidi"/>
          <w:color w:val="1F497D"/>
          <w:lang w:val="en-US" w:eastAsia="en-US"/>
        </w:rPr>
        <w:t>rezerv</w:t>
      </w:r>
      <w:proofErr w:type="spellEnd"/>
      <w:r w:rsidR="00362B9E">
        <w:rPr>
          <w:rFonts w:asciiTheme="minorHAnsi" w:hAnsiTheme="minorHAnsi" w:cstheme="minorBidi"/>
          <w:color w:val="1F497D"/>
          <w:lang w:val="en-US" w:eastAsia="en-US"/>
        </w:rPr>
        <w:t xml:space="preserve"> </w:t>
      </w:r>
      <w:proofErr w:type="spellStart"/>
      <w:r w:rsidR="00362B9E">
        <w:rPr>
          <w:rFonts w:asciiTheme="minorHAnsi" w:hAnsiTheme="minorHAnsi" w:cstheme="minorBidi"/>
          <w:color w:val="1F497D"/>
          <w:lang w:val="en-US" w:eastAsia="en-US"/>
        </w:rPr>
        <w:t>na</w:t>
      </w:r>
      <w:proofErr w:type="spellEnd"/>
      <w:r w:rsidR="00362B9E">
        <w:rPr>
          <w:rFonts w:asciiTheme="minorHAnsi" w:hAnsiTheme="minorHAnsi" w:cstheme="minorBidi"/>
          <w:color w:val="1F497D"/>
          <w:lang w:eastAsia="en-US"/>
        </w:rPr>
        <w:t xml:space="preserve"> životné poistenie (17</w:t>
      </w:r>
      <w:r w:rsidR="00362B9E">
        <w:rPr>
          <w:rFonts w:asciiTheme="minorHAnsi" w:hAnsiTheme="minorHAnsi" w:cstheme="minorBidi"/>
          <w:color w:val="1F497D"/>
          <w:lang w:val="en-US" w:eastAsia="en-US"/>
        </w:rPr>
        <w:t xml:space="preserve">% z </w:t>
      </w:r>
      <w:proofErr w:type="spellStart"/>
      <w:r w:rsidR="00362B9E">
        <w:rPr>
          <w:rFonts w:asciiTheme="minorHAnsi" w:hAnsiTheme="minorHAnsi" w:cstheme="minorBidi"/>
          <w:color w:val="1F497D"/>
          <w:lang w:val="en-US" w:eastAsia="en-US"/>
        </w:rPr>
        <w:t>riadku</w:t>
      </w:r>
      <w:proofErr w:type="spellEnd"/>
      <w:r w:rsidR="00362B9E">
        <w:rPr>
          <w:rFonts w:asciiTheme="minorHAnsi" w:hAnsiTheme="minorHAnsi" w:cstheme="minorBidi"/>
          <w:color w:val="1F497D"/>
          <w:lang w:val="en-US" w:eastAsia="en-US"/>
        </w:rPr>
        <w:t xml:space="preserve"> </w:t>
      </w:r>
      <w:r w:rsidR="00362B9E">
        <w:rPr>
          <w:rFonts w:asciiTheme="minorHAnsi" w:hAnsiTheme="minorHAnsi" w:cstheme="minorBidi"/>
          <w:color w:val="1F497D"/>
          <w:lang w:eastAsia="en-US"/>
        </w:rPr>
        <w:t xml:space="preserve">91 v súvahe vo </w:t>
      </w:r>
      <w:r w:rsidR="00362B9E" w:rsidRPr="00120F02">
        <w:rPr>
          <w:rFonts w:asciiTheme="minorHAnsi" w:hAnsiTheme="minorHAnsi" w:cstheme="minorBidi"/>
          <w:color w:val="1F497D"/>
          <w:lang w:eastAsia="en-US"/>
        </w:rPr>
        <w:t>VUP (BIL) 1-04</w:t>
      </w:r>
      <w:r w:rsidR="00362B9E">
        <w:rPr>
          <w:rFonts w:asciiTheme="minorHAnsi" w:hAnsiTheme="minorHAnsi" w:cstheme="minorBidi"/>
          <w:color w:val="1F497D"/>
          <w:lang w:eastAsia="en-US"/>
        </w:rPr>
        <w:t>, čo je takmer 9</w:t>
      </w:r>
      <w:r w:rsidR="00362B9E">
        <w:rPr>
          <w:rFonts w:asciiTheme="minorHAnsi" w:hAnsiTheme="minorHAnsi" w:cstheme="minorBidi"/>
          <w:color w:val="1F497D"/>
          <w:lang w:val="en-US" w:eastAsia="en-US"/>
        </w:rPr>
        <w:t>% z </w:t>
      </w:r>
      <w:proofErr w:type="spellStart"/>
      <w:r w:rsidR="00362B9E">
        <w:rPr>
          <w:rFonts w:asciiTheme="minorHAnsi" w:hAnsiTheme="minorHAnsi" w:cstheme="minorBidi"/>
          <w:color w:val="1F497D"/>
          <w:lang w:val="en-US" w:eastAsia="en-US"/>
        </w:rPr>
        <w:t>bilan</w:t>
      </w:r>
      <w:proofErr w:type="spellEnd"/>
      <w:r w:rsidR="00362B9E">
        <w:rPr>
          <w:rFonts w:asciiTheme="minorHAnsi" w:hAnsiTheme="minorHAnsi" w:cstheme="minorBidi"/>
          <w:color w:val="1F497D"/>
          <w:lang w:eastAsia="en-US"/>
        </w:rPr>
        <w:t xml:space="preserve">čnej sumy).  </w:t>
      </w:r>
    </w:p>
    <w:p w:rsidR="006A48DB" w:rsidRDefault="004E2583" w:rsidP="004E2583">
      <w:pPr>
        <w:ind w:left="708"/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>Z dát EIOPA za roky 2005 – 2015 (novšie dáta nemám k dispozícii, ale domnievam sa, že pre vysvetlenie odlišných výsledkov pri porovnávaní ROA a ROE sú postačujúce a údaje za rok 2018 by asi neboli z tohto pohľ</w:t>
      </w:r>
      <w:r w:rsidR="00692799">
        <w:rPr>
          <w:rFonts w:asciiTheme="minorHAnsi" w:hAnsiTheme="minorHAnsi" w:cstheme="minorBidi"/>
          <w:color w:val="1F497D"/>
          <w:lang w:eastAsia="en-US"/>
        </w:rPr>
        <w:t>adu zásadne odlišné od roku 2015</w:t>
      </w:r>
      <w:r>
        <w:rPr>
          <w:rFonts w:asciiTheme="minorHAnsi" w:hAnsiTheme="minorHAnsi" w:cstheme="minorBidi"/>
          <w:color w:val="1F497D"/>
          <w:lang w:eastAsia="en-US"/>
        </w:rPr>
        <w:t>) som spravil porovnanie niektorých ukazovateľov za</w:t>
      </w:r>
      <w:r w:rsidR="008F3D2F">
        <w:rPr>
          <w:rFonts w:asciiTheme="minorHAnsi" w:hAnsiTheme="minorHAnsi" w:cstheme="minorBidi"/>
          <w:color w:val="1F497D"/>
          <w:lang w:eastAsia="en-US"/>
        </w:rPr>
        <w:t xml:space="preserve"> 24 krajín, za ktoré som našiel kompletné údaje</w:t>
      </w:r>
      <w:r w:rsidR="006A48DB">
        <w:rPr>
          <w:rFonts w:asciiTheme="minorHAnsi" w:hAnsiTheme="minorHAnsi" w:cstheme="minorBidi"/>
          <w:color w:val="1F497D"/>
          <w:lang w:eastAsia="en-US"/>
        </w:rPr>
        <w:t>:</w:t>
      </w:r>
    </w:p>
    <w:p w:rsidR="006A48DB" w:rsidRDefault="006A48DB">
      <w:pPr>
        <w:spacing w:after="160" w:line="259" w:lineRule="auto"/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br w:type="page"/>
      </w:r>
    </w:p>
    <w:p w:rsidR="006A48DB" w:rsidRDefault="006A48DB" w:rsidP="004E2583">
      <w:pPr>
        <w:ind w:left="708"/>
        <w:rPr>
          <w:rFonts w:asciiTheme="minorHAnsi" w:hAnsiTheme="minorHAnsi" w:cstheme="minorBidi"/>
          <w:color w:val="1F497D"/>
          <w:lang w:eastAsia="en-US"/>
        </w:rPr>
      </w:pPr>
    </w:p>
    <w:p w:rsidR="006A48DB" w:rsidRDefault="006A48DB" w:rsidP="006A48DB">
      <w:pPr>
        <w:spacing w:after="160" w:line="259" w:lineRule="auto"/>
        <w:rPr>
          <w:rFonts w:asciiTheme="minorHAnsi" w:hAnsiTheme="minorHAnsi" w:cstheme="minorBidi"/>
          <w:color w:val="1F497D"/>
          <w:lang w:eastAsia="en-US"/>
        </w:rPr>
      </w:pPr>
      <w:r w:rsidRPr="006A48DB">
        <w:drawing>
          <wp:inline distT="0" distB="0" distL="0" distR="0">
            <wp:extent cx="8892540" cy="2390967"/>
            <wp:effectExtent l="0" t="0" r="381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9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81" w:rsidRPr="006A48DB" w:rsidRDefault="004E2583" w:rsidP="00062206">
      <w:pPr>
        <w:spacing w:after="160" w:line="259" w:lineRule="auto"/>
        <w:ind w:left="360"/>
        <w:rPr>
          <w:rFonts w:asciiTheme="minorHAnsi" w:hAnsiTheme="minorHAnsi" w:cstheme="minorBidi"/>
          <w:color w:val="1F497D"/>
          <w:lang w:eastAsia="en-US"/>
        </w:rPr>
      </w:pPr>
      <w:r w:rsidRPr="006A48DB">
        <w:rPr>
          <w:rFonts w:asciiTheme="minorHAnsi" w:hAnsiTheme="minorHAnsi" w:cstheme="minorBidi"/>
          <w:color w:val="1F497D"/>
          <w:lang w:eastAsia="en-US"/>
        </w:rPr>
        <w:t xml:space="preserve">Z priloženej tabuľky je zrejmé, že Slovensko (a podobne aj </w:t>
      </w:r>
      <w:r w:rsidR="006A48DB">
        <w:rPr>
          <w:rFonts w:asciiTheme="minorHAnsi" w:hAnsiTheme="minorHAnsi" w:cstheme="minorBidi"/>
          <w:color w:val="1F497D"/>
          <w:lang w:eastAsia="en-US"/>
        </w:rPr>
        <w:t>väčšina krajín</w:t>
      </w:r>
      <w:r w:rsidRPr="006A48DB">
        <w:rPr>
          <w:rFonts w:asciiTheme="minorHAnsi" w:hAnsiTheme="minorHAnsi" w:cstheme="minorBidi"/>
          <w:color w:val="1F497D"/>
          <w:lang w:eastAsia="en-US"/>
        </w:rPr>
        <w:t xml:space="preserve"> bývalého východného bloku) </w:t>
      </w:r>
      <w:r w:rsidR="00ED01C7" w:rsidRPr="006A48DB">
        <w:rPr>
          <w:rFonts w:asciiTheme="minorHAnsi" w:hAnsiTheme="minorHAnsi" w:cstheme="minorBidi"/>
          <w:color w:val="1F497D"/>
          <w:lang w:eastAsia="en-US"/>
        </w:rPr>
        <w:t>má podstatne vyšší podiel vlastného imania na bilančnej sume, než krajiny západnej Európy</w:t>
      </w:r>
      <w:r w:rsidR="006A48DB">
        <w:rPr>
          <w:rFonts w:asciiTheme="minorHAnsi" w:hAnsiTheme="minorHAnsi" w:cstheme="minorBidi"/>
          <w:color w:val="1F497D"/>
          <w:lang w:eastAsia="en-US"/>
        </w:rPr>
        <w:t xml:space="preserve"> (s výnimkou Švédska). Tento 2-6</w:t>
      </w:r>
      <w:r w:rsidR="00ED01C7" w:rsidRPr="006A48DB">
        <w:rPr>
          <w:rFonts w:asciiTheme="minorHAnsi" w:hAnsiTheme="minorHAnsi" w:cstheme="minorBidi"/>
          <w:color w:val="1F497D"/>
          <w:lang w:eastAsia="en-US"/>
        </w:rPr>
        <w:t xml:space="preserve"> násobne vyšší podiel má za následok, že pri rovnakej </w:t>
      </w:r>
      <w:r w:rsidR="006A48DB">
        <w:rPr>
          <w:rFonts w:asciiTheme="minorHAnsi" w:hAnsiTheme="minorHAnsi" w:cstheme="minorBidi"/>
          <w:color w:val="1F497D"/>
          <w:lang w:eastAsia="en-US"/>
        </w:rPr>
        <w:t>ROE by bola na Slovensku ROA 2-6</w:t>
      </w:r>
      <w:r w:rsidR="00ED01C7" w:rsidRPr="006A48DB">
        <w:rPr>
          <w:rFonts w:asciiTheme="minorHAnsi" w:hAnsiTheme="minorHAnsi" w:cstheme="minorBidi"/>
          <w:color w:val="1F497D"/>
          <w:lang w:eastAsia="en-US"/>
        </w:rPr>
        <w:t xml:space="preserve"> krát vyššia ako v</w:t>
      </w:r>
      <w:r w:rsidR="00655495">
        <w:rPr>
          <w:rFonts w:asciiTheme="minorHAnsi" w:hAnsiTheme="minorHAnsi" w:cstheme="minorBidi"/>
          <w:color w:val="1F497D"/>
          <w:lang w:eastAsia="en-US"/>
        </w:rPr>
        <w:t>o väčšine krajín</w:t>
      </w:r>
      <w:r w:rsidR="00ED01C7" w:rsidRPr="006A48DB">
        <w:rPr>
          <w:rFonts w:asciiTheme="minorHAnsi" w:hAnsiTheme="minorHAnsi" w:cstheme="minorBidi"/>
          <w:color w:val="1F497D"/>
          <w:lang w:eastAsia="en-US"/>
        </w:rPr>
        <w:t xml:space="preserve"> západnej </w:t>
      </w:r>
      <w:r w:rsidR="00655495">
        <w:rPr>
          <w:rFonts w:asciiTheme="minorHAnsi" w:hAnsiTheme="minorHAnsi" w:cstheme="minorBidi"/>
          <w:color w:val="1F497D"/>
          <w:lang w:eastAsia="en-US"/>
        </w:rPr>
        <w:t xml:space="preserve">Európy. Vysoký ukazovateľ ROA poistného sektoru na Slovensku v porovnaní s ostatnými krajinami Európy </w:t>
      </w:r>
      <w:r w:rsidR="008F3D2F">
        <w:rPr>
          <w:rFonts w:asciiTheme="minorHAnsi" w:hAnsiTheme="minorHAnsi" w:cstheme="minorBidi"/>
          <w:color w:val="1F497D"/>
          <w:lang w:eastAsia="en-US"/>
        </w:rPr>
        <w:t xml:space="preserve">(pri porovnateľnom ROE) </w:t>
      </w:r>
      <w:r w:rsidR="00655495">
        <w:rPr>
          <w:rFonts w:asciiTheme="minorHAnsi" w:hAnsiTheme="minorHAnsi" w:cstheme="minorBidi"/>
          <w:color w:val="1F497D"/>
          <w:lang w:eastAsia="en-US"/>
        </w:rPr>
        <w:t>je teda dôsledkom najmä nižších bilančných súm slovenských poisťovní.</w:t>
      </w:r>
    </w:p>
    <w:p w:rsidR="00ED01C7" w:rsidRDefault="00ED01C7" w:rsidP="00425A81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</w:p>
    <w:p w:rsidR="00425A81" w:rsidRDefault="00425A81" w:rsidP="00633101">
      <w:pPr>
        <w:pStyle w:val="Odsekzoznamu"/>
        <w:numPr>
          <w:ilvl w:val="0"/>
          <w:numId w:val="1"/>
        </w:numPr>
        <w:rPr>
          <w:rFonts w:asciiTheme="minorHAnsi" w:hAnsiTheme="minorHAnsi" w:cstheme="minorBidi"/>
          <w:color w:val="1F497D"/>
          <w:lang w:eastAsia="en-US"/>
        </w:rPr>
      </w:pPr>
      <w:r w:rsidRPr="00797BDD">
        <w:rPr>
          <w:rFonts w:asciiTheme="minorHAnsi" w:hAnsiTheme="minorHAnsi" w:cstheme="minorBidi"/>
          <w:lang w:eastAsia="en-US"/>
        </w:rPr>
        <w:t xml:space="preserve">„Zároveň však platí, že aj v ukazovateli „kvázi ROE“ (podiel zisku k prebytku aktív nad záväzkami) je Slovensko v najvyššom </w:t>
      </w:r>
      <w:proofErr w:type="spellStart"/>
      <w:r w:rsidRPr="00797BDD">
        <w:rPr>
          <w:rFonts w:asciiTheme="minorHAnsi" w:hAnsiTheme="minorHAnsi" w:cstheme="minorBidi"/>
          <w:lang w:eastAsia="en-US"/>
        </w:rPr>
        <w:t>kvartile</w:t>
      </w:r>
      <w:proofErr w:type="spellEnd"/>
      <w:r w:rsidRPr="00797BDD">
        <w:rPr>
          <w:rFonts w:asciiTheme="minorHAnsi" w:hAnsiTheme="minorHAnsi" w:cstheme="minorBidi"/>
          <w:lang w:eastAsia="en-US"/>
        </w:rPr>
        <w:t xml:space="preserve"> vzorky 114 poisťovní, ktorú zverejňuje EIOPA (to je tá istá vzorka, ktorú sme použili aj pre porovnanie ROA).“</w:t>
      </w:r>
      <w:r w:rsidRPr="00797BDD">
        <w:rPr>
          <w:rFonts w:asciiTheme="minorHAnsi" w:hAnsiTheme="minorHAnsi" w:cstheme="minorBidi"/>
          <w:color w:val="1F497D"/>
          <w:lang w:eastAsia="en-US"/>
        </w:rPr>
        <w:t xml:space="preserve"> Predpokladám, že budete so mnou súhlasiť, že pre čitateľa správy je podstatný rozdiel, či je 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v </w:t>
      </w:r>
      <w:r w:rsidRPr="00797BDD">
        <w:rPr>
          <w:rFonts w:asciiTheme="minorHAnsi" w:hAnsiTheme="minorHAnsi" w:cstheme="minorBidi"/>
          <w:color w:val="1F497D"/>
          <w:lang w:eastAsia="en-US"/>
        </w:rPr>
        <w:t xml:space="preserve">správe uvedené, že ziskovosť poisťovní na Slovensku sa nachádza v najvyššom </w:t>
      </w:r>
      <w:proofErr w:type="spellStart"/>
      <w:r w:rsidRPr="00797BDD">
        <w:rPr>
          <w:rFonts w:asciiTheme="minorHAnsi" w:hAnsiTheme="minorHAnsi" w:cstheme="minorBidi"/>
          <w:color w:val="1F497D"/>
          <w:lang w:eastAsia="en-US"/>
        </w:rPr>
        <w:t>kvartile</w:t>
      </w:r>
      <w:proofErr w:type="spellEnd"/>
      <w:r w:rsidRPr="00797BDD">
        <w:rPr>
          <w:rFonts w:asciiTheme="minorHAnsi" w:hAnsiTheme="minorHAnsi" w:cstheme="minorBidi"/>
          <w:color w:val="1F497D"/>
          <w:lang w:eastAsia="en-US"/>
        </w:rPr>
        <w:t xml:space="preserve"> vzorky, alebo či je </w:t>
      </w:r>
      <w:r w:rsidR="00797BDD" w:rsidRPr="00797BDD">
        <w:rPr>
          <w:rFonts w:asciiTheme="minorHAnsi" w:hAnsiTheme="minorHAnsi" w:cstheme="minorBidi"/>
          <w:color w:val="1F497D"/>
          <w:lang w:eastAsia="en-US"/>
        </w:rPr>
        <w:t>v s</w:t>
      </w:r>
      <w:r w:rsidRPr="00797BDD">
        <w:rPr>
          <w:rFonts w:asciiTheme="minorHAnsi" w:hAnsiTheme="minorHAnsi" w:cstheme="minorBidi"/>
          <w:color w:val="1F497D"/>
          <w:lang w:eastAsia="en-US"/>
        </w:rPr>
        <w:t>práve uvedené, že ziskovosť poisťovní je 5-násobok mediánu</w:t>
      </w:r>
      <w:r w:rsidR="00797BDD" w:rsidRPr="00797BDD">
        <w:rPr>
          <w:rFonts w:asciiTheme="minorHAnsi" w:hAnsiTheme="minorHAnsi" w:cstheme="minorBidi"/>
          <w:color w:val="1F497D"/>
          <w:lang w:eastAsia="en-US"/>
        </w:rPr>
        <w:t xml:space="preserve"> krajín Európy</w:t>
      </w:r>
      <w:r w:rsidR="00692799">
        <w:rPr>
          <w:rFonts w:asciiTheme="minorHAnsi" w:hAnsiTheme="minorHAnsi" w:cstheme="minorBidi"/>
          <w:color w:val="1F497D"/>
          <w:lang w:eastAsia="en-US"/>
        </w:rPr>
        <w:t xml:space="preserve"> (tento údaj sa dal vyčítať z grafu zverejneného v správe)</w:t>
      </w:r>
      <w:r w:rsidRPr="00797BDD">
        <w:rPr>
          <w:rFonts w:asciiTheme="minorHAnsi" w:hAnsiTheme="minorHAnsi" w:cstheme="minorBidi"/>
          <w:color w:val="1F497D"/>
          <w:lang w:eastAsia="en-US"/>
        </w:rPr>
        <w:t xml:space="preserve">. </w:t>
      </w:r>
    </w:p>
    <w:p w:rsidR="00797BDD" w:rsidRPr="00797BDD" w:rsidRDefault="00797BDD" w:rsidP="00797BDD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</w:p>
    <w:p w:rsidR="000B5227" w:rsidRDefault="00425A81" w:rsidP="00B62C3A">
      <w:pPr>
        <w:pStyle w:val="Odsekzoznamu"/>
        <w:numPr>
          <w:ilvl w:val="0"/>
          <w:numId w:val="1"/>
        </w:numPr>
        <w:rPr>
          <w:rFonts w:asciiTheme="minorHAnsi" w:hAnsiTheme="minorHAnsi" w:cstheme="minorBidi"/>
          <w:color w:val="1F497D"/>
          <w:lang w:eastAsia="en-US"/>
        </w:rPr>
      </w:pPr>
      <w:r w:rsidRPr="00425A81">
        <w:rPr>
          <w:rFonts w:asciiTheme="minorHAnsi" w:hAnsiTheme="minorHAnsi" w:cstheme="minorBidi"/>
          <w:lang w:eastAsia="en-US"/>
        </w:rPr>
        <w:t xml:space="preserve">„ V prípade Slovenska však poistný sektor už nie je začínajúci a tento problém nie je významný.“ </w:t>
      </w:r>
      <w:r>
        <w:rPr>
          <w:rFonts w:asciiTheme="minorHAnsi" w:hAnsiTheme="minorHAnsi" w:cstheme="minorBidi"/>
          <w:lang w:eastAsia="en-US"/>
        </w:rPr>
        <w:t xml:space="preserve"> </w:t>
      </w:r>
      <w:r w:rsidR="00797BDD">
        <w:rPr>
          <w:rFonts w:asciiTheme="minorHAnsi" w:hAnsiTheme="minorHAnsi" w:cstheme="minorBidi"/>
          <w:color w:val="1F497D"/>
          <w:lang w:eastAsia="en-US"/>
        </w:rPr>
        <w:t xml:space="preserve">S týmto tvrdením zásadne nesúhlasím. V </w:t>
      </w:r>
      <w:r>
        <w:rPr>
          <w:rFonts w:asciiTheme="minorHAnsi" w:hAnsiTheme="minorHAnsi" w:cstheme="minorBidi"/>
          <w:color w:val="1F497D"/>
          <w:lang w:eastAsia="en-US"/>
        </w:rPr>
        <w:t xml:space="preserve">porovnaní s krajinami západnej Európy Slovensko </w:t>
      </w:r>
      <w:r w:rsidR="000B5227">
        <w:rPr>
          <w:rFonts w:asciiTheme="minorHAnsi" w:hAnsiTheme="minorHAnsi" w:cstheme="minorBidi"/>
          <w:color w:val="1F497D"/>
          <w:lang w:eastAsia="en-US"/>
        </w:rPr>
        <w:t>patrí medzi rozvíjajúce sa trhy, čo dokumentuje aj nasledujúca tabuľka z dát EIOPA za roky 2005-20015:</w:t>
      </w:r>
    </w:p>
    <w:p w:rsidR="00062206" w:rsidRPr="00062206" w:rsidRDefault="00062206" w:rsidP="00062206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</w:p>
    <w:p w:rsidR="00062206" w:rsidRDefault="00062206" w:rsidP="00062206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  <w:r w:rsidRPr="00062206">
        <w:lastRenderedPageBreak/>
        <w:drawing>
          <wp:inline distT="0" distB="0" distL="0" distR="0">
            <wp:extent cx="8892540" cy="3204695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227" w:rsidRPr="000B5227" w:rsidRDefault="000B5227" w:rsidP="000B5227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</w:p>
    <w:p w:rsidR="000B5227" w:rsidRDefault="000B5227" w:rsidP="000B5227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</w:p>
    <w:p w:rsidR="000B5227" w:rsidRPr="000B5227" w:rsidRDefault="000B5227" w:rsidP="000B5227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</w:p>
    <w:p w:rsidR="00944098" w:rsidRDefault="00425A81" w:rsidP="000B5227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 xml:space="preserve"> </w:t>
      </w:r>
      <w:r w:rsidR="000B5227">
        <w:rPr>
          <w:rFonts w:asciiTheme="minorHAnsi" w:hAnsiTheme="minorHAnsi" w:cstheme="minorBidi"/>
          <w:color w:val="1F497D"/>
          <w:lang w:eastAsia="en-US"/>
        </w:rPr>
        <w:t>Predpísané poistné na obyvateľa bolo n</w:t>
      </w:r>
      <w:r w:rsidR="00062206">
        <w:rPr>
          <w:rFonts w:asciiTheme="minorHAnsi" w:hAnsiTheme="minorHAnsi" w:cstheme="minorBidi"/>
          <w:color w:val="1F497D"/>
          <w:lang w:eastAsia="en-US"/>
        </w:rPr>
        <w:t>a Slovensku v roku 2015  cca 5</w:t>
      </w:r>
      <w:r w:rsidR="0042076E">
        <w:rPr>
          <w:rFonts w:asciiTheme="minorHAnsi" w:hAnsiTheme="minorHAnsi" w:cstheme="minorBidi"/>
          <w:color w:val="1F497D"/>
          <w:lang w:eastAsia="en-US"/>
        </w:rPr>
        <w:t>,5</w:t>
      </w:r>
      <w:r w:rsidR="00062206">
        <w:rPr>
          <w:rFonts w:asciiTheme="minorHAnsi" w:hAnsiTheme="minorHAnsi" w:cstheme="minorBidi"/>
          <w:color w:val="1F497D"/>
          <w:lang w:eastAsia="en-US"/>
        </w:rPr>
        <w:t>-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krát nižšie než </w:t>
      </w:r>
      <w:r w:rsidR="0042076E">
        <w:rPr>
          <w:rFonts w:asciiTheme="minorHAnsi" w:hAnsiTheme="minorHAnsi" w:cstheme="minorBidi"/>
          <w:color w:val="1F497D"/>
          <w:lang w:eastAsia="en-US"/>
        </w:rPr>
        <w:t>je vážený</w:t>
      </w:r>
      <w:r w:rsidR="00062206">
        <w:rPr>
          <w:rFonts w:asciiTheme="minorHAnsi" w:hAnsiTheme="minorHAnsi" w:cstheme="minorBidi"/>
          <w:color w:val="1F497D"/>
          <w:lang w:eastAsia="en-US"/>
        </w:rPr>
        <w:t xml:space="preserve"> priemer vo vzorke 24 krajín Európy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 a rezerva na životné poistenie pripadajúca na obyvateľa Slovenska v roku 2015  bola </w:t>
      </w:r>
      <w:r w:rsidR="0042076E">
        <w:rPr>
          <w:rFonts w:asciiTheme="minorHAnsi" w:hAnsiTheme="minorHAnsi" w:cstheme="minorBidi"/>
          <w:color w:val="1F497D"/>
          <w:lang w:eastAsia="en-US"/>
        </w:rPr>
        <w:t>18,8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 krát nižšia ako </w:t>
      </w:r>
      <w:r w:rsidR="0042076E">
        <w:rPr>
          <w:rFonts w:asciiTheme="minorHAnsi" w:hAnsiTheme="minorHAnsi" w:cstheme="minorBidi"/>
          <w:color w:val="1F497D"/>
          <w:lang w:eastAsia="en-US"/>
        </w:rPr>
        <w:t xml:space="preserve">vážený priemer 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v porovnávaných krajinách. </w:t>
      </w:r>
      <w:r w:rsidR="00944098">
        <w:rPr>
          <w:rFonts w:asciiTheme="minorHAnsi" w:hAnsiTheme="minorHAnsi" w:cstheme="minorBidi"/>
          <w:color w:val="1F497D"/>
          <w:lang w:eastAsia="en-US"/>
        </w:rPr>
        <w:t>Tieto ukazovatele jasne naznačujú, že slovenský poistný sektor ešte zďaleka nedosahuje parametre vyspelých európskych krajín.</w:t>
      </w:r>
    </w:p>
    <w:p w:rsidR="00425A81" w:rsidRPr="00425A81" w:rsidRDefault="00944098" w:rsidP="000B5227">
      <w:pPr>
        <w:pStyle w:val="Odsekzoznamu"/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>A p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ráve nízka </w:t>
      </w:r>
      <w:r>
        <w:rPr>
          <w:rFonts w:asciiTheme="minorHAnsi" w:hAnsiTheme="minorHAnsi" w:cstheme="minorBidi"/>
          <w:color w:val="1F497D"/>
          <w:lang w:eastAsia="en-US"/>
        </w:rPr>
        <w:t>hodnota</w:t>
      </w:r>
      <w:r w:rsidR="000B5227">
        <w:rPr>
          <w:rFonts w:asciiTheme="minorHAnsi" w:hAnsiTheme="minorHAnsi" w:cstheme="minorBidi"/>
          <w:color w:val="1F497D"/>
          <w:lang w:eastAsia="en-US"/>
        </w:rPr>
        <w:t xml:space="preserve"> poistných rezerv </w:t>
      </w:r>
      <w:r>
        <w:rPr>
          <w:rFonts w:asciiTheme="minorHAnsi" w:hAnsiTheme="minorHAnsi" w:cstheme="minorBidi"/>
          <w:color w:val="1F497D"/>
          <w:lang w:eastAsia="en-US"/>
        </w:rPr>
        <w:t xml:space="preserve"> na obyvateľa </w:t>
      </w:r>
      <w:r w:rsidR="000B5227">
        <w:rPr>
          <w:rFonts w:asciiTheme="minorHAnsi" w:hAnsiTheme="minorHAnsi" w:cstheme="minorBidi"/>
          <w:color w:val="1F497D"/>
          <w:lang w:eastAsia="en-US"/>
        </w:rPr>
        <w:t>na Slovensku v porovnaní s vyspelými krajinami</w:t>
      </w:r>
      <w:r>
        <w:rPr>
          <w:rFonts w:asciiTheme="minorHAnsi" w:hAnsiTheme="minorHAnsi" w:cstheme="minorBidi"/>
          <w:color w:val="1F497D"/>
          <w:lang w:eastAsia="en-US"/>
        </w:rPr>
        <w:t xml:space="preserve"> z dôvodu pomerne krátkej existencie štandardného trhového prostredia, nízkych miezd a neexistencie podpory životného poistenia (napr. formou  daňových úľav) má za následok </w:t>
      </w:r>
      <w:r w:rsidR="00BC5B0F">
        <w:rPr>
          <w:rFonts w:asciiTheme="minorHAnsi" w:hAnsiTheme="minorHAnsi" w:cstheme="minorBidi"/>
          <w:color w:val="1F497D"/>
          <w:lang w:eastAsia="en-US"/>
        </w:rPr>
        <w:t>nižšie bilančné sumy slovenských poisťovní,  čo vedie k výrazne odlišným výsledkom</w:t>
      </w:r>
      <w:r>
        <w:rPr>
          <w:rFonts w:asciiTheme="minorHAnsi" w:hAnsiTheme="minorHAnsi" w:cstheme="minorBidi"/>
          <w:color w:val="1F497D"/>
          <w:lang w:eastAsia="en-US"/>
        </w:rPr>
        <w:t xml:space="preserve"> Slovenska pri porovnávaní ROA s európskymi krajinami, než by sme dostali pri porovnávaní ROE.</w:t>
      </w:r>
    </w:p>
    <w:p w:rsidR="00425A81" w:rsidRPr="00425A81" w:rsidRDefault="00425A81" w:rsidP="00425A81">
      <w:pPr>
        <w:rPr>
          <w:rFonts w:asciiTheme="minorHAnsi" w:hAnsiTheme="minorHAnsi" w:cstheme="minorBidi"/>
          <w:color w:val="1F497D"/>
          <w:lang w:eastAsia="en-US"/>
        </w:rPr>
      </w:pPr>
    </w:p>
    <w:p w:rsidR="00120F02" w:rsidRDefault="00120F02" w:rsidP="00120F02">
      <w:pPr>
        <w:rPr>
          <w:rFonts w:asciiTheme="minorHAnsi" w:hAnsiTheme="minorHAnsi" w:cstheme="minorBidi"/>
          <w:color w:val="1F497D"/>
          <w:lang w:eastAsia="en-US"/>
        </w:rPr>
      </w:pPr>
    </w:p>
    <w:p w:rsidR="00D34A36" w:rsidRDefault="00D34A36" w:rsidP="00D34A36">
      <w:pPr>
        <w:pStyle w:val="Odsekzoznamu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„</w:t>
      </w:r>
      <w:r w:rsidR="00AE4734">
        <w:rPr>
          <w:lang w:eastAsia="en-US"/>
        </w:rPr>
        <w:t>Navyše celý problém sa týka len životného poistenia, čiže len časti ukazovateľa ROA.</w:t>
      </w:r>
      <w:r w:rsidRPr="00D34A36">
        <w:rPr>
          <w:lang w:eastAsia="en-US"/>
        </w:rPr>
        <w:t xml:space="preserve"> </w:t>
      </w:r>
      <w:r>
        <w:rPr>
          <w:lang w:eastAsia="en-US"/>
        </w:rPr>
        <w:t>Objem technických rezerv v životnom poistení je medziročne tiež stabilný.“</w:t>
      </w:r>
    </w:p>
    <w:p w:rsidR="00A25D54" w:rsidRDefault="00AE4734" w:rsidP="004A3BB3">
      <w:pPr>
        <w:ind w:left="708"/>
        <w:rPr>
          <w:rFonts w:asciiTheme="minorHAnsi" w:hAnsiTheme="minorHAnsi" w:cstheme="minorBidi"/>
          <w:color w:val="1F497D"/>
          <w:lang w:eastAsia="en-US"/>
        </w:rPr>
      </w:pPr>
      <w:r>
        <w:rPr>
          <w:lang w:eastAsia="en-US"/>
        </w:rPr>
        <w:lastRenderedPageBreak/>
        <w:t xml:space="preserve"> </w:t>
      </w:r>
      <w:r w:rsidRPr="00D34A36">
        <w:rPr>
          <w:rFonts w:asciiTheme="minorHAnsi" w:hAnsiTheme="minorHAnsi" w:cstheme="minorBidi"/>
          <w:color w:val="1F497D"/>
          <w:lang w:eastAsia="en-US"/>
        </w:rPr>
        <w:t xml:space="preserve">Podiel rezerv na životné poistenie spolu s rezervami na krytie rizika z investovania finančných prostriedkov v mene poistených na bilančnej sume je  </w:t>
      </w:r>
      <w:r w:rsidR="00A25D54">
        <w:rPr>
          <w:rFonts w:asciiTheme="minorHAnsi" w:hAnsiTheme="minorHAnsi" w:cstheme="minorBidi"/>
          <w:color w:val="1F497D"/>
          <w:lang w:eastAsia="en-US"/>
        </w:rPr>
        <w:t xml:space="preserve">na Slovensku </w:t>
      </w:r>
      <w:r w:rsidRPr="00D34A36">
        <w:rPr>
          <w:rFonts w:asciiTheme="minorHAnsi" w:hAnsiTheme="minorHAnsi" w:cstheme="minorBidi"/>
          <w:color w:val="1F497D"/>
          <w:lang w:eastAsia="en-US"/>
        </w:rPr>
        <w:t>vyše 55</w:t>
      </w:r>
      <w:r w:rsidRPr="00D34A36">
        <w:rPr>
          <w:rFonts w:asciiTheme="minorHAnsi" w:hAnsiTheme="minorHAnsi" w:cstheme="minorBidi"/>
          <w:color w:val="1F497D"/>
          <w:lang w:val="en-US" w:eastAsia="en-US"/>
        </w:rPr>
        <w:t>%</w:t>
      </w:r>
      <w:r w:rsidR="00487584" w:rsidRPr="00D34A36">
        <w:rPr>
          <w:rFonts w:asciiTheme="minorHAnsi" w:hAnsiTheme="minorHAnsi" w:cstheme="minorBidi"/>
          <w:color w:val="1F497D"/>
          <w:lang w:val="en-US" w:eastAsia="en-US"/>
        </w:rPr>
        <w:t xml:space="preserve"> (</w:t>
      </w:r>
      <w:r w:rsidRPr="00D34A36">
        <w:rPr>
          <w:rFonts w:asciiTheme="minorHAnsi" w:hAnsiTheme="minorHAnsi" w:cstheme="minorBidi"/>
          <w:color w:val="1F497D"/>
          <w:lang w:eastAsia="en-US"/>
        </w:rPr>
        <w:t>podľa predbežného  výkazu VUP (BIL) 1-04 k 31.</w:t>
      </w:r>
      <w:r w:rsidR="00487584" w:rsidRPr="00D34A36">
        <w:rPr>
          <w:rFonts w:asciiTheme="minorHAnsi" w:hAnsiTheme="minorHAnsi" w:cstheme="minorBidi"/>
          <w:color w:val="1F497D"/>
          <w:lang w:eastAsia="en-US"/>
        </w:rPr>
        <w:t>12.2018).  V</w:t>
      </w:r>
      <w:r w:rsidR="00A25D54">
        <w:rPr>
          <w:rFonts w:asciiTheme="minorHAnsi" w:hAnsiTheme="minorHAnsi" w:cstheme="minorBidi"/>
          <w:color w:val="1F497D"/>
          <w:lang w:eastAsia="en-US"/>
        </w:rPr>
        <w:t xml:space="preserve">o väčšine krajín západnej Európy  tento podiel 60 </w:t>
      </w:r>
      <w:r w:rsidR="00487584" w:rsidRPr="00D34A36">
        <w:rPr>
          <w:rFonts w:asciiTheme="minorHAnsi" w:hAnsiTheme="minorHAnsi" w:cstheme="minorBidi"/>
          <w:color w:val="1F497D"/>
          <w:lang w:eastAsia="en-US"/>
        </w:rPr>
        <w:t>-75</w:t>
      </w:r>
      <w:r w:rsidR="00487584" w:rsidRPr="00D34A36">
        <w:rPr>
          <w:rFonts w:asciiTheme="minorHAnsi" w:hAnsiTheme="minorHAnsi" w:cstheme="minorBidi"/>
          <w:color w:val="1F497D"/>
          <w:lang w:val="en-US" w:eastAsia="en-US"/>
        </w:rPr>
        <w:t xml:space="preserve">%, </w:t>
      </w:r>
      <w:r w:rsidR="00487584" w:rsidRPr="00D34A36">
        <w:rPr>
          <w:rFonts w:asciiTheme="minorHAnsi" w:hAnsiTheme="minorHAnsi" w:cstheme="minorBidi"/>
          <w:color w:val="1F497D"/>
          <w:lang w:eastAsia="en-US"/>
        </w:rPr>
        <w:t>z čoho je zrejmé, že rezervy na životné poistenie majú zásadný vplyv na ROA poisťovní.</w:t>
      </w:r>
      <w:r w:rsidR="00D34A36">
        <w:rPr>
          <w:rFonts w:asciiTheme="minorHAnsi" w:hAnsiTheme="minorHAnsi" w:cstheme="minorBidi"/>
          <w:color w:val="1F497D"/>
          <w:lang w:eastAsia="en-US"/>
        </w:rPr>
        <w:t xml:space="preserve"> </w:t>
      </w:r>
    </w:p>
    <w:p w:rsidR="00120F02" w:rsidRDefault="00D34A36" w:rsidP="004A3BB3">
      <w:pPr>
        <w:ind w:left="708"/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 xml:space="preserve">Z hľadiska vývoja objemu aktív je medziročné porovnanie príliš krátke. Ako dokumentujú vyššie uvedené tabuľky, medzi rokmi 2005-2015 sa objem </w:t>
      </w:r>
      <w:r w:rsidR="00452C56">
        <w:rPr>
          <w:rFonts w:asciiTheme="minorHAnsi" w:hAnsiTheme="minorHAnsi" w:cstheme="minorBidi"/>
          <w:color w:val="1F497D"/>
          <w:lang w:eastAsia="en-US"/>
        </w:rPr>
        <w:t>rezerv na životné poistenia</w:t>
      </w:r>
      <w:r>
        <w:rPr>
          <w:rFonts w:asciiTheme="minorHAnsi" w:hAnsiTheme="minorHAnsi" w:cstheme="minorBidi"/>
          <w:color w:val="1F497D"/>
          <w:lang w:eastAsia="en-US"/>
        </w:rPr>
        <w:t xml:space="preserve"> na Slovensku </w:t>
      </w:r>
      <w:r w:rsidR="00452C56">
        <w:rPr>
          <w:rFonts w:asciiTheme="minorHAnsi" w:hAnsiTheme="minorHAnsi" w:cstheme="minorBidi"/>
          <w:color w:val="1F497D"/>
          <w:lang w:eastAsia="en-US"/>
        </w:rPr>
        <w:t xml:space="preserve">viac než </w:t>
      </w:r>
      <w:r>
        <w:rPr>
          <w:rFonts w:asciiTheme="minorHAnsi" w:hAnsiTheme="minorHAnsi" w:cstheme="minorBidi"/>
          <w:color w:val="1F497D"/>
          <w:lang w:eastAsia="en-US"/>
        </w:rPr>
        <w:t xml:space="preserve">zdvojnásobil, pri čom percentuálny nárast bol vyšší, než vo </w:t>
      </w:r>
      <w:r w:rsidR="00452C56">
        <w:rPr>
          <w:rFonts w:asciiTheme="minorHAnsi" w:hAnsiTheme="minorHAnsi" w:cstheme="minorBidi"/>
          <w:color w:val="1F497D"/>
          <w:lang w:eastAsia="en-US"/>
        </w:rPr>
        <w:t xml:space="preserve">väčšine </w:t>
      </w:r>
      <w:r>
        <w:rPr>
          <w:rFonts w:asciiTheme="minorHAnsi" w:hAnsiTheme="minorHAnsi" w:cstheme="minorBidi"/>
          <w:color w:val="1F497D"/>
          <w:lang w:eastAsia="en-US"/>
        </w:rPr>
        <w:t>vyspelých</w:t>
      </w:r>
      <w:r w:rsidR="00452C56">
        <w:rPr>
          <w:rFonts w:asciiTheme="minorHAnsi" w:hAnsiTheme="minorHAnsi" w:cstheme="minorBidi"/>
          <w:color w:val="1F497D"/>
          <w:lang w:eastAsia="en-US"/>
        </w:rPr>
        <w:t xml:space="preserve"> krají</w:t>
      </w:r>
      <w:r>
        <w:rPr>
          <w:rFonts w:asciiTheme="minorHAnsi" w:hAnsiTheme="minorHAnsi" w:cstheme="minorBidi"/>
          <w:color w:val="1F497D"/>
          <w:lang w:eastAsia="en-US"/>
        </w:rPr>
        <w:t>n</w:t>
      </w:r>
      <w:r w:rsidR="00452C56">
        <w:rPr>
          <w:rFonts w:asciiTheme="minorHAnsi" w:hAnsiTheme="minorHAnsi" w:cstheme="minorBidi"/>
          <w:color w:val="1F497D"/>
          <w:lang w:eastAsia="en-US"/>
        </w:rPr>
        <w:t xml:space="preserve">, </w:t>
      </w:r>
      <w:r>
        <w:rPr>
          <w:rFonts w:asciiTheme="minorHAnsi" w:hAnsiTheme="minorHAnsi" w:cstheme="minorBidi"/>
          <w:color w:val="1F497D"/>
          <w:lang w:eastAsia="en-US"/>
        </w:rPr>
        <w:t>čo tiež naznačuje, že Slovensko</w:t>
      </w:r>
      <w:r w:rsidR="00452C56">
        <w:rPr>
          <w:rFonts w:asciiTheme="minorHAnsi" w:hAnsiTheme="minorHAnsi" w:cstheme="minorBidi"/>
          <w:color w:val="1F497D"/>
          <w:lang w:eastAsia="en-US"/>
        </w:rPr>
        <w:t xml:space="preserve"> stále</w:t>
      </w:r>
      <w:r>
        <w:rPr>
          <w:rFonts w:asciiTheme="minorHAnsi" w:hAnsiTheme="minorHAnsi" w:cstheme="minorBidi"/>
          <w:color w:val="1F497D"/>
          <w:lang w:eastAsia="en-US"/>
        </w:rPr>
        <w:t xml:space="preserve"> patrí k rozvíjajúcim sa trhom.</w:t>
      </w:r>
      <w:bookmarkStart w:id="0" w:name="_GoBack"/>
      <w:bookmarkEnd w:id="0"/>
    </w:p>
    <w:sectPr w:rsidR="00120F02" w:rsidSect="006A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15519"/>
    <w:multiLevelType w:val="hybridMultilevel"/>
    <w:tmpl w:val="772C6E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C71E5"/>
    <w:multiLevelType w:val="hybridMultilevel"/>
    <w:tmpl w:val="07220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02"/>
    <w:rsid w:val="00062206"/>
    <w:rsid w:val="000B5227"/>
    <w:rsid w:val="00120F02"/>
    <w:rsid w:val="001F10BF"/>
    <w:rsid w:val="00362B9E"/>
    <w:rsid w:val="0042076E"/>
    <w:rsid w:val="00425A81"/>
    <w:rsid w:val="00452C56"/>
    <w:rsid w:val="00487584"/>
    <w:rsid w:val="004A3BB3"/>
    <w:rsid w:val="004E2583"/>
    <w:rsid w:val="00655495"/>
    <w:rsid w:val="00690BD9"/>
    <w:rsid w:val="00692799"/>
    <w:rsid w:val="006A48DB"/>
    <w:rsid w:val="0072053A"/>
    <w:rsid w:val="00797BDD"/>
    <w:rsid w:val="00827431"/>
    <w:rsid w:val="008F3D2F"/>
    <w:rsid w:val="00944098"/>
    <w:rsid w:val="009A446F"/>
    <w:rsid w:val="00A25D54"/>
    <w:rsid w:val="00A31AF3"/>
    <w:rsid w:val="00A4159A"/>
    <w:rsid w:val="00A83599"/>
    <w:rsid w:val="00AE4734"/>
    <w:rsid w:val="00BC5B0F"/>
    <w:rsid w:val="00D34A36"/>
    <w:rsid w:val="00ED01C7"/>
    <w:rsid w:val="00E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4CDB4-3364-4737-9B5D-E3185E8C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0F02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20F02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120F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120F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14</cp:revision>
  <dcterms:created xsi:type="dcterms:W3CDTF">2019-06-21T06:25:00Z</dcterms:created>
  <dcterms:modified xsi:type="dcterms:W3CDTF">2019-06-24T11:14:00Z</dcterms:modified>
</cp:coreProperties>
</file>