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6732" w14:textId="5CBFED9C" w:rsidR="005C75E9" w:rsidRPr="000B25B5" w:rsidRDefault="00D977B5" w:rsidP="00835EE5">
      <w:pPr>
        <w:spacing w:line="312" w:lineRule="auto"/>
        <w:jc w:val="center"/>
        <w:rPr>
          <w:bCs/>
          <w:color w:val="1F497D" w:themeColor="text2"/>
          <w:sz w:val="22"/>
          <w:szCs w:val="22"/>
        </w:rPr>
      </w:pPr>
      <w:r>
        <w:rPr>
          <w:bCs/>
          <w:color w:val="1F497D" w:themeColor="text2"/>
          <w:sz w:val="22"/>
          <w:szCs w:val="22"/>
        </w:rPr>
        <w:t>Insurance Europe’s c</w:t>
      </w:r>
      <w:r w:rsidR="005C75E9" w:rsidRPr="00D977B5">
        <w:rPr>
          <w:bCs/>
          <w:color w:val="1F497D" w:themeColor="text2"/>
          <w:sz w:val="22"/>
          <w:szCs w:val="22"/>
        </w:rPr>
        <w:t>omments on BEFI</w:t>
      </w:r>
      <w:r w:rsidR="00835EE5" w:rsidRPr="00D977B5">
        <w:rPr>
          <w:bCs/>
          <w:color w:val="1F497D" w:themeColor="text2"/>
          <w:sz w:val="22"/>
          <w:szCs w:val="22"/>
        </w:rPr>
        <w:t>T</w:t>
      </w:r>
      <w:r>
        <w:rPr>
          <w:bCs/>
          <w:color w:val="1F497D" w:themeColor="text2"/>
          <w:sz w:val="22"/>
          <w:szCs w:val="22"/>
        </w:rPr>
        <w:t xml:space="preserve"> </w:t>
      </w:r>
      <w:r w:rsidRPr="004D16D2">
        <w:rPr>
          <w:bCs/>
          <w:color w:val="1F497D" w:themeColor="text2"/>
          <w:sz w:val="22"/>
          <w:szCs w:val="22"/>
        </w:rPr>
        <w:t>to DG TAXUD</w:t>
      </w:r>
    </w:p>
    <w:p w14:paraId="28A5C113" w14:textId="77777777" w:rsidR="00B65875" w:rsidRDefault="00B65875" w:rsidP="009D51F8">
      <w:pPr>
        <w:spacing w:line="312" w:lineRule="auto"/>
      </w:pPr>
    </w:p>
    <w:p w14:paraId="2D4C045C" w14:textId="77777777" w:rsidR="00B65875" w:rsidRPr="00337934" w:rsidRDefault="00B65875" w:rsidP="009D51F8">
      <w:pPr>
        <w:pStyle w:val="CEABullet-Level1"/>
        <w:numPr>
          <w:ilvl w:val="0"/>
          <w:numId w:val="0"/>
        </w:numPr>
        <w:spacing w:line="312" w:lineRule="auto"/>
        <w:rPr>
          <w:b/>
          <w:bCs/>
          <w:u w:val="single"/>
        </w:rPr>
      </w:pPr>
      <w:r w:rsidRPr="00337934">
        <w:rPr>
          <w:b/>
          <w:bCs/>
          <w:u w:val="single"/>
        </w:rPr>
        <w:t xml:space="preserve">Equalisation provision: </w:t>
      </w:r>
    </w:p>
    <w:p w14:paraId="458689AE" w14:textId="138793C3" w:rsidR="00295E04" w:rsidRDefault="00044E3E" w:rsidP="009D51F8">
      <w:pPr>
        <w:spacing w:line="312" w:lineRule="auto"/>
      </w:pPr>
      <w:r>
        <w:t>I</w:t>
      </w:r>
      <w:r w:rsidR="00B65875">
        <w:t xml:space="preserve">nsurance companies are </w:t>
      </w:r>
      <w:r>
        <w:t xml:space="preserve">usually </w:t>
      </w:r>
      <w:r w:rsidR="00B65875">
        <w:t xml:space="preserve">required by </w:t>
      </w:r>
      <w:r w:rsidR="006B41EA">
        <w:t xml:space="preserve">the </w:t>
      </w:r>
      <w:r w:rsidR="00223D56">
        <w:t xml:space="preserve">applicable </w:t>
      </w:r>
      <w:r w:rsidR="00B65875">
        <w:t>commercial law to maintain an equalisation provision</w:t>
      </w:r>
      <w:r w:rsidR="00FA6DE8">
        <w:t xml:space="preserve">, which </w:t>
      </w:r>
      <w:r>
        <w:t>serves</w:t>
      </w:r>
      <w:r w:rsidR="00B65875">
        <w:t xml:space="preserve"> to mitigate </w:t>
      </w:r>
      <w:r w:rsidR="00EB534B">
        <w:t>the effect</w:t>
      </w:r>
      <w:r w:rsidR="005A451B">
        <w:t>s</w:t>
      </w:r>
      <w:r w:rsidR="00EB534B">
        <w:t xml:space="preserve"> of </w:t>
      </w:r>
      <w:r w:rsidR="005A451B">
        <w:t xml:space="preserve">the </w:t>
      </w:r>
      <w:r w:rsidR="00B65875">
        <w:t>fluctuations in the annual</w:t>
      </w:r>
      <w:r w:rsidR="00EB534B">
        <w:t xml:space="preserve"> </w:t>
      </w:r>
      <w:r w:rsidR="00D501B7">
        <w:t>number</w:t>
      </w:r>
      <w:r w:rsidR="00EB534B">
        <w:t xml:space="preserve"> of</w:t>
      </w:r>
      <w:r w:rsidR="00B65875">
        <w:t xml:space="preserve"> claims requirements</w:t>
      </w:r>
      <w:r w:rsidR="00EB534B">
        <w:t>, in the following</w:t>
      </w:r>
      <w:r w:rsidR="00B65875">
        <w:t xml:space="preserve"> years</w:t>
      </w:r>
      <w:r w:rsidR="00227198">
        <w:t>.</w:t>
      </w:r>
      <w:r w:rsidR="00D03C78">
        <w:t xml:space="preserve"> </w:t>
      </w:r>
      <w:r w:rsidR="00F8106C">
        <w:t>T</w:t>
      </w:r>
      <w:r w:rsidR="00D03C78">
        <w:t xml:space="preserve">he treatment of equalisation </w:t>
      </w:r>
      <w:r w:rsidR="009D51F8">
        <w:t xml:space="preserve">provisions </w:t>
      </w:r>
      <w:r w:rsidR="00F8106C">
        <w:t xml:space="preserve">differs </w:t>
      </w:r>
      <w:r w:rsidR="003F3D62">
        <w:t>between</w:t>
      </w:r>
      <w:r w:rsidR="00AD7FC5">
        <w:t xml:space="preserve"> </w:t>
      </w:r>
      <w:r w:rsidR="00F8106C">
        <w:t xml:space="preserve">many </w:t>
      </w:r>
      <w:r w:rsidR="00AD7FC5">
        <w:t>Member States</w:t>
      </w:r>
      <w:r w:rsidR="00436C6C">
        <w:t xml:space="preserve"> where this </w:t>
      </w:r>
      <w:r w:rsidR="00AB151A">
        <w:t>approach exists</w:t>
      </w:r>
      <w:r w:rsidR="003257AE">
        <w:t>. Examples from a number of markets have been included</w:t>
      </w:r>
      <w:r w:rsidR="00546870">
        <w:t xml:space="preserve"> below</w:t>
      </w:r>
      <w:r w:rsidR="003257AE">
        <w:t xml:space="preserve">, </w:t>
      </w:r>
      <w:r w:rsidR="00C83138">
        <w:t>although</w:t>
      </w:r>
      <w:r w:rsidR="003257AE">
        <w:t xml:space="preserve"> these do not represent the totality of Member States </w:t>
      </w:r>
      <w:r w:rsidR="00F11CF2">
        <w:t>where</w:t>
      </w:r>
      <w:r w:rsidR="003257AE">
        <w:t xml:space="preserve"> companies </w:t>
      </w:r>
      <w:r w:rsidR="00F11CF2">
        <w:t>are required to</w:t>
      </w:r>
      <w:r w:rsidR="003257AE">
        <w:t xml:space="preserve"> set </w:t>
      </w:r>
      <w:r w:rsidR="00F11CF2">
        <w:t xml:space="preserve">up </w:t>
      </w:r>
      <w:r w:rsidR="0081336C">
        <w:t>equalisation provisions</w:t>
      </w:r>
      <w:r w:rsidR="004C068C">
        <w:t>:</w:t>
      </w:r>
    </w:p>
    <w:p w14:paraId="6FF113A8" w14:textId="425B709C" w:rsidR="003701C3" w:rsidRDefault="00507949" w:rsidP="009D51F8">
      <w:pPr>
        <w:pStyle w:val="CEABullet-Level1"/>
        <w:spacing w:line="312" w:lineRule="auto"/>
      </w:pPr>
      <w:r w:rsidRPr="00337934">
        <w:t>U</w:t>
      </w:r>
      <w:r w:rsidR="00B65875" w:rsidRPr="00337934">
        <w:t>nder</w:t>
      </w:r>
      <w:r w:rsidRPr="00337934">
        <w:t xml:space="preserve"> </w:t>
      </w:r>
      <w:r w:rsidR="00295E04" w:rsidRPr="00337934">
        <w:t xml:space="preserve">the </w:t>
      </w:r>
      <w:r w:rsidR="00B65875" w:rsidRPr="00337934">
        <w:t>German GAAP</w:t>
      </w:r>
      <w:r w:rsidR="00295E04" w:rsidRPr="00337934">
        <w:t>,</w:t>
      </w:r>
      <w:r w:rsidR="00B65875" w:rsidRPr="00337934">
        <w:t xml:space="preserve"> the equalisation provision is </w:t>
      </w:r>
      <w:r w:rsidR="00295E04" w:rsidRPr="00337934">
        <w:t>registered</w:t>
      </w:r>
      <w:r w:rsidR="00B65875" w:rsidRPr="00337934">
        <w:t xml:space="preserve"> in the liability section of the balance sheet</w:t>
      </w:r>
      <w:r w:rsidR="00295E04" w:rsidRPr="00337934">
        <w:t>. However</w:t>
      </w:r>
      <w:r w:rsidR="003701C3" w:rsidRPr="00337934">
        <w:t xml:space="preserve">, </w:t>
      </w:r>
      <w:r w:rsidRPr="00337934">
        <w:t>the treatment is different</w:t>
      </w:r>
      <w:r w:rsidR="00B65875" w:rsidRPr="00337934">
        <w:t xml:space="preserve"> under IFRS</w:t>
      </w:r>
      <w:r w:rsidR="00BA3CC5">
        <w:t>, where it</w:t>
      </w:r>
      <w:r w:rsidR="00CA6E4B">
        <w:t xml:space="preserve"> </w:t>
      </w:r>
      <w:r w:rsidR="00D96FF1" w:rsidRPr="00D96FF1">
        <w:t xml:space="preserve">is based on current measurements </w:t>
      </w:r>
      <w:r w:rsidR="00CA6E4B" w:rsidRPr="00D96FF1">
        <w:t>of future</w:t>
      </w:r>
      <w:r w:rsidR="00D96FF1" w:rsidRPr="00D96FF1">
        <w:t xml:space="preserve"> cash flows over the period of an insurance contract. </w:t>
      </w:r>
      <w:r w:rsidR="00A31BFC" w:rsidRPr="00337934">
        <w:t>E</w:t>
      </w:r>
      <w:r w:rsidR="002D0B8D" w:rsidRPr="00337934">
        <w:t xml:space="preserve">qualisation provisions are fully deductible from </w:t>
      </w:r>
      <w:r w:rsidR="000303A7">
        <w:t xml:space="preserve">a </w:t>
      </w:r>
      <w:r w:rsidR="002D0B8D" w:rsidRPr="00337934">
        <w:t>tax</w:t>
      </w:r>
      <w:r w:rsidR="000303A7">
        <w:t>ation</w:t>
      </w:r>
      <w:r w:rsidR="002D0B8D" w:rsidRPr="00337934">
        <w:t xml:space="preserve"> point of view.</w:t>
      </w:r>
      <w:r w:rsidR="00B65875" w:rsidRPr="00337934">
        <w:t xml:space="preserve"> </w:t>
      </w:r>
    </w:p>
    <w:p w14:paraId="579682E0" w14:textId="091320E1" w:rsidR="00361042" w:rsidRPr="00337934" w:rsidRDefault="00361042" w:rsidP="00F24C3C">
      <w:pPr>
        <w:pStyle w:val="CEABullet-Level1"/>
      </w:pPr>
      <w:r>
        <w:t>In Austria</w:t>
      </w:r>
      <w:r w:rsidR="00F668B0">
        <w:t>,</w:t>
      </w:r>
      <w:r>
        <w:t xml:space="preserve"> the treatment of the equalisation provision is similar to the one in </w:t>
      </w:r>
      <w:r w:rsidR="00B21160">
        <w:t xml:space="preserve">place in </w:t>
      </w:r>
      <w:r>
        <w:t xml:space="preserve">Germany. </w:t>
      </w:r>
      <w:r w:rsidR="00925587">
        <w:t>There</w:t>
      </w:r>
      <w:r>
        <w:t xml:space="preserve"> is a mandatory provision </w:t>
      </w:r>
      <w:r w:rsidR="0042097E">
        <w:t>set by a</w:t>
      </w:r>
      <w:r>
        <w:t xml:space="preserve"> special regulation. Since 2001 the equalisation provision is no</w:t>
      </w:r>
      <w:r w:rsidR="00D96FB4">
        <w:t>t</w:t>
      </w:r>
      <w:r>
        <w:t xml:space="preserve"> full</w:t>
      </w:r>
      <w:r w:rsidR="00B21160">
        <w:t>y</w:t>
      </w:r>
      <w:r>
        <w:t xml:space="preserve"> tax deductible</w:t>
      </w:r>
      <w:r w:rsidR="00D96FB4">
        <w:t xml:space="preserve"> </w:t>
      </w:r>
      <w:r w:rsidR="000C1F59">
        <w:t>anymore</w:t>
      </w:r>
      <w:r w:rsidR="00B21160">
        <w:t>,</w:t>
      </w:r>
      <w:r>
        <w:t xml:space="preserve"> but only to 50%.</w:t>
      </w:r>
      <w:r w:rsidR="005D3E89">
        <w:t xml:space="preserve"> Equalisation provisions are </w:t>
      </w:r>
      <w:r w:rsidR="00255FB8">
        <w:t xml:space="preserve">enforced in </w:t>
      </w:r>
      <w:r w:rsidR="00D96FB4">
        <w:t xml:space="preserve">the </w:t>
      </w:r>
      <w:r w:rsidR="00255FB8">
        <w:t>property and casualty lines of business,</w:t>
      </w:r>
      <w:r w:rsidR="00255FB8" w:rsidRPr="00255FB8">
        <w:t xml:space="preserve"> </w:t>
      </w:r>
      <w:r w:rsidR="00D96FB4">
        <w:t xml:space="preserve">whereas </w:t>
      </w:r>
      <w:r w:rsidR="00255FB8" w:rsidRPr="00255FB8">
        <w:t>no provisioning is foreseen for life and health insurance.</w:t>
      </w:r>
    </w:p>
    <w:p w14:paraId="752265B6" w14:textId="4F862FE9" w:rsidR="00687EE2" w:rsidRPr="00337934" w:rsidRDefault="00641613" w:rsidP="009D51F8">
      <w:pPr>
        <w:pStyle w:val="CEABullet-Level1"/>
        <w:spacing w:line="312" w:lineRule="auto"/>
      </w:pPr>
      <w:r w:rsidRPr="00337934">
        <w:t xml:space="preserve">The </w:t>
      </w:r>
      <w:r w:rsidR="007203E8" w:rsidRPr="00337934">
        <w:t>Italian law</w:t>
      </w:r>
      <w:r w:rsidRPr="00337934">
        <w:t xml:space="preserve"> </w:t>
      </w:r>
      <w:r w:rsidR="00A941AD" w:rsidRPr="00337934">
        <w:t xml:space="preserve">provides for </w:t>
      </w:r>
      <w:r w:rsidRPr="00337934">
        <w:t xml:space="preserve">the deduction from the income tax base for any allocation to technical reserves insofar </w:t>
      </w:r>
      <w:r w:rsidR="00CB7FD5">
        <w:t xml:space="preserve">as </w:t>
      </w:r>
      <w:r w:rsidRPr="00337934">
        <w:t>the reserve is set up on a statutory basis (legal or administrative obligation) and within the ceiling of the maximum amount recognised by the regulations relating to the commercial balance sheet.</w:t>
      </w:r>
      <w:r w:rsidR="00155A0F" w:rsidRPr="00337934">
        <w:t xml:space="preserve"> </w:t>
      </w:r>
      <w:r w:rsidR="007E59E2" w:rsidRPr="007E59E2">
        <w:t xml:space="preserve">Specific criteria have been issued by the Supervisory Authority regarding the calculation of equalisation </w:t>
      </w:r>
      <w:r w:rsidR="00FD4BED">
        <w:t>provisions</w:t>
      </w:r>
      <w:r w:rsidR="007E59E2" w:rsidRPr="007E59E2">
        <w:t>, generally based on claims/premiums ratios over time.</w:t>
      </w:r>
    </w:p>
    <w:p w14:paraId="75A698D6" w14:textId="58142DD2" w:rsidR="00D826C1" w:rsidRDefault="000610A3" w:rsidP="009D51F8">
      <w:pPr>
        <w:pStyle w:val="CEABullet-Level1"/>
        <w:spacing w:line="312" w:lineRule="auto"/>
      </w:pPr>
      <w:r>
        <w:t>In the Netherlands, whether u</w:t>
      </w:r>
      <w:r w:rsidR="00D47730" w:rsidRPr="00337934">
        <w:t>nder IFRS or Dutch GAAP</w:t>
      </w:r>
      <w:r w:rsidR="000643C0" w:rsidRPr="00337934">
        <w:t>,</w:t>
      </w:r>
      <w:r w:rsidR="00D47730" w:rsidRPr="00337934">
        <w:t xml:space="preserve"> equalisation </w:t>
      </w:r>
      <w:r w:rsidR="00F601AF">
        <w:t>provisions</w:t>
      </w:r>
      <w:r w:rsidR="00F601AF" w:rsidRPr="00337934">
        <w:t xml:space="preserve"> </w:t>
      </w:r>
      <w:r w:rsidR="00D47730" w:rsidRPr="00337934">
        <w:t xml:space="preserve">do not exist or are not used: such accounting </w:t>
      </w:r>
      <w:r w:rsidR="00DF270F">
        <w:t>provision</w:t>
      </w:r>
      <w:r w:rsidR="00DF270F" w:rsidRPr="00337934">
        <w:t xml:space="preserve"> </w:t>
      </w:r>
      <w:r w:rsidR="00D47730" w:rsidRPr="00337934">
        <w:t>(if any) would not be allowed for tax purposes</w:t>
      </w:r>
      <w:r w:rsidR="004921F6">
        <w:t xml:space="preserve"> in the Netherlands</w:t>
      </w:r>
      <w:r w:rsidR="00D47730" w:rsidRPr="00337934">
        <w:t xml:space="preserve">. </w:t>
      </w:r>
      <w:r w:rsidR="000643C0" w:rsidRPr="00337934">
        <w:t>However, it should be noted</w:t>
      </w:r>
      <w:r w:rsidR="00E150BD" w:rsidRPr="00337934">
        <w:t xml:space="preserve"> that Dutch insurance companies can form an equali</w:t>
      </w:r>
      <w:r w:rsidR="0086147D">
        <w:t>s</w:t>
      </w:r>
      <w:r w:rsidR="00E150BD" w:rsidRPr="00337934">
        <w:t>ation reserve for tax purposes, but such equali</w:t>
      </w:r>
      <w:r w:rsidR="0086147D">
        <w:t>s</w:t>
      </w:r>
      <w:r w:rsidR="00E150BD" w:rsidRPr="00337934">
        <w:t>ation is based on specific tax rules. Under tax law, insurance companies can form a profit &amp; loss equali</w:t>
      </w:r>
      <w:r w:rsidR="00334D71">
        <w:t>s</w:t>
      </w:r>
      <w:r w:rsidR="00E150BD" w:rsidRPr="00337934">
        <w:t xml:space="preserve">ation </w:t>
      </w:r>
      <w:r w:rsidR="00334D71">
        <w:t>provision</w:t>
      </w:r>
      <w:r w:rsidR="00334D71" w:rsidRPr="00337934">
        <w:t xml:space="preserve"> </w:t>
      </w:r>
      <w:r w:rsidR="00E150BD" w:rsidRPr="00337934">
        <w:t>with the aim to spread/set off taxable profits and losses over time.</w:t>
      </w:r>
    </w:p>
    <w:p w14:paraId="2323A427" w14:textId="5ECA3EE4" w:rsidR="005F7A22" w:rsidRDefault="005F7A22" w:rsidP="009D51F8">
      <w:pPr>
        <w:pStyle w:val="CEABullet-Level1"/>
        <w:spacing w:line="312" w:lineRule="auto"/>
        <w:rPr>
          <w:lang w:val="en-US"/>
        </w:rPr>
      </w:pPr>
      <w:bookmarkStart w:id="0" w:name="_Hlk138233966"/>
      <w:r>
        <w:rPr>
          <w:lang w:val="en-US"/>
        </w:rPr>
        <w:t xml:space="preserve">The Swedish </w:t>
      </w:r>
      <w:proofErr w:type="spellStart"/>
      <w:r>
        <w:rPr>
          <w:lang w:val="en-US"/>
        </w:rPr>
        <w:t>equalisation</w:t>
      </w:r>
      <w:proofErr w:type="spellEnd"/>
      <w:r>
        <w:rPr>
          <w:lang w:val="en-US"/>
        </w:rPr>
        <w:t xml:space="preserve"> reserve is a</w:t>
      </w:r>
      <w:r w:rsidR="00814AFE">
        <w:rPr>
          <w:lang w:val="en-US"/>
        </w:rPr>
        <w:t xml:space="preserve"> specific</w:t>
      </w:r>
      <w:r w:rsidRPr="00AC5561">
        <w:rPr>
          <w:lang w:val="en-US"/>
        </w:rPr>
        <w:t xml:space="preserve"> insurance r</w:t>
      </w:r>
      <w:r>
        <w:rPr>
          <w:lang w:val="en-US"/>
        </w:rPr>
        <w:t xml:space="preserve">eserve </w:t>
      </w:r>
      <w:r w:rsidR="00814AFE">
        <w:rPr>
          <w:lang w:val="en-US"/>
        </w:rPr>
        <w:t xml:space="preserve">set </w:t>
      </w:r>
      <w:r>
        <w:rPr>
          <w:lang w:val="en-US"/>
        </w:rPr>
        <w:t xml:space="preserve">under </w:t>
      </w:r>
      <w:r w:rsidR="00BF4260">
        <w:rPr>
          <w:lang w:val="en-US"/>
        </w:rPr>
        <w:t>a rule</w:t>
      </w:r>
      <w:r>
        <w:rPr>
          <w:lang w:val="en-US"/>
        </w:rPr>
        <w:t xml:space="preserve"> </w:t>
      </w:r>
      <w:r w:rsidR="00BF4260">
        <w:rPr>
          <w:lang w:val="en-US"/>
        </w:rPr>
        <w:t>by</w:t>
      </w:r>
      <w:r>
        <w:rPr>
          <w:lang w:val="en-US"/>
        </w:rPr>
        <w:t xml:space="preserve"> the Swedish Financial Supervisory Authority. Provisions made to the </w:t>
      </w:r>
      <w:proofErr w:type="spellStart"/>
      <w:r>
        <w:rPr>
          <w:lang w:val="en-US"/>
        </w:rPr>
        <w:t>equalisation</w:t>
      </w:r>
      <w:proofErr w:type="spellEnd"/>
      <w:r>
        <w:rPr>
          <w:lang w:val="en-US"/>
        </w:rPr>
        <w:t xml:space="preserve"> reserve are tax deductible for income tax purposes. Under local GAAP it is recorded as an insurance reserve but under consolidated financial statements it is divided into </w:t>
      </w:r>
      <w:r w:rsidR="006E20C5">
        <w:rPr>
          <w:lang w:val="en-US"/>
        </w:rPr>
        <w:t xml:space="preserve">an </w:t>
      </w:r>
      <w:r>
        <w:rPr>
          <w:lang w:val="en-US"/>
        </w:rPr>
        <w:t xml:space="preserve">equity </w:t>
      </w:r>
      <w:r w:rsidR="006E20C5">
        <w:rPr>
          <w:lang w:val="en-US"/>
        </w:rPr>
        <w:t xml:space="preserve">part </w:t>
      </w:r>
      <w:r>
        <w:rPr>
          <w:lang w:val="en-US"/>
        </w:rPr>
        <w:t xml:space="preserve">and </w:t>
      </w:r>
      <w:r w:rsidR="006E20C5">
        <w:rPr>
          <w:lang w:val="en-US"/>
        </w:rPr>
        <w:t>a</w:t>
      </w:r>
      <w:r>
        <w:rPr>
          <w:lang w:val="en-US"/>
        </w:rPr>
        <w:t xml:space="preserve"> liability</w:t>
      </w:r>
      <w:r w:rsidR="006E20C5">
        <w:rPr>
          <w:lang w:val="en-US"/>
        </w:rPr>
        <w:t xml:space="preserve"> part</w:t>
      </w:r>
      <w:r>
        <w:rPr>
          <w:lang w:val="en-US"/>
        </w:rPr>
        <w:t xml:space="preserve">. </w:t>
      </w:r>
      <w:r w:rsidRPr="00437DA9">
        <w:rPr>
          <w:lang w:val="en-US"/>
        </w:rPr>
        <w:t xml:space="preserve">Under </w:t>
      </w:r>
      <w:r>
        <w:rPr>
          <w:lang w:val="en-US"/>
        </w:rPr>
        <w:t>consolidated financial statements</w:t>
      </w:r>
      <w:r w:rsidRPr="00437DA9">
        <w:rPr>
          <w:lang w:val="en-US"/>
        </w:rPr>
        <w:t xml:space="preserve"> the</w:t>
      </w:r>
      <w:r w:rsidRPr="00AC5561">
        <w:rPr>
          <w:lang w:val="en-US"/>
        </w:rPr>
        <w:t xml:space="preserve"> result before ta</w:t>
      </w:r>
      <w:r>
        <w:rPr>
          <w:lang w:val="en-US"/>
        </w:rPr>
        <w:t xml:space="preserve">x </w:t>
      </w:r>
      <w:r w:rsidR="00972953">
        <w:rPr>
          <w:lang w:val="en-US"/>
        </w:rPr>
        <w:t xml:space="preserve">is </w:t>
      </w:r>
      <w:r>
        <w:rPr>
          <w:lang w:val="en-US"/>
        </w:rPr>
        <w:t xml:space="preserve">thus higher than under local GAAP. </w:t>
      </w:r>
      <w:bookmarkEnd w:id="0"/>
    </w:p>
    <w:p w14:paraId="335858A5" w14:textId="1F3F1745" w:rsidR="00287C66" w:rsidRPr="00287C66" w:rsidRDefault="00287C66" w:rsidP="00287C66">
      <w:pPr>
        <w:pStyle w:val="CEABullet-Level1"/>
        <w:rPr>
          <w:lang w:val="en-US"/>
        </w:rPr>
      </w:pPr>
      <w:r w:rsidRPr="00287C66">
        <w:rPr>
          <w:lang w:val="en-US"/>
        </w:rPr>
        <w:t xml:space="preserve">In France, </w:t>
      </w:r>
      <w:r w:rsidR="008D22B1">
        <w:rPr>
          <w:lang w:val="en-US"/>
        </w:rPr>
        <w:t>(re)</w:t>
      </w:r>
      <w:r w:rsidRPr="00287C66">
        <w:rPr>
          <w:lang w:val="en-US"/>
        </w:rPr>
        <w:t xml:space="preserve">insurers may record </w:t>
      </w:r>
      <w:proofErr w:type="spellStart"/>
      <w:r w:rsidRPr="00287C66">
        <w:rPr>
          <w:lang w:val="en-US"/>
        </w:rPr>
        <w:t>equalisation</w:t>
      </w:r>
      <w:proofErr w:type="spellEnd"/>
      <w:r w:rsidRPr="00287C66">
        <w:rPr>
          <w:lang w:val="en-US"/>
        </w:rPr>
        <w:t xml:space="preserve"> provisions for a limited list of insurance classes, in accordance with insurance legislation. The French tax legislation has issued specific criteria (yearly percentage of underwriting profits, maximum amount per risks, duration) regarding the tax deductibility of </w:t>
      </w:r>
      <w:proofErr w:type="spellStart"/>
      <w:r w:rsidRPr="00287C66">
        <w:rPr>
          <w:lang w:val="en-US"/>
        </w:rPr>
        <w:t>equalisation</w:t>
      </w:r>
      <w:proofErr w:type="spellEnd"/>
      <w:r w:rsidRPr="00287C66">
        <w:rPr>
          <w:lang w:val="en-US"/>
        </w:rPr>
        <w:t xml:space="preserve"> provisions. Under IFRS accounting principles, </w:t>
      </w:r>
      <w:proofErr w:type="spellStart"/>
      <w:r w:rsidRPr="00287C66">
        <w:rPr>
          <w:lang w:val="en-US"/>
        </w:rPr>
        <w:t>equalisation</w:t>
      </w:r>
      <w:proofErr w:type="spellEnd"/>
      <w:r w:rsidRPr="00287C66">
        <w:rPr>
          <w:lang w:val="en-US"/>
        </w:rPr>
        <w:t xml:space="preserve"> provisions are not acknowledged. Therefore, there are discrepancies between companies in France, depending on the set of accounting principles under which their financial statements are established.</w:t>
      </w:r>
    </w:p>
    <w:p w14:paraId="492041BF" w14:textId="77777777" w:rsidR="00287C66" w:rsidRPr="00A517B5" w:rsidRDefault="00287C66" w:rsidP="008D22B1">
      <w:pPr>
        <w:pStyle w:val="CEABullet-Level1"/>
        <w:numPr>
          <w:ilvl w:val="0"/>
          <w:numId w:val="0"/>
        </w:numPr>
        <w:spacing w:line="312" w:lineRule="auto"/>
        <w:ind w:left="720"/>
        <w:rPr>
          <w:lang w:val="en-US"/>
        </w:rPr>
      </w:pPr>
    </w:p>
    <w:p w14:paraId="68CACBA7" w14:textId="50DD9252" w:rsidR="00B65875" w:rsidRDefault="004D060A" w:rsidP="009D51F8">
      <w:pPr>
        <w:pStyle w:val="CEABullet-Level1"/>
        <w:numPr>
          <w:ilvl w:val="0"/>
          <w:numId w:val="0"/>
        </w:numPr>
        <w:spacing w:line="312" w:lineRule="auto"/>
        <w:ind w:left="360"/>
      </w:pPr>
      <w:r w:rsidRPr="004D060A">
        <w:t xml:space="preserve">In several EU Member States, the </w:t>
      </w:r>
      <w:r>
        <w:t>e</w:t>
      </w:r>
      <w:r w:rsidRPr="004D060A">
        <w:t>quali</w:t>
      </w:r>
      <w:r>
        <w:t>s</w:t>
      </w:r>
      <w:r w:rsidRPr="004D060A">
        <w:t>ation (</w:t>
      </w:r>
      <w:r>
        <w:t>v</w:t>
      </w:r>
      <w:r w:rsidRPr="004D060A">
        <w:t xml:space="preserve">olatility) </w:t>
      </w:r>
      <w:r w:rsidR="006B70A5">
        <w:t xml:space="preserve">provision </w:t>
      </w:r>
      <w:r w:rsidR="006B70A5" w:rsidRPr="004D060A">
        <w:t>is</w:t>
      </w:r>
      <w:r w:rsidRPr="004D060A">
        <w:t xml:space="preserve"> a mandatory provision due to the national insurance supervision act in the non-life insurance business. Under IFRS 17 (</w:t>
      </w:r>
      <w:r w:rsidR="00E50BC2">
        <w:t>and</w:t>
      </w:r>
      <w:r w:rsidRPr="004D060A">
        <w:t xml:space="preserve"> </w:t>
      </w:r>
      <w:r w:rsidR="00E50BC2" w:rsidRPr="004D060A">
        <w:t xml:space="preserve">formerly </w:t>
      </w:r>
      <w:r w:rsidR="00E50BC2">
        <w:t xml:space="preserve">also </w:t>
      </w:r>
      <w:r w:rsidR="00E50BC2" w:rsidRPr="004D060A">
        <w:t>under</w:t>
      </w:r>
      <w:r w:rsidRPr="004D060A">
        <w:t xml:space="preserve"> IFRS 4) this provision is not foreseen. </w:t>
      </w:r>
      <w:r w:rsidR="00B65875">
        <w:t xml:space="preserve">The difference in treatment </w:t>
      </w:r>
      <w:r w:rsidR="003701C3">
        <w:t>between the two</w:t>
      </w:r>
      <w:r w:rsidR="00B65875">
        <w:t xml:space="preserve"> accounting standards</w:t>
      </w:r>
      <w:r w:rsidR="00E370F8">
        <w:t xml:space="preserve"> </w:t>
      </w:r>
      <w:r w:rsidR="00B65875">
        <w:t>may potentially translate into different tax bases</w:t>
      </w:r>
      <w:r w:rsidR="00757BBE">
        <w:t>,</w:t>
      </w:r>
      <w:r w:rsidR="00B65875">
        <w:t xml:space="preserve"> depending on the accounting standard </w:t>
      </w:r>
      <w:r w:rsidR="00757BBE">
        <w:t>applied</w:t>
      </w:r>
      <w:r w:rsidR="00B65875">
        <w:t xml:space="preserve"> for the group consolidated accounts. </w:t>
      </w:r>
      <w:r w:rsidR="007A04B1">
        <w:t>This aspect should be carefully take</w:t>
      </w:r>
      <w:r w:rsidR="00757BBE">
        <w:t>n</w:t>
      </w:r>
      <w:r w:rsidR="007A04B1">
        <w:t xml:space="preserve"> in</w:t>
      </w:r>
      <w:r w:rsidR="00757BBE">
        <w:t>to consideration</w:t>
      </w:r>
      <w:r w:rsidR="00B65875">
        <w:t xml:space="preserve"> when designing the BEFIT rules</w:t>
      </w:r>
      <w:r w:rsidR="00836109">
        <w:t>, as a share of European</w:t>
      </w:r>
      <w:r w:rsidR="00836109" w:rsidRPr="00836109">
        <w:t xml:space="preserve"> </w:t>
      </w:r>
      <w:r w:rsidR="00C04629">
        <w:t xml:space="preserve">insurance </w:t>
      </w:r>
      <w:r w:rsidR="00836109" w:rsidRPr="00836109">
        <w:t xml:space="preserve">groups are not obliged to </w:t>
      </w:r>
      <w:r w:rsidR="00D5429E">
        <w:t>calculate</w:t>
      </w:r>
      <w:r w:rsidR="00D5429E" w:rsidRPr="00836109">
        <w:t xml:space="preserve"> </w:t>
      </w:r>
      <w:r w:rsidR="00836109" w:rsidRPr="00836109">
        <w:t xml:space="preserve">the consolidated financial statement </w:t>
      </w:r>
      <w:r w:rsidR="00D5429E">
        <w:t>based on</w:t>
      </w:r>
      <w:r w:rsidR="00D5429E" w:rsidRPr="00836109">
        <w:t xml:space="preserve"> </w:t>
      </w:r>
      <w:r w:rsidR="00836109" w:rsidRPr="00836109">
        <w:t xml:space="preserve">IFRS but </w:t>
      </w:r>
      <w:r w:rsidR="00D5429E">
        <w:t>based on</w:t>
      </w:r>
      <w:r w:rsidR="00D5429E" w:rsidRPr="00836109">
        <w:t xml:space="preserve"> </w:t>
      </w:r>
      <w:r w:rsidR="00836109" w:rsidRPr="00836109">
        <w:t>local GAAP</w:t>
      </w:r>
      <w:r w:rsidR="00B65875">
        <w:t>.</w:t>
      </w:r>
      <w:r w:rsidR="000F2449">
        <w:t xml:space="preserve"> </w:t>
      </w:r>
      <w:r w:rsidR="000F2449" w:rsidRPr="000F2449">
        <w:t xml:space="preserve">Special consideration should be </w:t>
      </w:r>
      <w:r w:rsidR="00C54780">
        <w:t>applied</w:t>
      </w:r>
      <w:r w:rsidR="00D5429E" w:rsidRPr="000F2449">
        <w:t xml:space="preserve"> </w:t>
      </w:r>
      <w:r w:rsidR="000F2449" w:rsidRPr="000F2449">
        <w:t>to ascertain that the provisions are deductible also under BEFIT.</w:t>
      </w:r>
    </w:p>
    <w:p w14:paraId="3B15AEAC" w14:textId="77777777" w:rsidR="001C38B6" w:rsidRDefault="001C38B6" w:rsidP="009D51F8">
      <w:pPr>
        <w:pStyle w:val="CEABullet-Level1"/>
        <w:numPr>
          <w:ilvl w:val="0"/>
          <w:numId w:val="0"/>
        </w:numPr>
        <w:spacing w:line="312" w:lineRule="auto"/>
        <w:ind w:left="360"/>
      </w:pPr>
    </w:p>
    <w:p w14:paraId="6B75544F" w14:textId="37FAF83B" w:rsidR="001C38B6" w:rsidRDefault="003A4534" w:rsidP="009D51F8">
      <w:pPr>
        <w:pStyle w:val="CEABullet-Level1"/>
        <w:numPr>
          <w:ilvl w:val="0"/>
          <w:numId w:val="0"/>
        </w:numPr>
        <w:spacing w:line="312" w:lineRule="auto"/>
        <w:ind w:left="360"/>
        <w:rPr>
          <w:b/>
          <w:bCs/>
          <w:u w:val="single"/>
        </w:rPr>
      </w:pPr>
      <w:r w:rsidRPr="003A4534">
        <w:rPr>
          <w:b/>
          <w:bCs/>
          <w:u w:val="single"/>
        </w:rPr>
        <w:lastRenderedPageBreak/>
        <w:t>Treatment of technical provisions:</w:t>
      </w:r>
    </w:p>
    <w:p w14:paraId="0AAAD450" w14:textId="4461AD7F" w:rsidR="003A4534" w:rsidRPr="003A4534" w:rsidRDefault="003A4534" w:rsidP="009D51F8">
      <w:pPr>
        <w:pStyle w:val="CEABullet-Level1"/>
        <w:numPr>
          <w:ilvl w:val="0"/>
          <w:numId w:val="0"/>
        </w:numPr>
        <w:spacing w:line="312" w:lineRule="auto"/>
        <w:ind w:left="360"/>
      </w:pPr>
      <w:r>
        <w:t>Special consideration should be given to</w:t>
      </w:r>
      <w:r w:rsidRPr="003A4534">
        <w:t xml:space="preserve"> the treatment (deductibility) of technical provisions (life and non-life provisions)</w:t>
      </w:r>
      <w:r>
        <w:t xml:space="preserve">, besides the </w:t>
      </w:r>
      <w:r w:rsidR="00FF6693">
        <w:t>case</w:t>
      </w:r>
      <w:r>
        <w:t xml:space="preserve"> of equalisation </w:t>
      </w:r>
      <w:r w:rsidR="004901CA">
        <w:t>provisions</w:t>
      </w:r>
      <w:r>
        <w:t>.</w:t>
      </w:r>
      <w:r w:rsidR="004E2CB3">
        <w:t xml:space="preserve"> </w:t>
      </w:r>
      <w:r w:rsidR="0046595E">
        <w:t>B</w:t>
      </w:r>
      <w:r w:rsidR="004E2CB3">
        <w:t xml:space="preserve">ased on national regulations, insurance companies might </w:t>
      </w:r>
      <w:r w:rsidR="0046595E">
        <w:t xml:space="preserve">also </w:t>
      </w:r>
      <w:r w:rsidR="004E2CB3">
        <w:t xml:space="preserve">be obliged to have </w:t>
      </w:r>
      <w:r w:rsidR="00FF6693">
        <w:t xml:space="preserve">other specific types of </w:t>
      </w:r>
      <w:r w:rsidR="00F07943">
        <w:t>provisions</w:t>
      </w:r>
      <w:r w:rsidR="00A060C2">
        <w:rPr>
          <w:color w:val="auto"/>
        </w:rPr>
        <w:t xml:space="preserve"> such as,</w:t>
      </w:r>
      <w:r w:rsidR="004E2CB3" w:rsidRPr="005D3E89">
        <w:rPr>
          <w:color w:val="auto"/>
        </w:rPr>
        <w:t xml:space="preserve"> </w:t>
      </w:r>
      <w:r w:rsidR="00A060C2">
        <w:rPr>
          <w:color w:val="auto"/>
        </w:rPr>
        <w:t>f</w:t>
      </w:r>
      <w:r w:rsidR="00A060C2" w:rsidRPr="005D3E89">
        <w:rPr>
          <w:color w:val="auto"/>
        </w:rPr>
        <w:t xml:space="preserve">or </w:t>
      </w:r>
      <w:r w:rsidR="00CB5DAD" w:rsidRPr="005D3E89">
        <w:rPr>
          <w:color w:val="auto"/>
        </w:rPr>
        <w:t>instance,</w:t>
      </w:r>
      <w:r w:rsidR="00712727" w:rsidRPr="005D3E89">
        <w:rPr>
          <w:color w:val="auto"/>
        </w:rPr>
        <w:t xml:space="preserve"> concerning life insurance contracts with participation features or special provisions to safeguard the contractual interest.</w:t>
      </w:r>
    </w:p>
    <w:p w14:paraId="46F3B696" w14:textId="77777777" w:rsidR="00B65875" w:rsidRDefault="00B65875" w:rsidP="009D51F8">
      <w:pPr>
        <w:spacing w:line="312" w:lineRule="auto"/>
      </w:pPr>
    </w:p>
    <w:p w14:paraId="011C0306" w14:textId="1F755822" w:rsidR="00DB5AA1" w:rsidRPr="00DB5AA1" w:rsidRDefault="00DB5AA1" w:rsidP="00F02C22">
      <w:pPr>
        <w:pStyle w:val="CEABullet-Level1"/>
        <w:numPr>
          <w:ilvl w:val="0"/>
          <w:numId w:val="0"/>
        </w:numPr>
        <w:ind w:left="360"/>
        <w:rPr>
          <w:b/>
          <w:bCs/>
          <w:u w:val="single"/>
        </w:rPr>
      </w:pPr>
      <w:r w:rsidRPr="00DB5AA1">
        <w:rPr>
          <w:b/>
          <w:bCs/>
          <w:u w:val="single"/>
        </w:rPr>
        <w:t>Special reserve</w:t>
      </w:r>
    </w:p>
    <w:p w14:paraId="7846A7CE" w14:textId="32D3C43C" w:rsidR="00F02C22" w:rsidRDefault="00744362" w:rsidP="00F02C22">
      <w:pPr>
        <w:pStyle w:val="CEABullet-Level1"/>
        <w:numPr>
          <w:ilvl w:val="0"/>
          <w:numId w:val="0"/>
        </w:numPr>
        <w:ind w:left="360"/>
      </w:pPr>
      <w:r>
        <w:t>Country-related example</w:t>
      </w:r>
      <w:r w:rsidR="00F02C22">
        <w:t>:</w:t>
      </w:r>
    </w:p>
    <w:p w14:paraId="49A090DB" w14:textId="7399581C" w:rsidR="00F02C22" w:rsidRPr="003A4534" w:rsidRDefault="00F02C22" w:rsidP="00F02C22">
      <w:pPr>
        <w:pStyle w:val="CEABullet-Level1"/>
        <w:numPr>
          <w:ilvl w:val="0"/>
          <w:numId w:val="0"/>
        </w:numPr>
        <w:ind w:left="360"/>
      </w:pPr>
      <w:r w:rsidRPr="008704C0">
        <w:t xml:space="preserve">Pursuant to </w:t>
      </w:r>
      <w:r>
        <w:t xml:space="preserve">Article </w:t>
      </w:r>
      <w:r w:rsidRPr="008704C0">
        <w:t>143 of the Austrian Insurance Supervision Act (VAG), insurance companies are required to establish a risk reserve</w:t>
      </w:r>
      <w:r>
        <w:t xml:space="preserve"> which is part of equity. </w:t>
      </w:r>
      <w:r w:rsidRPr="008704C0">
        <w:t>Each year, 0.6% of the earned premiums of domestic business, reduced by the reinsurance cession, must be allocated to the risk reserve. However, the reserve may not exceed 4% of these premiums. It may only be used to cover losses that would otherwise have to be shown in the balance sheet and only after all other statutory and free reserves have been dissolved</w:t>
      </w:r>
      <w:r>
        <w:t xml:space="preserve"> (</w:t>
      </w:r>
      <w:r w:rsidR="001F0ADF">
        <w:t>t</w:t>
      </w:r>
      <w:r w:rsidRPr="003A4534">
        <w:t>he</w:t>
      </w:r>
      <w:r>
        <w:t xml:space="preserve">refore </w:t>
      </w:r>
      <w:r w:rsidRPr="003A4534">
        <w:t>treated as a permanent difference</w:t>
      </w:r>
      <w:r>
        <w:t xml:space="preserve"> and not included in the deferred taxes). </w:t>
      </w:r>
      <w:r w:rsidRPr="008704C0">
        <w:t xml:space="preserve">After its </w:t>
      </w:r>
      <w:r>
        <w:t>release</w:t>
      </w:r>
      <w:r w:rsidRPr="008704C0">
        <w:t>, the reserve must be newly formed.</w:t>
      </w:r>
      <w:r>
        <w:t xml:space="preserve"> </w:t>
      </w:r>
      <w:r w:rsidRPr="008704C0">
        <w:t>A</w:t>
      </w:r>
      <w:r>
        <w:t>llocations</w:t>
      </w:r>
      <w:r w:rsidRPr="008704C0">
        <w:t xml:space="preserve"> to the risk reserve were </w:t>
      </w:r>
      <w:r w:rsidR="008D7966">
        <w:t xml:space="preserve">fully </w:t>
      </w:r>
      <w:r w:rsidRPr="008704C0">
        <w:t>tax-</w:t>
      </w:r>
      <w:r w:rsidR="008D7966">
        <w:t>deductible</w:t>
      </w:r>
      <w:r w:rsidR="008D7966" w:rsidRPr="008704C0">
        <w:t xml:space="preserve"> </w:t>
      </w:r>
      <w:r w:rsidRPr="008704C0">
        <w:t>until 1995, in 1996 only 50% of the addition was tax-</w:t>
      </w:r>
      <w:r w:rsidR="007609A7">
        <w:t>deductible</w:t>
      </w:r>
      <w:r w:rsidR="007609A7" w:rsidRPr="008704C0">
        <w:t xml:space="preserve"> </w:t>
      </w:r>
      <w:r w:rsidRPr="008704C0">
        <w:t>and since 1997 additions are no longer tax deductible.</w:t>
      </w:r>
    </w:p>
    <w:p w14:paraId="3A2B0C28" w14:textId="77777777" w:rsidR="00F02C22" w:rsidRPr="00B65875" w:rsidRDefault="00F02C22" w:rsidP="009D51F8">
      <w:pPr>
        <w:spacing w:line="312" w:lineRule="auto"/>
      </w:pPr>
    </w:p>
    <w:p w14:paraId="21BA94F1" w14:textId="77777777" w:rsidR="00B65875" w:rsidRPr="007F205B" w:rsidRDefault="00B65875" w:rsidP="009D51F8">
      <w:pPr>
        <w:pStyle w:val="CEABullet-Level1"/>
        <w:numPr>
          <w:ilvl w:val="0"/>
          <w:numId w:val="0"/>
        </w:numPr>
        <w:spacing w:line="312" w:lineRule="auto"/>
        <w:ind w:left="720" w:hanging="360"/>
        <w:rPr>
          <w:b/>
          <w:bCs/>
          <w:u w:val="single"/>
        </w:rPr>
      </w:pPr>
      <w:r w:rsidRPr="007F205B">
        <w:rPr>
          <w:b/>
          <w:bCs/>
          <w:u w:val="single"/>
        </w:rPr>
        <w:t xml:space="preserve">Taxability of capital gains and dividends: </w:t>
      </w:r>
    </w:p>
    <w:p w14:paraId="58F5D022" w14:textId="78210714" w:rsidR="00AD6D8E" w:rsidRDefault="00333B28" w:rsidP="009D51F8">
      <w:pPr>
        <w:pStyle w:val="CEABullet-Level1"/>
        <w:numPr>
          <w:ilvl w:val="0"/>
          <w:numId w:val="0"/>
        </w:numPr>
        <w:spacing w:line="312" w:lineRule="auto"/>
        <w:ind w:left="360"/>
      </w:pPr>
      <w:r>
        <w:t xml:space="preserve">The </w:t>
      </w:r>
      <w:r w:rsidR="00B65875">
        <w:t>BEFIT</w:t>
      </w:r>
      <w:r>
        <w:t xml:space="preserve"> proposal </w:t>
      </w:r>
      <w:r w:rsidR="007D6006">
        <w:t>by</w:t>
      </w:r>
      <w:r>
        <w:t xml:space="preserve"> the European Commission</w:t>
      </w:r>
      <w:r w:rsidR="00B65875">
        <w:t xml:space="preserve"> will remove capital gains</w:t>
      </w:r>
      <w:r>
        <w:t xml:space="preserve"> and </w:t>
      </w:r>
      <w:r w:rsidR="00B65875">
        <w:t>dividends from the tax base, similar</w:t>
      </w:r>
      <w:r w:rsidR="00265A13">
        <w:t>ly</w:t>
      </w:r>
      <w:r w:rsidR="00B65875">
        <w:t xml:space="preserve"> to the participation exemptions </w:t>
      </w:r>
      <w:r w:rsidR="0053409D">
        <w:t>applied to the</w:t>
      </w:r>
      <w:r w:rsidR="00B65875">
        <w:t xml:space="preserve"> corporate tax bases of EU Member States. However, an exception for </w:t>
      </w:r>
      <w:r w:rsidR="00C13CD8">
        <w:t xml:space="preserve">certain </w:t>
      </w:r>
      <w:r w:rsidR="00B65875">
        <w:t>insurance companies is envisaged</w:t>
      </w:r>
      <w:r w:rsidR="00A258E8">
        <w:t xml:space="preserve">. </w:t>
      </w:r>
      <w:r w:rsidR="003B3E8C">
        <w:t>As shared by DG TAXUD,</w:t>
      </w:r>
      <w:r w:rsidR="003B3E8C" w:rsidRPr="00A258E8">
        <w:t xml:space="preserve"> according</w:t>
      </w:r>
      <w:r w:rsidR="00A258E8" w:rsidRPr="00A258E8">
        <w:t xml:space="preserve"> to </w:t>
      </w:r>
      <w:r w:rsidR="00B95853">
        <w:t>such</w:t>
      </w:r>
      <w:r w:rsidR="00A258E8" w:rsidRPr="00A258E8">
        <w:t xml:space="preserve"> exception</w:t>
      </w:r>
      <w:r w:rsidR="00DA78E0">
        <w:t>,</w:t>
      </w:r>
      <w:r w:rsidR="00A258E8" w:rsidRPr="00A258E8">
        <w:t xml:space="preserve"> dividends and capital gains are included in the tax base in case </w:t>
      </w:r>
      <w:r w:rsidR="005963B4">
        <w:t>“</w:t>
      </w:r>
      <w:r w:rsidR="00A258E8" w:rsidRPr="00A258E8">
        <w:t>of life insurance and investment products for which the policyholder bears the risk and the benefit of the policy</w:t>
      </w:r>
      <w:r w:rsidR="005963B4">
        <w:t>”</w:t>
      </w:r>
      <w:r w:rsidR="00B65875">
        <w:t xml:space="preserve">. </w:t>
      </w:r>
    </w:p>
    <w:p w14:paraId="381A42C9" w14:textId="77777777" w:rsidR="005963B4" w:rsidRDefault="005963B4" w:rsidP="009D51F8">
      <w:pPr>
        <w:pStyle w:val="CEABullet-Level1"/>
        <w:numPr>
          <w:ilvl w:val="0"/>
          <w:numId w:val="0"/>
        </w:numPr>
        <w:spacing w:line="312" w:lineRule="auto"/>
        <w:ind w:left="360"/>
      </w:pPr>
    </w:p>
    <w:p w14:paraId="33908982" w14:textId="2368F8F7" w:rsidR="00453ECF" w:rsidRPr="00453ECF" w:rsidRDefault="00B65875" w:rsidP="009D51F8">
      <w:pPr>
        <w:pStyle w:val="CEABullet-Level1"/>
        <w:numPr>
          <w:ilvl w:val="0"/>
          <w:numId w:val="0"/>
        </w:numPr>
        <w:spacing w:line="312" w:lineRule="auto"/>
        <w:ind w:left="360"/>
      </w:pPr>
      <w:r>
        <w:t xml:space="preserve">Concerning the scope of this exception, depending on the </w:t>
      </w:r>
      <w:r w:rsidR="00AD6D8E">
        <w:t>future</w:t>
      </w:r>
      <w:r>
        <w:t xml:space="preserve"> wording</w:t>
      </w:r>
      <w:r w:rsidR="00AD6D8E">
        <w:t xml:space="preserve"> that will be used,</w:t>
      </w:r>
      <w:r>
        <w:t xml:space="preserve"> it may be unclear whether it captures only </w:t>
      </w:r>
      <w:r w:rsidR="00AD6D8E">
        <w:t xml:space="preserve">the </w:t>
      </w:r>
      <w:r>
        <w:t>so-called unit</w:t>
      </w:r>
      <w:r w:rsidR="00AD6D8E">
        <w:t>-</w:t>
      </w:r>
      <w:r>
        <w:t xml:space="preserve">linked life insurance or all life insurance products. </w:t>
      </w:r>
      <w:r w:rsidR="00453ECF">
        <w:t>Unit-linked</w:t>
      </w:r>
      <w:r w:rsidR="0081163E">
        <w:t>/index-linked</w:t>
      </w:r>
      <w:r w:rsidR="00453ECF">
        <w:t xml:space="preserve"> life insurance</w:t>
      </w:r>
      <w:r w:rsidR="00B24446">
        <w:t xml:space="preserve"> </w:t>
      </w:r>
      <w:r w:rsidR="005A3B06">
        <w:t>is</w:t>
      </w:r>
      <w:r w:rsidR="005909BF">
        <w:t xml:space="preserve"> different from </w:t>
      </w:r>
      <w:r w:rsidR="00B24446">
        <w:t xml:space="preserve">other </w:t>
      </w:r>
      <w:r w:rsidR="00E65286">
        <w:t>types of</w:t>
      </w:r>
      <w:r w:rsidR="005963B4">
        <w:t xml:space="preserve"> </w:t>
      </w:r>
      <w:r w:rsidR="00B24446">
        <w:t xml:space="preserve">life insurance: </w:t>
      </w:r>
      <w:r w:rsidR="00B24446" w:rsidRPr="00B24446">
        <w:t>the investment gains and losses or interests/dividends accruing on the underlying investments of the company (mainly based on shares of collective investment in transferable securities) are fully allocated to policyholder</w:t>
      </w:r>
      <w:r w:rsidR="00BE70B5">
        <w:t>s</w:t>
      </w:r>
      <w:r w:rsidR="00B24446" w:rsidRPr="00B24446">
        <w:t xml:space="preserve"> over time</w:t>
      </w:r>
      <w:r w:rsidR="00B24446">
        <w:t>;</w:t>
      </w:r>
      <w:r w:rsidR="00E65286">
        <w:t xml:space="preserve"> </w:t>
      </w:r>
      <w:r w:rsidR="00B24446">
        <w:t>t</w:t>
      </w:r>
      <w:r w:rsidR="00B24446" w:rsidRPr="00B24446">
        <w:t>he insurer evaluates those assets at a market value and sets up the reserve according to the evaluation of the underlying asset</w:t>
      </w:r>
      <w:r w:rsidR="00AE21E0">
        <w:t>s.</w:t>
      </w:r>
      <w:r w:rsidR="00981409">
        <w:t xml:space="preserve"> </w:t>
      </w:r>
    </w:p>
    <w:p w14:paraId="1FAD3A85" w14:textId="77777777" w:rsidR="00E65286" w:rsidRDefault="00E65286" w:rsidP="009D51F8">
      <w:pPr>
        <w:pStyle w:val="CEABullet-Level1"/>
        <w:numPr>
          <w:ilvl w:val="0"/>
          <w:numId w:val="0"/>
        </w:numPr>
        <w:spacing w:line="312" w:lineRule="auto"/>
        <w:ind w:left="720"/>
      </w:pPr>
    </w:p>
    <w:p w14:paraId="1785D9A1" w14:textId="11E756E0" w:rsidR="00430297" w:rsidRDefault="00AE15C0" w:rsidP="009D51F8">
      <w:pPr>
        <w:pStyle w:val="CEABullet-Level1"/>
        <w:numPr>
          <w:ilvl w:val="0"/>
          <w:numId w:val="0"/>
        </w:numPr>
        <w:spacing w:line="312" w:lineRule="auto"/>
        <w:ind w:left="360"/>
      </w:pPr>
      <w:r>
        <w:t xml:space="preserve">Should </w:t>
      </w:r>
      <w:r w:rsidR="00B65875">
        <w:t xml:space="preserve">the wording of the exception </w:t>
      </w:r>
      <w:r w:rsidR="0061305C">
        <w:t>rely</w:t>
      </w:r>
      <w:r w:rsidR="00B65875">
        <w:t xml:space="preserve"> on</w:t>
      </w:r>
      <w:r w:rsidR="0061305C">
        <w:t xml:space="preserve"> the</w:t>
      </w:r>
      <w:r w:rsidR="00B65875">
        <w:t xml:space="preserve"> terminology </w:t>
      </w:r>
      <w:r w:rsidR="0061305C">
        <w:t>used for</w:t>
      </w:r>
      <w:r w:rsidR="00B65875">
        <w:t xml:space="preserve"> the </w:t>
      </w:r>
      <w:proofErr w:type="spellStart"/>
      <w:r w:rsidR="00B65875">
        <w:t>GloBE</w:t>
      </w:r>
      <w:proofErr w:type="spellEnd"/>
      <w:r w:rsidR="00B65875">
        <w:t xml:space="preserve"> rules</w:t>
      </w:r>
      <w:r w:rsidR="0061305C">
        <w:t>,</w:t>
      </w:r>
      <w:r w:rsidR="00B65875">
        <w:t xml:space="preserve"> it may </w:t>
      </w:r>
      <w:r w:rsidR="0061305C">
        <w:t>be appropriate</w:t>
      </w:r>
      <w:r w:rsidR="00B65875">
        <w:t xml:space="preserve"> to specify that “unit</w:t>
      </w:r>
      <w:r w:rsidR="0061305C">
        <w:t>-</w:t>
      </w:r>
      <w:r w:rsidR="00B65875">
        <w:t>linked life insurance” falls under the exception, similar</w:t>
      </w:r>
      <w:r w:rsidR="00430297">
        <w:t>ly</w:t>
      </w:r>
      <w:r w:rsidR="00B65875">
        <w:t xml:space="preserve"> to the explanation and example </w:t>
      </w:r>
      <w:r w:rsidR="00430297">
        <w:t>provided</w:t>
      </w:r>
      <w:r w:rsidR="00B65875">
        <w:t xml:space="preserve"> in section 3.4.1. </w:t>
      </w:r>
      <w:r w:rsidR="00430297">
        <w:t>(</w:t>
      </w:r>
      <w:proofErr w:type="gramStart"/>
      <w:r w:rsidR="00430297">
        <w:t>pag</w:t>
      </w:r>
      <w:r w:rsidR="00200478">
        <w:t>e</w:t>
      </w:r>
      <w:proofErr w:type="gramEnd"/>
      <w:r w:rsidR="00430297">
        <w:t xml:space="preserve"> 75) </w:t>
      </w:r>
      <w:r w:rsidR="00B65875">
        <w:t>of the OECD Administrative Guidance</w:t>
      </w:r>
      <w:r w:rsidR="00430297">
        <w:t>, published on</w:t>
      </w:r>
      <w:r w:rsidR="00B65875">
        <w:t xml:space="preserve"> 2 February 2023. In this case, </w:t>
      </w:r>
      <w:r w:rsidR="00430297">
        <w:t xml:space="preserve">the </w:t>
      </w:r>
      <w:r w:rsidR="00B65875">
        <w:t>shares are held on behalf of the policyholder and any dividend or capital gain is fully offset by a corresponding liability</w:t>
      </w:r>
      <w:r w:rsidR="00430297">
        <w:t xml:space="preserve">. This is, </w:t>
      </w:r>
      <w:r w:rsidR="00B65875">
        <w:t>presumably</w:t>
      </w:r>
      <w:r w:rsidR="00430297">
        <w:t>, t</w:t>
      </w:r>
      <w:r w:rsidR="00B65875">
        <w:t xml:space="preserve">he rationale </w:t>
      </w:r>
      <w:r w:rsidR="00430297">
        <w:t>behind the removal of</w:t>
      </w:r>
      <w:r w:rsidR="00B65875">
        <w:t xml:space="preserve"> the dividend/capital gains</w:t>
      </w:r>
      <w:r w:rsidR="00430297">
        <w:t xml:space="preserve"> </w:t>
      </w:r>
      <w:r w:rsidR="00B65875">
        <w:t>tax exemption.</w:t>
      </w:r>
      <w:r w:rsidR="00430297">
        <w:t xml:space="preserve"> </w:t>
      </w:r>
    </w:p>
    <w:p w14:paraId="5B5F33C7" w14:textId="77777777" w:rsidR="00C600A3" w:rsidRDefault="00C600A3" w:rsidP="009D51F8">
      <w:pPr>
        <w:pStyle w:val="CEABullet-Level1"/>
        <w:numPr>
          <w:ilvl w:val="0"/>
          <w:numId w:val="0"/>
        </w:numPr>
        <w:spacing w:line="312" w:lineRule="auto"/>
        <w:ind w:left="720"/>
      </w:pPr>
    </w:p>
    <w:p w14:paraId="0CA9F23B" w14:textId="72FC8240" w:rsidR="00EA70FD" w:rsidRDefault="00EA70FD" w:rsidP="00F559DD">
      <w:pPr>
        <w:pStyle w:val="CEABullet-Level1"/>
        <w:numPr>
          <w:ilvl w:val="0"/>
          <w:numId w:val="0"/>
        </w:numPr>
        <w:spacing w:line="312" w:lineRule="auto"/>
        <w:ind w:left="360"/>
      </w:pPr>
      <w:r>
        <w:t>Rules</w:t>
      </w:r>
      <w:r w:rsidR="00F559DD">
        <w:t xml:space="preserve"> </w:t>
      </w:r>
      <w:r w:rsidR="00F559DD" w:rsidRPr="00F559DD">
        <w:t>applicable to unit-linked</w:t>
      </w:r>
      <w:r w:rsidR="00F559DD">
        <w:t>/index-linked life</w:t>
      </w:r>
      <w:r w:rsidR="00F559DD" w:rsidRPr="00F559DD">
        <w:t xml:space="preserve"> insurance should either </w:t>
      </w:r>
      <w:r w:rsidR="0006710D">
        <w:t xml:space="preserve">be </w:t>
      </w:r>
      <w:r w:rsidR="00F559DD" w:rsidRPr="00F559DD">
        <w:t>generic or the draft directive should allow for</w:t>
      </w:r>
      <w:r w:rsidR="00F559DD">
        <w:t xml:space="preserve"> </w:t>
      </w:r>
      <w:r w:rsidR="00F559DD" w:rsidRPr="00F559DD">
        <w:t xml:space="preserve">adjustments in accordance with local insurance regulation </w:t>
      </w:r>
      <w:r w:rsidR="00F559DD">
        <w:t xml:space="preserve">in place in </w:t>
      </w:r>
      <w:r w:rsidR="00F559DD" w:rsidRPr="00F559DD">
        <w:t>each Member</w:t>
      </w:r>
      <w:r w:rsidR="00F559DD">
        <w:t xml:space="preserve"> </w:t>
      </w:r>
      <w:r w:rsidR="00F559DD" w:rsidRPr="00F559DD">
        <w:t>State.</w:t>
      </w:r>
    </w:p>
    <w:p w14:paraId="39F2F6E1" w14:textId="77777777" w:rsidR="00EA70FD" w:rsidRDefault="00EA70FD" w:rsidP="009D51F8">
      <w:pPr>
        <w:pStyle w:val="CEABullet-Level1"/>
        <w:numPr>
          <w:ilvl w:val="0"/>
          <w:numId w:val="0"/>
        </w:numPr>
        <w:spacing w:line="312" w:lineRule="auto"/>
        <w:ind w:left="720"/>
      </w:pPr>
    </w:p>
    <w:p w14:paraId="15836798" w14:textId="5C1DB7E6" w:rsidR="00B65875" w:rsidRDefault="00B65875" w:rsidP="009D51F8">
      <w:pPr>
        <w:pStyle w:val="CEABullet-Level1"/>
        <w:numPr>
          <w:ilvl w:val="0"/>
          <w:numId w:val="0"/>
        </w:numPr>
        <w:spacing w:line="312" w:lineRule="auto"/>
        <w:ind w:left="360"/>
      </w:pPr>
      <w:r>
        <w:t xml:space="preserve">Other types of life insurance contracts may have comparable mechanics in the accounting of income and obligation to policyholders. However, for other types of life insurance the movement in the insurance </w:t>
      </w:r>
      <w:r w:rsidR="005079B7">
        <w:t>companies’</w:t>
      </w:r>
      <w:r>
        <w:t xml:space="preserve"> reserves do not fully match the capital gains or dividends, </w:t>
      </w:r>
      <w:r w:rsidR="00E60802">
        <w:t>for example by leaving</w:t>
      </w:r>
      <w:r>
        <w:t xml:space="preserve"> a net profit. </w:t>
      </w:r>
      <w:r w:rsidR="00516829">
        <w:t>It should then be clarified</w:t>
      </w:r>
      <w:r>
        <w:t xml:space="preserve"> whether dividends/capital gains from investments in these</w:t>
      </w:r>
      <w:r w:rsidR="00516829">
        <w:t xml:space="preserve"> other</w:t>
      </w:r>
      <w:r>
        <w:t xml:space="preserve"> cases are also captured by the exception.  </w:t>
      </w:r>
    </w:p>
    <w:p w14:paraId="64F11879" w14:textId="77777777" w:rsidR="000B5EF6" w:rsidRDefault="000B5EF6" w:rsidP="009D51F8">
      <w:pPr>
        <w:pStyle w:val="CEABullet-Level1"/>
        <w:numPr>
          <w:ilvl w:val="0"/>
          <w:numId w:val="0"/>
        </w:numPr>
        <w:spacing w:line="312" w:lineRule="auto"/>
        <w:ind w:left="360"/>
      </w:pPr>
    </w:p>
    <w:p w14:paraId="24823867" w14:textId="0E896565" w:rsidR="000B5EF6" w:rsidRDefault="000B5EF6" w:rsidP="009D51F8">
      <w:pPr>
        <w:pStyle w:val="CEABullet-Level1"/>
        <w:numPr>
          <w:ilvl w:val="0"/>
          <w:numId w:val="0"/>
        </w:numPr>
        <w:spacing w:line="312" w:lineRule="auto"/>
        <w:ind w:left="720" w:hanging="360"/>
        <w:rPr>
          <w:b/>
          <w:bCs/>
          <w:u w:val="single"/>
        </w:rPr>
      </w:pPr>
      <w:r w:rsidRPr="00AC5561">
        <w:rPr>
          <w:b/>
          <w:bCs/>
          <w:u w:val="single"/>
        </w:rPr>
        <w:t>Taxation of</w:t>
      </w:r>
      <w:r w:rsidR="00C51A56">
        <w:rPr>
          <w:b/>
          <w:bCs/>
          <w:u w:val="single"/>
        </w:rPr>
        <w:t xml:space="preserve"> the</w:t>
      </w:r>
      <w:r w:rsidRPr="00AC5561">
        <w:rPr>
          <w:b/>
          <w:bCs/>
          <w:u w:val="single"/>
        </w:rPr>
        <w:t xml:space="preserve"> life insurance business</w:t>
      </w:r>
    </w:p>
    <w:p w14:paraId="3D23D70A" w14:textId="44F5C2F8" w:rsidR="00B92938" w:rsidRPr="00DB3F1B" w:rsidRDefault="00B92938" w:rsidP="009D51F8">
      <w:pPr>
        <w:pStyle w:val="CEABullet-Level1"/>
        <w:numPr>
          <w:ilvl w:val="0"/>
          <w:numId w:val="0"/>
        </w:numPr>
        <w:spacing w:line="312" w:lineRule="auto"/>
        <w:ind w:left="720" w:hanging="360"/>
      </w:pPr>
      <w:r w:rsidRPr="00DB3F1B">
        <w:lastRenderedPageBreak/>
        <w:t>Country</w:t>
      </w:r>
      <w:r w:rsidR="00DB3F1B">
        <w:t>-related</w:t>
      </w:r>
      <w:r w:rsidRPr="00DB3F1B">
        <w:t xml:space="preserve"> example:</w:t>
      </w:r>
    </w:p>
    <w:p w14:paraId="3C94029E" w14:textId="084595D9" w:rsidR="00EC0787" w:rsidRDefault="00B92938" w:rsidP="00752A06">
      <w:pPr>
        <w:pStyle w:val="CEABullet-Level1"/>
        <w:numPr>
          <w:ilvl w:val="0"/>
          <w:numId w:val="0"/>
        </w:numPr>
        <w:spacing w:line="312" w:lineRule="auto"/>
        <w:ind w:left="360"/>
      </w:pPr>
      <w:r>
        <w:t>A</w:t>
      </w:r>
      <w:r w:rsidR="00EC0787">
        <w:t xml:space="preserve"> description of the Swedish taxation framework for life insurance is included, to highlight the particularities of </w:t>
      </w:r>
      <w:r w:rsidR="009131B9">
        <w:t>the rules in place in certain member States and the potential difficulties, for BEFIT to take into account such differences.</w:t>
      </w:r>
    </w:p>
    <w:p w14:paraId="18E1C9D2" w14:textId="183B78BF" w:rsidR="00E63408" w:rsidRDefault="000B5EF6" w:rsidP="009D51F8">
      <w:pPr>
        <w:pStyle w:val="CEABullet-Level1"/>
        <w:spacing w:line="312" w:lineRule="auto"/>
      </w:pPr>
      <w:r>
        <w:t xml:space="preserve">In Sweden, occupational pensions and private pensions are to a very large extent secured by life insurance </w:t>
      </w:r>
      <w:r w:rsidR="0090052F">
        <w:t>through</w:t>
      </w:r>
      <w:r>
        <w:t xml:space="preserve"> a life insurance company or an occupational pension company. </w:t>
      </w:r>
    </w:p>
    <w:p w14:paraId="603F453D" w14:textId="7B24ED0F" w:rsidR="00E63408" w:rsidRDefault="000B5EF6" w:rsidP="009D51F8">
      <w:pPr>
        <w:pStyle w:val="CEABullet-Level1"/>
        <w:spacing w:line="312" w:lineRule="auto"/>
      </w:pPr>
      <w:r>
        <w:t xml:space="preserve">Income and costs attributable to assets and liabilities managed on behalf of policyholders and premiums related to life insurance policies are out of scope for corporate income taxation. Certain exceptions apply </w:t>
      </w:r>
      <w:r w:rsidR="003F6533">
        <w:t xml:space="preserve">also </w:t>
      </w:r>
      <w:r>
        <w:t>for specific types of insurance products which are subject to income tax</w:t>
      </w:r>
      <w:r w:rsidR="004D79BE">
        <w:t>ation</w:t>
      </w:r>
      <w:r>
        <w:t xml:space="preserve">. </w:t>
      </w:r>
      <w:r w:rsidR="00490149">
        <w:t>The l</w:t>
      </w:r>
      <w:r>
        <w:t xml:space="preserve">ife insurance business is instead subject to notional yield taxation (Swedish: </w:t>
      </w:r>
      <w:proofErr w:type="spellStart"/>
      <w:r>
        <w:rPr>
          <w:i/>
          <w:iCs/>
        </w:rPr>
        <w:t>avkastningsskatt</w:t>
      </w:r>
      <w:proofErr w:type="spellEnd"/>
      <w:r>
        <w:t>)</w:t>
      </w:r>
      <w:r w:rsidR="004040D3">
        <w:t>, which i</w:t>
      </w:r>
      <w:r w:rsidR="0019208E">
        <w:t>s almost the only taxation that applies to</w:t>
      </w:r>
      <w:r>
        <w:t xml:space="preserve"> life insurance companies. </w:t>
      </w:r>
    </w:p>
    <w:p w14:paraId="32BA96EB" w14:textId="78E6F1A7" w:rsidR="000B5EF6" w:rsidRDefault="000B5EF6" w:rsidP="009D51F8">
      <w:pPr>
        <w:pStyle w:val="CEABullet-Level1"/>
        <w:spacing w:line="312" w:lineRule="auto"/>
      </w:pPr>
      <w:r>
        <w:t xml:space="preserve">The yield is mainly calculated based on the opening balance of the assets managed on behalf of policyholders multiplied </w:t>
      </w:r>
      <w:r w:rsidR="00DB4E74">
        <w:t xml:space="preserve">by </w:t>
      </w:r>
      <w:r>
        <w:t xml:space="preserve">the “government borrowing rate” (the interest rate on government bonds), which in turn is multiplied </w:t>
      </w:r>
      <w:r w:rsidR="00D25BE1">
        <w:t xml:space="preserve">by </w:t>
      </w:r>
      <w:r>
        <w:t>the rax rate (15 % for pension policies and 30% for other life insurance).</w:t>
      </w:r>
    </w:p>
    <w:p w14:paraId="1DE422B3" w14:textId="4E1BD3F9" w:rsidR="00812A02" w:rsidRDefault="000B5EF6" w:rsidP="009D51F8">
      <w:pPr>
        <w:pStyle w:val="CEABullet-Level1"/>
        <w:spacing w:line="312" w:lineRule="auto"/>
      </w:pPr>
      <w:r>
        <w:t xml:space="preserve">BEFIT is based on a “profit/loss” approach while the taxation of </w:t>
      </w:r>
      <w:r w:rsidR="00DA63ED">
        <w:t xml:space="preserve">the </w:t>
      </w:r>
      <w:r>
        <w:t>life insurance business is based on assets recorded in the balance sheet</w:t>
      </w:r>
      <w:r w:rsidR="003D0409">
        <w:t>. Therefore,</w:t>
      </w:r>
      <w:r>
        <w:t xml:space="preserve"> there is no direct link between the notional yield and the result in the profit/loss statement. Furthermore, it should be noted that yield tax is paid also when there is a loss in the profit/loss. </w:t>
      </w:r>
      <w:r w:rsidR="009A20A3">
        <w:t xml:space="preserve">BEFIT rules must address the connection between notional yield tax and income tax so that life insurance </w:t>
      </w:r>
      <w:r w:rsidR="006E3390">
        <w:t xml:space="preserve">companies </w:t>
      </w:r>
      <w:r w:rsidR="00122736">
        <w:t>know</w:t>
      </w:r>
      <w:r w:rsidR="009A20A3">
        <w:t xml:space="preserve"> how to calculate the tax base for any part of the business subject to corporate income </w:t>
      </w:r>
      <w:r w:rsidR="00C52AB4">
        <w:t>tax.</w:t>
      </w:r>
    </w:p>
    <w:p w14:paraId="1E2789C9" w14:textId="3325F889" w:rsidR="00623092" w:rsidRDefault="003422CD" w:rsidP="009D51F8">
      <w:pPr>
        <w:pStyle w:val="CEABullet-Level1"/>
        <w:spacing w:line="312" w:lineRule="auto"/>
      </w:pPr>
      <w:r>
        <w:t xml:space="preserve">In its </w:t>
      </w:r>
      <w:r w:rsidR="000B5EF6">
        <w:t xml:space="preserve">BEFIT </w:t>
      </w:r>
      <w:r>
        <w:t xml:space="preserve">project, the Commission </w:t>
      </w:r>
      <w:r w:rsidR="000B5EF6">
        <w:t xml:space="preserve">should </w:t>
      </w:r>
      <w:r>
        <w:t xml:space="preserve">therefore </w:t>
      </w:r>
      <w:r w:rsidR="000B5EF6">
        <w:t xml:space="preserve">take </w:t>
      </w:r>
      <w:r w:rsidR="009131B9">
        <w:t xml:space="preserve">into account </w:t>
      </w:r>
      <w:r w:rsidR="000B5EF6">
        <w:t xml:space="preserve">such differences in Member States’ domestic regulations before proposing the introduction of </w:t>
      </w:r>
      <w:r w:rsidR="00B34693">
        <w:t>“</w:t>
      </w:r>
      <w:r w:rsidR="000B5EF6">
        <w:t>a one for all</w:t>
      </w:r>
      <w:r w:rsidR="00B34693">
        <w:t>”</w:t>
      </w:r>
      <w:r w:rsidR="000B5EF6">
        <w:t xml:space="preserve"> approach. </w:t>
      </w:r>
    </w:p>
    <w:p w14:paraId="1BB3CEC9" w14:textId="72CD38ED" w:rsidR="000B5EF6" w:rsidRDefault="000B5EF6" w:rsidP="009D51F8">
      <w:pPr>
        <w:pStyle w:val="CEABullet-Level1"/>
        <w:spacing w:line="312" w:lineRule="auto"/>
      </w:pPr>
      <w:r>
        <w:t xml:space="preserve">The introduction of BEFIT could potentially alter the taxation of </w:t>
      </w:r>
      <w:r w:rsidR="007E6CA4">
        <w:t xml:space="preserve">the </w:t>
      </w:r>
      <w:r>
        <w:t>life insurance business in Sweden</w:t>
      </w:r>
      <w:r w:rsidR="007E6CA4">
        <w:t xml:space="preserve">, thereby </w:t>
      </w:r>
      <w:r>
        <w:t xml:space="preserve">affecting the entire pensions system. </w:t>
      </w:r>
      <w:r w:rsidR="00623092">
        <w:t>T</w:t>
      </w:r>
      <w:r>
        <w:t xml:space="preserve">he purpose of introducing a common method of calculating the tax base of corporate tax in the EU should not lead to the alteration of the tax system in a way that affects the conditions for pensions and other </w:t>
      </w:r>
      <w:r w:rsidR="00965F3F">
        <w:t xml:space="preserve">areas of </w:t>
      </w:r>
      <w:r>
        <w:t>life insurance</w:t>
      </w:r>
      <w:r w:rsidR="0016525D">
        <w:t>, as would happen</w:t>
      </w:r>
      <w:r>
        <w:t xml:space="preserve"> in Sweden</w:t>
      </w:r>
      <w:r w:rsidR="00BB6B69">
        <w:t xml:space="preserve"> with the current BEFIT </w:t>
      </w:r>
      <w:r w:rsidR="00101D22">
        <w:t>proposals</w:t>
      </w:r>
      <w:r>
        <w:t xml:space="preserve">. </w:t>
      </w:r>
    </w:p>
    <w:p w14:paraId="07934A92" w14:textId="77777777" w:rsidR="00752A06" w:rsidRDefault="00752A06" w:rsidP="00752A06">
      <w:pPr>
        <w:pStyle w:val="CEABullet-Level1"/>
        <w:numPr>
          <w:ilvl w:val="0"/>
          <w:numId w:val="0"/>
        </w:numPr>
        <w:spacing w:line="312" w:lineRule="auto"/>
        <w:ind w:left="720" w:hanging="360"/>
      </w:pPr>
    </w:p>
    <w:p w14:paraId="14091316" w14:textId="64FBC8C4" w:rsidR="00752A06" w:rsidRPr="00542060" w:rsidRDefault="00752A06" w:rsidP="00752A06">
      <w:pPr>
        <w:pStyle w:val="CEABullet-Level1"/>
        <w:numPr>
          <w:ilvl w:val="0"/>
          <w:numId w:val="0"/>
        </w:numPr>
        <w:ind w:left="360"/>
      </w:pPr>
      <w:r w:rsidRPr="00542060">
        <w:t>In Austria</w:t>
      </w:r>
      <w:r w:rsidR="00023B0A">
        <w:t>,</w:t>
      </w:r>
      <w:r w:rsidRPr="00542060">
        <w:t xml:space="preserve"> for life insurance</w:t>
      </w:r>
      <w:r w:rsidR="00023B0A">
        <w:t>,</w:t>
      </w:r>
      <w:r w:rsidRPr="00542060">
        <w:t xml:space="preserve"> a special tax regulation </w:t>
      </w:r>
      <w:r w:rsidRPr="00A517B5">
        <w:t>exists concerning the tax base applied.</w:t>
      </w:r>
    </w:p>
    <w:p w14:paraId="7CF6944B" w14:textId="3A13C80F" w:rsidR="000B5EF6" w:rsidRDefault="000B5EF6" w:rsidP="009D51F8">
      <w:pPr>
        <w:pStyle w:val="CEABullet-Level1"/>
        <w:numPr>
          <w:ilvl w:val="0"/>
          <w:numId w:val="0"/>
        </w:numPr>
        <w:spacing w:line="312" w:lineRule="auto"/>
        <w:ind w:left="360"/>
      </w:pPr>
    </w:p>
    <w:p w14:paraId="2854645F" w14:textId="77777777" w:rsidR="00894A6B" w:rsidRPr="00200478" w:rsidRDefault="00B65875" w:rsidP="009D51F8">
      <w:pPr>
        <w:pStyle w:val="CEABullet-Level1"/>
        <w:numPr>
          <w:ilvl w:val="0"/>
          <w:numId w:val="0"/>
        </w:numPr>
        <w:spacing w:line="312" w:lineRule="auto"/>
        <w:ind w:left="720" w:hanging="360"/>
        <w:rPr>
          <w:u w:val="single"/>
        </w:rPr>
      </w:pPr>
      <w:r w:rsidRPr="00200478">
        <w:rPr>
          <w:b/>
          <w:bCs/>
          <w:u w:val="single"/>
        </w:rPr>
        <w:t>Taxability of fair value changes:</w:t>
      </w:r>
      <w:r w:rsidRPr="00200478">
        <w:rPr>
          <w:u w:val="single"/>
        </w:rPr>
        <w:t xml:space="preserve"> </w:t>
      </w:r>
    </w:p>
    <w:p w14:paraId="64B5A5D6" w14:textId="512BDA1C" w:rsidR="002B67E9" w:rsidRDefault="00374F58" w:rsidP="009D51F8">
      <w:pPr>
        <w:pStyle w:val="CEABullet-Level1"/>
        <w:numPr>
          <w:ilvl w:val="0"/>
          <w:numId w:val="0"/>
        </w:numPr>
        <w:spacing w:line="312" w:lineRule="auto"/>
        <w:ind w:left="360"/>
      </w:pPr>
      <w:r>
        <w:t>I</w:t>
      </w:r>
      <w:r w:rsidR="00107CC5">
        <w:t xml:space="preserve">t is expected that </w:t>
      </w:r>
      <w:r w:rsidR="004C08EB" w:rsidRPr="004C08EB">
        <w:t xml:space="preserve">fair value changes of certain assets </w:t>
      </w:r>
      <w:r w:rsidR="00E46CD7">
        <w:t>will be generally tax exempt in BEFIT. However, they will be</w:t>
      </w:r>
      <w:r w:rsidR="004C08EB" w:rsidRPr="004C08EB">
        <w:t xml:space="preserve"> included</w:t>
      </w:r>
      <w:r w:rsidR="00AD3D4D">
        <w:t xml:space="preserve"> </w:t>
      </w:r>
      <w:r w:rsidR="00641736">
        <w:t xml:space="preserve">in the BEFIT tax base </w:t>
      </w:r>
      <w:r w:rsidR="00535DA2">
        <w:t>for</w:t>
      </w:r>
      <w:r w:rsidR="00641736">
        <w:t xml:space="preserve"> </w:t>
      </w:r>
      <w:r w:rsidR="00E46CD7">
        <w:t xml:space="preserve">insurance </w:t>
      </w:r>
      <w:r w:rsidR="00641736">
        <w:t xml:space="preserve">companies </w:t>
      </w:r>
      <w:r w:rsidR="00D4644C">
        <w:t xml:space="preserve">that are also </w:t>
      </w:r>
      <w:r w:rsidR="00B3530D">
        <w:t>non-</w:t>
      </w:r>
      <w:r w:rsidR="00D4644C">
        <w:t>exemp</w:t>
      </w:r>
      <w:r w:rsidR="00B3530D">
        <w:t xml:space="preserve">t </w:t>
      </w:r>
      <w:r w:rsidR="002B67E9">
        <w:t xml:space="preserve">in the case of </w:t>
      </w:r>
      <w:r w:rsidR="00E46CD7" w:rsidRPr="00E46CD7">
        <w:t xml:space="preserve">capital gains and dividends </w:t>
      </w:r>
      <w:r w:rsidR="00AD3D4D">
        <w:t xml:space="preserve">(e.g., </w:t>
      </w:r>
      <w:r w:rsidR="00200478">
        <w:t>for</w:t>
      </w:r>
      <w:r w:rsidR="00200478" w:rsidRPr="00200478">
        <w:t xml:space="preserve"> life insurance and investment products for which the policyholder bears the risk and the benefit of the policy</w:t>
      </w:r>
      <w:r w:rsidR="00AD3D4D">
        <w:t>)</w:t>
      </w:r>
      <w:r w:rsidR="004C08EB" w:rsidRPr="004C08EB">
        <w:t xml:space="preserve">. </w:t>
      </w:r>
      <w:r w:rsidR="00F577DA">
        <w:t>W</w:t>
      </w:r>
      <w:r w:rsidR="00DB4657">
        <w:t>e</w:t>
      </w:r>
      <w:r w:rsidR="00DB3F1B">
        <w:t xml:space="preserve"> </w:t>
      </w:r>
      <w:r w:rsidR="00B3530D">
        <w:t xml:space="preserve">believe </w:t>
      </w:r>
      <w:r w:rsidR="00462BDA">
        <w:t>th</w:t>
      </w:r>
      <w:r w:rsidR="00F271E4">
        <w:t xml:space="preserve">at the scope of this </w:t>
      </w:r>
      <w:r w:rsidR="00462BDA">
        <w:t xml:space="preserve">exemption should be </w:t>
      </w:r>
      <w:r w:rsidR="009F7DBA">
        <w:t>clarified to</w:t>
      </w:r>
      <w:r w:rsidR="00462BDA">
        <w:t xml:space="preserve"> </w:t>
      </w:r>
      <w:r w:rsidR="009F7DBA">
        <w:t xml:space="preserve">explain if it applies only to </w:t>
      </w:r>
      <w:r w:rsidR="00462BDA">
        <w:t>unit-linked/index-linked life insurance</w:t>
      </w:r>
      <w:r w:rsidR="00EA6E64">
        <w:t xml:space="preserve"> or also to other types of life insurance</w:t>
      </w:r>
      <w:r w:rsidR="00462BDA">
        <w:t>.</w:t>
      </w:r>
    </w:p>
    <w:p w14:paraId="6E728A0A" w14:textId="77777777" w:rsidR="002B67E9" w:rsidRDefault="002B67E9" w:rsidP="009D51F8">
      <w:pPr>
        <w:pStyle w:val="CEABullet-Level1"/>
        <w:numPr>
          <w:ilvl w:val="0"/>
          <w:numId w:val="0"/>
        </w:numPr>
        <w:spacing w:line="312" w:lineRule="auto"/>
        <w:ind w:left="360"/>
      </w:pPr>
    </w:p>
    <w:p w14:paraId="1AB63D5F" w14:textId="7417B9CE" w:rsidR="00894A6B" w:rsidRDefault="002B67E9" w:rsidP="009D51F8">
      <w:pPr>
        <w:pStyle w:val="CEABullet-Level1"/>
        <w:numPr>
          <w:ilvl w:val="0"/>
          <w:numId w:val="0"/>
        </w:numPr>
        <w:spacing w:line="312" w:lineRule="auto"/>
        <w:ind w:left="360"/>
      </w:pPr>
      <w:r>
        <w:t>In any case, w</w:t>
      </w:r>
      <w:r w:rsidR="004C08EB" w:rsidRPr="004C08EB">
        <w:t>hen designing such a rule</w:t>
      </w:r>
      <w:r>
        <w:t>,</w:t>
      </w:r>
      <w:r w:rsidR="004C08EB" w:rsidRPr="004C08EB">
        <w:t xml:space="preserve"> it should be clear </w:t>
      </w:r>
      <w:r w:rsidR="000F4F2D" w:rsidRPr="004C08EB">
        <w:t>wh</w:t>
      </w:r>
      <w:r w:rsidR="000F4F2D">
        <w:t>ich</w:t>
      </w:r>
      <w:r w:rsidR="000F4F2D" w:rsidRPr="004C08EB">
        <w:t xml:space="preserve"> </w:t>
      </w:r>
      <w:r w:rsidR="004C08EB" w:rsidRPr="004C08EB">
        <w:t xml:space="preserve">assets are </w:t>
      </w:r>
      <w:r w:rsidR="000A2DD9">
        <w:t xml:space="preserve">taken into </w:t>
      </w:r>
      <w:r w:rsidR="000B25B5">
        <w:t>account for</w:t>
      </w:r>
      <w:r w:rsidR="006E12B9">
        <w:t xml:space="preserve"> taxing </w:t>
      </w:r>
      <w:r w:rsidR="000A2DD9">
        <w:t>fair value change</w:t>
      </w:r>
      <w:r w:rsidR="000F4F2D">
        <w:t>s</w:t>
      </w:r>
      <w:r w:rsidR="006E12B9">
        <w:t>, and,</w:t>
      </w:r>
      <w:r w:rsidR="00E21CD1">
        <w:t xml:space="preserve"> </w:t>
      </w:r>
      <w:r>
        <w:t>for instance,</w:t>
      </w:r>
      <w:r w:rsidR="004C08EB" w:rsidRPr="004C08EB">
        <w:t xml:space="preserve"> how </w:t>
      </w:r>
      <w:r w:rsidR="006E12B9">
        <w:t xml:space="preserve">the </w:t>
      </w:r>
      <w:r w:rsidR="004C08EB" w:rsidRPr="004C08EB">
        <w:t>fair value changes of ownership interests, bonds</w:t>
      </w:r>
      <w:r w:rsidR="00556585">
        <w:t>,</w:t>
      </w:r>
      <w:r w:rsidR="004C08EB" w:rsidRPr="004C08EB">
        <w:t xml:space="preserve"> and real estate </w:t>
      </w:r>
      <w:r w:rsidR="006E12B9">
        <w:t>would be</w:t>
      </w:r>
      <w:r w:rsidR="006E12B9" w:rsidRPr="004C08EB">
        <w:t xml:space="preserve"> </w:t>
      </w:r>
      <w:r w:rsidR="00C25368" w:rsidRPr="004C08EB">
        <w:t>taxed.</w:t>
      </w:r>
    </w:p>
    <w:p w14:paraId="5057D79E" w14:textId="77777777" w:rsidR="00EF1F7D" w:rsidRDefault="00EF1F7D" w:rsidP="009D51F8">
      <w:pPr>
        <w:pStyle w:val="CEABullet-Level1"/>
        <w:numPr>
          <w:ilvl w:val="0"/>
          <w:numId w:val="0"/>
        </w:numPr>
        <w:spacing w:line="312" w:lineRule="auto"/>
        <w:ind w:left="360"/>
      </w:pPr>
    </w:p>
    <w:p w14:paraId="7F3108DF" w14:textId="3B4D23D7" w:rsidR="0067479A" w:rsidRPr="00A33E3E" w:rsidRDefault="003F0D35" w:rsidP="009D51F8">
      <w:pPr>
        <w:pStyle w:val="CEABullet-Level1"/>
        <w:numPr>
          <w:ilvl w:val="0"/>
          <w:numId w:val="0"/>
        </w:numPr>
        <w:spacing w:line="312" w:lineRule="auto"/>
        <w:ind w:left="720" w:hanging="360"/>
        <w:rPr>
          <w:u w:val="single"/>
        </w:rPr>
      </w:pPr>
      <w:r w:rsidRPr="00A33E3E">
        <w:rPr>
          <w:b/>
          <w:bCs/>
          <w:u w:val="single"/>
        </w:rPr>
        <w:t xml:space="preserve">Amendments relative to </w:t>
      </w:r>
      <w:r w:rsidR="00B65875" w:rsidRPr="00A33E3E">
        <w:rPr>
          <w:b/>
          <w:bCs/>
          <w:u w:val="single"/>
        </w:rPr>
        <w:t>IFRS 17:</w:t>
      </w:r>
      <w:r w:rsidR="00B65875" w:rsidRPr="00A33E3E">
        <w:rPr>
          <w:u w:val="single"/>
        </w:rPr>
        <w:t xml:space="preserve"> </w:t>
      </w:r>
    </w:p>
    <w:p w14:paraId="7D6E9789" w14:textId="272BFBE9" w:rsidR="00B65875" w:rsidRDefault="00B65875" w:rsidP="009D51F8">
      <w:pPr>
        <w:pStyle w:val="CEABullet-Level1"/>
        <w:numPr>
          <w:ilvl w:val="0"/>
          <w:numId w:val="0"/>
        </w:numPr>
        <w:spacing w:line="312" w:lineRule="auto"/>
        <w:ind w:left="360"/>
      </w:pPr>
      <w:r>
        <w:t xml:space="preserve">In order to enable a meaningful assessment of the BEFIT regulations from the perspective of </w:t>
      </w:r>
      <w:r w:rsidR="00616269">
        <w:t>(re)</w:t>
      </w:r>
      <w:r>
        <w:t xml:space="preserve">insurance companies, </w:t>
      </w:r>
      <w:r w:rsidR="00616269">
        <w:t>Insurance Europe</w:t>
      </w:r>
      <w:r>
        <w:t xml:space="preserve"> believe</w:t>
      </w:r>
      <w:r w:rsidR="00616269">
        <w:t>s that</w:t>
      </w:r>
      <w:r>
        <w:t xml:space="preserve"> </w:t>
      </w:r>
      <w:r w:rsidR="00907722">
        <w:t xml:space="preserve">provisions </w:t>
      </w:r>
      <w:r w:rsidR="00907722" w:rsidRPr="00907722">
        <w:t xml:space="preserve">addressing </w:t>
      </w:r>
      <w:r w:rsidR="008E5174">
        <w:t xml:space="preserve">the impact of </w:t>
      </w:r>
      <w:r w:rsidR="00907722" w:rsidRPr="00907722">
        <w:t xml:space="preserve">IFRS 17 </w:t>
      </w:r>
      <w:r w:rsidR="00944B40">
        <w:t>on</w:t>
      </w:r>
      <w:r w:rsidR="00944B40" w:rsidRPr="00907722">
        <w:t xml:space="preserve"> </w:t>
      </w:r>
      <w:r w:rsidR="00907722" w:rsidRPr="00907722">
        <w:t xml:space="preserve">BEFIT should be </w:t>
      </w:r>
      <w:r w:rsidR="008D3E9E">
        <w:t>available</w:t>
      </w:r>
      <w:r w:rsidR="008D3E9E" w:rsidRPr="00907722">
        <w:t xml:space="preserve"> </w:t>
      </w:r>
      <w:r w:rsidR="00907722" w:rsidRPr="00907722">
        <w:t>as soon as possible</w:t>
      </w:r>
      <w:r w:rsidR="008A06C1">
        <w:t xml:space="preserve">, possibly </w:t>
      </w:r>
      <w:r w:rsidR="008D3E9E">
        <w:t xml:space="preserve">as part of </w:t>
      </w:r>
      <w:r w:rsidR="00907722">
        <w:t>the propos</w:t>
      </w:r>
      <w:r w:rsidR="00A646E4">
        <w:t xml:space="preserve">al published in September. </w:t>
      </w:r>
      <w:r w:rsidR="008A06C1">
        <w:t>Insurance Europe</w:t>
      </w:r>
      <w:r w:rsidR="00A646E4">
        <w:t xml:space="preserve"> would also appreciate further </w:t>
      </w:r>
      <w:r w:rsidR="00ED3B78">
        <w:t xml:space="preserve">clarity </w:t>
      </w:r>
      <w:r w:rsidR="00A646E4">
        <w:t xml:space="preserve">concerning the rationale behind the </w:t>
      </w:r>
      <w:r w:rsidR="008A06C1">
        <w:t>choice of</w:t>
      </w:r>
      <w:r w:rsidR="00557E67">
        <w:t xml:space="preserve"> addressing IFRS 17</w:t>
      </w:r>
      <w:r w:rsidR="00414113">
        <w:t xml:space="preserve"> </w:t>
      </w:r>
      <w:r w:rsidR="008A06C1">
        <w:t>at a later stage,</w:t>
      </w:r>
      <w:r w:rsidR="00557E67">
        <w:t xml:space="preserve"> by means of</w:t>
      </w:r>
      <w:r w:rsidR="00267800">
        <w:t xml:space="preserve"> delegated acts</w:t>
      </w:r>
      <w:r w:rsidR="00896177">
        <w:rPr>
          <w:i/>
          <w:iCs/>
        </w:rPr>
        <w:t xml:space="preserve">, </w:t>
      </w:r>
      <w:r w:rsidR="00896177">
        <w:t xml:space="preserve">through </w:t>
      </w:r>
      <w:r w:rsidR="00896177" w:rsidRPr="00896177">
        <w:rPr>
          <w:i/>
          <w:iCs/>
        </w:rPr>
        <w:t>comitology</w:t>
      </w:r>
      <w:r w:rsidR="00557E67">
        <w:t>.</w:t>
      </w:r>
    </w:p>
    <w:p w14:paraId="4724A3DC" w14:textId="77777777" w:rsidR="00EF1F7D" w:rsidRPr="00EF1F7D" w:rsidRDefault="00EF1F7D" w:rsidP="009D51F8">
      <w:pPr>
        <w:pStyle w:val="CEABullet-Level1"/>
        <w:numPr>
          <w:ilvl w:val="0"/>
          <w:numId w:val="0"/>
        </w:numPr>
        <w:spacing w:line="312" w:lineRule="auto"/>
        <w:ind w:left="360"/>
        <w:rPr>
          <w:b/>
          <w:bCs/>
        </w:rPr>
      </w:pPr>
    </w:p>
    <w:p w14:paraId="6D219FEF" w14:textId="74AA4073" w:rsidR="00EF1F7D" w:rsidRPr="00A33E3E" w:rsidRDefault="00EF1F7D" w:rsidP="009D51F8">
      <w:pPr>
        <w:pStyle w:val="CEABullet-Level1"/>
        <w:numPr>
          <w:ilvl w:val="0"/>
          <w:numId w:val="0"/>
        </w:numPr>
        <w:spacing w:line="312" w:lineRule="auto"/>
        <w:ind w:left="720" w:hanging="360"/>
        <w:rPr>
          <w:b/>
          <w:bCs/>
          <w:u w:val="single"/>
        </w:rPr>
      </w:pPr>
      <w:r w:rsidRPr="00A33E3E">
        <w:rPr>
          <w:b/>
          <w:bCs/>
          <w:u w:val="single"/>
        </w:rPr>
        <w:lastRenderedPageBreak/>
        <w:t>Factors for formula apportionment:</w:t>
      </w:r>
    </w:p>
    <w:p w14:paraId="31C5AE77" w14:textId="5D6BDB5B" w:rsidR="003B0536" w:rsidRDefault="00EF1F7D" w:rsidP="009D51F8">
      <w:pPr>
        <w:pStyle w:val="CEABullet-Level1"/>
        <w:numPr>
          <w:ilvl w:val="0"/>
          <w:numId w:val="0"/>
        </w:numPr>
        <w:spacing w:line="312" w:lineRule="auto"/>
        <w:ind w:left="360"/>
      </w:pPr>
      <w:r>
        <w:t xml:space="preserve">In order to enable a meaningful assessment of the BEFIT regulations from the perspective of (re)insurance companies, Insurance Europe </w:t>
      </w:r>
      <w:r w:rsidR="004A20C6">
        <w:t xml:space="preserve">would appreciate </w:t>
      </w:r>
      <w:r w:rsidR="00AD6900">
        <w:t xml:space="preserve">further </w:t>
      </w:r>
      <w:r w:rsidR="00FD065C">
        <w:t xml:space="preserve">clarity </w:t>
      </w:r>
      <w:r w:rsidR="004A20C6">
        <w:t xml:space="preserve">on the </w:t>
      </w:r>
      <w:r w:rsidR="005117AB">
        <w:t xml:space="preserve">formula </w:t>
      </w:r>
      <w:r w:rsidR="004A20C6">
        <w:t>chosen</w:t>
      </w:r>
      <w:r w:rsidR="005117AB">
        <w:t xml:space="preserve"> for the apportionment</w:t>
      </w:r>
      <w:r w:rsidR="004A20C6">
        <w:t xml:space="preserve">. In particular, </w:t>
      </w:r>
      <w:r w:rsidR="00EC79E3">
        <w:t>we would appreciate it if</w:t>
      </w:r>
      <w:r w:rsidR="004A20C6">
        <w:t xml:space="preserve"> DG TAXUD could confirm</w:t>
      </w:r>
      <w:r w:rsidR="0035659A">
        <w:t xml:space="preserve"> -or correct/integrate-</w:t>
      </w:r>
      <w:r w:rsidR="004A20C6">
        <w:t xml:space="preserve"> Insurance Europe’s understanding regarding the factors, derived from the discussion that took place on 13 June</w:t>
      </w:r>
      <w:r w:rsidR="00055FC9">
        <w:t>.</w:t>
      </w:r>
      <w:r w:rsidR="00FD5D74">
        <w:t xml:space="preserve"> </w:t>
      </w:r>
      <w:r w:rsidR="00055FC9">
        <w:t>Specifically, it could be clarified</w:t>
      </w:r>
      <w:r w:rsidR="00164974">
        <w:t xml:space="preserve"> if there will be </w:t>
      </w:r>
      <w:r w:rsidR="00164974" w:rsidRPr="00164974">
        <w:t>a differential treatment of financial assets being underlying assets of insurance products or so called "free assets".</w:t>
      </w:r>
    </w:p>
    <w:p w14:paraId="14D9B4B2" w14:textId="56746095" w:rsidR="003B0536" w:rsidRDefault="003B0536" w:rsidP="009D51F8">
      <w:pPr>
        <w:pStyle w:val="CEABullet-Level1"/>
        <w:spacing w:line="312" w:lineRule="auto"/>
      </w:pPr>
      <w:r>
        <w:t xml:space="preserve">The factors will likely be equally weighted and will be sales by destinations, tangible assets, intangible assets, and labour. </w:t>
      </w:r>
    </w:p>
    <w:p w14:paraId="361C031F" w14:textId="7AABD530" w:rsidR="003B0536" w:rsidRDefault="003B0536" w:rsidP="009D51F8">
      <w:pPr>
        <w:pStyle w:val="CEABullet-Level1"/>
        <w:spacing w:line="312" w:lineRule="auto"/>
      </w:pPr>
      <w:r>
        <w:t>The sales factors will include earned premiums net of reinsurance, allocated investment returns, and other investment revenues based on commissions.</w:t>
      </w:r>
    </w:p>
    <w:p w14:paraId="6BB088C3" w14:textId="0DCB25C0" w:rsidR="003B0536" w:rsidRDefault="003B0536" w:rsidP="009D51F8">
      <w:pPr>
        <w:pStyle w:val="CEABullet-Level1"/>
        <w:spacing w:line="312" w:lineRule="auto"/>
      </w:pPr>
      <w:r>
        <w:t>For the determination of the location in which insurance services are provided, the residence of the policyholder</w:t>
      </w:r>
      <w:r w:rsidR="009610E4">
        <w:t xml:space="preserve"> will be used</w:t>
      </w:r>
      <w:r>
        <w:t xml:space="preserve">. </w:t>
      </w:r>
    </w:p>
    <w:p w14:paraId="6E7B8C22" w14:textId="77777777" w:rsidR="003B0536" w:rsidRDefault="003B0536" w:rsidP="009D51F8">
      <w:pPr>
        <w:pStyle w:val="CEABullet-Level1"/>
        <w:spacing w:line="312" w:lineRule="auto"/>
      </w:pPr>
      <w:r>
        <w:t>For the other services that insurance undertakings can provide, DG TAXUD will use a formula based on other factors (primarily labour and assets).</w:t>
      </w:r>
    </w:p>
    <w:p w14:paraId="7F8EC04E" w14:textId="77777777" w:rsidR="006845EA" w:rsidRDefault="006845EA" w:rsidP="009D51F8">
      <w:pPr>
        <w:pStyle w:val="CEABullet-Level1"/>
        <w:numPr>
          <w:ilvl w:val="0"/>
          <w:numId w:val="0"/>
        </w:numPr>
        <w:spacing w:line="312" w:lineRule="auto"/>
        <w:ind w:left="720" w:hanging="360"/>
      </w:pPr>
    </w:p>
    <w:p w14:paraId="2B865A81" w14:textId="77777777" w:rsidR="00C40C2D" w:rsidRDefault="00C40C2D" w:rsidP="009D51F8">
      <w:pPr>
        <w:pStyle w:val="CEABullet-Level1"/>
        <w:numPr>
          <w:ilvl w:val="0"/>
          <w:numId w:val="0"/>
        </w:numPr>
        <w:spacing w:line="312" w:lineRule="auto"/>
        <w:ind w:left="360"/>
        <w:rPr>
          <w:b/>
          <w:bCs/>
          <w:u w:val="single"/>
        </w:rPr>
      </w:pPr>
    </w:p>
    <w:p w14:paraId="5DC203B8" w14:textId="4AF4C715" w:rsidR="006845EA" w:rsidRDefault="006845EA" w:rsidP="009D51F8">
      <w:pPr>
        <w:pStyle w:val="CEABullet-Level1"/>
        <w:numPr>
          <w:ilvl w:val="0"/>
          <w:numId w:val="0"/>
        </w:numPr>
        <w:spacing w:line="312" w:lineRule="auto"/>
        <w:ind w:left="360"/>
        <w:rPr>
          <w:b/>
          <w:bCs/>
          <w:u w:val="single"/>
        </w:rPr>
      </w:pPr>
      <w:r w:rsidRPr="006845EA">
        <w:rPr>
          <w:b/>
          <w:bCs/>
          <w:u w:val="single"/>
        </w:rPr>
        <w:t>National taxes - Deductibility as operating expenditures</w:t>
      </w:r>
      <w:r>
        <w:rPr>
          <w:b/>
          <w:bCs/>
          <w:u w:val="single"/>
        </w:rPr>
        <w:t>:</w:t>
      </w:r>
    </w:p>
    <w:p w14:paraId="0A6F76DB" w14:textId="5BB08DC7" w:rsidR="006845EA" w:rsidRDefault="006845EA" w:rsidP="009D51F8">
      <w:pPr>
        <w:pStyle w:val="CEABullet-Level1"/>
        <w:numPr>
          <w:ilvl w:val="0"/>
          <w:numId w:val="0"/>
        </w:numPr>
        <w:spacing w:line="312" w:lineRule="auto"/>
        <w:ind w:left="360"/>
      </w:pPr>
      <w:r w:rsidRPr="006845EA">
        <w:t>Insurance Europe is concerned that BEFIT might replicate a list of non-deductible expenses previously featured in Art</w:t>
      </w:r>
      <w:r>
        <w:t>.</w:t>
      </w:r>
      <w:r w:rsidRPr="006845EA">
        <w:t xml:space="preserve"> 11 and Annex III of the EC’s proposal for a CCCTB in 2011, with some modifications. We would </w:t>
      </w:r>
      <w:r>
        <w:t xml:space="preserve">still </w:t>
      </w:r>
      <w:r w:rsidRPr="006845EA">
        <w:t xml:space="preserve">welcome the opportunity to work with the </w:t>
      </w:r>
      <w:r>
        <w:t>EC</w:t>
      </w:r>
      <w:r w:rsidRPr="006845EA">
        <w:t xml:space="preserve"> on this review in the context of taxes that impact on the European insurance industry.</w:t>
      </w:r>
    </w:p>
    <w:p w14:paraId="266836AB" w14:textId="54E1B9A1" w:rsidR="007C3A31" w:rsidRDefault="007C3A31" w:rsidP="009D51F8">
      <w:pPr>
        <w:pStyle w:val="CEABullet-Level1"/>
        <w:numPr>
          <w:ilvl w:val="0"/>
          <w:numId w:val="0"/>
        </w:numPr>
        <w:spacing w:line="312" w:lineRule="auto"/>
      </w:pPr>
    </w:p>
    <w:p w14:paraId="75550B93" w14:textId="77777777" w:rsidR="00440FEE" w:rsidRDefault="00440FEE" w:rsidP="009901F3">
      <w:pPr>
        <w:spacing w:line="312" w:lineRule="auto"/>
      </w:pPr>
      <w:bookmarkStart w:id="1" w:name="Signature1"/>
      <w:bookmarkEnd w:id="1"/>
    </w:p>
    <w:sectPr w:rsidR="00440FEE">
      <w:headerReference w:type="default" r:id="rId11"/>
      <w:footerReference w:type="default" r:id="rId12"/>
      <w:type w:val="continuous"/>
      <w:pgSz w:w="11907" w:h="16839" w:code="9"/>
      <w:pgMar w:top="2410" w:right="902" w:bottom="1418" w:left="1418" w:header="1276"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92ED" w14:textId="77777777" w:rsidR="00780D75" w:rsidRDefault="00780D75">
      <w:pPr>
        <w:spacing w:line="240" w:lineRule="auto"/>
      </w:pPr>
      <w:r>
        <w:separator/>
      </w:r>
    </w:p>
  </w:endnote>
  <w:endnote w:type="continuationSeparator" w:id="0">
    <w:p w14:paraId="521FFCDB" w14:textId="77777777" w:rsidR="00780D75" w:rsidRDefault="00780D75">
      <w:pPr>
        <w:spacing w:line="240" w:lineRule="auto"/>
      </w:pPr>
      <w:r>
        <w:continuationSeparator/>
      </w:r>
    </w:p>
  </w:endnote>
  <w:endnote w:type="continuationNotice" w:id="1">
    <w:p w14:paraId="5E7A7302" w14:textId="77777777" w:rsidR="00780D75" w:rsidRDefault="00780D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A6DA" w14:textId="77777777" w:rsidR="00CB73D4" w:rsidRPr="00723412" w:rsidRDefault="005E61AC">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2</w:t>
    </w:r>
    <w:r>
      <w:rPr>
        <w:rStyle w:val="slostrany"/>
        <w:color w:val="002957"/>
        <w:szCs w:val="17"/>
      </w:rPr>
      <w:fldChar w:fldCharType="end"/>
    </w:r>
  </w:p>
  <w:p w14:paraId="3EF0D176" w14:textId="77777777" w:rsidR="00CB73D4" w:rsidRPr="001852D3" w:rsidRDefault="00CB73D4">
    <w:pPr>
      <w:pStyle w:val="Pt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1D96" w14:textId="77777777" w:rsidR="00780D75" w:rsidRDefault="00780D75">
      <w:pPr>
        <w:spacing w:line="240" w:lineRule="auto"/>
      </w:pPr>
      <w:r>
        <w:separator/>
      </w:r>
    </w:p>
  </w:footnote>
  <w:footnote w:type="continuationSeparator" w:id="0">
    <w:p w14:paraId="1B2C8E2C" w14:textId="77777777" w:rsidR="00780D75" w:rsidRDefault="00780D75">
      <w:pPr>
        <w:spacing w:line="240" w:lineRule="auto"/>
      </w:pPr>
      <w:r>
        <w:continuationSeparator/>
      </w:r>
    </w:p>
  </w:footnote>
  <w:footnote w:type="continuationNotice" w:id="1">
    <w:p w14:paraId="7BF75352" w14:textId="77777777" w:rsidR="00780D75" w:rsidRDefault="00780D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4678" w14:textId="77777777" w:rsidR="00CB73D4" w:rsidRPr="000846C0" w:rsidRDefault="00CB73D4">
    <w:pPr>
      <w:pStyle w:val="Noparagraphstyle"/>
      <w:jc w:val="right"/>
      <w:rPr>
        <w:sz w:val="18"/>
        <w:szCs w:val="18"/>
      </w:rPr>
    </w:pPr>
  </w:p>
  <w:p w14:paraId="267455F1" w14:textId="77777777" w:rsidR="00CB73D4" w:rsidRPr="004C7ACC" w:rsidRDefault="005E61AC">
    <w:pPr>
      <w:pStyle w:val="Noparagraphstyle"/>
      <w:jc w:val="right"/>
      <w:rPr>
        <w:rFonts w:ascii="Frutiger LT Std 55 Roman" w:hAnsi="Frutiger LT Std 55 Roman" w:cs="Frutiger LT Std 55 Roman"/>
        <w:i/>
        <w:iCs/>
        <w:color w:val="034EA2"/>
      </w:rPr>
    </w:pPr>
    <w:r>
      <w:tab/>
    </w:r>
  </w:p>
  <w:p w14:paraId="5811CB0D" w14:textId="77777777" w:rsidR="00CB73D4" w:rsidRPr="007349E1" w:rsidRDefault="005E61AC">
    <w:pPr>
      <w:pStyle w:val="Hlavika"/>
      <w:tabs>
        <w:tab w:val="clear" w:pos="4320"/>
        <w:tab w:val="clear" w:pos="8640"/>
        <w:tab w:val="center" w:pos="0"/>
        <w:tab w:val="right" w:pos="10440"/>
      </w:tabs>
      <w:rPr>
        <w:b/>
        <w:sz w:val="40"/>
        <w:szCs w:val="40"/>
      </w:rPr>
    </w:pPr>
    <w:r w:rsidRPr="007F2BAC">
      <w:rPr>
        <w:b/>
        <w:noProof/>
        <w:sz w:val="40"/>
        <w:szCs w:val="40"/>
        <w:lang w:eastAsia="en-GB"/>
      </w:rPr>
      <w:drawing>
        <wp:anchor distT="0" distB="0" distL="114300" distR="114300" simplePos="0" relativeHeight="251658240" behindDoc="0" locked="0" layoutInCell="1" allowOverlap="1" wp14:anchorId="52082483" wp14:editId="1D6D8E4F">
          <wp:simplePos x="0" y="0"/>
          <wp:positionH relativeFrom="page">
            <wp:posOffset>528955</wp:posOffset>
          </wp:positionH>
          <wp:positionV relativeFrom="page">
            <wp:posOffset>521970</wp:posOffset>
          </wp:positionV>
          <wp:extent cx="1461880" cy="894522"/>
          <wp:effectExtent l="19050" t="0" r="0" b="0"/>
          <wp:wrapSquare wrapText="bothSides"/>
          <wp:docPr id="2" name="Picture 2"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13F85562"/>
    <w:multiLevelType w:val="hybridMultilevel"/>
    <w:tmpl w:val="B2C4BA8C"/>
    <w:lvl w:ilvl="0" w:tplc="26E6A8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3706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0F2F13"/>
    <w:multiLevelType w:val="hybridMultilevel"/>
    <w:tmpl w:val="23BC2D42"/>
    <w:lvl w:ilvl="0" w:tplc="645692B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01698412">
    <w:abstractNumId w:val="4"/>
  </w:num>
  <w:num w:numId="2" w16cid:durableId="143083140">
    <w:abstractNumId w:val="0"/>
  </w:num>
  <w:num w:numId="3" w16cid:durableId="1496072108">
    <w:abstractNumId w:val="3"/>
  </w:num>
  <w:num w:numId="4" w16cid:durableId="1143429003">
    <w:abstractNumId w:val="5"/>
  </w:num>
  <w:num w:numId="5" w16cid:durableId="814875829">
    <w:abstractNumId w:val="2"/>
  </w:num>
  <w:num w:numId="6" w16cid:durableId="1214464401">
    <w:abstractNumId w:val="1"/>
  </w:num>
  <w:num w:numId="7" w16cid:durableId="1404640394">
    <w:abstractNumId w:val="4"/>
  </w:num>
  <w:num w:numId="8" w16cid:durableId="2060587936">
    <w:abstractNumId w:val="0"/>
  </w:num>
  <w:num w:numId="9" w16cid:durableId="1683898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AC"/>
    <w:rsid w:val="00005C92"/>
    <w:rsid w:val="0001588D"/>
    <w:rsid w:val="00023476"/>
    <w:rsid w:val="00023869"/>
    <w:rsid w:val="00023B0A"/>
    <w:rsid w:val="00026CCB"/>
    <w:rsid w:val="000303A7"/>
    <w:rsid w:val="00031540"/>
    <w:rsid w:val="000333C7"/>
    <w:rsid w:val="0003390F"/>
    <w:rsid w:val="0004369E"/>
    <w:rsid w:val="00044E3E"/>
    <w:rsid w:val="00055FC9"/>
    <w:rsid w:val="000610A3"/>
    <w:rsid w:val="00064296"/>
    <w:rsid w:val="000643C0"/>
    <w:rsid w:val="0006710D"/>
    <w:rsid w:val="000A219F"/>
    <w:rsid w:val="000A2DD9"/>
    <w:rsid w:val="000A4F35"/>
    <w:rsid w:val="000B25B5"/>
    <w:rsid w:val="000B5EF6"/>
    <w:rsid w:val="000B7F2C"/>
    <w:rsid w:val="000C1F59"/>
    <w:rsid w:val="000C7F79"/>
    <w:rsid w:val="000D031D"/>
    <w:rsid w:val="000D1423"/>
    <w:rsid w:val="000D2E7E"/>
    <w:rsid w:val="000D39B5"/>
    <w:rsid w:val="000D53E5"/>
    <w:rsid w:val="000F2449"/>
    <w:rsid w:val="000F4F2D"/>
    <w:rsid w:val="000F6A16"/>
    <w:rsid w:val="00101D22"/>
    <w:rsid w:val="00107CC5"/>
    <w:rsid w:val="00110C1A"/>
    <w:rsid w:val="0011462D"/>
    <w:rsid w:val="00122736"/>
    <w:rsid w:val="0012598F"/>
    <w:rsid w:val="00132F24"/>
    <w:rsid w:val="00133B93"/>
    <w:rsid w:val="001372FD"/>
    <w:rsid w:val="00137F50"/>
    <w:rsid w:val="00145AFB"/>
    <w:rsid w:val="00147F3C"/>
    <w:rsid w:val="00155A0F"/>
    <w:rsid w:val="001603B0"/>
    <w:rsid w:val="00164974"/>
    <w:rsid w:val="0016525D"/>
    <w:rsid w:val="0016737E"/>
    <w:rsid w:val="001909AC"/>
    <w:rsid w:val="0019208E"/>
    <w:rsid w:val="00193FAA"/>
    <w:rsid w:val="00197385"/>
    <w:rsid w:val="001A46B5"/>
    <w:rsid w:val="001B23B2"/>
    <w:rsid w:val="001B68AC"/>
    <w:rsid w:val="001B7982"/>
    <w:rsid w:val="001C16A6"/>
    <w:rsid w:val="001C34FC"/>
    <w:rsid w:val="001C38B6"/>
    <w:rsid w:val="001D508D"/>
    <w:rsid w:val="001F0ADF"/>
    <w:rsid w:val="001F4875"/>
    <w:rsid w:val="00200478"/>
    <w:rsid w:val="002036F5"/>
    <w:rsid w:val="00206AEA"/>
    <w:rsid w:val="002162A7"/>
    <w:rsid w:val="00216E9C"/>
    <w:rsid w:val="002236DD"/>
    <w:rsid w:val="00223D56"/>
    <w:rsid w:val="00227198"/>
    <w:rsid w:val="00246359"/>
    <w:rsid w:val="00255FB8"/>
    <w:rsid w:val="00256065"/>
    <w:rsid w:val="002578DB"/>
    <w:rsid w:val="00262164"/>
    <w:rsid w:val="00265A13"/>
    <w:rsid w:val="00267800"/>
    <w:rsid w:val="00274CD5"/>
    <w:rsid w:val="00276D88"/>
    <w:rsid w:val="002850C3"/>
    <w:rsid w:val="00287C66"/>
    <w:rsid w:val="00291C48"/>
    <w:rsid w:val="00295E04"/>
    <w:rsid w:val="002A01AD"/>
    <w:rsid w:val="002A7D85"/>
    <w:rsid w:val="002B111F"/>
    <w:rsid w:val="002B67E9"/>
    <w:rsid w:val="002C089B"/>
    <w:rsid w:val="002C1AFB"/>
    <w:rsid w:val="002D0B8D"/>
    <w:rsid w:val="002D7FBE"/>
    <w:rsid w:val="002E3365"/>
    <w:rsid w:val="002F0780"/>
    <w:rsid w:val="002F3A61"/>
    <w:rsid w:val="002F658B"/>
    <w:rsid w:val="002F6B8F"/>
    <w:rsid w:val="00316122"/>
    <w:rsid w:val="003257AE"/>
    <w:rsid w:val="003325AD"/>
    <w:rsid w:val="00333B28"/>
    <w:rsid w:val="00334D71"/>
    <w:rsid w:val="00337934"/>
    <w:rsid w:val="003422CD"/>
    <w:rsid w:val="00344A86"/>
    <w:rsid w:val="00350470"/>
    <w:rsid w:val="0035659A"/>
    <w:rsid w:val="00361042"/>
    <w:rsid w:val="003701C3"/>
    <w:rsid w:val="00374F58"/>
    <w:rsid w:val="00383DCE"/>
    <w:rsid w:val="003A4534"/>
    <w:rsid w:val="003A658D"/>
    <w:rsid w:val="003B0536"/>
    <w:rsid w:val="003B3E8C"/>
    <w:rsid w:val="003B62D3"/>
    <w:rsid w:val="003D0409"/>
    <w:rsid w:val="003D274C"/>
    <w:rsid w:val="003E176E"/>
    <w:rsid w:val="003E6DEF"/>
    <w:rsid w:val="003F0D35"/>
    <w:rsid w:val="003F3D62"/>
    <w:rsid w:val="003F6533"/>
    <w:rsid w:val="004040D3"/>
    <w:rsid w:val="00406BC4"/>
    <w:rsid w:val="00414113"/>
    <w:rsid w:val="0042097E"/>
    <w:rsid w:val="00425B6B"/>
    <w:rsid w:val="004270FF"/>
    <w:rsid w:val="00430297"/>
    <w:rsid w:val="004303ED"/>
    <w:rsid w:val="00436C6C"/>
    <w:rsid w:val="00440FEE"/>
    <w:rsid w:val="0044373E"/>
    <w:rsid w:val="00445191"/>
    <w:rsid w:val="00453ECF"/>
    <w:rsid w:val="00462BDA"/>
    <w:rsid w:val="004643DE"/>
    <w:rsid w:val="0046595E"/>
    <w:rsid w:val="00466D5D"/>
    <w:rsid w:val="004752A1"/>
    <w:rsid w:val="00485693"/>
    <w:rsid w:val="00490149"/>
    <w:rsid w:val="004901CA"/>
    <w:rsid w:val="004921F6"/>
    <w:rsid w:val="004A20C6"/>
    <w:rsid w:val="004A40D3"/>
    <w:rsid w:val="004A4E14"/>
    <w:rsid w:val="004C068C"/>
    <w:rsid w:val="004C08EB"/>
    <w:rsid w:val="004C2E28"/>
    <w:rsid w:val="004C47DD"/>
    <w:rsid w:val="004C5188"/>
    <w:rsid w:val="004D060A"/>
    <w:rsid w:val="004D5A6E"/>
    <w:rsid w:val="004D79BE"/>
    <w:rsid w:val="004E2948"/>
    <w:rsid w:val="004E2CB3"/>
    <w:rsid w:val="004F0541"/>
    <w:rsid w:val="004F0828"/>
    <w:rsid w:val="004F16BC"/>
    <w:rsid w:val="005009DD"/>
    <w:rsid w:val="00501E38"/>
    <w:rsid w:val="00505C75"/>
    <w:rsid w:val="00507949"/>
    <w:rsid w:val="005079B7"/>
    <w:rsid w:val="005117AB"/>
    <w:rsid w:val="005142CD"/>
    <w:rsid w:val="00516829"/>
    <w:rsid w:val="00517C40"/>
    <w:rsid w:val="005205B9"/>
    <w:rsid w:val="00522D26"/>
    <w:rsid w:val="0052527D"/>
    <w:rsid w:val="0053048F"/>
    <w:rsid w:val="005329BA"/>
    <w:rsid w:val="0053409D"/>
    <w:rsid w:val="00535DA2"/>
    <w:rsid w:val="00546870"/>
    <w:rsid w:val="00556585"/>
    <w:rsid w:val="00557E67"/>
    <w:rsid w:val="00564DF8"/>
    <w:rsid w:val="005909BF"/>
    <w:rsid w:val="00592B0F"/>
    <w:rsid w:val="00593A07"/>
    <w:rsid w:val="00595341"/>
    <w:rsid w:val="005963B4"/>
    <w:rsid w:val="00596C4C"/>
    <w:rsid w:val="005A3B06"/>
    <w:rsid w:val="005A451B"/>
    <w:rsid w:val="005B014A"/>
    <w:rsid w:val="005B31A8"/>
    <w:rsid w:val="005B31BC"/>
    <w:rsid w:val="005C75E9"/>
    <w:rsid w:val="005D3E89"/>
    <w:rsid w:val="005D6BCD"/>
    <w:rsid w:val="005E4881"/>
    <w:rsid w:val="005E61AC"/>
    <w:rsid w:val="005F7A22"/>
    <w:rsid w:val="00612F55"/>
    <w:rsid w:val="0061305C"/>
    <w:rsid w:val="0061526D"/>
    <w:rsid w:val="00616269"/>
    <w:rsid w:val="00623092"/>
    <w:rsid w:val="00641613"/>
    <w:rsid w:val="00641736"/>
    <w:rsid w:val="0064577A"/>
    <w:rsid w:val="0064666D"/>
    <w:rsid w:val="00661EA8"/>
    <w:rsid w:val="00663F79"/>
    <w:rsid w:val="00665D48"/>
    <w:rsid w:val="0067279B"/>
    <w:rsid w:val="0067479A"/>
    <w:rsid w:val="006845EA"/>
    <w:rsid w:val="00687EE2"/>
    <w:rsid w:val="00695489"/>
    <w:rsid w:val="00696654"/>
    <w:rsid w:val="006B41EA"/>
    <w:rsid w:val="006B70A5"/>
    <w:rsid w:val="006D4B6A"/>
    <w:rsid w:val="006D750C"/>
    <w:rsid w:val="006D7BC2"/>
    <w:rsid w:val="006E12B9"/>
    <w:rsid w:val="006E20C5"/>
    <w:rsid w:val="006E3390"/>
    <w:rsid w:val="006E5C8D"/>
    <w:rsid w:val="006F25C6"/>
    <w:rsid w:val="00703C96"/>
    <w:rsid w:val="00712727"/>
    <w:rsid w:val="007203E8"/>
    <w:rsid w:val="00721659"/>
    <w:rsid w:val="007235F5"/>
    <w:rsid w:val="00744362"/>
    <w:rsid w:val="00747F70"/>
    <w:rsid w:val="00751A65"/>
    <w:rsid w:val="00752A06"/>
    <w:rsid w:val="00757BBE"/>
    <w:rsid w:val="007609A7"/>
    <w:rsid w:val="00761D59"/>
    <w:rsid w:val="00765DA9"/>
    <w:rsid w:val="00766B9B"/>
    <w:rsid w:val="0077117E"/>
    <w:rsid w:val="00773D11"/>
    <w:rsid w:val="00773E93"/>
    <w:rsid w:val="00780D75"/>
    <w:rsid w:val="00784916"/>
    <w:rsid w:val="007A04B1"/>
    <w:rsid w:val="007A6164"/>
    <w:rsid w:val="007C3A31"/>
    <w:rsid w:val="007C4D68"/>
    <w:rsid w:val="007C6315"/>
    <w:rsid w:val="007D6006"/>
    <w:rsid w:val="007D69A1"/>
    <w:rsid w:val="007D69C1"/>
    <w:rsid w:val="007D7F69"/>
    <w:rsid w:val="007E59E2"/>
    <w:rsid w:val="007E65C9"/>
    <w:rsid w:val="007E6CA4"/>
    <w:rsid w:val="007F205B"/>
    <w:rsid w:val="007F7B82"/>
    <w:rsid w:val="00801757"/>
    <w:rsid w:val="008053AC"/>
    <w:rsid w:val="00807473"/>
    <w:rsid w:val="0081163E"/>
    <w:rsid w:val="00811C15"/>
    <w:rsid w:val="00812A02"/>
    <w:rsid w:val="0081336C"/>
    <w:rsid w:val="00814AFE"/>
    <w:rsid w:val="00820DF5"/>
    <w:rsid w:val="0083192E"/>
    <w:rsid w:val="00835EE5"/>
    <w:rsid w:val="00836109"/>
    <w:rsid w:val="00846FEF"/>
    <w:rsid w:val="00852A06"/>
    <w:rsid w:val="0086147D"/>
    <w:rsid w:val="008617B5"/>
    <w:rsid w:val="00863AF1"/>
    <w:rsid w:val="00863C6E"/>
    <w:rsid w:val="0086519B"/>
    <w:rsid w:val="00867021"/>
    <w:rsid w:val="00867122"/>
    <w:rsid w:val="00883D3A"/>
    <w:rsid w:val="00894A6B"/>
    <w:rsid w:val="00894C88"/>
    <w:rsid w:val="00896177"/>
    <w:rsid w:val="008A06C1"/>
    <w:rsid w:val="008B0EEE"/>
    <w:rsid w:val="008D22B1"/>
    <w:rsid w:val="008D3E9E"/>
    <w:rsid w:val="008D7966"/>
    <w:rsid w:val="008E5174"/>
    <w:rsid w:val="008E6C02"/>
    <w:rsid w:val="008F36E4"/>
    <w:rsid w:val="0090052F"/>
    <w:rsid w:val="00907722"/>
    <w:rsid w:val="009131B9"/>
    <w:rsid w:val="00915222"/>
    <w:rsid w:val="00917487"/>
    <w:rsid w:val="009176EA"/>
    <w:rsid w:val="00925587"/>
    <w:rsid w:val="00927C7D"/>
    <w:rsid w:val="00932F9F"/>
    <w:rsid w:val="009409A1"/>
    <w:rsid w:val="00943D7B"/>
    <w:rsid w:val="00944B40"/>
    <w:rsid w:val="009610E4"/>
    <w:rsid w:val="00965F3F"/>
    <w:rsid w:val="00972953"/>
    <w:rsid w:val="009757C0"/>
    <w:rsid w:val="00980CC6"/>
    <w:rsid w:val="00981409"/>
    <w:rsid w:val="00981E84"/>
    <w:rsid w:val="00983EB2"/>
    <w:rsid w:val="009901F3"/>
    <w:rsid w:val="00993C4E"/>
    <w:rsid w:val="009A20A3"/>
    <w:rsid w:val="009A503C"/>
    <w:rsid w:val="009B05A0"/>
    <w:rsid w:val="009B2447"/>
    <w:rsid w:val="009C188F"/>
    <w:rsid w:val="009D51F8"/>
    <w:rsid w:val="009D7416"/>
    <w:rsid w:val="009E5375"/>
    <w:rsid w:val="009F0830"/>
    <w:rsid w:val="009F0845"/>
    <w:rsid w:val="009F7DBA"/>
    <w:rsid w:val="00A060C2"/>
    <w:rsid w:val="00A10893"/>
    <w:rsid w:val="00A10CF7"/>
    <w:rsid w:val="00A250DA"/>
    <w:rsid w:val="00A258E8"/>
    <w:rsid w:val="00A274ED"/>
    <w:rsid w:val="00A31BFC"/>
    <w:rsid w:val="00A3306E"/>
    <w:rsid w:val="00A33E3E"/>
    <w:rsid w:val="00A452EE"/>
    <w:rsid w:val="00A6056D"/>
    <w:rsid w:val="00A646E4"/>
    <w:rsid w:val="00A6654B"/>
    <w:rsid w:val="00A72EB2"/>
    <w:rsid w:val="00A941AD"/>
    <w:rsid w:val="00A9650C"/>
    <w:rsid w:val="00AA02D1"/>
    <w:rsid w:val="00AA0977"/>
    <w:rsid w:val="00AB151A"/>
    <w:rsid w:val="00AB1EF4"/>
    <w:rsid w:val="00AB2FAD"/>
    <w:rsid w:val="00AC6B2F"/>
    <w:rsid w:val="00AD3D4D"/>
    <w:rsid w:val="00AD6900"/>
    <w:rsid w:val="00AD6D8E"/>
    <w:rsid w:val="00AD7FC5"/>
    <w:rsid w:val="00AE15C0"/>
    <w:rsid w:val="00AE21E0"/>
    <w:rsid w:val="00B143F1"/>
    <w:rsid w:val="00B14B0B"/>
    <w:rsid w:val="00B15750"/>
    <w:rsid w:val="00B21160"/>
    <w:rsid w:val="00B21D3F"/>
    <w:rsid w:val="00B21FFD"/>
    <w:rsid w:val="00B24446"/>
    <w:rsid w:val="00B26A8C"/>
    <w:rsid w:val="00B306F7"/>
    <w:rsid w:val="00B31419"/>
    <w:rsid w:val="00B330F9"/>
    <w:rsid w:val="00B33249"/>
    <w:rsid w:val="00B33EF1"/>
    <w:rsid w:val="00B34693"/>
    <w:rsid w:val="00B3530D"/>
    <w:rsid w:val="00B4222A"/>
    <w:rsid w:val="00B60600"/>
    <w:rsid w:val="00B65875"/>
    <w:rsid w:val="00B7318C"/>
    <w:rsid w:val="00B74F59"/>
    <w:rsid w:val="00B8042D"/>
    <w:rsid w:val="00B92938"/>
    <w:rsid w:val="00B9367D"/>
    <w:rsid w:val="00B948BA"/>
    <w:rsid w:val="00B95853"/>
    <w:rsid w:val="00BA3CC5"/>
    <w:rsid w:val="00BB6B69"/>
    <w:rsid w:val="00BC3CB6"/>
    <w:rsid w:val="00BD1782"/>
    <w:rsid w:val="00BE3742"/>
    <w:rsid w:val="00BE70B5"/>
    <w:rsid w:val="00BF055F"/>
    <w:rsid w:val="00BF132B"/>
    <w:rsid w:val="00BF3C0F"/>
    <w:rsid w:val="00BF4260"/>
    <w:rsid w:val="00C04629"/>
    <w:rsid w:val="00C12539"/>
    <w:rsid w:val="00C13CD8"/>
    <w:rsid w:val="00C2119F"/>
    <w:rsid w:val="00C21E4B"/>
    <w:rsid w:val="00C2310B"/>
    <w:rsid w:val="00C2503F"/>
    <w:rsid w:val="00C25368"/>
    <w:rsid w:val="00C36710"/>
    <w:rsid w:val="00C40C2D"/>
    <w:rsid w:val="00C40EC8"/>
    <w:rsid w:val="00C41C75"/>
    <w:rsid w:val="00C51A56"/>
    <w:rsid w:val="00C52AB4"/>
    <w:rsid w:val="00C54780"/>
    <w:rsid w:val="00C60022"/>
    <w:rsid w:val="00C600A3"/>
    <w:rsid w:val="00C61C05"/>
    <w:rsid w:val="00C62F59"/>
    <w:rsid w:val="00C63D72"/>
    <w:rsid w:val="00C72FE8"/>
    <w:rsid w:val="00C82498"/>
    <w:rsid w:val="00C83138"/>
    <w:rsid w:val="00CA1660"/>
    <w:rsid w:val="00CA6B2E"/>
    <w:rsid w:val="00CA6E4B"/>
    <w:rsid w:val="00CB08D7"/>
    <w:rsid w:val="00CB5DAD"/>
    <w:rsid w:val="00CB73D4"/>
    <w:rsid w:val="00CB7FD5"/>
    <w:rsid w:val="00CD029D"/>
    <w:rsid w:val="00CE2B31"/>
    <w:rsid w:val="00CE3B7C"/>
    <w:rsid w:val="00D03C78"/>
    <w:rsid w:val="00D04398"/>
    <w:rsid w:val="00D06E2D"/>
    <w:rsid w:val="00D1356D"/>
    <w:rsid w:val="00D2059C"/>
    <w:rsid w:val="00D2192B"/>
    <w:rsid w:val="00D24698"/>
    <w:rsid w:val="00D25BE1"/>
    <w:rsid w:val="00D40A86"/>
    <w:rsid w:val="00D415FF"/>
    <w:rsid w:val="00D4644C"/>
    <w:rsid w:val="00D47730"/>
    <w:rsid w:val="00D501B7"/>
    <w:rsid w:val="00D5429E"/>
    <w:rsid w:val="00D61171"/>
    <w:rsid w:val="00D72AB3"/>
    <w:rsid w:val="00D72E85"/>
    <w:rsid w:val="00D75FCF"/>
    <w:rsid w:val="00D772DF"/>
    <w:rsid w:val="00D826C1"/>
    <w:rsid w:val="00D95FA4"/>
    <w:rsid w:val="00D96FB4"/>
    <w:rsid w:val="00D96FF1"/>
    <w:rsid w:val="00D977B5"/>
    <w:rsid w:val="00DA38A8"/>
    <w:rsid w:val="00DA424C"/>
    <w:rsid w:val="00DA63ED"/>
    <w:rsid w:val="00DA78E0"/>
    <w:rsid w:val="00DB0102"/>
    <w:rsid w:val="00DB3F1B"/>
    <w:rsid w:val="00DB4657"/>
    <w:rsid w:val="00DB4E74"/>
    <w:rsid w:val="00DB5AA1"/>
    <w:rsid w:val="00DD46EB"/>
    <w:rsid w:val="00DD5321"/>
    <w:rsid w:val="00DE397C"/>
    <w:rsid w:val="00DF270F"/>
    <w:rsid w:val="00DF51F7"/>
    <w:rsid w:val="00DF60D7"/>
    <w:rsid w:val="00DF748C"/>
    <w:rsid w:val="00E00BEA"/>
    <w:rsid w:val="00E01989"/>
    <w:rsid w:val="00E07204"/>
    <w:rsid w:val="00E10BA0"/>
    <w:rsid w:val="00E150BD"/>
    <w:rsid w:val="00E21CD1"/>
    <w:rsid w:val="00E370F8"/>
    <w:rsid w:val="00E37B1B"/>
    <w:rsid w:val="00E41188"/>
    <w:rsid w:val="00E41AC1"/>
    <w:rsid w:val="00E46CD7"/>
    <w:rsid w:val="00E50BC2"/>
    <w:rsid w:val="00E51D2E"/>
    <w:rsid w:val="00E60802"/>
    <w:rsid w:val="00E63408"/>
    <w:rsid w:val="00E646C5"/>
    <w:rsid w:val="00E65286"/>
    <w:rsid w:val="00E82ED9"/>
    <w:rsid w:val="00EA6C5F"/>
    <w:rsid w:val="00EA6E64"/>
    <w:rsid w:val="00EA70FD"/>
    <w:rsid w:val="00EB3835"/>
    <w:rsid w:val="00EB534B"/>
    <w:rsid w:val="00EB56CF"/>
    <w:rsid w:val="00EC0787"/>
    <w:rsid w:val="00EC1140"/>
    <w:rsid w:val="00EC78CC"/>
    <w:rsid w:val="00EC79E3"/>
    <w:rsid w:val="00ED3B78"/>
    <w:rsid w:val="00ED596C"/>
    <w:rsid w:val="00EE1233"/>
    <w:rsid w:val="00EF1F7D"/>
    <w:rsid w:val="00EF52A4"/>
    <w:rsid w:val="00EF6E0B"/>
    <w:rsid w:val="00F02C22"/>
    <w:rsid w:val="00F07943"/>
    <w:rsid w:val="00F118FC"/>
    <w:rsid w:val="00F11CF2"/>
    <w:rsid w:val="00F15B3C"/>
    <w:rsid w:val="00F166B1"/>
    <w:rsid w:val="00F2402B"/>
    <w:rsid w:val="00F249DB"/>
    <w:rsid w:val="00F24C3C"/>
    <w:rsid w:val="00F271E4"/>
    <w:rsid w:val="00F308DF"/>
    <w:rsid w:val="00F31D4A"/>
    <w:rsid w:val="00F41C6D"/>
    <w:rsid w:val="00F44F4E"/>
    <w:rsid w:val="00F504D2"/>
    <w:rsid w:val="00F559DD"/>
    <w:rsid w:val="00F577DA"/>
    <w:rsid w:val="00F601AF"/>
    <w:rsid w:val="00F602A9"/>
    <w:rsid w:val="00F63EF5"/>
    <w:rsid w:val="00F668B0"/>
    <w:rsid w:val="00F71D5B"/>
    <w:rsid w:val="00F762E9"/>
    <w:rsid w:val="00F77745"/>
    <w:rsid w:val="00F803ED"/>
    <w:rsid w:val="00F8106C"/>
    <w:rsid w:val="00F810A7"/>
    <w:rsid w:val="00F8705B"/>
    <w:rsid w:val="00FA378C"/>
    <w:rsid w:val="00FA4A4A"/>
    <w:rsid w:val="00FA6DE8"/>
    <w:rsid w:val="00FB1381"/>
    <w:rsid w:val="00FB3838"/>
    <w:rsid w:val="00FC3DCF"/>
    <w:rsid w:val="00FD065C"/>
    <w:rsid w:val="00FD26FC"/>
    <w:rsid w:val="00FD4BED"/>
    <w:rsid w:val="00FD5D74"/>
    <w:rsid w:val="00FE0E08"/>
    <w:rsid w:val="00FE6C4B"/>
    <w:rsid w:val="00FE7036"/>
    <w:rsid w:val="00FF48A0"/>
    <w:rsid w:val="00FF4D7D"/>
    <w:rsid w:val="00FF669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166803"/>
  <w15:docId w15:val="{7614D577-6B13-4C23-8F85-A2DA0F5B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61AC"/>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5E61AC"/>
    <w:pPr>
      <w:tabs>
        <w:tab w:val="center" w:pos="4320"/>
        <w:tab w:val="right" w:pos="8640"/>
      </w:tabs>
    </w:pPr>
  </w:style>
  <w:style w:type="character" w:customStyle="1" w:styleId="HlavikaChar">
    <w:name w:val="Hlavička Char"/>
    <w:basedOn w:val="Predvolenpsmoodseku"/>
    <w:link w:val="Hlavika"/>
    <w:semiHidden/>
    <w:rsid w:val="005E61AC"/>
    <w:rPr>
      <w:rFonts w:ascii="Verdana" w:eastAsia="Times New Roman" w:hAnsi="Verdana" w:cs="Times New Roman"/>
      <w:sz w:val="17"/>
      <w:szCs w:val="24"/>
      <w:lang w:val="en-GB"/>
    </w:rPr>
  </w:style>
  <w:style w:type="paragraph" w:styleId="Pta">
    <w:name w:val="footer"/>
    <w:basedOn w:val="Normlny"/>
    <w:link w:val="PtaChar"/>
    <w:semiHidden/>
    <w:rsid w:val="005E61AC"/>
    <w:pPr>
      <w:tabs>
        <w:tab w:val="center" w:pos="4320"/>
        <w:tab w:val="right" w:pos="8640"/>
      </w:tabs>
    </w:pPr>
  </w:style>
  <w:style w:type="character" w:customStyle="1" w:styleId="PtaChar">
    <w:name w:val="Päta Char"/>
    <w:basedOn w:val="Predvolenpsmoodseku"/>
    <w:link w:val="Pta"/>
    <w:semiHidden/>
    <w:rsid w:val="005E61AC"/>
    <w:rPr>
      <w:rFonts w:ascii="Verdana" w:eastAsia="Times New Roman" w:hAnsi="Verdana" w:cs="Times New Roman"/>
      <w:sz w:val="17"/>
      <w:szCs w:val="24"/>
      <w:lang w:val="en-GB"/>
    </w:rPr>
  </w:style>
  <w:style w:type="paragraph" w:customStyle="1" w:styleId="Noparagraphstyle">
    <w:name w:val="[No paragraph style]"/>
    <w:semiHidden/>
    <w:rsid w:val="005E61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5E61AC"/>
  </w:style>
  <w:style w:type="paragraph" w:customStyle="1" w:styleId="CEALabel">
    <w:name w:val="CEA Label"/>
    <w:basedOn w:val="Normlny"/>
    <w:semiHidden/>
    <w:qFormat/>
    <w:rsid w:val="005E61AC"/>
    <w:pPr>
      <w:tabs>
        <w:tab w:val="right" w:pos="360"/>
        <w:tab w:val="left" w:pos="540"/>
      </w:tabs>
      <w:autoSpaceDE w:val="0"/>
      <w:autoSpaceDN w:val="0"/>
      <w:adjustRightInd w:val="0"/>
      <w:spacing w:before="30"/>
      <w:jc w:val="right"/>
      <w:textAlignment w:val="center"/>
    </w:pPr>
    <w:rPr>
      <w:rFonts w:cs="Frutiger LT Std 55 Roman"/>
      <w:b/>
      <w:color w:val="034EA2"/>
      <w:spacing w:val="-4"/>
      <w:w w:val="90"/>
      <w:sz w:val="16"/>
      <w:szCs w:val="16"/>
    </w:rPr>
  </w:style>
  <w:style w:type="paragraph" w:customStyle="1" w:styleId="CEAFooterauthorinfo">
    <w:name w:val="CEA Footer (author info)"/>
    <w:basedOn w:val="Normlny"/>
    <w:semiHidden/>
    <w:qFormat/>
    <w:rsid w:val="005E61AC"/>
    <w:pPr>
      <w:autoSpaceDE w:val="0"/>
      <w:autoSpaceDN w:val="0"/>
      <w:adjustRightInd w:val="0"/>
      <w:ind w:left="546"/>
      <w:textAlignment w:val="center"/>
    </w:pPr>
    <w:rPr>
      <w:rFonts w:cs="Frutiger LT Std 55 Roman"/>
      <w:b/>
      <w:color w:val="034EA2"/>
      <w:sz w:val="16"/>
      <w:szCs w:val="16"/>
    </w:rPr>
  </w:style>
  <w:style w:type="paragraph" w:customStyle="1" w:styleId="CEADraft">
    <w:name w:val="CEA Draft"/>
    <w:basedOn w:val="Normlny"/>
    <w:semiHidden/>
    <w:qFormat/>
    <w:rsid w:val="005E61AC"/>
    <w:pPr>
      <w:jc w:val="right"/>
    </w:pPr>
    <w:rPr>
      <w:rFonts w:cs="Frutiger LT Std 55 Roman"/>
      <w:b/>
      <w:color w:val="034EA2"/>
      <w:sz w:val="32"/>
      <w:szCs w:val="40"/>
    </w:rPr>
  </w:style>
  <w:style w:type="paragraph" w:customStyle="1" w:styleId="CEASubjectLine">
    <w:name w:val="CEA Subject Line"/>
    <w:basedOn w:val="Normlny"/>
    <w:semiHidden/>
    <w:qFormat/>
    <w:rsid w:val="005E61AC"/>
    <w:rPr>
      <w:rFonts w:cs="Frutiger LT Std 55 Roman"/>
      <w:b/>
      <w:szCs w:val="20"/>
    </w:rPr>
  </w:style>
  <w:style w:type="character" w:customStyle="1" w:styleId="CEAGraphTitle">
    <w:name w:val="CEA Graph Title"/>
    <w:basedOn w:val="Predvolenpsmoodseku"/>
    <w:uiPriority w:val="1"/>
    <w:qFormat/>
    <w:rsid w:val="005E61AC"/>
    <w:rPr>
      <w:rFonts w:ascii="Verdana" w:hAnsi="Verdana"/>
      <w:smallCaps w:val="0"/>
      <w:sz w:val="19"/>
      <w:lang w:val="en-GB"/>
    </w:rPr>
  </w:style>
  <w:style w:type="paragraph" w:customStyle="1" w:styleId="CEADirectorGeneral">
    <w:name w:val="CEA Director General"/>
    <w:basedOn w:val="Normlny"/>
    <w:semiHidden/>
    <w:qFormat/>
    <w:rsid w:val="005E61AC"/>
    <w:pPr>
      <w:tabs>
        <w:tab w:val="right" w:pos="360"/>
        <w:tab w:val="left" w:pos="540"/>
      </w:tabs>
      <w:autoSpaceDE w:val="0"/>
      <w:autoSpaceDN w:val="0"/>
      <w:adjustRightInd w:val="0"/>
      <w:textAlignment w:val="center"/>
    </w:pPr>
    <w:rPr>
      <w:sz w:val="22"/>
      <w:szCs w:val="22"/>
    </w:rPr>
  </w:style>
  <w:style w:type="paragraph" w:customStyle="1" w:styleId="CEAFootnote">
    <w:name w:val="CEA Footnote"/>
    <w:basedOn w:val="Normlny"/>
    <w:semiHidden/>
    <w:qFormat/>
    <w:rsid w:val="005E61AC"/>
    <w:pPr>
      <w:spacing w:line="240" w:lineRule="auto"/>
    </w:pPr>
    <w:rPr>
      <w:sz w:val="16"/>
    </w:rPr>
  </w:style>
  <w:style w:type="paragraph" w:styleId="Textbubliny">
    <w:name w:val="Balloon Text"/>
    <w:basedOn w:val="Normlny"/>
    <w:link w:val="TextbublinyChar"/>
    <w:uiPriority w:val="99"/>
    <w:semiHidden/>
    <w:unhideWhenUsed/>
    <w:rsid w:val="005E61A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61AC"/>
    <w:rPr>
      <w:rFonts w:ascii="Tahoma" w:eastAsia="Times New Roman" w:hAnsi="Tahoma" w:cs="Tahoma"/>
      <w:sz w:val="16"/>
      <w:szCs w:val="16"/>
      <w:lang w:val="en-GB"/>
    </w:rPr>
  </w:style>
  <w:style w:type="paragraph" w:customStyle="1" w:styleId="CEABullet-Level1">
    <w:name w:val="CEA Bullet - Level 1"/>
    <w:basedOn w:val="Normlny"/>
    <w:qFormat/>
    <w:rsid w:val="00137F5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37F50"/>
    <w:pPr>
      <w:numPr>
        <w:numId w:val="2"/>
      </w:numPr>
    </w:pPr>
  </w:style>
  <w:style w:type="paragraph" w:customStyle="1" w:styleId="CEABullet-Level3">
    <w:name w:val="CEA Bullet - Level 3"/>
    <w:basedOn w:val="Normlny"/>
    <w:qFormat/>
    <w:rsid w:val="00137F50"/>
    <w:pPr>
      <w:numPr>
        <w:numId w:val="3"/>
      </w:numPr>
      <w:autoSpaceDE w:val="0"/>
      <w:autoSpaceDN w:val="0"/>
      <w:adjustRightInd w:val="0"/>
    </w:pPr>
    <w:rPr>
      <w:rFonts w:cs="Frutiger LT Std 45 Light"/>
      <w:color w:val="000000"/>
      <w:szCs w:val="20"/>
    </w:rPr>
  </w:style>
  <w:style w:type="paragraph" w:customStyle="1" w:styleId="CEADocumentType">
    <w:name w:val="CEA Document Type"/>
    <w:basedOn w:val="Normlny"/>
    <w:semiHidden/>
    <w:qFormat/>
    <w:rsid w:val="00262164"/>
    <w:pPr>
      <w:jc w:val="right"/>
    </w:pPr>
    <w:rPr>
      <w:rFonts w:cs="Frutiger LT Std 55 Roman"/>
      <w:b/>
      <w:color w:val="0032FF"/>
      <w:sz w:val="40"/>
      <w:szCs w:val="40"/>
    </w:rPr>
  </w:style>
  <w:style w:type="character" w:customStyle="1" w:styleId="CEAGraphX">
    <w:name w:val="CEA Graph X"/>
    <w:uiPriority w:val="1"/>
    <w:qFormat/>
    <w:rsid w:val="00262164"/>
    <w:rPr>
      <w:rFonts w:ascii="Verdana" w:hAnsi="Verdana"/>
      <w:smallCaps/>
      <w:sz w:val="19"/>
      <w:lang w:val="en-GB"/>
    </w:rPr>
  </w:style>
  <w:style w:type="paragraph" w:customStyle="1" w:styleId="CEAPositionPaperTitle">
    <w:name w:val="CEA Position Paper Title"/>
    <w:basedOn w:val="Normlny"/>
    <w:semiHidden/>
    <w:qFormat/>
    <w:rsid w:val="00262164"/>
    <w:pPr>
      <w:ind w:left="-27"/>
    </w:pPr>
    <w:rPr>
      <w:b/>
      <w:color w:val="034EA2"/>
      <w:sz w:val="32"/>
      <w:szCs w:val="32"/>
    </w:rPr>
  </w:style>
  <w:style w:type="paragraph" w:customStyle="1" w:styleId="CEAPressReleaseSubtitle">
    <w:name w:val="CEA Press Release Subtitle"/>
    <w:basedOn w:val="Normlny"/>
    <w:semiHidden/>
    <w:qFormat/>
    <w:rsid w:val="00262164"/>
    <w:rPr>
      <w:sz w:val="22"/>
      <w:szCs w:val="22"/>
    </w:rPr>
  </w:style>
  <w:style w:type="paragraph" w:customStyle="1" w:styleId="CEAPressReleaseTitle">
    <w:name w:val="CEA Press Release Title"/>
    <w:basedOn w:val="Normlny"/>
    <w:semiHidden/>
    <w:qFormat/>
    <w:rsid w:val="00262164"/>
    <w:pPr>
      <w:autoSpaceDE w:val="0"/>
      <w:autoSpaceDN w:val="0"/>
      <w:adjustRightInd w:val="0"/>
      <w:spacing w:line="240" w:lineRule="auto"/>
    </w:pPr>
    <w:rPr>
      <w:rFonts w:ascii="Frutiger LT Com 45 Light" w:hAnsi="Frutiger LT Com 45 Light"/>
      <w:b/>
      <w:color w:val="034EA2"/>
      <w:sz w:val="36"/>
      <w:szCs w:val="36"/>
    </w:rPr>
  </w:style>
  <w:style w:type="character" w:styleId="Zstupntext">
    <w:name w:val="Placeholder Text"/>
    <w:basedOn w:val="Predvolenpsmoodseku"/>
    <w:uiPriority w:val="99"/>
    <w:semiHidden/>
    <w:rsid w:val="00B15750"/>
    <w:rPr>
      <w:color w:val="808080"/>
    </w:rPr>
  </w:style>
  <w:style w:type="table" w:styleId="Mriekatabuky">
    <w:name w:val="Table Grid"/>
    <w:basedOn w:val="Normlnatabuka"/>
    <w:uiPriority w:val="59"/>
    <w:rsid w:val="009C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B31419"/>
    <w:rPr>
      <w:color w:val="0000FF"/>
      <w:u w:val="single"/>
    </w:rPr>
  </w:style>
  <w:style w:type="character" w:styleId="Odkaznakomentr">
    <w:name w:val="annotation reference"/>
    <w:basedOn w:val="Predvolenpsmoodseku"/>
    <w:uiPriority w:val="99"/>
    <w:semiHidden/>
    <w:unhideWhenUsed/>
    <w:rsid w:val="000A4F35"/>
    <w:rPr>
      <w:sz w:val="16"/>
      <w:szCs w:val="16"/>
    </w:rPr>
  </w:style>
  <w:style w:type="paragraph" w:styleId="Textkomentra">
    <w:name w:val="annotation text"/>
    <w:basedOn w:val="Normlny"/>
    <w:link w:val="TextkomentraChar"/>
    <w:uiPriority w:val="99"/>
    <w:unhideWhenUsed/>
    <w:rsid w:val="000A4F35"/>
    <w:pPr>
      <w:spacing w:line="240" w:lineRule="auto"/>
    </w:pPr>
    <w:rPr>
      <w:sz w:val="20"/>
      <w:szCs w:val="20"/>
    </w:rPr>
  </w:style>
  <w:style w:type="character" w:customStyle="1" w:styleId="TextkomentraChar">
    <w:name w:val="Text komentára Char"/>
    <w:basedOn w:val="Predvolenpsmoodseku"/>
    <w:link w:val="Textkomentra"/>
    <w:uiPriority w:val="99"/>
    <w:rsid w:val="000A4F35"/>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0A4F35"/>
    <w:rPr>
      <w:b/>
      <w:bCs/>
    </w:rPr>
  </w:style>
  <w:style w:type="character" w:customStyle="1" w:styleId="PredmetkomentraChar">
    <w:name w:val="Predmet komentára Char"/>
    <w:basedOn w:val="TextkomentraChar"/>
    <w:link w:val="Predmetkomentra"/>
    <w:uiPriority w:val="99"/>
    <w:semiHidden/>
    <w:rsid w:val="000A4F35"/>
    <w:rPr>
      <w:rFonts w:ascii="Verdana" w:eastAsia="Times New Roman" w:hAnsi="Verdana" w:cs="Times New Roman"/>
      <w:b/>
      <w:bCs/>
      <w:sz w:val="20"/>
      <w:szCs w:val="20"/>
      <w:lang w:val="en-GB"/>
    </w:rPr>
  </w:style>
  <w:style w:type="paragraph" w:styleId="Zkladntext">
    <w:name w:val="Body Text"/>
    <w:basedOn w:val="Normlny"/>
    <w:link w:val="ZkladntextChar"/>
    <w:semiHidden/>
    <w:rsid w:val="00C41C75"/>
    <w:pPr>
      <w:spacing w:line="240" w:lineRule="auto"/>
    </w:pPr>
    <w:rPr>
      <w:rFonts w:ascii="Times New Roman" w:hAnsi="Times New Roman"/>
      <w:sz w:val="26"/>
      <w:szCs w:val="20"/>
      <w:lang w:val="it-IT" w:eastAsia="it-IT"/>
    </w:rPr>
  </w:style>
  <w:style w:type="character" w:customStyle="1" w:styleId="ZkladntextChar">
    <w:name w:val="Základný text Char"/>
    <w:basedOn w:val="Predvolenpsmoodseku"/>
    <w:link w:val="Zkladntext"/>
    <w:semiHidden/>
    <w:rsid w:val="00C41C75"/>
    <w:rPr>
      <w:rFonts w:ascii="Times New Roman" w:eastAsia="Times New Roman" w:hAnsi="Times New Roman" w:cs="Times New Roman"/>
      <w:sz w:val="26"/>
      <w:szCs w:val="20"/>
      <w:lang w:val="it-IT" w:eastAsia="it-IT"/>
    </w:rPr>
  </w:style>
  <w:style w:type="paragraph" w:customStyle="1" w:styleId="xmsonormal">
    <w:name w:val="x_msonormal"/>
    <w:basedOn w:val="Normlny"/>
    <w:rsid w:val="00383DCE"/>
    <w:pPr>
      <w:spacing w:line="240" w:lineRule="auto"/>
      <w:jc w:val="left"/>
    </w:pPr>
    <w:rPr>
      <w:rFonts w:ascii="Calibri" w:eastAsiaTheme="minorHAnsi" w:hAnsi="Calibri" w:cs="Calibri"/>
      <w:sz w:val="20"/>
      <w:szCs w:val="20"/>
      <w:lang w:eastAsia="en-GB"/>
    </w:rPr>
  </w:style>
  <w:style w:type="paragraph" w:styleId="Revzia">
    <w:name w:val="Revision"/>
    <w:hidden/>
    <w:uiPriority w:val="99"/>
    <w:semiHidden/>
    <w:rsid w:val="00A6056D"/>
    <w:pPr>
      <w:spacing w:after="0" w:line="240" w:lineRule="auto"/>
    </w:pPr>
    <w:rPr>
      <w:rFonts w:ascii="Verdana" w:eastAsia="Times New Roman" w:hAnsi="Verdana" w:cs="Times New Roman"/>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6354">
      <w:bodyDiv w:val="1"/>
      <w:marLeft w:val="0"/>
      <w:marRight w:val="0"/>
      <w:marTop w:val="0"/>
      <w:marBottom w:val="0"/>
      <w:divBdr>
        <w:top w:val="none" w:sz="0" w:space="0" w:color="auto"/>
        <w:left w:val="none" w:sz="0" w:space="0" w:color="auto"/>
        <w:bottom w:val="none" w:sz="0" w:space="0" w:color="auto"/>
        <w:right w:val="none" w:sz="0" w:space="0" w:color="auto"/>
      </w:divBdr>
    </w:div>
    <w:div w:id="13303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adline xmlns="85aa765a-1fd1-4bd0-ae2e-6866ee3065fb" xsi:nil="true"/>
    <Type_x0020_of_x0020_memo xmlns="85aa765a-1fd1-4bd0-ae2e-6866ee3065fb" xsi:nil="true"/>
    <Type_x0020_of_x0020_document xmlns="85aa765a-1fd1-4bd0-ae2e-6866ee3065fb" xsi:nil="true"/>
    <Leading_x0020_document xmlns="85aa765a-1fd1-4bd0-ae2e-6866ee3065fb" xsi:nil="true"/>
    <ValidationComment xmlns="85aa765a-1fd1-4bd0-ae2e-6866ee3065fb" xsi:nil="true"/>
    <AllowComments xmlns="85aa765a-1fd1-4bd0-ae2e-6866ee3065fb">true</AllowComments>
    <Uploads xmlns="85aa765a-1fd1-4bd0-ae2e-6866ee3065fb" xsi:nil="true"/>
    <isAnnex xmlns="85aa765a-1fd1-4bd0-ae2e-6866ee3065fb" xsi:nil="true"/>
    <Validated xmlns="85aa765a-1fd1-4bd0-ae2e-6866ee3065fb">false</Validated>
    <Can_x0020_be_x0020_edited xmlns="85aa765a-1fd1-4bd0-ae2e-6866ee3065fb">false</Can_x0020_be_x0020_edited>
    <Allow_x0020_uploads xmlns="85aa765a-1fd1-4bd0-ae2e-6866ee3065fb" xsi:nil="true"/>
    <Feedback_x0020_type xmlns="85aa765a-1fd1-4bd0-ae2e-6866ee3065fb" xsi:nil="true"/>
    <Display_x0020_validated_x0020_documents_x0020_library_x0020_button xmlns="85aa765a-1fd1-4bd0-ae2e-6866ee3065fb">false</Display_x0020_validated_x0020_documents_x0020_library_x0020_button>
    <Allow_x0020_comments xmlns="85aa765a-1fd1-4bd0-ae2e-6866ee3065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E756CBAF10E21A4CAD31D20A5B3F0406" ma:contentTypeVersion="22" ma:contentTypeDescription="Published Documents Content types for Insurance Europe" ma:contentTypeScope="" ma:versionID="386eabea3e30b3cc4b7aed42e1253a30">
  <xsd:schema xmlns:xsd="http://www.w3.org/2001/XMLSchema" xmlns:xs="http://www.w3.org/2001/XMLSchema" xmlns:p="http://schemas.microsoft.com/office/2006/metadata/properties" xmlns:ns2="85aa765a-1fd1-4bd0-ae2e-6866ee3065fb" targetNamespace="http://schemas.microsoft.com/office/2006/metadata/properties" ma:root="true" ma:fieldsID="e057c3029542c6e27314baae246fbe24" ns2:_="">
    <xsd:import namespace="85aa765a-1fd1-4bd0-ae2e-6866ee3065fb"/>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a765a-1fd1-4bd0-ae2e-6866ee3065fb"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1CAC4-B686-4BB2-8C27-FF7C5DEB17D2}">
  <ds:schemaRefs>
    <ds:schemaRef ds:uri="http://schemas.openxmlformats.org/officeDocument/2006/bibliography"/>
  </ds:schemaRefs>
</ds:datastoreItem>
</file>

<file path=customXml/itemProps2.xml><?xml version="1.0" encoding="utf-8"?>
<ds:datastoreItem xmlns:ds="http://schemas.openxmlformats.org/officeDocument/2006/customXml" ds:itemID="{254D9CA3-FDE4-41AD-825B-2983D78950D9}">
  <ds:schemaRefs>
    <ds:schemaRef ds:uri="http://schemas.microsoft.com/sharepoint/v3/contenttype/forms"/>
  </ds:schemaRefs>
</ds:datastoreItem>
</file>

<file path=customXml/itemProps3.xml><?xml version="1.0" encoding="utf-8"?>
<ds:datastoreItem xmlns:ds="http://schemas.openxmlformats.org/officeDocument/2006/customXml" ds:itemID="{943C5F98-82EB-4005-89F2-A1F4C192C0CD}">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5aa765a-1fd1-4bd0-ae2e-6866ee3065fb"/>
  </ds:schemaRefs>
</ds:datastoreItem>
</file>

<file path=customXml/itemProps4.xml><?xml version="1.0" encoding="utf-8"?>
<ds:datastoreItem xmlns:ds="http://schemas.openxmlformats.org/officeDocument/2006/customXml" ds:itemID="{9F0E6659-9276-4693-85DF-301B1F8F0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a765a-1fd1-4bd0-ae2e-6866ee306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Test subject</vt:lpstr>
    </vt:vector>
  </TitlesOfParts>
  <Company>Insurance Europe</Company>
  <LinksUpToDate>false</LinksUpToDate>
  <CharactersWithSpaces>13459</CharactersWithSpaces>
  <SharedDoc>false</SharedDoc>
  <HLinks>
    <vt:vector size="6" baseType="variant">
      <vt:variant>
        <vt:i4>7471208</vt:i4>
      </vt:variant>
      <vt:variant>
        <vt:i4>0</vt:i4>
      </vt:variant>
      <vt:variant>
        <vt:i4>0</vt:i4>
      </vt:variant>
      <vt:variant>
        <vt:i4>5</vt:i4>
      </vt:variant>
      <vt:variant>
        <vt:lpwstr>https://www.insuranceeurope.eu/publications/2825/response-to-ec-initiative-for-a-directive-on-business-in-europe-framework-for-income-taxation/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Final: input to DG TAXUD on BEFIT</dc:title>
  <dc:subject/>
  <dc:creator>Insurance Europe</dc:creator>
  <cp:keywords/>
  <cp:lastModifiedBy>jozef.bachnicek</cp:lastModifiedBy>
  <cp:revision>2</cp:revision>
  <cp:lastPrinted>2023-06-30T09:46:00Z</cp:lastPrinted>
  <dcterms:created xsi:type="dcterms:W3CDTF">2023-07-03T06:05:00Z</dcterms:created>
  <dcterms:modified xsi:type="dcterms:W3CDTF">2023-07-03T06:05:00Z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0x010100E756CBAF10E21A4CAD31D20A5B3F0406</vt:lpwstr>
  </property>
  <property fmtid="{D5CDD505-2E9C-101B-9397-08002B2CF9AE}" pid="3" name="_dlc_DocIdItemGuid">
    <vt:lpwstr>7452c55d-c32d-46fb-bdee-91fcb42a6316</vt:lpwstr>
  </property>
</Properties>
</file>