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riekatabuky"/>
        <w:tblW w:w="0" w:type="auto"/>
        <w:tblLook w:val="04A0" w:firstRow="1" w:lastRow="0" w:firstColumn="1" w:lastColumn="0" w:noHBand="0" w:noVBand="1"/>
      </w:tblPr>
      <w:tblGrid>
        <w:gridCol w:w="9212"/>
      </w:tblGrid>
      <w:tr w:rsidR="009F2DFA" w:rsidRPr="00F04CCD" w:rsidTr="007B71A4">
        <w:trPr>
          <w:trHeight w:val="567"/>
        </w:trPr>
        <w:tc>
          <w:tcPr>
            <w:tcW w:w="9212" w:type="dxa"/>
            <w:shd w:val="clear" w:color="auto" w:fill="D9D9D9" w:themeFill="background1" w:themeFillShade="D9"/>
          </w:tcPr>
          <w:p w:rsidR="009F2DFA" w:rsidRPr="00042C66" w:rsidRDefault="008A1252" w:rsidP="007B71A4">
            <w:pPr>
              <w:jc w:val="center"/>
              <w:rPr>
                <w:b/>
                <w:sz w:val="24"/>
              </w:rPr>
            </w:pPr>
            <w:r w:rsidRPr="008A1252">
              <w:rPr>
                <w:b/>
                <w:sz w:val="28"/>
              </w:rPr>
              <w:t xml:space="preserve">Analýza </w:t>
            </w:r>
            <w:r>
              <w:rPr>
                <w:b/>
                <w:sz w:val="28"/>
              </w:rPr>
              <w:t>v</w:t>
            </w:r>
            <w:r w:rsidR="009F2DFA" w:rsidRPr="00042C66">
              <w:rPr>
                <w:b/>
                <w:sz w:val="28"/>
              </w:rPr>
              <w:t>plyv</w:t>
            </w:r>
            <w:r>
              <w:rPr>
                <w:b/>
                <w:sz w:val="28"/>
              </w:rPr>
              <w:t>ov</w:t>
            </w:r>
            <w:r w:rsidR="009F2DFA" w:rsidRPr="00042C66">
              <w:rPr>
                <w:b/>
                <w:sz w:val="28"/>
              </w:rPr>
              <w:t xml:space="preserve"> na podnikateľské prostredie </w:t>
            </w:r>
          </w:p>
          <w:p w:rsidR="009F2DFA" w:rsidRPr="00F04CCD" w:rsidRDefault="009F2DFA" w:rsidP="00780BA6">
            <w:pPr>
              <w:jc w:val="center"/>
              <w:rPr>
                <w:b/>
              </w:rPr>
            </w:pPr>
            <w:r w:rsidRPr="00042C66">
              <w:rPr>
                <w:b/>
                <w:sz w:val="24"/>
              </w:rPr>
              <w:t xml:space="preserve">(vrátane </w:t>
            </w:r>
            <w:r w:rsidR="00780BA6">
              <w:rPr>
                <w:b/>
                <w:sz w:val="24"/>
              </w:rPr>
              <w:t xml:space="preserve">testu </w:t>
            </w:r>
            <w:r w:rsidRPr="00042C66">
              <w:rPr>
                <w:b/>
                <w:sz w:val="24"/>
              </w:rPr>
              <w:t>MSP)</w:t>
            </w:r>
          </w:p>
        </w:tc>
      </w:tr>
      <w:tr w:rsidR="009F2DFA" w:rsidRPr="00F04CCD" w:rsidTr="007B71A4">
        <w:trPr>
          <w:trHeight w:val="567"/>
        </w:trPr>
        <w:tc>
          <w:tcPr>
            <w:tcW w:w="9212" w:type="dxa"/>
            <w:shd w:val="clear" w:color="auto" w:fill="D9D9D9" w:themeFill="background1" w:themeFillShade="D9"/>
          </w:tcPr>
          <w:p w:rsidR="009F2DFA" w:rsidRPr="00042C66" w:rsidRDefault="009F2DFA" w:rsidP="007B71A4">
            <w:pPr>
              <w:rPr>
                <w:b/>
                <w:sz w:val="24"/>
              </w:rPr>
            </w:pPr>
            <w:r w:rsidRPr="00042C66">
              <w:rPr>
                <w:b/>
                <w:sz w:val="24"/>
              </w:rPr>
              <w:t>Materiál bude mať vplyv s ohľadom na veľkostnú kategóriu podnikov:</w:t>
            </w:r>
          </w:p>
        </w:tc>
      </w:tr>
      <w:tr w:rsidR="009F2DFA" w:rsidRPr="00F04CCD" w:rsidTr="007B71A4">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9F2DFA" w:rsidRPr="00F04CCD" w:rsidTr="007B71A4">
              <w:sdt>
                <w:sdtPr>
                  <w:id w:val="43339831"/>
                  <w14:checkbox>
                    <w14:checked w14:val="0"/>
                    <w14:checkedState w14:val="2612" w14:font="MS Gothic"/>
                    <w14:uncheckedState w14:val="2610" w14:font="MS Gothic"/>
                  </w14:checkbox>
                </w:sdtPr>
                <w:sdtEndPr/>
                <w:sdtContent>
                  <w:tc>
                    <w:tcPr>
                      <w:tcW w:w="436" w:type="dxa"/>
                    </w:tcPr>
                    <w:p w:rsidR="009F2DFA" w:rsidRPr="00F04CCD" w:rsidRDefault="009F2DFA" w:rsidP="007B71A4">
                      <w:pPr>
                        <w:jc w:val="center"/>
                      </w:pPr>
                      <w:r w:rsidRPr="00F04CCD">
                        <w:rPr>
                          <w:rFonts w:ascii="MS Mincho" w:eastAsia="MS Mincho" w:hAnsi="MS Mincho" w:cs="MS Mincho" w:hint="eastAsia"/>
                        </w:rPr>
                        <w:t>☐</w:t>
                      </w:r>
                    </w:p>
                  </w:tc>
                </w:sdtContent>
              </w:sdt>
              <w:tc>
                <w:tcPr>
                  <w:tcW w:w="8545" w:type="dxa"/>
                </w:tcPr>
                <w:p w:rsidR="009F2DFA" w:rsidRPr="00F04CCD" w:rsidRDefault="009F2DFA" w:rsidP="007B71A4">
                  <w:pPr>
                    <w:rPr>
                      <w:b/>
                    </w:rPr>
                  </w:pPr>
                  <w:r w:rsidRPr="00F04CCD">
                    <w:rPr>
                      <w:b/>
                    </w:rPr>
                    <w:t xml:space="preserve">iba na MSP (0 - 249 zamestnancov) </w:t>
                  </w:r>
                </w:p>
              </w:tc>
            </w:tr>
            <w:tr w:rsidR="009F2DFA" w:rsidRPr="00F04CCD" w:rsidTr="007B71A4">
              <w:sdt>
                <w:sdtPr>
                  <w:id w:val="-79453833"/>
                  <w14:checkbox>
                    <w14:checked w14:val="1"/>
                    <w14:checkedState w14:val="2612" w14:font="MS Gothic"/>
                    <w14:uncheckedState w14:val="2610" w14:font="MS Gothic"/>
                  </w14:checkbox>
                </w:sdtPr>
                <w:sdtEndPr/>
                <w:sdtContent>
                  <w:tc>
                    <w:tcPr>
                      <w:tcW w:w="436" w:type="dxa"/>
                    </w:tcPr>
                    <w:p w:rsidR="009F2DFA" w:rsidRPr="00F04CCD" w:rsidRDefault="00DC677A" w:rsidP="007B71A4">
                      <w:pPr>
                        <w:jc w:val="center"/>
                      </w:pPr>
                      <w:r>
                        <w:rPr>
                          <w:rFonts w:ascii="MS Gothic" w:eastAsia="MS Gothic" w:hAnsi="MS Gothic" w:hint="eastAsia"/>
                        </w:rPr>
                        <w:t>☒</w:t>
                      </w:r>
                    </w:p>
                  </w:tc>
                </w:sdtContent>
              </w:sdt>
              <w:tc>
                <w:tcPr>
                  <w:tcW w:w="8545" w:type="dxa"/>
                </w:tcPr>
                <w:p w:rsidR="009F2DFA" w:rsidRPr="00F04CCD" w:rsidRDefault="009F2DFA" w:rsidP="007B71A4">
                  <w:pPr>
                    <w:rPr>
                      <w:b/>
                    </w:rPr>
                  </w:pPr>
                  <w:r w:rsidRPr="00F04CCD">
                    <w:rPr>
                      <w:b/>
                    </w:rPr>
                    <w:t>iba na veľké podniky (250 a viac zamestnancov)</w:t>
                  </w:r>
                </w:p>
              </w:tc>
            </w:tr>
            <w:tr w:rsidR="009F2DFA" w:rsidRPr="00F04CCD" w:rsidTr="007B71A4">
              <w:sdt>
                <w:sdtPr>
                  <w:id w:val="1290634502"/>
                  <w14:checkbox>
                    <w14:checked w14:val="0"/>
                    <w14:checkedState w14:val="2612" w14:font="MS Gothic"/>
                    <w14:uncheckedState w14:val="2610" w14:font="MS Gothic"/>
                  </w14:checkbox>
                </w:sdtPr>
                <w:sdtEndPr/>
                <w:sdtContent>
                  <w:tc>
                    <w:tcPr>
                      <w:tcW w:w="436" w:type="dxa"/>
                    </w:tcPr>
                    <w:p w:rsidR="009F2DFA" w:rsidRPr="00F04CCD" w:rsidRDefault="009F2DFA" w:rsidP="007B71A4">
                      <w:pPr>
                        <w:jc w:val="center"/>
                      </w:pPr>
                      <w:r w:rsidRPr="00F04CCD">
                        <w:rPr>
                          <w:rFonts w:ascii="MS Mincho" w:eastAsia="MS Mincho" w:hAnsi="MS Mincho" w:cs="MS Mincho" w:hint="eastAsia"/>
                        </w:rPr>
                        <w:t>☐</w:t>
                      </w:r>
                    </w:p>
                  </w:tc>
                </w:sdtContent>
              </w:sdt>
              <w:tc>
                <w:tcPr>
                  <w:tcW w:w="8545" w:type="dxa"/>
                </w:tcPr>
                <w:p w:rsidR="009F2DFA" w:rsidRPr="00F04CCD" w:rsidRDefault="009F2DFA" w:rsidP="007B71A4">
                  <w:r w:rsidRPr="00F04CCD">
                    <w:rPr>
                      <w:b/>
                    </w:rPr>
                    <w:t xml:space="preserve">na všetky </w:t>
                  </w:r>
                  <w:r>
                    <w:rPr>
                      <w:b/>
                    </w:rPr>
                    <w:t>kategórie</w:t>
                  </w:r>
                  <w:r w:rsidRPr="00F04CCD">
                    <w:rPr>
                      <w:b/>
                    </w:rPr>
                    <w:t xml:space="preserve"> podnikov</w:t>
                  </w:r>
                </w:p>
              </w:tc>
            </w:tr>
          </w:tbl>
          <w:p w:rsidR="009F2DFA" w:rsidRPr="00F04CCD" w:rsidRDefault="009F2DFA" w:rsidP="007B71A4">
            <w:pPr>
              <w:rPr>
                <w:b/>
              </w:rPr>
            </w:pP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.1 Dotknuté podnikateľské subjekty</w:t>
            </w:r>
          </w:p>
          <w:p w:rsidR="009F2DFA" w:rsidRPr="00F04CCD" w:rsidRDefault="009F2DFA" w:rsidP="007B71A4">
            <w:pPr>
              <w:ind w:left="284"/>
              <w:rPr>
                <w:b/>
              </w:rPr>
            </w:pPr>
            <w:r w:rsidRPr="00042C66">
              <w:rPr>
                <w:sz w:val="24"/>
              </w:rPr>
              <w:t xml:space="preserve"> - </w:t>
            </w:r>
            <w:r w:rsidRPr="00042C66">
              <w:rPr>
                <w:b/>
                <w:sz w:val="24"/>
              </w:rPr>
              <w:t>z toho MSP</w:t>
            </w:r>
          </w:p>
        </w:tc>
      </w:tr>
      <w:tr w:rsidR="009F2DFA" w:rsidRPr="00F04CCD" w:rsidTr="007B71A4">
        <w:tc>
          <w:tcPr>
            <w:tcW w:w="9212" w:type="dxa"/>
            <w:tcBorders>
              <w:bottom w:val="single" w:sz="4" w:space="0" w:color="auto"/>
            </w:tcBorders>
          </w:tcPr>
          <w:p w:rsidR="009F2DFA" w:rsidRPr="00F04CCD" w:rsidRDefault="009F2DFA" w:rsidP="007B71A4">
            <w:pPr>
              <w:rPr>
                <w:i/>
              </w:rPr>
            </w:pPr>
            <w:r w:rsidRPr="00F04CCD">
              <w:rPr>
                <w:i/>
              </w:rPr>
              <w:t>Uveďte, aké podnikateľské subjekty budú predkladaným návrhom ovplyvnené.</w:t>
            </w:r>
          </w:p>
          <w:p w:rsidR="009F2DFA" w:rsidRPr="00F04CCD" w:rsidRDefault="009F2DFA" w:rsidP="007B71A4">
            <w:pPr>
              <w:rPr>
                <w:i/>
              </w:rPr>
            </w:pPr>
            <w:r w:rsidRPr="00F04CCD">
              <w:rPr>
                <w:i/>
              </w:rPr>
              <w:t>Aký je ich počet?</w:t>
            </w:r>
          </w:p>
        </w:tc>
      </w:tr>
      <w:tr w:rsidR="009F2DFA" w:rsidRPr="00F04CCD" w:rsidTr="007B71A4">
        <w:trPr>
          <w:trHeight w:val="1440"/>
        </w:trPr>
        <w:tc>
          <w:tcPr>
            <w:tcW w:w="9212" w:type="dxa"/>
            <w:tcBorders>
              <w:bottom w:val="single" w:sz="4" w:space="0" w:color="auto"/>
            </w:tcBorders>
          </w:tcPr>
          <w:p w:rsidR="00DC677A" w:rsidRDefault="00DC677A" w:rsidP="006E10C2">
            <w:pPr>
              <w:jc w:val="both"/>
            </w:pPr>
            <w:r>
              <w:t>Uvedená právna úprava má vplyv na</w:t>
            </w:r>
            <w:r w:rsidR="00B53189">
              <w:t xml:space="preserve"> všetkých</w:t>
            </w:r>
            <w:r>
              <w:t xml:space="preserve"> </w:t>
            </w:r>
            <w:r w:rsidR="00F0409C">
              <w:t>päť dôchodkových správcovských spoločností</w:t>
            </w:r>
            <w:r w:rsidRPr="00B304D2">
              <w:t xml:space="preserve"> </w:t>
            </w:r>
            <w:r w:rsidR="00F0409C">
              <w:t>(ďalej len „DS</w:t>
            </w:r>
            <w:r>
              <w:t>S“)</w:t>
            </w:r>
            <w:r w:rsidR="00B53189">
              <w:t xml:space="preserve"> pôsobiacich na trhu starobného dôchodkového sporenia. </w:t>
            </w:r>
          </w:p>
          <w:p w:rsidR="00B53189" w:rsidRPr="00B304D2" w:rsidRDefault="00B53189" w:rsidP="006E10C2">
            <w:pPr>
              <w:jc w:val="both"/>
            </w:pPr>
          </w:p>
          <w:p w:rsidR="00DC677A" w:rsidRPr="00F04CCD" w:rsidRDefault="00DC677A" w:rsidP="00B53189">
            <w:pPr>
              <w:jc w:val="both"/>
              <w:rPr>
                <w:i/>
              </w:rPr>
            </w:pPr>
            <w:r w:rsidRPr="00B304D2">
              <w:rPr>
                <w:i/>
              </w:rPr>
              <w:t xml:space="preserve">Pozn.: Jednotlivé </w:t>
            </w:r>
            <w:r>
              <w:rPr>
                <w:i/>
              </w:rPr>
              <w:t>D</w:t>
            </w:r>
            <w:r w:rsidR="00F0409C">
              <w:rPr>
                <w:i/>
              </w:rPr>
              <w:t>S</w:t>
            </w:r>
            <w:r>
              <w:rPr>
                <w:i/>
              </w:rPr>
              <w:t>S</w:t>
            </w:r>
            <w:r w:rsidRPr="00B304D2">
              <w:rPr>
                <w:i/>
              </w:rPr>
              <w:t xml:space="preserve"> by spĺňali kritériá pre malé a stredné podniky (MSP) ako samostatné podnikateľské subjekty. V súlade s odporúčaním Európskej komisie 2003/361/EC sa však pre potreby analýzy vybraných vplyvov posudzujú kritériá MSP </w:t>
            </w:r>
            <w:r w:rsidR="004922BC">
              <w:rPr>
                <w:i/>
              </w:rPr>
              <w:t xml:space="preserve">nielen </w:t>
            </w:r>
            <w:r w:rsidRPr="00B304D2">
              <w:rPr>
                <w:i/>
              </w:rPr>
              <w:t>vrátane počtu zamestnancov</w:t>
            </w:r>
            <w:r w:rsidR="00842F28">
              <w:rPr>
                <w:i/>
              </w:rPr>
              <w:t>,</w:t>
            </w:r>
            <w:r w:rsidRPr="00B304D2">
              <w:rPr>
                <w:i/>
              </w:rPr>
              <w:t xml:space="preserve"> a</w:t>
            </w:r>
            <w:r w:rsidR="004922BC">
              <w:rPr>
                <w:i/>
              </w:rPr>
              <w:t>le aj</w:t>
            </w:r>
            <w:r w:rsidRPr="00B304D2">
              <w:rPr>
                <w:i/>
              </w:rPr>
              <w:t> obratu akcionárov D</w:t>
            </w:r>
            <w:r w:rsidR="005018A0">
              <w:rPr>
                <w:i/>
              </w:rPr>
              <w:t>S</w:t>
            </w:r>
            <w:r w:rsidRPr="00B304D2">
              <w:rPr>
                <w:i/>
              </w:rPr>
              <w:t>S. Z tohto dôvodu bude mať legislatívna úprava vplyv len na veľké</w:t>
            </w:r>
            <w:r w:rsidR="00617FEF">
              <w:rPr>
                <w:i/>
              </w:rPr>
              <w:t xml:space="preserve"> podniky.</w:t>
            </w:r>
          </w:p>
        </w:tc>
      </w:tr>
      <w:tr w:rsidR="009F2DFA" w:rsidRPr="00F04CCD" w:rsidTr="007B71A4">
        <w:trPr>
          <w:trHeight w:val="339"/>
        </w:trPr>
        <w:tc>
          <w:tcPr>
            <w:tcW w:w="9212" w:type="dxa"/>
            <w:tcBorders>
              <w:bottom w:val="single" w:sz="4" w:space="0" w:color="auto"/>
            </w:tcBorders>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.2 Vyhodnotenie konzultácií</w:t>
            </w:r>
            <w:bookmarkStart w:id="0" w:name="_GoBack"/>
            <w:bookmarkEnd w:id="0"/>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rPr>
          <w:trHeight w:val="557"/>
        </w:trPr>
        <w:tc>
          <w:tcPr>
            <w:tcW w:w="9212" w:type="dxa"/>
            <w:tcBorders>
              <w:bottom w:val="single" w:sz="4" w:space="0" w:color="auto"/>
            </w:tcBorders>
          </w:tcPr>
          <w:p w:rsidR="009F2DFA" w:rsidRPr="00F04CCD" w:rsidRDefault="009F2DFA" w:rsidP="007B71A4">
            <w:pPr>
              <w:rPr>
                <w:i/>
              </w:rPr>
            </w:pPr>
            <w:r w:rsidRPr="00F04CCD">
              <w:rPr>
                <w:i/>
              </w:rPr>
              <w:t>Uveďte, akou formou (verejné alebo cielené konzultácie a prečo)</w:t>
            </w:r>
            <w:r>
              <w:rPr>
                <w:i/>
              </w:rPr>
              <w:t xml:space="preserve"> a </w:t>
            </w:r>
            <w:r w:rsidRPr="00F04CCD">
              <w:rPr>
                <w:i/>
              </w:rPr>
              <w:t>s kým bol návrh konzultovaný.</w:t>
            </w:r>
          </w:p>
          <w:p w:rsidR="009F2DFA" w:rsidRPr="00F04CCD" w:rsidRDefault="009F2DFA" w:rsidP="007B71A4">
            <w:pPr>
              <w:rPr>
                <w:i/>
              </w:rPr>
            </w:pPr>
            <w:r w:rsidRPr="00F04CCD">
              <w:rPr>
                <w:i/>
              </w:rPr>
              <w:t>Ako dlho trvali konzultácie?</w:t>
            </w:r>
          </w:p>
          <w:p w:rsidR="009F2DFA" w:rsidRPr="000D2622" w:rsidRDefault="009F2DFA" w:rsidP="007B71A4">
            <w:pPr>
              <w:rPr>
                <w:i/>
              </w:rPr>
            </w:pPr>
            <w:r w:rsidRPr="00F04CCD">
              <w:rPr>
                <w:i/>
              </w:rPr>
              <w:t xml:space="preserve">Uveďte hlavné body konzultácií a výsledky konzultácií. </w:t>
            </w:r>
          </w:p>
        </w:tc>
      </w:tr>
      <w:tr w:rsidR="009F2DFA" w:rsidRPr="00F04CCD" w:rsidTr="007B71A4">
        <w:trPr>
          <w:trHeight w:val="1440"/>
        </w:trPr>
        <w:tc>
          <w:tcPr>
            <w:tcW w:w="9212" w:type="dxa"/>
            <w:tcBorders>
              <w:bottom w:val="single" w:sz="4" w:space="0" w:color="auto"/>
            </w:tcBorders>
          </w:tcPr>
          <w:p w:rsidR="00D165EB" w:rsidRDefault="006E38DC" w:rsidP="00403E3A">
            <w:pPr>
              <w:jc w:val="both"/>
            </w:pPr>
            <w:r>
              <w:t>Prípravný proces tvorby n</w:t>
            </w:r>
            <w:r w:rsidR="00906FB8">
              <w:t xml:space="preserve">ávrhu opatrenia bol sprevádzaný konzultáciami so zástupcami </w:t>
            </w:r>
            <w:r w:rsidR="00906FB8" w:rsidRPr="00403E3A">
              <w:rPr>
                <w:u w:val="single"/>
              </w:rPr>
              <w:t>Asociácie dôchodkových správcovských spoločností</w:t>
            </w:r>
            <w:r w:rsidR="00403E3A">
              <w:t xml:space="preserve"> (ďalej len „</w:t>
            </w:r>
            <w:r w:rsidR="004624FE">
              <w:t>ADSS</w:t>
            </w:r>
            <w:r w:rsidR="00403E3A">
              <w:t>“</w:t>
            </w:r>
            <w:r w:rsidR="004624FE">
              <w:t>)</w:t>
            </w:r>
            <w:r w:rsidR="00403E3A">
              <w:t>.</w:t>
            </w:r>
            <w:r w:rsidR="00906FB8">
              <w:t xml:space="preserve"> V období po zverejnení Predbežnej informácie sa konali na pôde Ministerstva práce, sociálnych vecí a rodiny Slovenskej republiky</w:t>
            </w:r>
            <w:r w:rsidR="002776D9">
              <w:t xml:space="preserve"> (ďalej len „ministerstvo“)</w:t>
            </w:r>
            <w:r w:rsidR="00403E3A">
              <w:t xml:space="preserve"> </w:t>
            </w:r>
            <w:r w:rsidR="00906FB8">
              <w:t>dve stretnutia</w:t>
            </w:r>
            <w:r w:rsidR="00403E3A">
              <w:t xml:space="preserve"> so zástupcami podnikateľských subjektov</w:t>
            </w:r>
            <w:r w:rsidR="004922BC">
              <w:t>,</w:t>
            </w:r>
            <w:r w:rsidR="00403E3A">
              <w:t xml:space="preserve"> a to dňa 15.10.2019 a 19.12.2019. Oboch stretnutí sa zúčastnili aj zástupcovia </w:t>
            </w:r>
            <w:r w:rsidR="00403E3A" w:rsidRPr="00403E3A">
              <w:rPr>
                <w:u w:val="single"/>
              </w:rPr>
              <w:t>Slovenskej asociácie poisťovní</w:t>
            </w:r>
            <w:r w:rsidR="00403E3A">
              <w:t xml:space="preserve"> (ďalej len „SLASPO“</w:t>
            </w:r>
            <w:r w:rsidR="004624FE">
              <w:t>)</w:t>
            </w:r>
            <w:r w:rsidR="00281BC0">
              <w:t xml:space="preserve"> a Národnej banky Slovenska</w:t>
            </w:r>
            <w:r w:rsidR="00403E3A">
              <w:t xml:space="preserve">. </w:t>
            </w:r>
          </w:p>
          <w:p w:rsidR="00A3661B" w:rsidRDefault="002053FF" w:rsidP="00403E3A">
            <w:pPr>
              <w:jc w:val="both"/>
            </w:pPr>
            <w:r>
              <w:t>Všetkým zúčastneným</w:t>
            </w:r>
            <w:r w:rsidR="00A3661B">
              <w:t xml:space="preserve"> s</w:t>
            </w:r>
            <w:r w:rsidR="00145697">
              <w:t>ubjektom bol v rámci konzultácií</w:t>
            </w:r>
            <w:r w:rsidR="00A3661B">
              <w:t xml:space="preserve"> predstavený celý Návrh opatrenia</w:t>
            </w:r>
            <w:r w:rsidR="004922BC">
              <w:t>,</w:t>
            </w:r>
            <w:r w:rsidR="00A3661B">
              <w:t xml:space="preserve"> a to vrátane paragrafového znenia </w:t>
            </w:r>
            <w:r w:rsidR="004624FE">
              <w:t>a</w:t>
            </w:r>
            <w:r w:rsidR="00A3661B">
              <w:t xml:space="preserve"> príloh. So zástupcami ADSS bol konzultovaný najmä obsah prílohy č. 1 a prílohy č. 2</w:t>
            </w:r>
            <w:r w:rsidR="004624FE">
              <w:t xml:space="preserve"> (výpočet nasporenej sumy)</w:t>
            </w:r>
            <w:r w:rsidR="00A3661B">
              <w:t>.</w:t>
            </w:r>
            <w:r w:rsidR="004624FE">
              <w:t xml:space="preserve"> Pripomienky ADSS boli zohľadnené pri príprave </w:t>
            </w:r>
            <w:r w:rsidR="006E38DC">
              <w:t>n</w:t>
            </w:r>
            <w:r w:rsidR="004624FE">
              <w:t xml:space="preserve">ávrhu opatrenia. </w:t>
            </w:r>
            <w:r w:rsidR="00A3661B">
              <w:t xml:space="preserve">                                                                                           </w:t>
            </w:r>
          </w:p>
          <w:p w:rsidR="00403E3A" w:rsidRPr="00D165EB" w:rsidRDefault="00403E3A" w:rsidP="004624FE">
            <w:pPr>
              <w:jc w:val="both"/>
            </w:pPr>
            <w:r>
              <w:t xml:space="preserve">So zástupcami SLASPO bola konzultovaná najmä problematika výpočtu doživotného dôchodku na základe predpokladanej nasporenej sumy. Pripomienky SLASPO boli zohľadnené </w:t>
            </w:r>
            <w:r w:rsidR="00A3661B">
              <w:t xml:space="preserve">doplnením vzorcov v prílohe </w:t>
            </w:r>
            <w:r w:rsidR="004624FE">
              <w:t>č. 2.</w:t>
            </w: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.3 Náklady regulácie</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c>
          <w:tcPr>
            <w:tcW w:w="9212" w:type="dxa"/>
            <w:tcBorders>
              <w:bottom w:val="single" w:sz="4" w:space="0" w:color="auto"/>
            </w:tcBorders>
          </w:tcPr>
          <w:p w:rsidR="009F2DFA" w:rsidRPr="00F04CCD" w:rsidRDefault="002B1108" w:rsidP="007B71A4">
            <w:pPr>
              <w:rPr>
                <w:b/>
                <w:i/>
              </w:rPr>
            </w:pPr>
            <w:r>
              <w:rPr>
                <w:b/>
                <w:i/>
              </w:rPr>
              <w:t>3</w:t>
            </w:r>
            <w:r w:rsidR="009F2DFA" w:rsidRPr="00F04CCD">
              <w:rPr>
                <w:b/>
                <w:i/>
              </w:rPr>
              <w:t>.3.1 Priame finančné náklady</w:t>
            </w:r>
          </w:p>
          <w:p w:rsidR="009F2DFA" w:rsidRPr="00F04CCD" w:rsidRDefault="009F2DFA" w:rsidP="007B71A4">
            <w:pPr>
              <w:rPr>
                <w:i/>
              </w:rPr>
            </w:pPr>
            <w:r w:rsidRPr="00F04CCD">
              <w:rPr>
                <w:i/>
              </w:rPr>
              <w:t xml:space="preserve">Dochádza k zvýšeniu/zníženiu priamych finančných nákladov (poplatky, odvody, dane clá...)? Ak áno, popíšte a vyčíslite ich. Uveďte tiež spôsob ich výpočtu. </w:t>
            </w:r>
          </w:p>
        </w:tc>
      </w:tr>
      <w:tr w:rsidR="009F2DFA" w:rsidRPr="00F04CCD" w:rsidTr="007B71A4">
        <w:tc>
          <w:tcPr>
            <w:tcW w:w="9212" w:type="dxa"/>
            <w:tcBorders>
              <w:bottom w:val="single" w:sz="4" w:space="0" w:color="auto"/>
            </w:tcBorders>
          </w:tcPr>
          <w:p w:rsidR="009F2DFA" w:rsidRDefault="00C84EF7" w:rsidP="007B71A4">
            <w:r w:rsidRPr="00C84EF7">
              <w:t>Návrhom opatrenia nedochádza k zvýšeniu/zníženiu priamych finančných nákladov.</w:t>
            </w:r>
          </w:p>
          <w:p w:rsidR="00C84EF7" w:rsidRPr="00F04CCD" w:rsidRDefault="00C84EF7" w:rsidP="007B71A4">
            <w:pPr>
              <w:rPr>
                <w:b/>
                <w:i/>
              </w:rPr>
            </w:pPr>
          </w:p>
        </w:tc>
      </w:tr>
      <w:tr w:rsidR="009F2DFA" w:rsidRPr="00F04CCD" w:rsidTr="007B71A4">
        <w:tc>
          <w:tcPr>
            <w:tcW w:w="9212" w:type="dxa"/>
            <w:tcBorders>
              <w:bottom w:val="single" w:sz="4" w:space="0" w:color="auto"/>
            </w:tcBorders>
          </w:tcPr>
          <w:p w:rsidR="009F2DFA" w:rsidRPr="00F04CCD" w:rsidRDefault="002B1108" w:rsidP="007B71A4">
            <w:pPr>
              <w:rPr>
                <w:b/>
                <w:i/>
              </w:rPr>
            </w:pPr>
            <w:r>
              <w:rPr>
                <w:b/>
                <w:i/>
              </w:rPr>
              <w:t>3</w:t>
            </w:r>
            <w:r w:rsidR="009F2DFA" w:rsidRPr="00F04CCD">
              <w:rPr>
                <w:b/>
                <w:i/>
              </w:rPr>
              <w:t>.3.2 Nepriame finančné náklady</w:t>
            </w:r>
          </w:p>
          <w:p w:rsidR="009F2DFA" w:rsidRPr="00F04CCD" w:rsidRDefault="009F2DFA" w:rsidP="00B31A8E">
            <w:pPr>
              <w:rPr>
                <w:i/>
              </w:rPr>
            </w:pPr>
            <w:r w:rsidRPr="00F04CCD">
              <w:rPr>
                <w:i/>
              </w:rPr>
              <w:t xml:space="preserve">Vyžaduje si predkladaný návrh dodatočné náklady na nákup tovarov alebo služieb? </w:t>
            </w:r>
            <w:r w:rsidR="00B31A8E">
              <w:rPr>
                <w:i/>
              </w:rPr>
              <w:t xml:space="preserve">Zvyšuje predkladaný návrh náklady súvisiace so zamestnávaním? </w:t>
            </w:r>
            <w:r w:rsidRPr="00F04CCD">
              <w:rPr>
                <w:i/>
              </w:rPr>
              <w:t>Ak áno, popíšte a vyčíslite ich. Uveďte tiež spôsob ich výpočtu.</w:t>
            </w:r>
          </w:p>
        </w:tc>
      </w:tr>
      <w:tr w:rsidR="009F2DFA" w:rsidRPr="00F04CCD" w:rsidTr="007B71A4">
        <w:tc>
          <w:tcPr>
            <w:tcW w:w="9212" w:type="dxa"/>
            <w:tcBorders>
              <w:bottom w:val="single" w:sz="4" w:space="0" w:color="auto"/>
            </w:tcBorders>
          </w:tcPr>
          <w:p w:rsidR="00B53189" w:rsidRDefault="004624FE" w:rsidP="006E10C2">
            <w:pPr>
              <w:jc w:val="both"/>
            </w:pPr>
            <w:r>
              <w:t xml:space="preserve">Návrhom opatrenia vznikajú nepriame finančné náklady </w:t>
            </w:r>
            <w:r w:rsidR="00B53189">
              <w:t xml:space="preserve">na strane DSS. </w:t>
            </w:r>
          </w:p>
          <w:p w:rsidR="00B53189" w:rsidRDefault="00B53189" w:rsidP="006E10C2">
            <w:pPr>
              <w:jc w:val="both"/>
            </w:pPr>
          </w:p>
          <w:p w:rsidR="001F25FF" w:rsidRDefault="00B53189" w:rsidP="006E10C2">
            <w:pPr>
              <w:jc w:val="both"/>
            </w:pPr>
            <w:r>
              <w:t>Právna úprava bude znamenať potrebu zvýšených nákladov na</w:t>
            </w:r>
            <w:r w:rsidR="006E38DC">
              <w:t xml:space="preserve"> aktualizáci</w:t>
            </w:r>
            <w:r w:rsidR="00E229FC">
              <w:t>u a prispôsobenie</w:t>
            </w:r>
            <w:r>
              <w:t xml:space="preserve"> </w:t>
            </w:r>
            <w:r w:rsidR="00E229FC">
              <w:rPr>
                <w:u w:val="single"/>
              </w:rPr>
              <w:t>informačných systémo</w:t>
            </w:r>
            <w:r w:rsidR="006E38DC">
              <w:rPr>
                <w:u w:val="single"/>
              </w:rPr>
              <w:t>v</w:t>
            </w:r>
            <w:r>
              <w:t xml:space="preserve"> v predpokladanom objeme približne </w:t>
            </w:r>
            <w:r w:rsidRPr="00B53189">
              <w:rPr>
                <w:b/>
              </w:rPr>
              <w:t>415 000 eur</w:t>
            </w:r>
            <w:r>
              <w:t xml:space="preserve">.  </w:t>
            </w:r>
            <w:r w:rsidR="004624FE">
              <w:t xml:space="preserve"> </w:t>
            </w:r>
          </w:p>
          <w:p w:rsidR="00B53189" w:rsidRDefault="00B53189" w:rsidP="006E10C2">
            <w:pPr>
              <w:jc w:val="both"/>
            </w:pPr>
          </w:p>
          <w:p w:rsidR="00B53189" w:rsidRDefault="00B53189" w:rsidP="006E10C2">
            <w:pPr>
              <w:jc w:val="both"/>
            </w:pPr>
            <w:r>
              <w:t>Legislatívna zmena vyvolá</w:t>
            </w:r>
            <w:r w:rsidR="00C25BD5">
              <w:t xml:space="preserve"> aj</w:t>
            </w:r>
            <w:r>
              <w:t xml:space="preserve"> </w:t>
            </w:r>
            <w:r w:rsidR="00C25BD5">
              <w:t>zvýšenie</w:t>
            </w:r>
            <w:r>
              <w:t xml:space="preserve"> </w:t>
            </w:r>
            <w:r w:rsidRPr="00B53189">
              <w:rPr>
                <w:u w:val="single"/>
              </w:rPr>
              <w:t>personálnych nákladov</w:t>
            </w:r>
            <w:r>
              <w:t xml:space="preserve"> vo výške približne </w:t>
            </w:r>
            <w:r w:rsidRPr="00B53189">
              <w:rPr>
                <w:b/>
              </w:rPr>
              <w:t>42 300 eur.</w:t>
            </w:r>
            <w:r>
              <w:t xml:space="preserve"> </w:t>
            </w:r>
          </w:p>
          <w:p w:rsidR="00C25BD5" w:rsidRDefault="00C25BD5" w:rsidP="006E10C2">
            <w:pPr>
              <w:jc w:val="both"/>
            </w:pPr>
          </w:p>
          <w:p w:rsidR="009F2DFA" w:rsidRPr="00F04CCD" w:rsidRDefault="00C25BD5" w:rsidP="006E38DC">
            <w:pPr>
              <w:jc w:val="both"/>
              <w:rPr>
                <w:b/>
                <w:i/>
              </w:rPr>
            </w:pPr>
            <w:r>
              <w:t>Pozn.: Jednotlivé DSS boli pri procese tvorby analýzy vplyvov</w:t>
            </w:r>
            <w:r w:rsidR="00E229FC">
              <w:t xml:space="preserve"> na podnikateľské prostredie</w:t>
            </w:r>
            <w:r>
              <w:t xml:space="preserve"> oslovené s požiadavkou na odhad kvantifikácie nákladov. Do stanoveného termínu svoje stanovisko s kvantifikáciou nákladov ministerstv</w:t>
            </w:r>
            <w:r w:rsidR="002053FF">
              <w:t>u</w:t>
            </w:r>
            <w:r>
              <w:t xml:space="preserve"> </w:t>
            </w:r>
            <w:r w:rsidR="002053FF">
              <w:t>zaslala</w:t>
            </w:r>
            <w:r>
              <w:t xml:space="preserve"> len D</w:t>
            </w:r>
            <w:r w:rsidR="006E38DC">
              <w:t xml:space="preserve">ôchodková správcovská spoločnosť </w:t>
            </w:r>
            <w:r>
              <w:t>Poštovej banky</w:t>
            </w:r>
            <w:r w:rsidR="006E38DC">
              <w:t>, a.s. (DSS PB)</w:t>
            </w:r>
            <w:r>
              <w:t xml:space="preserve"> a NN </w:t>
            </w:r>
            <w:r w:rsidR="006E38DC">
              <w:t>dôchodková správcovská spoločnosť, a. s. (NN DSS)</w:t>
            </w:r>
            <w:r>
              <w:t xml:space="preserve">. Tieto dve DSS zastupujú spolu približne </w:t>
            </w:r>
            <w:r w:rsidR="0079532A">
              <w:t xml:space="preserve">26,95 % sporiteľov. Odhad personálnych nákladov DSS </w:t>
            </w:r>
            <w:r w:rsidR="006E38DC">
              <w:t>PB</w:t>
            </w:r>
            <w:r w:rsidR="0079532A">
              <w:t xml:space="preserve"> a NN DSS dosiahol v súčte 11 400 eur (1 400 eur + 10 000 eur). Predpokladáme, že personálne náklady závisia najmä od veľkosti spoločnosti</w:t>
            </w:r>
            <w:r w:rsidR="002053FF">
              <w:t xml:space="preserve"> (počtu sporiteľov)</w:t>
            </w:r>
            <w:r w:rsidR="006F10EF">
              <w:t xml:space="preserve">, preto naša kvantifikácia počíta so súhrnnými personálnymi nákladmi pre tri zostávajú subjekty v objeme 30 900 eur. </w:t>
            </w:r>
            <w:r w:rsidR="006F10EF">
              <w:lastRenderedPageBreak/>
              <w:t xml:space="preserve">Odhad nákladov na aktualizáciu a prispôsobenie informačného systému dosiahol od DSS </w:t>
            </w:r>
            <w:r w:rsidR="006E38DC">
              <w:t>PB</w:t>
            </w:r>
            <w:r w:rsidR="006F10EF">
              <w:t xml:space="preserve"> a NN DSS v súčte 166 000 eur (80 000 eur + 86 000 eur). Pri odhade </w:t>
            </w:r>
            <w:r w:rsidR="000C6271">
              <w:t>kvantifikácie</w:t>
            </w:r>
            <w:r w:rsidR="006F10EF">
              <w:t xml:space="preserve"> nákladov na informačné systémy</w:t>
            </w:r>
            <w:r w:rsidR="000C6271">
              <w:t xml:space="preserve"> nepredpokladáme vplyv veľkosti spoločnosti na výšku celkových nákladov, preto zvyšným trom subjektom odhadujeme náklady na úpravu informačného systému vo výške 83 000 eur (priemer hodnôt od DSS </w:t>
            </w:r>
            <w:r w:rsidR="006E38DC">
              <w:t>PB</w:t>
            </w:r>
            <w:r w:rsidR="000C6271">
              <w:t xml:space="preserve"> a NN DSS). </w:t>
            </w:r>
          </w:p>
        </w:tc>
      </w:tr>
      <w:tr w:rsidR="009F2DFA" w:rsidRPr="00F04CCD" w:rsidTr="007B71A4">
        <w:tc>
          <w:tcPr>
            <w:tcW w:w="9212" w:type="dxa"/>
            <w:tcBorders>
              <w:bottom w:val="single" w:sz="4" w:space="0" w:color="auto"/>
            </w:tcBorders>
          </w:tcPr>
          <w:p w:rsidR="009F2DFA" w:rsidRPr="00F04CCD" w:rsidRDefault="002B1108" w:rsidP="007B71A4">
            <w:pPr>
              <w:rPr>
                <w:b/>
                <w:i/>
              </w:rPr>
            </w:pPr>
            <w:r>
              <w:rPr>
                <w:b/>
                <w:i/>
              </w:rPr>
              <w:lastRenderedPageBreak/>
              <w:t>3</w:t>
            </w:r>
            <w:r w:rsidR="009F2DFA" w:rsidRPr="00F04CCD">
              <w:rPr>
                <w:b/>
                <w:i/>
              </w:rPr>
              <w:t>.3.3 Administratívne náklady</w:t>
            </w:r>
          </w:p>
          <w:p w:rsidR="009F2DFA" w:rsidRPr="00F04CCD" w:rsidRDefault="009F2DFA" w:rsidP="007B71A4">
            <w:pPr>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9F2DFA" w:rsidRPr="00F04CCD" w:rsidTr="007B71A4">
        <w:tc>
          <w:tcPr>
            <w:tcW w:w="9212" w:type="dxa"/>
            <w:tcBorders>
              <w:bottom w:val="single" w:sz="4" w:space="0" w:color="auto"/>
            </w:tcBorders>
          </w:tcPr>
          <w:p w:rsidR="009F2DFA" w:rsidRDefault="000C6271" w:rsidP="000C6271">
            <w:pPr>
              <w:jc w:val="both"/>
            </w:pPr>
            <w:r>
              <w:t>Návrhom opatrenia vznikajú administratívne náklady na strane DSS.</w:t>
            </w:r>
          </w:p>
          <w:p w:rsidR="000C6271" w:rsidRDefault="000C6271" w:rsidP="000C6271">
            <w:pPr>
              <w:jc w:val="both"/>
            </w:pPr>
          </w:p>
          <w:p w:rsidR="000C6271" w:rsidRDefault="000C6271" w:rsidP="000C6271">
            <w:pPr>
              <w:jc w:val="both"/>
              <w:rPr>
                <w:b/>
              </w:rPr>
            </w:pPr>
            <w:r>
              <w:t xml:space="preserve">Náklady na prípravu </w:t>
            </w:r>
            <w:r w:rsidRPr="000C6271">
              <w:rPr>
                <w:u w:val="single"/>
              </w:rPr>
              <w:t>šablón, tlač a distribúciu materiálov</w:t>
            </w:r>
            <w:r>
              <w:t xml:space="preserve"> dosiahnu predpokladanú úroveň približne </w:t>
            </w:r>
            <w:r w:rsidRPr="000C6271">
              <w:rPr>
                <w:b/>
              </w:rPr>
              <w:t>61 </w:t>
            </w:r>
            <w:r w:rsidR="00855E68">
              <w:rPr>
                <w:b/>
              </w:rPr>
              <w:t>224</w:t>
            </w:r>
            <w:r w:rsidRPr="000C6271">
              <w:rPr>
                <w:b/>
              </w:rPr>
              <w:t xml:space="preserve"> eur.</w:t>
            </w:r>
          </w:p>
          <w:p w:rsidR="000C6271" w:rsidRDefault="000C6271" w:rsidP="000C6271">
            <w:pPr>
              <w:jc w:val="both"/>
              <w:rPr>
                <w:b/>
              </w:rPr>
            </w:pPr>
          </w:p>
          <w:p w:rsidR="000C6271" w:rsidRDefault="000C6271" w:rsidP="000C6271">
            <w:pPr>
              <w:jc w:val="both"/>
            </w:pPr>
            <w:r>
              <w:t xml:space="preserve">Administratívne náklady v súvislosti so </w:t>
            </w:r>
            <w:r w:rsidRPr="002776D9">
              <w:rPr>
                <w:u w:val="single"/>
              </w:rPr>
              <w:t xml:space="preserve">zisťovaním adresy </w:t>
            </w:r>
            <w:r w:rsidR="002776D9" w:rsidRPr="002776D9">
              <w:rPr>
                <w:u w:val="single"/>
              </w:rPr>
              <w:t>elektronickej pošty sporiteľov</w:t>
            </w:r>
            <w:r w:rsidR="002776D9">
              <w:t xml:space="preserve"> (e-mail, tel. hovor, SMS)</w:t>
            </w:r>
            <w:r>
              <w:t xml:space="preserve"> </w:t>
            </w:r>
            <w:r w:rsidR="002776D9">
              <w:t xml:space="preserve">v predpokladanej výške približne </w:t>
            </w:r>
            <w:r w:rsidR="00855E68">
              <w:rPr>
                <w:b/>
              </w:rPr>
              <w:t>51 020</w:t>
            </w:r>
            <w:r w:rsidR="002776D9" w:rsidRPr="002776D9">
              <w:rPr>
                <w:b/>
              </w:rPr>
              <w:t xml:space="preserve"> eur.</w:t>
            </w:r>
            <w:r w:rsidR="002776D9">
              <w:t xml:space="preserve"> </w:t>
            </w:r>
          </w:p>
          <w:p w:rsidR="002776D9" w:rsidRDefault="002776D9" w:rsidP="000C6271">
            <w:pPr>
              <w:jc w:val="both"/>
            </w:pPr>
          </w:p>
          <w:p w:rsidR="000C6271" w:rsidRPr="000C6271" w:rsidRDefault="00855E68" w:rsidP="00DD1B2B">
            <w:pPr>
              <w:jc w:val="both"/>
            </w:pPr>
            <w:r>
              <w:t xml:space="preserve">Pozn.: Odhad administratívnych nákladov predložila v stanovenom termíne len NN DSS, ktorá zastupuje približne 19,60 % sporiteľov v II. pilieri. </w:t>
            </w:r>
            <w:r w:rsidR="00DD1B2B">
              <w:t>Potrebu krytia administratívnych nákladov</w:t>
            </w:r>
            <w:r w:rsidR="006E38DC">
              <w:t>,</w:t>
            </w:r>
            <w:r w:rsidR="00DD1B2B">
              <w:t xml:space="preserve"> ktoré závisia od počtu sporiteľov predpokladáme pri všetkých subjektoch, preto súhrnné náklady na prípravu šablón, tlač a distribúciu materiálov odhadujeme pre zvyšné štyri subjekty v objeme 49 224 eur (odhad NN DSS 12 000 eur). Odhad nákladov na zisťovanie elektronickej pošty sporiteľov kvantifikovala NN DSS na úrovni 10 000 eur, preto pre ostatné štyri subjekty predpokladáme dodatočné náklady vo výške 41 020 eur. </w:t>
            </w:r>
          </w:p>
        </w:tc>
      </w:tr>
      <w:tr w:rsidR="009F2DFA" w:rsidRPr="00F04CCD" w:rsidTr="007B71A4">
        <w:trPr>
          <w:trHeight w:val="2318"/>
        </w:trPr>
        <w:tc>
          <w:tcPr>
            <w:tcW w:w="9212" w:type="dxa"/>
            <w:tcBorders>
              <w:bottom w:val="single" w:sz="4" w:space="0" w:color="auto"/>
            </w:tcBorders>
          </w:tcPr>
          <w:p w:rsidR="009F2DFA" w:rsidRPr="00F04CCD" w:rsidRDefault="002B1108" w:rsidP="007B71A4">
            <w:pPr>
              <w:rPr>
                <w:i/>
              </w:rPr>
            </w:pPr>
            <w:r>
              <w:rPr>
                <w:b/>
                <w:i/>
              </w:rPr>
              <w:t>3</w:t>
            </w:r>
            <w:r w:rsidR="009F2DFA" w:rsidRPr="00F04CCD">
              <w:rPr>
                <w:b/>
                <w:i/>
              </w:rPr>
              <w:t>.3.4 Súhrnná tabuľka nákladov regulácie</w:t>
            </w:r>
          </w:p>
          <w:p w:rsidR="009F2DFA" w:rsidRPr="00F04CCD" w:rsidRDefault="009F2DFA" w:rsidP="007B71A4">
            <w:pPr>
              <w:rPr>
                <w:i/>
              </w:rPr>
            </w:pPr>
          </w:p>
          <w:tbl>
            <w:tblPr>
              <w:tblStyle w:val="Mriekatabuky"/>
              <w:tblW w:w="0" w:type="auto"/>
              <w:tblLook w:val="04A0" w:firstRow="1" w:lastRow="0" w:firstColumn="1" w:lastColumn="0" w:noHBand="0" w:noVBand="1"/>
            </w:tblPr>
            <w:tblGrid>
              <w:gridCol w:w="2993"/>
              <w:gridCol w:w="2994"/>
              <w:gridCol w:w="2994"/>
            </w:tblGrid>
            <w:tr w:rsidR="009F2DFA" w:rsidRPr="00F04CCD" w:rsidTr="007B71A4">
              <w:tc>
                <w:tcPr>
                  <w:tcW w:w="2993" w:type="dxa"/>
                </w:tcPr>
                <w:p w:rsidR="009F2DFA" w:rsidRPr="00F04CCD" w:rsidRDefault="009F2DFA" w:rsidP="007B71A4">
                  <w:pPr>
                    <w:rPr>
                      <w:i/>
                    </w:rPr>
                  </w:pPr>
                </w:p>
              </w:tc>
              <w:tc>
                <w:tcPr>
                  <w:tcW w:w="2994" w:type="dxa"/>
                </w:tcPr>
                <w:p w:rsidR="009F2DFA" w:rsidRPr="00F04CCD" w:rsidRDefault="009F2DFA" w:rsidP="007B71A4">
                  <w:pPr>
                    <w:jc w:val="center"/>
                    <w:rPr>
                      <w:i/>
                    </w:rPr>
                  </w:pPr>
                  <w:r w:rsidRPr="00F04CCD">
                    <w:rPr>
                      <w:i/>
                    </w:rPr>
                    <w:t>Náklady na 1 podnikateľa</w:t>
                  </w:r>
                  <w:r w:rsidR="00C83237">
                    <w:rPr>
                      <w:i/>
                    </w:rPr>
                    <w:t>*</w:t>
                  </w:r>
                </w:p>
              </w:tc>
              <w:tc>
                <w:tcPr>
                  <w:tcW w:w="2994" w:type="dxa"/>
                </w:tcPr>
                <w:p w:rsidR="009F2DFA" w:rsidRPr="00F04CCD" w:rsidRDefault="009F2DFA" w:rsidP="007B71A4">
                  <w:pPr>
                    <w:jc w:val="center"/>
                    <w:rPr>
                      <w:i/>
                    </w:rPr>
                  </w:pPr>
                  <w:r w:rsidRPr="00F04CCD">
                    <w:rPr>
                      <w:i/>
                    </w:rPr>
                    <w:t>Náklady na celé podnikateľské prostredie</w:t>
                  </w:r>
                </w:p>
              </w:tc>
            </w:tr>
            <w:tr w:rsidR="009F2DFA" w:rsidRPr="00F04CCD" w:rsidTr="007B71A4">
              <w:tc>
                <w:tcPr>
                  <w:tcW w:w="2993" w:type="dxa"/>
                </w:tcPr>
                <w:p w:rsidR="009F2DFA" w:rsidRPr="00F04CCD" w:rsidRDefault="009F2DFA" w:rsidP="007B71A4">
                  <w:pPr>
                    <w:rPr>
                      <w:i/>
                    </w:rPr>
                  </w:pPr>
                  <w:r w:rsidRPr="00F04CCD">
                    <w:rPr>
                      <w:i/>
                    </w:rPr>
                    <w:t>Priame finančné náklady</w:t>
                  </w:r>
                </w:p>
              </w:tc>
              <w:tc>
                <w:tcPr>
                  <w:tcW w:w="2994" w:type="dxa"/>
                </w:tcPr>
                <w:p w:rsidR="009F2DFA" w:rsidRPr="00F04CCD" w:rsidRDefault="009F2DFA" w:rsidP="007B71A4">
                  <w:pPr>
                    <w:jc w:val="center"/>
                    <w:rPr>
                      <w:i/>
                    </w:rPr>
                  </w:pPr>
                  <w:r w:rsidRPr="00F04CCD">
                    <w:rPr>
                      <w:i/>
                    </w:rPr>
                    <w:t>0</w:t>
                  </w:r>
                </w:p>
              </w:tc>
              <w:tc>
                <w:tcPr>
                  <w:tcW w:w="2994" w:type="dxa"/>
                </w:tcPr>
                <w:p w:rsidR="009F2DFA" w:rsidRPr="00F04CCD" w:rsidRDefault="009F2DFA" w:rsidP="007B71A4">
                  <w:pPr>
                    <w:jc w:val="center"/>
                    <w:rPr>
                      <w:i/>
                    </w:rPr>
                  </w:pPr>
                  <w:r w:rsidRPr="00F04CCD">
                    <w:rPr>
                      <w:i/>
                    </w:rPr>
                    <w:t>0</w:t>
                  </w:r>
                </w:p>
              </w:tc>
            </w:tr>
            <w:tr w:rsidR="009F2DFA" w:rsidRPr="00F04CCD" w:rsidTr="007B71A4">
              <w:tc>
                <w:tcPr>
                  <w:tcW w:w="2993" w:type="dxa"/>
                </w:tcPr>
                <w:p w:rsidR="009F2DFA" w:rsidRPr="00F04CCD" w:rsidRDefault="009F2DFA" w:rsidP="007B71A4">
                  <w:pPr>
                    <w:rPr>
                      <w:i/>
                    </w:rPr>
                  </w:pPr>
                  <w:r w:rsidRPr="00F04CCD">
                    <w:rPr>
                      <w:i/>
                    </w:rPr>
                    <w:t>Nepriame finančné náklady</w:t>
                  </w:r>
                </w:p>
              </w:tc>
              <w:tc>
                <w:tcPr>
                  <w:tcW w:w="2994" w:type="dxa"/>
                </w:tcPr>
                <w:p w:rsidR="009F2DFA" w:rsidRPr="00F04CCD" w:rsidRDefault="008111FE" w:rsidP="007B71A4">
                  <w:pPr>
                    <w:jc w:val="center"/>
                    <w:rPr>
                      <w:i/>
                    </w:rPr>
                  </w:pPr>
                  <w:r>
                    <w:rPr>
                      <w:i/>
                    </w:rPr>
                    <w:t>91 460</w:t>
                  </w:r>
                </w:p>
              </w:tc>
              <w:tc>
                <w:tcPr>
                  <w:tcW w:w="2994" w:type="dxa"/>
                </w:tcPr>
                <w:p w:rsidR="009F2DFA" w:rsidRPr="00F04CCD" w:rsidRDefault="00F0409C" w:rsidP="008111FE">
                  <w:pPr>
                    <w:jc w:val="center"/>
                    <w:rPr>
                      <w:i/>
                    </w:rPr>
                  </w:pPr>
                  <w:r>
                    <w:rPr>
                      <w:i/>
                    </w:rPr>
                    <w:t>45</w:t>
                  </w:r>
                  <w:r w:rsidR="008111FE">
                    <w:rPr>
                      <w:i/>
                    </w:rPr>
                    <w:t>7 299</w:t>
                  </w:r>
                </w:p>
              </w:tc>
            </w:tr>
            <w:tr w:rsidR="009F2DFA" w:rsidRPr="00F04CCD" w:rsidTr="007B71A4">
              <w:tc>
                <w:tcPr>
                  <w:tcW w:w="2993" w:type="dxa"/>
                </w:tcPr>
                <w:p w:rsidR="009F2DFA" w:rsidRPr="00F04CCD" w:rsidRDefault="009F2DFA" w:rsidP="007B71A4">
                  <w:pPr>
                    <w:rPr>
                      <w:i/>
                    </w:rPr>
                  </w:pPr>
                  <w:r w:rsidRPr="00F04CCD">
                    <w:rPr>
                      <w:i/>
                    </w:rPr>
                    <w:t>Administratívne náklady</w:t>
                  </w:r>
                </w:p>
              </w:tc>
              <w:tc>
                <w:tcPr>
                  <w:tcW w:w="2994" w:type="dxa"/>
                </w:tcPr>
                <w:p w:rsidR="009F2DFA" w:rsidRPr="00F04CCD" w:rsidRDefault="00F0409C" w:rsidP="00DD1B2B">
                  <w:pPr>
                    <w:jc w:val="center"/>
                    <w:rPr>
                      <w:i/>
                    </w:rPr>
                  </w:pPr>
                  <w:r>
                    <w:rPr>
                      <w:i/>
                    </w:rPr>
                    <w:t>22 4</w:t>
                  </w:r>
                  <w:r w:rsidR="00DD1B2B">
                    <w:rPr>
                      <w:i/>
                    </w:rPr>
                    <w:t>49</w:t>
                  </w:r>
                </w:p>
              </w:tc>
              <w:tc>
                <w:tcPr>
                  <w:tcW w:w="2994" w:type="dxa"/>
                </w:tcPr>
                <w:p w:rsidR="009F2DFA" w:rsidRPr="00F04CCD" w:rsidRDefault="00F0409C" w:rsidP="00DD1B2B">
                  <w:pPr>
                    <w:jc w:val="center"/>
                    <w:rPr>
                      <w:i/>
                    </w:rPr>
                  </w:pPr>
                  <w:r>
                    <w:rPr>
                      <w:i/>
                    </w:rPr>
                    <w:t xml:space="preserve">112 </w:t>
                  </w:r>
                  <w:r w:rsidR="00DD1B2B">
                    <w:rPr>
                      <w:i/>
                    </w:rPr>
                    <w:t>244</w:t>
                  </w:r>
                </w:p>
              </w:tc>
            </w:tr>
            <w:tr w:rsidR="009F2DFA" w:rsidRPr="00F04CCD" w:rsidTr="007B71A4">
              <w:tc>
                <w:tcPr>
                  <w:tcW w:w="2993" w:type="dxa"/>
                </w:tcPr>
                <w:p w:rsidR="009F2DFA" w:rsidRPr="00F04CCD" w:rsidRDefault="009F2DFA" w:rsidP="007B71A4">
                  <w:pPr>
                    <w:rPr>
                      <w:b/>
                      <w:i/>
                    </w:rPr>
                  </w:pPr>
                  <w:r w:rsidRPr="00F04CCD">
                    <w:rPr>
                      <w:b/>
                      <w:i/>
                    </w:rPr>
                    <w:t>Celkové náklady regulácie</w:t>
                  </w:r>
                </w:p>
              </w:tc>
              <w:tc>
                <w:tcPr>
                  <w:tcW w:w="2994" w:type="dxa"/>
                </w:tcPr>
                <w:p w:rsidR="009F2DFA" w:rsidRPr="00F04CCD" w:rsidRDefault="00F0409C" w:rsidP="00DD1B2B">
                  <w:pPr>
                    <w:jc w:val="center"/>
                    <w:rPr>
                      <w:b/>
                      <w:i/>
                    </w:rPr>
                  </w:pPr>
                  <w:r>
                    <w:rPr>
                      <w:b/>
                      <w:i/>
                    </w:rPr>
                    <w:t>1</w:t>
                  </w:r>
                  <w:r w:rsidR="00F33DBF">
                    <w:rPr>
                      <w:b/>
                      <w:i/>
                    </w:rPr>
                    <w:t>13</w:t>
                  </w:r>
                  <w:r>
                    <w:rPr>
                      <w:b/>
                      <w:i/>
                    </w:rPr>
                    <w:t xml:space="preserve"> </w:t>
                  </w:r>
                  <w:r w:rsidR="00DD1B2B">
                    <w:rPr>
                      <w:b/>
                      <w:i/>
                    </w:rPr>
                    <w:t>909</w:t>
                  </w:r>
                </w:p>
              </w:tc>
              <w:tc>
                <w:tcPr>
                  <w:tcW w:w="2994" w:type="dxa"/>
                </w:tcPr>
                <w:p w:rsidR="009F2DFA" w:rsidRPr="00F04CCD" w:rsidRDefault="00F0409C" w:rsidP="00DD1B2B">
                  <w:pPr>
                    <w:jc w:val="center"/>
                    <w:rPr>
                      <w:b/>
                      <w:i/>
                    </w:rPr>
                  </w:pPr>
                  <w:r>
                    <w:rPr>
                      <w:b/>
                      <w:i/>
                    </w:rPr>
                    <w:t>56</w:t>
                  </w:r>
                  <w:r w:rsidR="00F33DBF">
                    <w:rPr>
                      <w:b/>
                      <w:i/>
                    </w:rPr>
                    <w:t>9</w:t>
                  </w:r>
                  <w:r>
                    <w:rPr>
                      <w:b/>
                      <w:i/>
                    </w:rPr>
                    <w:t xml:space="preserve"> </w:t>
                  </w:r>
                  <w:r w:rsidR="00DD1B2B">
                    <w:rPr>
                      <w:b/>
                      <w:i/>
                    </w:rPr>
                    <w:t>543</w:t>
                  </w:r>
                </w:p>
              </w:tc>
            </w:tr>
          </w:tbl>
          <w:p w:rsidR="009F2DFA" w:rsidRPr="00EF7F46" w:rsidRDefault="001F25FF" w:rsidP="00C83237">
            <w:pPr>
              <w:rPr>
                <w:i/>
                <w:sz w:val="18"/>
                <w:szCs w:val="18"/>
              </w:rPr>
            </w:pPr>
            <w:r w:rsidRPr="00AB4094">
              <w:rPr>
                <w:i/>
                <w:sz w:val="18"/>
                <w:szCs w:val="18"/>
              </w:rPr>
              <w:t xml:space="preserve">* Udávané náklady na 1 </w:t>
            </w:r>
            <w:r w:rsidR="00DD1B2B">
              <w:rPr>
                <w:i/>
                <w:sz w:val="18"/>
                <w:szCs w:val="18"/>
              </w:rPr>
              <w:t>podnikateľa</w:t>
            </w:r>
            <w:r>
              <w:rPr>
                <w:i/>
                <w:sz w:val="18"/>
                <w:szCs w:val="18"/>
              </w:rPr>
              <w:t xml:space="preserve"> sú priemerom celkových vplyvov</w:t>
            </w:r>
            <w:r w:rsidRPr="00AB4094">
              <w:rPr>
                <w:i/>
                <w:sz w:val="18"/>
                <w:szCs w:val="18"/>
              </w:rPr>
              <w:t xml:space="preserve"> na jedného </w:t>
            </w:r>
            <w:r w:rsidR="00C83237">
              <w:rPr>
                <w:i/>
                <w:sz w:val="18"/>
                <w:szCs w:val="18"/>
              </w:rPr>
              <w:t>podnikateľa</w:t>
            </w:r>
            <w:r w:rsidRPr="00AB4094">
              <w:rPr>
                <w:i/>
                <w:sz w:val="18"/>
                <w:szCs w:val="18"/>
              </w:rPr>
              <w:t xml:space="preserve">. Výpočet = náklady na celé podnikateľské prostredie / počet dotknutých </w:t>
            </w:r>
            <w:r w:rsidR="00C83237">
              <w:rPr>
                <w:i/>
                <w:sz w:val="18"/>
                <w:szCs w:val="18"/>
              </w:rPr>
              <w:t>subjektov</w:t>
            </w:r>
            <w:r w:rsidRPr="00D75D01">
              <w:rPr>
                <w:i/>
                <w:sz w:val="18"/>
                <w:szCs w:val="18"/>
              </w:rPr>
              <w:t>.</w:t>
            </w:r>
            <w:r w:rsidRPr="00A36C26">
              <w:rPr>
                <w:i/>
                <w:sz w:val="18"/>
                <w:szCs w:val="18"/>
              </w:rPr>
              <w:t xml:space="preserve">  </w:t>
            </w: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.4 Konkurencieschopnosť a správanie sa podnikov na trhu</w:t>
            </w:r>
          </w:p>
          <w:p w:rsidR="009F2DFA" w:rsidRPr="00F04CCD" w:rsidRDefault="009F2DFA" w:rsidP="007B71A4">
            <w:r w:rsidRPr="00042C66">
              <w:rPr>
                <w:b/>
                <w:sz w:val="24"/>
              </w:rPr>
              <w:t xml:space="preserve">       </w:t>
            </w:r>
            <w:r w:rsidRPr="00042C66">
              <w:rPr>
                <w:sz w:val="24"/>
              </w:rPr>
              <w:t xml:space="preserve">- </w:t>
            </w:r>
            <w:r w:rsidRPr="00042C66">
              <w:rPr>
                <w:b/>
                <w:sz w:val="24"/>
              </w:rPr>
              <w:t>z toho MSP</w:t>
            </w:r>
          </w:p>
        </w:tc>
      </w:tr>
      <w:tr w:rsidR="009F2DFA" w:rsidRPr="00F04CCD" w:rsidTr="007B71A4">
        <w:tc>
          <w:tcPr>
            <w:tcW w:w="9212" w:type="dxa"/>
            <w:tcBorders>
              <w:bottom w:val="single" w:sz="4" w:space="0" w:color="auto"/>
            </w:tcBorders>
          </w:tcPr>
          <w:p w:rsidR="009F2DFA" w:rsidRPr="00F04CCD" w:rsidRDefault="009F2DFA" w:rsidP="007B71A4">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 xml:space="preserve">prísnejšiu reguláciu správania sa niektorých podnikov? Bude sa s niektorými podnikmi alebo produktmi zaobchádzať v porovnateľnej situácii rôzne (špeciálne režimy pre </w:t>
            </w:r>
            <w:proofErr w:type="spellStart"/>
            <w:r w:rsidRPr="00F04CCD">
              <w:rPr>
                <w:i/>
              </w:rPr>
              <w:t>mikro</w:t>
            </w:r>
            <w:proofErr w:type="spellEnd"/>
            <w:r w:rsidRPr="00F04CCD">
              <w:rPr>
                <w:i/>
              </w:rPr>
              <w:t>, malé a stredné podniky tzv. MSP)? Ak áno, popíšte.</w:t>
            </w:r>
          </w:p>
          <w:p w:rsidR="009F2DFA" w:rsidRPr="00F04CCD" w:rsidRDefault="009F2DFA" w:rsidP="007B71A4">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RDefault="009F2DFA" w:rsidP="007B71A4">
            <w:pPr>
              <w:rPr>
                <w:i/>
              </w:rPr>
            </w:pPr>
            <w:r w:rsidRPr="00F04CCD">
              <w:rPr>
                <w:i/>
              </w:rPr>
              <w:t>Ako ovplyvní cenu alebo dostupnosť základných zdrojov (suroviny, mechanizmy, pracovná sila, energie atď.)?</w:t>
            </w:r>
          </w:p>
          <w:p w:rsidR="009F2DFA" w:rsidRPr="00F04CCD" w:rsidRDefault="009F2DFA" w:rsidP="007B71A4">
            <w:pPr>
              <w:rPr>
                <w:i/>
              </w:rPr>
            </w:pPr>
            <w:r w:rsidRPr="00F04CCD">
              <w:rPr>
                <w:i/>
              </w:rPr>
              <w:t>Ovplyvňuje prístup k financiám? Ak áno, ako?</w:t>
            </w:r>
          </w:p>
        </w:tc>
      </w:tr>
      <w:tr w:rsidR="009F2DFA" w:rsidRPr="00F04CCD" w:rsidTr="007B71A4">
        <w:trPr>
          <w:trHeight w:val="1282"/>
        </w:trPr>
        <w:tc>
          <w:tcPr>
            <w:tcW w:w="9212" w:type="dxa"/>
            <w:tcBorders>
              <w:bottom w:val="single" w:sz="4" w:space="0" w:color="auto"/>
            </w:tcBorders>
          </w:tcPr>
          <w:p w:rsidR="009F2DFA" w:rsidRPr="00957C6A" w:rsidRDefault="00957C6A" w:rsidP="00944AEB">
            <w:r w:rsidRPr="000A6590">
              <w:t>Návrh opatrenia nebude mať vplyv na konkurencieschopnosť a správanie sa podnikov na trhu.</w:t>
            </w:r>
            <w:r w:rsidR="00944AEB">
              <w:t xml:space="preserve"> </w:t>
            </w: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 xml:space="preserve">.5 Inovácie </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c>
          <w:tcPr>
            <w:tcW w:w="9212" w:type="dxa"/>
          </w:tcPr>
          <w:p w:rsidR="009F2DFA" w:rsidRPr="00F04CCD" w:rsidRDefault="009F2DFA" w:rsidP="007B71A4">
            <w:pPr>
              <w:rPr>
                <w:i/>
              </w:rPr>
            </w:pPr>
            <w:r w:rsidRPr="00F04CCD">
              <w:rPr>
                <w:i/>
              </w:rPr>
              <w:t>Uveďte, ako podporuje navrhovaná zmena inovácie.</w:t>
            </w:r>
          </w:p>
          <w:p w:rsidR="009F2DFA" w:rsidRPr="00F04CCD" w:rsidRDefault="009F2DFA" w:rsidP="007B71A4">
            <w:pPr>
              <w:rPr>
                <w:i/>
              </w:rPr>
            </w:pPr>
            <w:r w:rsidRPr="00F04CCD">
              <w:rPr>
                <w:i/>
              </w:rPr>
              <w:t>Zjednodušuje uvedenie alebo rozšírenie nových výrobných metód, technológií a výrobkov na trh?</w:t>
            </w:r>
          </w:p>
          <w:p w:rsidR="009F2DFA" w:rsidRPr="00F04CCD" w:rsidRDefault="009F2DFA" w:rsidP="007B71A4">
            <w:pPr>
              <w:rPr>
                <w:i/>
              </w:rPr>
            </w:pPr>
            <w:r w:rsidRPr="00F04CCD">
              <w:rPr>
                <w:i/>
              </w:rPr>
              <w:t xml:space="preserve">Uveďte, ako vplýva navrhovaná zmena na </w:t>
            </w:r>
            <w:r w:rsidR="00904C9B">
              <w:rPr>
                <w:i/>
              </w:rPr>
              <w:t xml:space="preserve">jednotlivé </w:t>
            </w:r>
            <w:r w:rsidRPr="00F04CCD">
              <w:rPr>
                <w:i/>
              </w:rPr>
              <w:t>práva duševného vlastníctva (</w:t>
            </w:r>
            <w:r w:rsidR="00904C9B">
              <w:rPr>
                <w:i/>
              </w:rPr>
              <w:t xml:space="preserve">napr. </w:t>
            </w:r>
            <w:r w:rsidRPr="00F04CCD">
              <w:rPr>
                <w:i/>
              </w:rPr>
              <w:t xml:space="preserve">patenty, ochranné známky, </w:t>
            </w:r>
            <w:r w:rsidR="00904C9B">
              <w:rPr>
                <w:i/>
              </w:rPr>
              <w:t>autorské práva</w:t>
            </w:r>
            <w:r w:rsidRPr="00F04CCD">
              <w:rPr>
                <w:i/>
              </w:rPr>
              <w:t xml:space="preserve">, vlastníctvo </w:t>
            </w:r>
            <w:proofErr w:type="spellStart"/>
            <w:r w:rsidRPr="00F04CCD">
              <w:rPr>
                <w:i/>
              </w:rPr>
              <w:t>know-how</w:t>
            </w:r>
            <w:proofErr w:type="spellEnd"/>
            <w:r w:rsidRPr="00F04CCD">
              <w:rPr>
                <w:i/>
              </w:rPr>
              <w:t>).</w:t>
            </w:r>
          </w:p>
          <w:p w:rsidR="009F2DFA" w:rsidRDefault="009F2DFA" w:rsidP="007B71A4">
            <w:pPr>
              <w:rPr>
                <w:i/>
              </w:rPr>
            </w:pPr>
            <w:r w:rsidRPr="00F04CCD">
              <w:rPr>
                <w:i/>
              </w:rPr>
              <w:t>Podporuje vyššiu efektivitu výroby/využívania zdrojov? Ak áno, ako?</w:t>
            </w:r>
          </w:p>
          <w:p w:rsidR="00837639" w:rsidRPr="00F04CCD" w:rsidRDefault="00837639" w:rsidP="007B71A4">
            <w:r w:rsidRPr="00154881">
              <w:rPr>
                <w:i/>
              </w:rPr>
              <w:t>Vytvorí zmena nové pracovné miesta pre zamestnancov výskumu a vývoja v</w:t>
            </w:r>
            <w:r>
              <w:rPr>
                <w:i/>
              </w:rPr>
              <w:t> </w:t>
            </w:r>
            <w:r w:rsidRPr="00154881">
              <w:rPr>
                <w:i/>
              </w:rPr>
              <w:t>SR</w:t>
            </w:r>
            <w:r>
              <w:rPr>
                <w:i/>
              </w:rPr>
              <w:t>?</w:t>
            </w:r>
          </w:p>
        </w:tc>
      </w:tr>
      <w:tr w:rsidR="009F2DFA" w:rsidRPr="00F04CCD" w:rsidTr="007B71A4">
        <w:trPr>
          <w:trHeight w:val="1747"/>
        </w:trPr>
        <w:tc>
          <w:tcPr>
            <w:tcW w:w="9212" w:type="dxa"/>
          </w:tcPr>
          <w:p w:rsidR="009F2DFA" w:rsidRPr="000A6590" w:rsidRDefault="00957C6A" w:rsidP="007B71A4">
            <w:r w:rsidRPr="000A6590">
              <w:lastRenderedPageBreak/>
              <w:t>Návrh opatrenia nebude mať vplyv na inovácie.</w:t>
            </w:r>
          </w:p>
        </w:tc>
      </w:tr>
    </w:tbl>
    <w:p w:rsidR="009F2DFA" w:rsidRDefault="009F2DFA" w:rsidP="00252E79">
      <w:pPr>
        <w:rPr>
          <w:b/>
          <w:sz w:val="24"/>
        </w:rPr>
      </w:pPr>
    </w:p>
    <w:sectPr w:rsidR="009F2D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E55" w:rsidRDefault="00666E55" w:rsidP="009F2DFA">
      <w:r>
        <w:separator/>
      </w:r>
    </w:p>
  </w:endnote>
  <w:endnote w:type="continuationSeparator" w:id="0">
    <w:p w:rsidR="00666E55" w:rsidRDefault="00666E55"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381234"/>
      <w:docPartObj>
        <w:docPartGallery w:val="Page Numbers (Bottom of Page)"/>
        <w:docPartUnique/>
      </w:docPartObj>
    </w:sdtPr>
    <w:sdtEndPr/>
    <w:sdtContent>
      <w:p w:rsidR="009F2DFA" w:rsidRDefault="009F2DFA">
        <w:pPr>
          <w:pStyle w:val="Pta"/>
          <w:jc w:val="right"/>
        </w:pPr>
        <w:r>
          <w:fldChar w:fldCharType="begin"/>
        </w:r>
        <w:r>
          <w:instrText>PAGE   \* MERGEFORMAT</w:instrText>
        </w:r>
        <w:r>
          <w:fldChar w:fldCharType="separate"/>
        </w:r>
        <w:r w:rsidR="00842F28">
          <w:rPr>
            <w:noProof/>
          </w:rPr>
          <w:t>1</w:t>
        </w:r>
        <w:r>
          <w:fldChar w:fldCharType="end"/>
        </w:r>
      </w:p>
    </w:sdtContent>
  </w:sdt>
  <w:p w:rsidR="009F2DFA" w:rsidRDefault="009F2D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E55" w:rsidRDefault="00666E55" w:rsidP="009F2DFA">
      <w:r>
        <w:separator/>
      </w:r>
    </w:p>
  </w:footnote>
  <w:footnote w:type="continuationSeparator" w:id="0">
    <w:p w:rsidR="00666E55" w:rsidRDefault="00666E55" w:rsidP="009F2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13"/>
    <w:rsid w:val="000431B8"/>
    <w:rsid w:val="00054759"/>
    <w:rsid w:val="000A6590"/>
    <w:rsid w:val="000C6271"/>
    <w:rsid w:val="00145697"/>
    <w:rsid w:val="00154881"/>
    <w:rsid w:val="001C2C73"/>
    <w:rsid w:val="001E32AC"/>
    <w:rsid w:val="001F25FF"/>
    <w:rsid w:val="002053FF"/>
    <w:rsid w:val="00252E79"/>
    <w:rsid w:val="00262BE0"/>
    <w:rsid w:val="0027627E"/>
    <w:rsid w:val="002776D9"/>
    <w:rsid w:val="00280EE8"/>
    <w:rsid w:val="00281BC0"/>
    <w:rsid w:val="002B1108"/>
    <w:rsid w:val="00346628"/>
    <w:rsid w:val="003531DE"/>
    <w:rsid w:val="00403E3A"/>
    <w:rsid w:val="00444DE1"/>
    <w:rsid w:val="004624FE"/>
    <w:rsid w:val="004922BC"/>
    <w:rsid w:val="005018A0"/>
    <w:rsid w:val="0050722D"/>
    <w:rsid w:val="0052297F"/>
    <w:rsid w:val="0060645F"/>
    <w:rsid w:val="00617FEF"/>
    <w:rsid w:val="00625D31"/>
    <w:rsid w:val="00666E55"/>
    <w:rsid w:val="006E10C2"/>
    <w:rsid w:val="006E38DC"/>
    <w:rsid w:val="006F10EF"/>
    <w:rsid w:val="007169AD"/>
    <w:rsid w:val="00780BA6"/>
    <w:rsid w:val="0079532A"/>
    <w:rsid w:val="008111FE"/>
    <w:rsid w:val="00837639"/>
    <w:rsid w:val="00842F28"/>
    <w:rsid w:val="00855E68"/>
    <w:rsid w:val="008865C7"/>
    <w:rsid w:val="00891D1A"/>
    <w:rsid w:val="008A1252"/>
    <w:rsid w:val="008A519D"/>
    <w:rsid w:val="008B7ED5"/>
    <w:rsid w:val="00904C9B"/>
    <w:rsid w:val="00906FB8"/>
    <w:rsid w:val="00944AEB"/>
    <w:rsid w:val="00957C6A"/>
    <w:rsid w:val="00961148"/>
    <w:rsid w:val="00995815"/>
    <w:rsid w:val="009F2DFA"/>
    <w:rsid w:val="00A04974"/>
    <w:rsid w:val="00A3661B"/>
    <w:rsid w:val="00A4249E"/>
    <w:rsid w:val="00A5353E"/>
    <w:rsid w:val="00AD008B"/>
    <w:rsid w:val="00AD71B2"/>
    <w:rsid w:val="00B31A8E"/>
    <w:rsid w:val="00B53189"/>
    <w:rsid w:val="00B7184C"/>
    <w:rsid w:val="00B84997"/>
    <w:rsid w:val="00BA073A"/>
    <w:rsid w:val="00BC140C"/>
    <w:rsid w:val="00BC5713"/>
    <w:rsid w:val="00BE277C"/>
    <w:rsid w:val="00C1367D"/>
    <w:rsid w:val="00C15520"/>
    <w:rsid w:val="00C25BD5"/>
    <w:rsid w:val="00C83237"/>
    <w:rsid w:val="00C84EF7"/>
    <w:rsid w:val="00C97820"/>
    <w:rsid w:val="00CB052A"/>
    <w:rsid w:val="00CB3623"/>
    <w:rsid w:val="00D165EB"/>
    <w:rsid w:val="00D413C1"/>
    <w:rsid w:val="00DB02AE"/>
    <w:rsid w:val="00DB1092"/>
    <w:rsid w:val="00DC677A"/>
    <w:rsid w:val="00DD1B2B"/>
    <w:rsid w:val="00E229FC"/>
    <w:rsid w:val="00E86AD1"/>
    <w:rsid w:val="00ED1F17"/>
    <w:rsid w:val="00EF7F46"/>
    <w:rsid w:val="00F0409C"/>
    <w:rsid w:val="00F33DBF"/>
    <w:rsid w:val="00F41620"/>
    <w:rsid w:val="00FB1825"/>
    <w:rsid w:val="00FB5C13"/>
    <w:rsid w:val="00FF0B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4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6338</Characters>
  <Application>Microsoft Office Word</Application>
  <DocSecurity>4</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Jaroslav.Hudcovsky@employment.gov.sk</dc:creator>
  <cp:lastModifiedBy>Pelechová Monika</cp:lastModifiedBy>
  <cp:revision>2</cp:revision>
  <dcterms:created xsi:type="dcterms:W3CDTF">2020-01-08T12:24:00Z</dcterms:created>
  <dcterms:modified xsi:type="dcterms:W3CDTF">2020-01-08T12:24:00Z</dcterms:modified>
</cp:coreProperties>
</file>