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15" w:rsidRPr="00394825" w:rsidRDefault="00394825" w:rsidP="00394825">
      <w:pPr>
        <w:pStyle w:val="Default"/>
        <w:jc w:val="center"/>
        <w:rPr>
          <w:b/>
          <w:sz w:val="28"/>
          <w:szCs w:val="28"/>
        </w:rPr>
      </w:pPr>
      <w:r w:rsidRPr="00394825">
        <w:rPr>
          <w:b/>
          <w:sz w:val="28"/>
          <w:szCs w:val="28"/>
        </w:rPr>
        <w:t>Zhrnutie zmien v nariadení (EÚ) č. 648/2012 (EMIR) - REFIT</w:t>
      </w:r>
    </w:p>
    <w:p w:rsidR="00BA3C4E" w:rsidRPr="00BA3C4E" w:rsidRDefault="00BA3C4E" w:rsidP="00BA3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54D1" w:rsidRDefault="000C54D1" w:rsidP="00BA3C4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Nariadenie Európskeho parlamentu a rady (EÚ) 2019/...</w:t>
      </w:r>
      <w:r w:rsidR="00156031">
        <w:rPr>
          <w:rFonts w:ascii="Times New Roman" w:hAnsi="Times New Roman" w:cs="Times New Roman"/>
          <w:b/>
          <w:color w:val="000000"/>
          <w:sz w:val="24"/>
          <w:szCs w:val="24"/>
        </w:rPr>
        <w:t>, ktorým sa mení nariadenie (EÚ) č. 648/2012, pokiaľ ide o zúčtovaciu povinnosť, pozastavenie zúčtovacej povinnosti, požiadavky na ohlasovanie, postupy zmierňovania rizika pri zmluvách o mimoburzových derivátoch nezúčtovaných centrálnou protistranou, registráciu archívov obchodných údajov a dohľad nad nimi a požiadavky na archívy obchodných údajov</w:t>
      </w:r>
    </w:p>
    <w:p w:rsidR="00AD3551" w:rsidRDefault="00AD3551" w:rsidP="00207F22">
      <w:pPr>
        <w:jc w:val="both"/>
        <w:rPr>
          <w:sz w:val="23"/>
          <w:szCs w:val="23"/>
        </w:rPr>
      </w:pPr>
    </w:p>
    <w:p w:rsidR="00983415" w:rsidRDefault="00E135B4" w:rsidP="00207F2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Európska komisia zverejnila návrh na zmenu nariadenia (EÚ) č. 648/2012 (EMIR) 4. mája 2017. Po sériách rokovaní o návrhu textu </w:t>
      </w:r>
      <w:proofErr w:type="spellStart"/>
      <w:r>
        <w:rPr>
          <w:sz w:val="23"/>
          <w:szCs w:val="23"/>
        </w:rPr>
        <w:t>Refit</w:t>
      </w:r>
      <w:proofErr w:type="spellEnd"/>
      <w:r>
        <w:rPr>
          <w:sz w:val="23"/>
          <w:szCs w:val="23"/>
        </w:rPr>
        <w:t xml:space="preserve"> rumunské predsedníctvo rady a európskeho parlamentu dosiahlo predbežný súhlas 5. februára a </w:t>
      </w:r>
      <w:proofErr w:type="spellStart"/>
      <w:r>
        <w:rPr>
          <w:sz w:val="23"/>
          <w:szCs w:val="23"/>
        </w:rPr>
        <w:t>Refit</w:t>
      </w:r>
      <w:proofErr w:type="spellEnd"/>
      <w:r>
        <w:rPr>
          <w:sz w:val="23"/>
          <w:szCs w:val="23"/>
        </w:rPr>
        <w:t xml:space="preserve"> text </w:t>
      </w:r>
      <w:r w:rsidR="001A09A3">
        <w:rPr>
          <w:sz w:val="23"/>
          <w:szCs w:val="23"/>
        </w:rPr>
        <w:t>následne</w:t>
      </w:r>
      <w:r>
        <w:rPr>
          <w:sz w:val="23"/>
          <w:szCs w:val="23"/>
        </w:rPr>
        <w:t xml:space="preserve"> potvrdený </w:t>
      </w:r>
      <w:proofErr w:type="spellStart"/>
      <w:r>
        <w:rPr>
          <w:sz w:val="23"/>
          <w:szCs w:val="23"/>
        </w:rPr>
        <w:t>Commitee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Permanent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Representatives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Union</w:t>
      </w:r>
      <w:proofErr w:type="spellEnd"/>
      <w:r>
        <w:rPr>
          <w:sz w:val="23"/>
          <w:szCs w:val="23"/>
        </w:rPr>
        <w:t xml:space="preserve"> (COREPER) bol zverejnený 6. marca. Po týchto dohodách a zverejnení a berúc do úvahy štandardný proces, ktoré nasleduje do prijatia je preto odôvodnené predpokladať</w:t>
      </w:r>
      <w:r w:rsidR="00B16403">
        <w:rPr>
          <w:sz w:val="23"/>
          <w:szCs w:val="23"/>
        </w:rPr>
        <w:t xml:space="preserve">, že finálny text </w:t>
      </w:r>
      <w:proofErr w:type="spellStart"/>
      <w:r w:rsidR="00B16403" w:rsidRPr="009D42CA">
        <w:rPr>
          <w:b/>
          <w:sz w:val="23"/>
          <w:szCs w:val="23"/>
        </w:rPr>
        <w:t>Refit</w:t>
      </w:r>
      <w:proofErr w:type="spellEnd"/>
      <w:r w:rsidR="00B16403" w:rsidRPr="009D42CA">
        <w:rPr>
          <w:b/>
          <w:sz w:val="23"/>
          <w:szCs w:val="23"/>
        </w:rPr>
        <w:t xml:space="preserve"> by mohol byť prijatý a zverejnený v úradnom vestníku už v máji 2019 a</w:t>
      </w:r>
      <w:r w:rsidR="001A09A3">
        <w:rPr>
          <w:b/>
          <w:sz w:val="23"/>
          <w:szCs w:val="23"/>
        </w:rPr>
        <w:t xml:space="preserve"> že </w:t>
      </w:r>
      <w:r w:rsidR="00B16403" w:rsidRPr="009D42CA">
        <w:rPr>
          <w:b/>
          <w:sz w:val="23"/>
          <w:szCs w:val="23"/>
        </w:rPr>
        <w:t xml:space="preserve">možné nadobudnutie účinnosti </w:t>
      </w:r>
      <w:r w:rsidR="001A09A3">
        <w:rPr>
          <w:b/>
          <w:sz w:val="23"/>
          <w:szCs w:val="23"/>
        </w:rPr>
        <w:t>je</w:t>
      </w:r>
      <w:r w:rsidR="00B16403" w:rsidRPr="009D42CA">
        <w:rPr>
          <w:b/>
          <w:sz w:val="23"/>
          <w:szCs w:val="23"/>
        </w:rPr>
        <w:t xml:space="preserve"> na konci mája 2019, t.</w:t>
      </w:r>
      <w:r w:rsidR="00990C76" w:rsidRPr="009D42CA">
        <w:rPr>
          <w:b/>
          <w:sz w:val="23"/>
          <w:szCs w:val="23"/>
        </w:rPr>
        <w:t xml:space="preserve"> </w:t>
      </w:r>
      <w:r w:rsidR="00B16403" w:rsidRPr="009D42CA">
        <w:rPr>
          <w:b/>
          <w:sz w:val="23"/>
          <w:szCs w:val="23"/>
        </w:rPr>
        <w:t>j. 20 dní po jeho zverejnení.</w:t>
      </w:r>
      <w:r>
        <w:rPr>
          <w:sz w:val="23"/>
          <w:szCs w:val="23"/>
        </w:rPr>
        <w:t xml:space="preserve"> </w:t>
      </w:r>
    </w:p>
    <w:p w:rsidR="009942FF" w:rsidRDefault="009942FF" w:rsidP="00207F2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Poznámka: </w:t>
      </w:r>
      <w:r w:rsidRPr="00116283">
        <w:rPr>
          <w:b/>
          <w:sz w:val="23"/>
          <w:szCs w:val="23"/>
        </w:rPr>
        <w:t>REFIT</w:t>
      </w:r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Commission´s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regulatory</w:t>
      </w:r>
      <w:proofErr w:type="spellEnd"/>
      <w:r>
        <w:rPr>
          <w:sz w:val="23"/>
          <w:szCs w:val="23"/>
        </w:rPr>
        <w:t xml:space="preserve"> and </w:t>
      </w:r>
      <w:proofErr w:type="spellStart"/>
      <w:r>
        <w:rPr>
          <w:sz w:val="23"/>
          <w:szCs w:val="23"/>
        </w:rPr>
        <w:t>performance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programme</w:t>
      </w:r>
      <w:proofErr w:type="spellEnd"/>
      <w:r>
        <w:rPr>
          <w:sz w:val="23"/>
          <w:szCs w:val="23"/>
        </w:rPr>
        <w:t xml:space="preserve"> /program regulačnej</w:t>
      </w:r>
      <w:r w:rsidR="00116283">
        <w:rPr>
          <w:sz w:val="23"/>
          <w:szCs w:val="23"/>
        </w:rPr>
        <w:t xml:space="preserve"> vhodnosti a efektívnosti má zabezpečiť </w:t>
      </w:r>
      <w:r>
        <w:rPr>
          <w:sz w:val="23"/>
          <w:szCs w:val="23"/>
        </w:rPr>
        <w:t>jednoduchšie a menej nákladné právne predpisy EÚ</w:t>
      </w:r>
      <w:r w:rsidR="00116283">
        <w:rPr>
          <w:sz w:val="23"/>
          <w:szCs w:val="23"/>
        </w:rPr>
        <w:t>.</w:t>
      </w:r>
    </w:p>
    <w:p w:rsidR="009942FF" w:rsidRDefault="009942FF" w:rsidP="00983415">
      <w:pPr>
        <w:rPr>
          <w:b/>
          <w:sz w:val="23"/>
          <w:szCs w:val="23"/>
        </w:rPr>
      </w:pPr>
    </w:p>
    <w:p w:rsidR="00983415" w:rsidRPr="001C5473" w:rsidRDefault="003F5170" w:rsidP="00983415">
      <w:pPr>
        <w:rPr>
          <w:b/>
          <w:sz w:val="23"/>
          <w:szCs w:val="23"/>
        </w:rPr>
      </w:pPr>
      <w:r>
        <w:rPr>
          <w:b/>
          <w:sz w:val="23"/>
          <w:szCs w:val="23"/>
        </w:rPr>
        <w:t>N</w:t>
      </w:r>
      <w:r w:rsidR="00B16403">
        <w:rPr>
          <w:b/>
          <w:sz w:val="23"/>
          <w:szCs w:val="23"/>
        </w:rPr>
        <w:t>avrhnuté</w:t>
      </w:r>
      <w:r w:rsidR="00983415" w:rsidRPr="001C5473">
        <w:rPr>
          <w:b/>
          <w:sz w:val="23"/>
          <w:szCs w:val="23"/>
        </w:rPr>
        <w:t xml:space="preserve"> zmen</w:t>
      </w:r>
      <w:r w:rsidR="00B16403">
        <w:rPr>
          <w:b/>
          <w:sz w:val="23"/>
          <w:szCs w:val="23"/>
        </w:rPr>
        <w:t>y</w:t>
      </w:r>
      <w:r w:rsidR="00983415" w:rsidRPr="001C5473">
        <w:rPr>
          <w:b/>
          <w:sz w:val="23"/>
          <w:szCs w:val="23"/>
        </w:rPr>
        <w:t xml:space="preserve"> v</w:t>
      </w:r>
      <w:r w:rsidR="00B16403">
        <w:rPr>
          <w:b/>
          <w:sz w:val="23"/>
          <w:szCs w:val="23"/>
        </w:rPr>
        <w:t> </w:t>
      </w:r>
      <w:r w:rsidR="00983415" w:rsidRPr="001C5473">
        <w:rPr>
          <w:b/>
          <w:sz w:val="23"/>
          <w:szCs w:val="23"/>
        </w:rPr>
        <w:t>EMIR</w:t>
      </w:r>
      <w:r w:rsidR="00B16403">
        <w:rPr>
          <w:b/>
          <w:sz w:val="23"/>
          <w:szCs w:val="23"/>
        </w:rPr>
        <w:t xml:space="preserve"> pokrývajú tieto oblasti</w:t>
      </w:r>
      <w:r w:rsidR="00983415" w:rsidRPr="001C5473">
        <w:rPr>
          <w:b/>
          <w:sz w:val="23"/>
          <w:szCs w:val="23"/>
        </w:rPr>
        <w:t>:</w:t>
      </w:r>
    </w:p>
    <w:p w:rsidR="00983415" w:rsidRPr="00983415" w:rsidRDefault="00983415" w:rsidP="00983415">
      <w:pPr>
        <w:pStyle w:val="ListParagraph"/>
        <w:numPr>
          <w:ilvl w:val="0"/>
          <w:numId w:val="1"/>
        </w:numPr>
      </w:pPr>
      <w:r w:rsidRPr="00983415">
        <w:rPr>
          <w:sz w:val="23"/>
          <w:szCs w:val="23"/>
        </w:rPr>
        <w:t>Zúčtovacia povinnosť</w:t>
      </w:r>
    </w:p>
    <w:p w:rsidR="00983415" w:rsidRPr="00983415" w:rsidRDefault="00983415" w:rsidP="00983415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Požiadavky ohlasovania</w:t>
      </w:r>
    </w:p>
    <w:p w:rsidR="00983415" w:rsidRPr="00983415" w:rsidRDefault="00983415" w:rsidP="00983415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Postupy zmierňovania rizík pre OTC derivátové kontrakty nezúčtované centrálnou protistranou</w:t>
      </w:r>
    </w:p>
    <w:p w:rsidR="00983415" w:rsidRPr="00983415" w:rsidRDefault="00983415" w:rsidP="00983415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Registrácia a dohľad archívov obchodných údajov</w:t>
      </w:r>
    </w:p>
    <w:p w:rsidR="00983415" w:rsidRPr="00983415" w:rsidRDefault="00983415" w:rsidP="00983415">
      <w:pPr>
        <w:pStyle w:val="ListParagraph"/>
        <w:numPr>
          <w:ilvl w:val="0"/>
          <w:numId w:val="1"/>
        </w:numPr>
      </w:pPr>
      <w:r>
        <w:rPr>
          <w:sz w:val="23"/>
          <w:szCs w:val="23"/>
        </w:rPr>
        <w:t>Požiadavky na archívy obchodných údajov</w:t>
      </w:r>
    </w:p>
    <w:p w:rsidR="00983415" w:rsidRDefault="00983415" w:rsidP="00983415"/>
    <w:p w:rsidR="00983415" w:rsidRDefault="00D7018A" w:rsidP="00983415">
      <w:r w:rsidRPr="001F4642">
        <w:rPr>
          <w:sz w:val="28"/>
          <w:szCs w:val="28"/>
        </w:rPr>
        <w:t xml:space="preserve">1. </w:t>
      </w:r>
      <w:r w:rsidR="00983415" w:rsidRPr="001F4642">
        <w:rPr>
          <w:b/>
          <w:sz w:val="28"/>
          <w:szCs w:val="28"/>
        </w:rPr>
        <w:t>Zmeny vo vymedzení fina</w:t>
      </w:r>
      <w:r w:rsidRPr="001F4642">
        <w:rPr>
          <w:b/>
          <w:sz w:val="28"/>
          <w:szCs w:val="28"/>
        </w:rPr>
        <w:t>n</w:t>
      </w:r>
      <w:r w:rsidR="00983415" w:rsidRPr="001F4642">
        <w:rPr>
          <w:b/>
          <w:sz w:val="28"/>
          <w:szCs w:val="28"/>
        </w:rPr>
        <w:t>čných protistrán</w:t>
      </w:r>
      <w:r>
        <w:t xml:space="preserve"> (článok 2 bod 8 je nahradený)</w:t>
      </w:r>
    </w:p>
    <w:p w:rsidR="00D7018A" w:rsidRDefault="00D7018A" w:rsidP="00983415">
      <w:r>
        <w:t>- zmeny vo vymedzení poisťovne a zaisťovne (</w:t>
      </w:r>
      <w:proofErr w:type="spellStart"/>
      <w:r>
        <w:t>insurance</w:t>
      </w:r>
      <w:proofErr w:type="spellEnd"/>
      <w:r>
        <w:t xml:space="preserve"> or </w:t>
      </w:r>
      <w:proofErr w:type="spellStart"/>
      <w:r>
        <w:t>re</w:t>
      </w:r>
      <w:r w:rsidR="007A0CC1">
        <w:t>in</w:t>
      </w:r>
      <w:r>
        <w:t>s</w:t>
      </w:r>
      <w:r w:rsidR="007A0CC1">
        <w:t>u</w:t>
      </w:r>
      <w:r>
        <w:t>rance</w:t>
      </w:r>
      <w:proofErr w:type="spellEnd"/>
      <w:r>
        <w:t>) v súlade so smernicou 2009/138 ES</w:t>
      </w:r>
    </w:p>
    <w:p w:rsidR="00D7018A" w:rsidRDefault="00D7018A" w:rsidP="00983415">
      <w:r>
        <w:t xml:space="preserve">- </w:t>
      </w:r>
      <w:r w:rsidR="007A0CC1">
        <w:t>z</w:t>
      </w:r>
      <w:r>
        <w:t>meny vo vymedzení UCITS</w:t>
      </w:r>
      <w:r w:rsidR="00734F54">
        <w:t xml:space="preserve"> -</w:t>
      </w:r>
      <w:r w:rsidR="007A0CC1">
        <w:t xml:space="preserve"> doplnené okrem UCITS</w:t>
      </w:r>
      <w:r w:rsidR="00BD5742">
        <w:t>,</w:t>
      </w:r>
      <w:r w:rsidR="007A0CC1">
        <w:t xml:space="preserve"> ak je zriaden</w:t>
      </w:r>
      <w:r w:rsidR="00BD5742">
        <w:t>ý</w:t>
      </w:r>
      <w:r w:rsidR="007A0CC1">
        <w:t xml:space="preserve"> výlučne na účely slúžiace jednému alebo viacerým zamestnan</w:t>
      </w:r>
      <w:r w:rsidR="00734F54">
        <w:t>eckým</w:t>
      </w:r>
      <w:r w:rsidR="007A0CC1">
        <w:t xml:space="preserve"> plánom n</w:t>
      </w:r>
      <w:r w:rsidR="00734F54">
        <w:t xml:space="preserve">a </w:t>
      </w:r>
      <w:r w:rsidR="007A0CC1">
        <w:t>k</w:t>
      </w:r>
      <w:r w:rsidR="00734F54">
        <w:t>ú</w:t>
      </w:r>
      <w:r w:rsidR="007A0CC1">
        <w:t>pu akcií</w:t>
      </w:r>
    </w:p>
    <w:p w:rsidR="007A0CC1" w:rsidRDefault="007A0CC1" w:rsidP="00983415">
      <w:r>
        <w:t>- zmeny vo vymedzení alternatívnych investičných fondov</w:t>
      </w:r>
    </w:p>
    <w:p w:rsidR="007A0CC1" w:rsidRDefault="007A0CC1" w:rsidP="00983415">
      <w:r>
        <w:t xml:space="preserve">- </w:t>
      </w:r>
      <w:r w:rsidRPr="001F4642">
        <w:rPr>
          <w:b/>
        </w:rPr>
        <w:t>doplnené centrálne depozitáre povolené podľa nariadenia CSDR</w:t>
      </w:r>
    </w:p>
    <w:p w:rsidR="00061A5F" w:rsidRDefault="00061A5F" w:rsidP="00983415"/>
    <w:p w:rsidR="00116283" w:rsidRDefault="00116283" w:rsidP="00983415"/>
    <w:p w:rsidR="00116283" w:rsidRDefault="00116283" w:rsidP="00983415"/>
    <w:p w:rsidR="00061A5F" w:rsidRPr="001C5473" w:rsidRDefault="00061A5F" w:rsidP="00983415">
      <w:pPr>
        <w:rPr>
          <w:b/>
        </w:rPr>
      </w:pPr>
      <w:r w:rsidRPr="001F4642">
        <w:rPr>
          <w:sz w:val="28"/>
          <w:szCs w:val="28"/>
        </w:rPr>
        <w:lastRenderedPageBreak/>
        <w:t>2</w:t>
      </w:r>
      <w:r>
        <w:t xml:space="preserve">. </w:t>
      </w:r>
      <w:r w:rsidRPr="001F4642">
        <w:rPr>
          <w:b/>
          <w:sz w:val="28"/>
          <w:szCs w:val="28"/>
        </w:rPr>
        <w:t>Zmeny v zúčtovacej povinnosti</w:t>
      </w:r>
      <w:r w:rsidR="00462C3F">
        <w:rPr>
          <w:b/>
          <w:sz w:val="28"/>
          <w:szCs w:val="28"/>
        </w:rPr>
        <w:t xml:space="preserve"> (článok 4 a 5)</w:t>
      </w:r>
    </w:p>
    <w:p w:rsidR="007A0CC1" w:rsidRDefault="00061A5F" w:rsidP="00B16403">
      <w:pPr>
        <w:pStyle w:val="ListParagraph"/>
        <w:numPr>
          <w:ilvl w:val="0"/>
          <w:numId w:val="2"/>
        </w:numPr>
      </w:pPr>
      <w:r>
        <w:t>Nové vymedzenie podmienok, ktoré protistrany zúčtovávajú OTC derivátové kontrakty cez centrálnu protistranu</w:t>
      </w:r>
    </w:p>
    <w:p w:rsidR="007C6D89" w:rsidRPr="007C6D89" w:rsidRDefault="00552EE5" w:rsidP="00B16403">
      <w:pPr>
        <w:pStyle w:val="ListParagraph"/>
        <w:numPr>
          <w:ilvl w:val="0"/>
          <w:numId w:val="2"/>
        </w:numPr>
        <w:jc w:val="both"/>
      </w:pPr>
      <w:r w:rsidRPr="007C6D89">
        <w:rPr>
          <w:b/>
        </w:rPr>
        <w:t>nové vymedzenie finančných protistrán, ktoré podliehajú zúčtovacej povinnosti</w:t>
      </w:r>
      <w:r w:rsidR="00B16403" w:rsidRPr="007C6D89">
        <w:rPr>
          <w:b/>
        </w:rPr>
        <w:t xml:space="preserve"> </w:t>
      </w:r>
    </w:p>
    <w:p w:rsidR="00B16403" w:rsidRDefault="00B16403" w:rsidP="00B16403">
      <w:pPr>
        <w:pStyle w:val="ListParagraph"/>
        <w:numPr>
          <w:ilvl w:val="0"/>
          <w:numId w:val="2"/>
        </w:numPr>
        <w:jc w:val="both"/>
      </w:pPr>
      <w:r w:rsidRPr="007C6D89">
        <w:rPr>
          <w:b/>
        </w:rPr>
        <w:t>vytvára sa nová kategória finančných protistrán, ktoré budú vyňaté zo zúčtovacej povinnosti</w:t>
      </w:r>
      <w:r>
        <w:t xml:space="preserve"> tzv. </w:t>
      </w:r>
      <w:r w:rsidR="00FB6900">
        <w:t>„</w:t>
      </w:r>
      <w:r>
        <w:t>malé finančné protistrany</w:t>
      </w:r>
      <w:r w:rsidR="00FB6900">
        <w:t>“</w:t>
      </w:r>
      <w:r w:rsidR="00E400D6">
        <w:t>, ktorých pozície vo finančných derivátoch nepre</w:t>
      </w:r>
      <w:r w:rsidR="00FB6900">
        <w:t>vyšujú</w:t>
      </w:r>
      <w:r w:rsidR="00E400D6">
        <w:t xml:space="preserve"> zúčtovaciu prahovú hodnotu </w:t>
      </w:r>
    </w:p>
    <w:p w:rsidR="007C6D89" w:rsidRPr="007C6D89" w:rsidRDefault="00E400D6" w:rsidP="00B16403">
      <w:pPr>
        <w:pStyle w:val="ListParagraph"/>
        <w:numPr>
          <w:ilvl w:val="0"/>
          <w:numId w:val="2"/>
        </w:numPr>
        <w:jc w:val="both"/>
      </w:pPr>
      <w:r>
        <w:rPr>
          <w:b/>
        </w:rPr>
        <w:t>Finančn</w:t>
      </w:r>
      <w:r w:rsidR="00EC79EC">
        <w:rPr>
          <w:b/>
        </w:rPr>
        <w:t>á</w:t>
      </w:r>
      <w:r>
        <w:rPr>
          <w:b/>
        </w:rPr>
        <w:t xml:space="preserve"> protistran</w:t>
      </w:r>
      <w:r w:rsidR="00EC79EC">
        <w:rPr>
          <w:b/>
        </w:rPr>
        <w:t>a</w:t>
      </w:r>
      <w:r w:rsidR="00FB6900">
        <w:rPr>
          <w:b/>
        </w:rPr>
        <w:t xml:space="preserve"> </w:t>
      </w:r>
      <w:r w:rsidR="001606F5">
        <w:rPr>
          <w:b/>
        </w:rPr>
        <w:t>(</w:t>
      </w:r>
      <w:r w:rsidR="00FB6900">
        <w:rPr>
          <w:b/>
        </w:rPr>
        <w:t>a</w:t>
      </w:r>
      <w:r w:rsidR="00734F54">
        <w:rPr>
          <w:b/>
        </w:rPr>
        <w:t>j</w:t>
      </w:r>
      <w:r w:rsidR="00FB6900">
        <w:rPr>
          <w:b/>
        </w:rPr>
        <w:t> nefinančn</w:t>
      </w:r>
      <w:r w:rsidR="00EC79EC">
        <w:rPr>
          <w:b/>
        </w:rPr>
        <w:t>á</w:t>
      </w:r>
      <w:r w:rsidR="00FB6900">
        <w:rPr>
          <w:b/>
        </w:rPr>
        <w:t xml:space="preserve"> protistran</w:t>
      </w:r>
      <w:r w:rsidR="00EC79EC">
        <w:rPr>
          <w:b/>
        </w:rPr>
        <w:t>a</w:t>
      </w:r>
      <w:r w:rsidR="00734F54">
        <w:rPr>
          <w:b/>
        </w:rPr>
        <w:t xml:space="preserve"> - pozri článok 10)</w:t>
      </w:r>
      <w:r>
        <w:rPr>
          <w:b/>
        </w:rPr>
        <w:t xml:space="preserve">, ktoré </w:t>
      </w:r>
      <w:r w:rsidR="00EC79EC">
        <w:rPr>
          <w:b/>
        </w:rPr>
        <w:t>nadobudla</w:t>
      </w:r>
      <w:r>
        <w:rPr>
          <w:b/>
        </w:rPr>
        <w:t xml:space="preserve"> pozície v OTC derivátových kontraktoch</w:t>
      </w:r>
      <w:r w:rsidR="001A09A3">
        <w:rPr>
          <w:b/>
        </w:rPr>
        <w:t>,</w:t>
      </w:r>
      <w:r>
        <w:rPr>
          <w:b/>
        </w:rPr>
        <w:t xml:space="preserve"> môž</w:t>
      </w:r>
      <w:r w:rsidR="00EC79EC">
        <w:rPr>
          <w:b/>
        </w:rPr>
        <w:t>e</w:t>
      </w:r>
      <w:r>
        <w:rPr>
          <w:b/>
        </w:rPr>
        <w:t xml:space="preserve"> každých 12 mesiacov</w:t>
      </w:r>
      <w:r w:rsidR="00EC79EC">
        <w:rPr>
          <w:b/>
        </w:rPr>
        <w:t xml:space="preserve"> vypočítavať</w:t>
      </w:r>
      <w:r>
        <w:rPr>
          <w:b/>
        </w:rPr>
        <w:t xml:space="preserve"> </w:t>
      </w:r>
      <w:r w:rsidR="000570B3">
        <w:rPr>
          <w:b/>
        </w:rPr>
        <w:t>svoje</w:t>
      </w:r>
      <w:r>
        <w:rPr>
          <w:b/>
        </w:rPr>
        <w:t xml:space="preserve"> agregované priemerné pozície na konci mesiaca za predchádzajúcich 12 mesiacov. </w:t>
      </w:r>
    </w:p>
    <w:p w:rsidR="00E400D6" w:rsidRPr="00E400D6" w:rsidRDefault="00E400D6" w:rsidP="00B16403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 </w:t>
      </w:r>
      <w:r w:rsidRPr="00E400D6">
        <w:t>Ak</w:t>
      </w:r>
      <w:r>
        <w:t xml:space="preserve"> finančné protistrany </w:t>
      </w:r>
      <w:r w:rsidR="00734F54">
        <w:t>(</w:t>
      </w:r>
      <w:r w:rsidR="00FB6900">
        <w:t>a</w:t>
      </w:r>
      <w:r w:rsidR="00734F54">
        <w:t>j</w:t>
      </w:r>
      <w:r w:rsidR="00FB6900">
        <w:t> nefinančné protistrany</w:t>
      </w:r>
      <w:r w:rsidR="00734F54">
        <w:t>)</w:t>
      </w:r>
      <w:r w:rsidR="00FB6900">
        <w:t xml:space="preserve"> </w:t>
      </w:r>
      <w:r w:rsidRPr="00FB6900">
        <w:rPr>
          <w:b/>
        </w:rPr>
        <w:t>nevypočítavajú svoje pozície</w:t>
      </w:r>
      <w:r w:rsidR="007C6D89" w:rsidRPr="00FB6900">
        <w:rPr>
          <w:b/>
        </w:rPr>
        <w:t xml:space="preserve"> alebo ak výsledok výpočtu prekročí akúkoľvek zúčtovaciu prahovú hodnotu</w:t>
      </w:r>
      <w:r w:rsidR="007C6D89">
        <w:t>, od finančných protistrán</w:t>
      </w:r>
      <w:r w:rsidR="00FB6900">
        <w:t xml:space="preserve"> </w:t>
      </w:r>
      <w:r w:rsidR="00734F54">
        <w:t>(</w:t>
      </w:r>
      <w:r w:rsidR="00FB6900">
        <w:t>a</w:t>
      </w:r>
      <w:r w:rsidR="00734F54">
        <w:t>j</w:t>
      </w:r>
      <w:r w:rsidR="00FB6900">
        <w:t> nefinančných protistrán</w:t>
      </w:r>
      <w:r w:rsidR="00734F54">
        <w:t>)</w:t>
      </w:r>
      <w:r w:rsidR="007C6D89">
        <w:t xml:space="preserve"> sa vyžaduje, aby toto okamžite </w:t>
      </w:r>
      <w:r w:rsidR="007C6D89" w:rsidRPr="00025507">
        <w:rPr>
          <w:b/>
        </w:rPr>
        <w:t>oznámili ESMA a príslušným orgánom (NBS)</w:t>
      </w:r>
      <w:r w:rsidR="007C6D89">
        <w:t xml:space="preserve"> a stanú sa podliehajúcimi zúčtovacej povinnosti pre OTC derivátové kontrakty uzatvorené alebo obnovené viac ako 4 mesiace po tomto oznámení</w:t>
      </w:r>
      <w:r w:rsidR="00734F54">
        <w:t>.</w:t>
      </w:r>
    </w:p>
    <w:p w:rsidR="00134E71" w:rsidRDefault="00DD50B2" w:rsidP="00B16403">
      <w:pPr>
        <w:pStyle w:val="ListParagraph"/>
        <w:numPr>
          <w:ilvl w:val="0"/>
          <w:numId w:val="2"/>
        </w:numPr>
        <w:jc w:val="both"/>
      </w:pPr>
      <w:r w:rsidRPr="009B38F5">
        <w:rPr>
          <w:b/>
        </w:rPr>
        <w:t>Do výpočtu pozícií musí</w:t>
      </w:r>
      <w:r>
        <w:t xml:space="preserve"> finančná protistrana </w:t>
      </w:r>
      <w:r w:rsidRPr="009B38F5">
        <w:rPr>
          <w:b/>
        </w:rPr>
        <w:t>zahrnúť všetky OTC derivátové kontrakty</w:t>
      </w:r>
      <w:r>
        <w:t>, ktoré táto finančná protistrana uzatvorila alebo</w:t>
      </w:r>
      <w:r w:rsidR="001A09A3">
        <w:t xml:space="preserve"> boli</w:t>
      </w:r>
      <w:r>
        <w:t xml:space="preserve"> uzatvorené  inými subjektmi </w:t>
      </w:r>
      <w:r w:rsidRPr="009B38F5">
        <w:rPr>
          <w:b/>
        </w:rPr>
        <w:t>v rámci skupiny</w:t>
      </w:r>
      <w:r>
        <w:t xml:space="preserve"> do ktorých finančná protistrana patrí.</w:t>
      </w:r>
    </w:p>
    <w:p w:rsidR="00552EE5" w:rsidRDefault="00134E71" w:rsidP="00B16403">
      <w:pPr>
        <w:pStyle w:val="ListParagraph"/>
        <w:numPr>
          <w:ilvl w:val="0"/>
          <w:numId w:val="2"/>
        </w:numPr>
        <w:jc w:val="both"/>
      </w:pPr>
      <w:r w:rsidRPr="00DB7D30">
        <w:rPr>
          <w:b/>
        </w:rPr>
        <w:t>Pre nefinančnú protistranu sa výpočet pozícií nemení a postupuje sa podľa článku 10 ods. 3 EMIR</w:t>
      </w:r>
      <w:r>
        <w:t xml:space="preserve"> ( </w:t>
      </w:r>
      <w:r w:rsidRPr="00DB7D30">
        <w:rPr>
          <w:i/>
        </w:rPr>
        <w:t>zahŕňajú sa všetky OTC kontrakty, ktoré uzatvorila táto nefinančná protistrana alebo ďalšie nefinančné subjekty v rámci skupiny, do ktorej táto nefinančná protistrana patrí, ktoré nie sú objektívne merateľné ako znižujúce riziká priamo súvisiace s obchodnou činnosťou alebo podnikovým financovaním tejto nefinančnej protistrany alebo tejto skupiny</w:t>
      </w:r>
      <w:r w:rsidR="00DB7D30">
        <w:rPr>
          <w:i/>
        </w:rPr>
        <w:t>)</w:t>
      </w:r>
      <w:r>
        <w:t>.</w:t>
      </w:r>
    </w:p>
    <w:p w:rsidR="007C6D89" w:rsidRDefault="002528B7" w:rsidP="007C6D89">
      <w:pPr>
        <w:pStyle w:val="ListParagraph"/>
        <w:numPr>
          <w:ilvl w:val="0"/>
          <w:numId w:val="2"/>
        </w:numPr>
        <w:jc w:val="both"/>
      </w:pPr>
      <w:r>
        <w:rPr>
          <w:b/>
        </w:rPr>
        <w:t>V prípade</w:t>
      </w:r>
      <w:r w:rsidR="007C6D89" w:rsidRPr="007C6D89">
        <w:rPr>
          <w:b/>
        </w:rPr>
        <w:t xml:space="preserve"> UCITS a AIF sa pozíci</w:t>
      </w:r>
      <w:r>
        <w:rPr>
          <w:b/>
        </w:rPr>
        <w:t>e</w:t>
      </w:r>
      <w:r w:rsidR="007C6D89" w:rsidRPr="007C6D89">
        <w:rPr>
          <w:b/>
        </w:rPr>
        <w:t xml:space="preserve"> vypočítava</w:t>
      </w:r>
      <w:r>
        <w:rPr>
          <w:b/>
        </w:rPr>
        <w:t>jú</w:t>
      </w:r>
      <w:r w:rsidR="007C6D89" w:rsidRPr="007C6D89">
        <w:rPr>
          <w:b/>
        </w:rPr>
        <w:t xml:space="preserve"> na úrovni fondu</w:t>
      </w:r>
      <w:r w:rsidR="007C6D89">
        <w:t xml:space="preserve"> a</w:t>
      </w:r>
      <w:r w:rsidR="001A09A3">
        <w:t> </w:t>
      </w:r>
      <w:r w:rsidR="007C6D89">
        <w:t>stanovuje</w:t>
      </w:r>
      <w:r w:rsidR="001A09A3">
        <w:t xml:space="preserve"> sa</w:t>
      </w:r>
      <w:r w:rsidR="007C6D89">
        <w:t xml:space="preserve"> povinnosť  správcovskej spoločnosti preukázať príslušnému orgánu</w:t>
      </w:r>
      <w:r w:rsidR="00021CAE">
        <w:t xml:space="preserve"> (NBS)</w:t>
      </w:r>
      <w:r w:rsidR="001A09A3">
        <w:t>,</w:t>
      </w:r>
      <w:r w:rsidR="007C6D89">
        <w:t xml:space="preserve"> ak spravuje viac ako jeden UCITS alebo AIF, že výpočet na úrovni fondu nevedie k systematickému pod</w:t>
      </w:r>
      <w:r w:rsidR="001A09A3">
        <w:t>hodnocovaniu</w:t>
      </w:r>
      <w:r w:rsidR="007C6D89">
        <w:t xml:space="preserve"> pozícií </w:t>
      </w:r>
      <w:r>
        <w:t>ktoréhokoľvek z</w:t>
      </w:r>
      <w:r w:rsidR="007C6D89">
        <w:t xml:space="preserve"> fond</w:t>
      </w:r>
      <w:r>
        <w:t>ov</w:t>
      </w:r>
      <w:r w:rsidR="007C6D89">
        <w:t>, ktor</w:t>
      </w:r>
      <w:r>
        <w:t>é</w:t>
      </w:r>
      <w:r w:rsidR="007C6D89">
        <w:t xml:space="preserve"> spravuj</w:t>
      </w:r>
      <w:r>
        <w:t>ú</w:t>
      </w:r>
      <w:r w:rsidR="001A09A3">
        <w:t>,</w:t>
      </w:r>
      <w:r w:rsidR="007C6D89">
        <w:t xml:space="preserve"> alebo pozícií </w:t>
      </w:r>
      <w:r>
        <w:t>správcu</w:t>
      </w:r>
      <w:r w:rsidR="007C6D89">
        <w:t xml:space="preserve"> a</w:t>
      </w:r>
      <w:r>
        <w:t> k obchádzaniu</w:t>
      </w:r>
      <w:r w:rsidR="007C6D89">
        <w:t xml:space="preserve"> zúčtovacej povinnosti</w:t>
      </w:r>
      <w:r w:rsidR="00C247C7">
        <w:t xml:space="preserve"> (</w:t>
      </w:r>
      <w:r w:rsidR="00661861">
        <w:t>toto že výpočet nevedie k systematickému pod</w:t>
      </w:r>
      <w:r>
        <w:t>hodnocovaniu</w:t>
      </w:r>
      <w:r w:rsidR="00661861">
        <w:t xml:space="preserve"> pozícií platí aj pre finančné a nefinančné protistrany)</w:t>
      </w:r>
      <w:r w:rsidR="007C6D89">
        <w:t>.</w:t>
      </w:r>
    </w:p>
    <w:p w:rsidR="009B38F5" w:rsidRPr="009B38F5" w:rsidRDefault="009B38F5" w:rsidP="009B38F5">
      <w:pPr>
        <w:pStyle w:val="ListParagraph"/>
        <w:numPr>
          <w:ilvl w:val="0"/>
          <w:numId w:val="2"/>
        </w:numPr>
        <w:rPr>
          <w:b/>
        </w:rPr>
      </w:pPr>
      <w:r w:rsidRPr="009B38F5">
        <w:rPr>
          <w:b/>
        </w:rPr>
        <w:t>Príslušné orgány finančných protistrán a ďalších subjektov v rámci skupiny zavedú postupy spolupráce, aby zabezpečili účinný výpočet pozícií na úrovni</w:t>
      </w:r>
      <w:r w:rsidR="00DB7D30">
        <w:rPr>
          <w:b/>
        </w:rPr>
        <w:t xml:space="preserve"> skupiny</w:t>
      </w:r>
      <w:r w:rsidRPr="009B38F5">
        <w:rPr>
          <w:b/>
        </w:rPr>
        <w:t>.</w:t>
      </w:r>
    </w:p>
    <w:p w:rsidR="007C6D89" w:rsidRDefault="00F97B1F" w:rsidP="00B16403">
      <w:pPr>
        <w:pStyle w:val="ListParagraph"/>
        <w:numPr>
          <w:ilvl w:val="0"/>
          <w:numId w:val="2"/>
        </w:numPr>
        <w:jc w:val="both"/>
      </w:pPr>
      <w:r w:rsidRPr="00176584">
        <w:rPr>
          <w:b/>
        </w:rPr>
        <w:t>Zúčtovacia prahová hodnota</w:t>
      </w:r>
      <w:r>
        <w:t>, ktorá sa použije na určenie či sa finančná protistrana môže kvalifikovať ako malá finančná protistrana</w:t>
      </w:r>
      <w:r w:rsidR="00127D48">
        <w:t>,</w:t>
      </w:r>
      <w:r>
        <w:t xml:space="preserve"> bola vymedzená triedou aktív a stanovená </w:t>
      </w:r>
      <w:r w:rsidRPr="00176584">
        <w:rPr>
          <w:b/>
        </w:rPr>
        <w:t>podľa článku 11 delegovaného nariadenia komisie (EÚ) č. 149/2013</w:t>
      </w:r>
      <w:r w:rsidR="00734F54">
        <w:t xml:space="preserve"> (prahová hodnota je 1 mld</w:t>
      </w:r>
      <w:r w:rsidR="00176584">
        <w:t>.</w:t>
      </w:r>
      <w:r w:rsidR="00734F54">
        <w:t xml:space="preserve"> EUR pre kreditné a </w:t>
      </w:r>
      <w:r w:rsidR="00176584">
        <w:t>akciové</w:t>
      </w:r>
      <w:r w:rsidR="00734F54">
        <w:t xml:space="preserve"> deriváty a 3 mld</w:t>
      </w:r>
      <w:r w:rsidR="00176584">
        <w:t>.</w:t>
      </w:r>
      <w:r w:rsidR="00734F54">
        <w:t xml:space="preserve"> EUR</w:t>
      </w:r>
      <w:r w:rsidR="00176584">
        <w:t xml:space="preserve"> pre úrokové deriváty, devízové deriváty</w:t>
      </w:r>
      <w:r w:rsidR="006219E4">
        <w:t>, komoditné deriváty</w:t>
      </w:r>
      <w:bookmarkStart w:id="0" w:name="_GoBack"/>
      <w:bookmarkEnd w:id="0"/>
      <w:r w:rsidR="00176584">
        <w:t xml:space="preserve"> a ostatné deriváty)</w:t>
      </w:r>
    </w:p>
    <w:p w:rsidR="00D05CD8" w:rsidRDefault="00D05CD8" w:rsidP="00B16403">
      <w:pPr>
        <w:pStyle w:val="ListParagraph"/>
        <w:numPr>
          <w:ilvl w:val="0"/>
          <w:numId w:val="2"/>
        </w:numPr>
        <w:jc w:val="both"/>
      </w:pPr>
      <w:r w:rsidRPr="00D05CD8">
        <w:rPr>
          <w:b/>
        </w:rPr>
        <w:t xml:space="preserve">Zverejnený </w:t>
      </w:r>
      <w:proofErr w:type="spellStart"/>
      <w:r w:rsidRPr="00D05CD8">
        <w:rPr>
          <w:b/>
        </w:rPr>
        <w:t>Refit</w:t>
      </w:r>
      <w:proofErr w:type="spellEnd"/>
      <w:r w:rsidRPr="00D05CD8">
        <w:rPr>
          <w:b/>
        </w:rPr>
        <w:t xml:space="preserve"> text neobsahuje </w:t>
      </w:r>
      <w:r w:rsidR="00127D48">
        <w:rPr>
          <w:b/>
        </w:rPr>
        <w:t>odložené</w:t>
      </w:r>
      <w:r w:rsidRPr="00D05CD8">
        <w:rPr>
          <w:b/>
        </w:rPr>
        <w:t xml:space="preserve"> uplatnenie tohto</w:t>
      </w:r>
      <w:r w:rsidR="00176584">
        <w:rPr>
          <w:b/>
        </w:rPr>
        <w:t xml:space="preserve"> nového</w:t>
      </w:r>
      <w:r w:rsidRPr="00D05CD8">
        <w:rPr>
          <w:b/>
        </w:rPr>
        <w:t xml:space="preserve"> režimu </w:t>
      </w:r>
      <w:r w:rsidR="00176584">
        <w:rPr>
          <w:b/>
        </w:rPr>
        <w:t>pre finančné protistrany</w:t>
      </w:r>
      <w:r w:rsidR="0057511D">
        <w:rPr>
          <w:b/>
        </w:rPr>
        <w:t xml:space="preserve"> ako aj nefinančné</w:t>
      </w:r>
      <w:r w:rsidR="00551B93">
        <w:rPr>
          <w:b/>
        </w:rPr>
        <w:t xml:space="preserve"> protistrany</w:t>
      </w:r>
      <w:r>
        <w:t>, t.</w:t>
      </w:r>
      <w:r w:rsidR="002C40F6">
        <w:t xml:space="preserve"> </w:t>
      </w:r>
      <w:r>
        <w:t xml:space="preserve">j. tento nový režim sa uplatní hneď ako </w:t>
      </w:r>
      <w:proofErr w:type="spellStart"/>
      <w:r>
        <w:t>Refit</w:t>
      </w:r>
      <w:proofErr w:type="spellEnd"/>
      <w:r>
        <w:t xml:space="preserve"> text nadobudne účinnosť. Následkom toho, finančné protistrany</w:t>
      </w:r>
      <w:r w:rsidR="0025090C">
        <w:t xml:space="preserve"> a nefinančné protistrany</w:t>
      </w:r>
      <w:r>
        <w:t xml:space="preserve">, ktoré </w:t>
      </w:r>
      <w:r w:rsidR="00176584">
        <w:t>majú pozície v OTC derivátových kontraktoch a vyberú si vypočítavať</w:t>
      </w:r>
      <w:r>
        <w:t xml:space="preserve"> svoj</w:t>
      </w:r>
      <w:r w:rsidR="00176584">
        <w:t>e</w:t>
      </w:r>
      <w:r>
        <w:t xml:space="preserve"> agregovan</w:t>
      </w:r>
      <w:r w:rsidR="00176584">
        <w:t>é</w:t>
      </w:r>
      <w:r>
        <w:t xml:space="preserve"> priemern</w:t>
      </w:r>
      <w:r w:rsidR="00176584">
        <w:t>é</w:t>
      </w:r>
      <w:r>
        <w:t xml:space="preserve"> pozíci</w:t>
      </w:r>
      <w:r w:rsidR="00176584">
        <w:t>e</w:t>
      </w:r>
      <w:r>
        <w:t xml:space="preserve"> na konci mesiaca za predchádzajúcich 12 mesiacov</w:t>
      </w:r>
      <w:r w:rsidR="00176584">
        <w:t>, si musia určiť výsledok tohto výpočtu (či neprevyšujú zúčtovacie prahové hodnoty),</w:t>
      </w:r>
      <w:r w:rsidR="001F4642">
        <w:t xml:space="preserve"> ku dňu nadobudnutia účinnosti </w:t>
      </w:r>
      <w:r w:rsidR="009D42CA">
        <w:t xml:space="preserve"> </w:t>
      </w:r>
      <w:proofErr w:type="spellStart"/>
      <w:r w:rsidR="001F4642">
        <w:t>Refit</w:t>
      </w:r>
      <w:proofErr w:type="spellEnd"/>
      <w:r w:rsidR="001F4642">
        <w:t xml:space="preserve">. Za účelom prípravy a schopnosti vykonať takýto výpočet ku dňu nadobudnutia účinnosti textu </w:t>
      </w:r>
      <w:proofErr w:type="spellStart"/>
      <w:r w:rsidR="001F4642">
        <w:t>Refit</w:t>
      </w:r>
      <w:proofErr w:type="spellEnd"/>
      <w:r w:rsidR="001F4642">
        <w:t xml:space="preserve"> sa od týchto finančných protistrán</w:t>
      </w:r>
      <w:r w:rsidR="002577FD">
        <w:t xml:space="preserve"> a nefinančných protistrán</w:t>
      </w:r>
      <w:r w:rsidR="001F4642">
        <w:t xml:space="preserve"> očakáva</w:t>
      </w:r>
      <w:r w:rsidR="009D42CA">
        <w:t>, že medzitým</w:t>
      </w:r>
      <w:r w:rsidR="001F4642">
        <w:t xml:space="preserve"> zozbiera</w:t>
      </w:r>
      <w:r w:rsidR="009D42CA">
        <w:t>jú</w:t>
      </w:r>
      <w:r w:rsidR="001F4642">
        <w:t xml:space="preserve"> všetky potrebné údaje a informácie </w:t>
      </w:r>
      <w:r w:rsidR="009D42CA">
        <w:t>potrebné</w:t>
      </w:r>
      <w:r w:rsidR="001F4642">
        <w:t xml:space="preserve"> na výpočet</w:t>
      </w:r>
      <w:r w:rsidR="009D42CA">
        <w:t>,</w:t>
      </w:r>
      <w:r w:rsidR="001F4642">
        <w:t xml:space="preserve"> aby boli pripravené ku koncu mája 2019</w:t>
      </w:r>
      <w:r w:rsidR="009D42CA">
        <w:t xml:space="preserve"> na takýto výpočet</w:t>
      </w:r>
      <w:r w:rsidR="001F4642">
        <w:t>.</w:t>
      </w:r>
    </w:p>
    <w:p w:rsidR="001F4642" w:rsidRPr="001F4642" w:rsidRDefault="001F4642" w:rsidP="00B16403">
      <w:pPr>
        <w:pStyle w:val="ListParagraph"/>
        <w:numPr>
          <w:ilvl w:val="0"/>
          <w:numId w:val="2"/>
        </w:numPr>
        <w:jc w:val="both"/>
      </w:pPr>
      <w:r>
        <w:rPr>
          <w:b/>
        </w:rPr>
        <w:lastRenderedPageBreak/>
        <w:t xml:space="preserve">ESMA </w:t>
      </w:r>
      <w:r w:rsidR="00DB7D30">
        <w:rPr>
          <w:b/>
        </w:rPr>
        <w:t xml:space="preserve">zverejnila dňa </w:t>
      </w:r>
      <w:r w:rsidR="00B82EE5">
        <w:rPr>
          <w:b/>
        </w:rPr>
        <w:t>28.3.2019</w:t>
      </w:r>
      <w:r>
        <w:rPr>
          <w:b/>
        </w:rPr>
        <w:t xml:space="preserve"> PUBLIC STATEMENT </w:t>
      </w:r>
      <w:r w:rsidR="00DB7D30">
        <w:rPr>
          <w:b/>
        </w:rPr>
        <w:t>o</w:t>
      </w:r>
      <w:r>
        <w:rPr>
          <w:b/>
        </w:rPr>
        <w:t xml:space="preserve"> implementácii EMIR </w:t>
      </w:r>
      <w:proofErr w:type="spellStart"/>
      <w:r>
        <w:rPr>
          <w:b/>
        </w:rPr>
        <w:t>Refit</w:t>
      </w:r>
      <w:proofErr w:type="spellEnd"/>
      <w:r>
        <w:rPr>
          <w:b/>
        </w:rPr>
        <w:t xml:space="preserve"> </w:t>
      </w:r>
      <w:r w:rsidR="00DB7D30">
        <w:rPr>
          <w:b/>
        </w:rPr>
        <w:t xml:space="preserve">pre finančné a nefinančné protistrany </w:t>
      </w:r>
      <w:r w:rsidR="00DB7D30" w:rsidRPr="00DB7D30">
        <w:t xml:space="preserve">(pozrite v prílohe a príslušný </w:t>
      </w:r>
      <w:proofErr w:type="spellStart"/>
      <w:r w:rsidR="00DB7D30" w:rsidRPr="00DB7D30">
        <w:t>link</w:t>
      </w:r>
      <w:proofErr w:type="spellEnd"/>
      <w:r w:rsidR="00DB7D30" w:rsidRPr="00DB7D30">
        <w:t>).</w:t>
      </w:r>
    </w:p>
    <w:p w:rsidR="001F4642" w:rsidRDefault="006219E4" w:rsidP="001F4642">
      <w:pPr>
        <w:jc w:val="both"/>
      </w:pPr>
      <w:hyperlink r:id="rId6" w:history="1">
        <w:r w:rsidR="00B82EE5" w:rsidRPr="00604953">
          <w:rPr>
            <w:rStyle w:val="Hyperlink"/>
          </w:rPr>
          <w:t>https://www.esma.europa.eu/sites/default/files/library/esma70-151-2181_public_statement_on_refit_implementation_of_co_regime_for_fcs_and_nfcs.pdf</w:t>
        </w:r>
      </w:hyperlink>
    </w:p>
    <w:p w:rsidR="00B82EE5" w:rsidRDefault="00B82EE5" w:rsidP="001F4642">
      <w:pPr>
        <w:jc w:val="both"/>
      </w:pPr>
    </w:p>
    <w:p w:rsidR="004478B9" w:rsidRDefault="005666C4" w:rsidP="004478B9">
      <w:pPr>
        <w:pStyle w:val="ListParagraph"/>
        <w:numPr>
          <w:ilvl w:val="0"/>
          <w:numId w:val="2"/>
        </w:numPr>
        <w:jc w:val="both"/>
      </w:pPr>
      <w:r>
        <w:rPr>
          <w:b/>
        </w:rPr>
        <w:t>Zmeny v postupe súvisiac</w:t>
      </w:r>
      <w:r w:rsidR="009A6F4D">
        <w:rPr>
          <w:b/>
        </w:rPr>
        <w:t>e</w:t>
      </w:r>
      <w:r>
        <w:rPr>
          <w:b/>
        </w:rPr>
        <w:t xml:space="preserve"> so zúčtovacou povinnosťou (článok 5 ods. 1 EMIR), </w:t>
      </w:r>
      <w:r w:rsidRPr="005666C4">
        <w:t>ktor</w:t>
      </w:r>
      <w:r w:rsidR="009A6F4D">
        <w:t>é</w:t>
      </w:r>
      <w:r w:rsidRPr="005666C4">
        <w:t xml:space="preserve"> sa týka</w:t>
      </w:r>
      <w:r w:rsidR="001F145D">
        <w:t>jú</w:t>
      </w:r>
      <w:r>
        <w:t xml:space="preserve"> oznamovania povolení udelených centrálnej protistrane (CCP) na zúčtovanie určitej triedy OTC derivátov – </w:t>
      </w:r>
      <w:r w:rsidRPr="005666C4">
        <w:rPr>
          <w:b/>
        </w:rPr>
        <w:t>CCP musí oznámiť ESMA aj zámer začať zúčtovávať triedu OTC derivátov spadajúce pod existujúce povolenie</w:t>
      </w:r>
      <w:r>
        <w:t>.</w:t>
      </w:r>
    </w:p>
    <w:p w:rsidR="00D1501B" w:rsidRDefault="00D1501B" w:rsidP="00C61D9B">
      <w:pPr>
        <w:jc w:val="both"/>
      </w:pPr>
    </w:p>
    <w:p w:rsidR="00737B71" w:rsidRDefault="00737B71" w:rsidP="004478B9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Pozastavenie zúčtovacej povinnosti  </w:t>
      </w:r>
      <w:r w:rsidRPr="00737B71">
        <w:t xml:space="preserve">- ESMA môže požiadať, </w:t>
      </w:r>
      <w:r w:rsidR="00562B41">
        <w:t>aby</w:t>
      </w:r>
      <w:r w:rsidRPr="00737B71">
        <w:t xml:space="preserve"> Komisia dočasne pozastav</w:t>
      </w:r>
      <w:r w:rsidR="00562B41">
        <w:t>ila</w:t>
      </w:r>
      <w:r w:rsidRPr="00737B71">
        <w:t xml:space="preserve"> zúčtovaciu povinnosť pre </w:t>
      </w:r>
      <w:r w:rsidR="00562B41">
        <w:t>konkrétne</w:t>
      </w:r>
      <w:r w:rsidRPr="00737B71">
        <w:t xml:space="preserve"> triedy derivátov a pre </w:t>
      </w:r>
      <w:r w:rsidR="00562B41">
        <w:t>konkrétne</w:t>
      </w:r>
      <w:r w:rsidRPr="00737B71">
        <w:t xml:space="preserve"> druhy protistrán pri splnení stanovených podmienok (nový článok 6a)</w:t>
      </w:r>
    </w:p>
    <w:p w:rsidR="00737B71" w:rsidRPr="00C61D9B" w:rsidRDefault="00D1501B" w:rsidP="004478B9">
      <w:pPr>
        <w:pStyle w:val="ListParagraph"/>
        <w:numPr>
          <w:ilvl w:val="0"/>
          <w:numId w:val="2"/>
        </w:numPr>
        <w:jc w:val="both"/>
      </w:pPr>
      <w:r w:rsidRPr="00D1501B">
        <w:t xml:space="preserve">Akt implementácie pozastavenia zúčtovacej povinnosti pre </w:t>
      </w:r>
      <w:r w:rsidR="000D505D">
        <w:t>konkrétne</w:t>
      </w:r>
      <w:r w:rsidRPr="00D1501B">
        <w:t xml:space="preserve"> triedy OTC derivátov </w:t>
      </w:r>
      <w:r>
        <w:rPr>
          <w:b/>
        </w:rPr>
        <w:t xml:space="preserve">môže taktiež pozastaviť </w:t>
      </w:r>
      <w:proofErr w:type="spellStart"/>
      <w:r>
        <w:rPr>
          <w:b/>
        </w:rPr>
        <w:t>obchodovaciu</w:t>
      </w:r>
      <w:proofErr w:type="spellEnd"/>
      <w:r>
        <w:rPr>
          <w:b/>
        </w:rPr>
        <w:t xml:space="preserve"> povinnosť stanovenú v nariadení </w:t>
      </w:r>
      <w:proofErr w:type="spellStart"/>
      <w:r>
        <w:rPr>
          <w:b/>
        </w:rPr>
        <w:t>MiFIR</w:t>
      </w:r>
      <w:proofErr w:type="spellEnd"/>
    </w:p>
    <w:p w:rsidR="00C61D9B" w:rsidRPr="00C61D9B" w:rsidRDefault="00C61D9B" w:rsidP="00C61D9B">
      <w:pPr>
        <w:jc w:val="both"/>
      </w:pPr>
    </w:p>
    <w:p w:rsidR="00C61D9B" w:rsidRPr="00C61D9B" w:rsidRDefault="00C61D9B" w:rsidP="00C61D9B">
      <w:pPr>
        <w:ind w:left="48"/>
        <w:rPr>
          <w:b/>
        </w:rPr>
      </w:pPr>
      <w:r w:rsidRPr="00C61D9B">
        <w:rPr>
          <w:sz w:val="28"/>
          <w:szCs w:val="28"/>
        </w:rPr>
        <w:t>3.</w:t>
      </w:r>
      <w:r>
        <w:t xml:space="preserve"> </w:t>
      </w:r>
      <w:r w:rsidRPr="00C61D9B">
        <w:rPr>
          <w:b/>
          <w:sz w:val="28"/>
          <w:szCs w:val="28"/>
        </w:rPr>
        <w:t>Zmeny v </w:t>
      </w:r>
      <w:r>
        <w:rPr>
          <w:b/>
          <w:sz w:val="28"/>
          <w:szCs w:val="28"/>
        </w:rPr>
        <w:t>ohlasovacej</w:t>
      </w:r>
      <w:r w:rsidRPr="00C61D9B">
        <w:rPr>
          <w:b/>
          <w:sz w:val="28"/>
          <w:szCs w:val="28"/>
        </w:rPr>
        <w:t xml:space="preserve"> povinnosti</w:t>
      </w:r>
      <w:r w:rsidR="00462C3F">
        <w:rPr>
          <w:b/>
          <w:sz w:val="28"/>
          <w:szCs w:val="28"/>
        </w:rPr>
        <w:t xml:space="preserve"> (článok 9)</w:t>
      </w:r>
    </w:p>
    <w:p w:rsidR="00C61D9B" w:rsidRPr="00C61D9B" w:rsidRDefault="00C61D9B" w:rsidP="00C61D9B">
      <w:pPr>
        <w:jc w:val="both"/>
      </w:pPr>
    </w:p>
    <w:p w:rsidR="00C61D9B" w:rsidRDefault="00C61D9B" w:rsidP="004478B9">
      <w:pPr>
        <w:pStyle w:val="ListParagraph"/>
        <w:numPr>
          <w:ilvl w:val="0"/>
          <w:numId w:val="2"/>
        </w:numPr>
        <w:jc w:val="both"/>
      </w:pPr>
      <w:r>
        <w:rPr>
          <w:b/>
        </w:rPr>
        <w:t>Ohlasovacia povinnosť</w:t>
      </w:r>
      <w:r w:rsidR="003503F8">
        <w:rPr>
          <w:b/>
        </w:rPr>
        <w:t xml:space="preserve"> </w:t>
      </w:r>
      <w:r w:rsidR="003503F8" w:rsidRPr="003503F8">
        <w:t>do archívov obchodných údajov</w:t>
      </w:r>
      <w:r>
        <w:rPr>
          <w:b/>
        </w:rPr>
        <w:t xml:space="preserve"> </w:t>
      </w:r>
      <w:r w:rsidRPr="00C61D9B">
        <w:t>sa vzťahuje</w:t>
      </w:r>
      <w:r>
        <w:t xml:space="preserve"> na derivátové kontrakty, ktoré a) sa uzatvorili pre</w:t>
      </w:r>
      <w:r w:rsidR="00BC3978">
        <w:t>d</w:t>
      </w:r>
      <w:r>
        <w:t xml:space="preserve"> 12. februárom 2014 a ktoré ešte neboli v tento deň vyrovnané; b) sa uzatvorili 12. februára 2014 alebo po tomto dni (zmenený článok 9</w:t>
      </w:r>
      <w:r w:rsidR="0057163B">
        <w:t xml:space="preserve"> ods. 1</w:t>
      </w:r>
      <w:r>
        <w:t xml:space="preserve"> – pôvodne bolo 16. augusta 2012)</w:t>
      </w:r>
      <w:r w:rsidR="00E52861">
        <w:t>.</w:t>
      </w:r>
    </w:p>
    <w:p w:rsidR="008E0524" w:rsidRDefault="008E0524" w:rsidP="008E0524">
      <w:pPr>
        <w:jc w:val="both"/>
      </w:pPr>
    </w:p>
    <w:p w:rsidR="0057163B" w:rsidRDefault="0057163B" w:rsidP="004478B9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Ohlasovacia povinnosť sa neuplatňuje </w:t>
      </w:r>
      <w:r w:rsidRPr="0057163B">
        <w:t xml:space="preserve">na </w:t>
      </w:r>
      <w:r>
        <w:t xml:space="preserve">OTC derivátové kontrakty </w:t>
      </w:r>
      <w:r w:rsidRPr="0057163B">
        <w:rPr>
          <w:b/>
        </w:rPr>
        <w:t>v rámci tej istej skupiny</w:t>
      </w:r>
      <w:r w:rsidR="00E52861">
        <w:rPr>
          <w:b/>
        </w:rPr>
        <w:t>,</w:t>
      </w:r>
      <w:r>
        <w:t xml:space="preserve"> ak minimálne </w:t>
      </w:r>
      <w:r w:rsidRPr="0057163B">
        <w:rPr>
          <w:b/>
        </w:rPr>
        <w:t>jedna z protistrán je nefinančná protistrana</w:t>
      </w:r>
      <w:r w:rsidR="00E52861">
        <w:rPr>
          <w:b/>
        </w:rPr>
        <w:t>,</w:t>
      </w:r>
      <w:r>
        <w:t xml:space="preserve"> ak sú splnené stanovené podmienky. </w:t>
      </w:r>
      <w:r w:rsidRPr="00EA01D3">
        <w:rPr>
          <w:b/>
        </w:rPr>
        <w:t>Protistrany musia oznámiť ich zámer uplatniť túto výnimku</w:t>
      </w:r>
      <w:r>
        <w:t xml:space="preserve"> svojmu príslušnému orgánu (NBS). </w:t>
      </w:r>
      <w:r w:rsidRPr="00EA01D3">
        <w:rPr>
          <w:b/>
        </w:rPr>
        <w:t>Výnimka nie je platná ak</w:t>
      </w:r>
      <w:r w:rsidR="00EA01D3" w:rsidRPr="00EA01D3">
        <w:rPr>
          <w:b/>
        </w:rPr>
        <w:t xml:space="preserve"> príslušný orgán (NBS) nesúhlasí so splnením uvedených podmienok</w:t>
      </w:r>
      <w:r w:rsidR="00E52861">
        <w:rPr>
          <w:b/>
        </w:rPr>
        <w:t>.</w:t>
      </w:r>
    </w:p>
    <w:p w:rsidR="008E0524" w:rsidRPr="008E0524" w:rsidRDefault="008E0524" w:rsidP="008E0524">
      <w:pPr>
        <w:jc w:val="both"/>
        <w:rPr>
          <w:b/>
        </w:rPr>
      </w:pPr>
    </w:p>
    <w:p w:rsidR="00EA01D3" w:rsidRDefault="00EA01D3" w:rsidP="004478B9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Finančné protistrany sú </w:t>
      </w:r>
      <w:r w:rsidR="000D505D">
        <w:rPr>
          <w:b/>
        </w:rPr>
        <w:t xml:space="preserve"> v mene oboch protistrán </w:t>
      </w:r>
      <w:r w:rsidR="003503F8">
        <w:rPr>
          <w:b/>
        </w:rPr>
        <w:t>výlučne</w:t>
      </w:r>
      <w:r>
        <w:rPr>
          <w:b/>
        </w:rPr>
        <w:t xml:space="preserve"> zodpovedné a</w:t>
      </w:r>
      <w:r w:rsidR="000D505D">
        <w:rPr>
          <w:b/>
        </w:rPr>
        <w:t> to aj</w:t>
      </w:r>
      <w:r>
        <w:rPr>
          <w:b/>
        </w:rPr>
        <w:t> právne zodpoved</w:t>
      </w:r>
      <w:r w:rsidR="000D505D">
        <w:rPr>
          <w:b/>
        </w:rPr>
        <w:t>né</w:t>
      </w:r>
      <w:r>
        <w:rPr>
          <w:b/>
        </w:rPr>
        <w:t xml:space="preserve"> za ohlasovanie</w:t>
      </w:r>
      <w:r w:rsidR="000D505D">
        <w:rPr>
          <w:b/>
        </w:rPr>
        <w:t xml:space="preserve"> údajov o</w:t>
      </w:r>
      <w:r>
        <w:rPr>
          <w:b/>
        </w:rPr>
        <w:t xml:space="preserve"> OTC derivátových kontrakto</w:t>
      </w:r>
      <w:r w:rsidR="000D505D">
        <w:rPr>
          <w:b/>
        </w:rPr>
        <w:t>ch</w:t>
      </w:r>
      <w:r>
        <w:rPr>
          <w:b/>
        </w:rPr>
        <w:t xml:space="preserve"> uzatvorených s nefina</w:t>
      </w:r>
      <w:r w:rsidR="00E52861">
        <w:rPr>
          <w:b/>
        </w:rPr>
        <w:t>n</w:t>
      </w:r>
      <w:r>
        <w:rPr>
          <w:b/>
        </w:rPr>
        <w:t>čnými protistranami, ktoré nepre</w:t>
      </w:r>
      <w:r w:rsidR="008E0524">
        <w:rPr>
          <w:b/>
        </w:rPr>
        <w:t xml:space="preserve">vyšujú zúčtovaciu povinnosť (NFC-). </w:t>
      </w:r>
      <w:r w:rsidR="008E0524" w:rsidRPr="008E0524">
        <w:t>NFC-, ktoré už investoval</w:t>
      </w:r>
      <w:r w:rsidR="00E52861">
        <w:t>i</w:t>
      </w:r>
      <w:r w:rsidR="008E0524" w:rsidRPr="008E0524">
        <w:t xml:space="preserve"> do ohlasovacieho systému s</w:t>
      </w:r>
      <w:r w:rsidR="000D505D">
        <w:t>a</w:t>
      </w:r>
      <w:r w:rsidR="008E0524" w:rsidRPr="008E0524">
        <w:t xml:space="preserve"> môžu </w:t>
      </w:r>
      <w:r w:rsidR="000D505D">
        <w:t>rozhodnúť</w:t>
      </w:r>
      <w:r w:rsidR="008E0524" w:rsidRPr="008E0524">
        <w:t xml:space="preserve"> ohlasovať</w:t>
      </w:r>
      <w:r w:rsidR="000D505D">
        <w:t xml:space="preserve"> údaje o svojich</w:t>
      </w:r>
      <w:r w:rsidR="008E0524" w:rsidRPr="008E0524">
        <w:t xml:space="preserve"> OTC derivátov</w:t>
      </w:r>
      <w:r w:rsidR="000D505D">
        <w:t>ých</w:t>
      </w:r>
      <w:r w:rsidR="008E0524" w:rsidRPr="008E0524">
        <w:t xml:space="preserve"> kontrakt</w:t>
      </w:r>
      <w:r w:rsidR="000D505D">
        <w:t>och</w:t>
      </w:r>
      <w:r w:rsidR="008E0524" w:rsidRPr="008E0524">
        <w:t xml:space="preserve"> uzatvoren</w:t>
      </w:r>
      <w:r w:rsidR="000D505D">
        <w:t>ých</w:t>
      </w:r>
      <w:r w:rsidR="008E0524" w:rsidRPr="008E0524">
        <w:t xml:space="preserve"> s finančnými protistranami archív</w:t>
      </w:r>
      <w:r w:rsidR="000D505D">
        <w:t>u</w:t>
      </w:r>
      <w:r w:rsidR="008E0524" w:rsidRPr="008E0524">
        <w:t xml:space="preserve"> obchodných údajov</w:t>
      </w:r>
      <w:r w:rsidR="000D505D">
        <w:t>.</w:t>
      </w:r>
      <w:r w:rsidR="008E0524">
        <w:rPr>
          <w:b/>
        </w:rPr>
        <w:t xml:space="preserve"> </w:t>
      </w:r>
    </w:p>
    <w:p w:rsidR="008E0524" w:rsidRPr="00207813" w:rsidRDefault="00207813" w:rsidP="004478B9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Správcovská spoločnosť spravujúca UCITS alebo </w:t>
      </w:r>
      <w:r w:rsidRPr="00E52861">
        <w:rPr>
          <w:b/>
        </w:rPr>
        <w:t>AIF</w:t>
      </w:r>
      <w:r w:rsidRPr="00207813">
        <w:t xml:space="preserve"> je zodpovedná a</w:t>
      </w:r>
      <w:r w:rsidR="004D4B5D">
        <w:t> to aj</w:t>
      </w:r>
      <w:r w:rsidRPr="00207813">
        <w:t xml:space="preserve"> právne </w:t>
      </w:r>
      <w:r w:rsidR="004D4B5D">
        <w:t>zodpovedná</w:t>
      </w:r>
      <w:r w:rsidR="004C005E">
        <w:t xml:space="preserve"> za ohlasovanie údajov</w:t>
      </w:r>
      <w:r w:rsidRPr="00207813">
        <w:t xml:space="preserve"> o OTC de</w:t>
      </w:r>
      <w:r>
        <w:t>r</w:t>
      </w:r>
      <w:r w:rsidRPr="00207813">
        <w:t>ivátových kontraktoch</w:t>
      </w:r>
      <w:r w:rsidR="004C005E">
        <w:t>,</w:t>
      </w:r>
      <w:r w:rsidRPr="00207813">
        <w:t xml:space="preserve"> pri ktorých je UCITS resp. AIF protistranou</w:t>
      </w:r>
      <w:r w:rsidR="00E52861">
        <w:t>.</w:t>
      </w:r>
    </w:p>
    <w:p w:rsidR="00207813" w:rsidRPr="00A7522A" w:rsidRDefault="004C005E" w:rsidP="004478B9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S</w:t>
      </w:r>
      <w:r w:rsidR="00207813">
        <w:rPr>
          <w:b/>
        </w:rPr>
        <w:t>ubjekt</w:t>
      </w:r>
      <w:r>
        <w:rPr>
          <w:b/>
        </w:rPr>
        <w:t>, ktorému bolo udelené povolenie a ktorý je zodpovedný za správu a konanie</w:t>
      </w:r>
      <w:r w:rsidR="00207813">
        <w:rPr>
          <w:b/>
        </w:rPr>
        <w:t xml:space="preserve"> v</w:t>
      </w:r>
      <w:r w:rsidR="0089672D">
        <w:rPr>
          <w:b/>
        </w:rPr>
        <w:t xml:space="preserve"> </w:t>
      </w:r>
      <w:r w:rsidR="00207813">
        <w:rPr>
          <w:b/>
        </w:rPr>
        <w:t xml:space="preserve">mene </w:t>
      </w:r>
      <w:r>
        <w:rPr>
          <w:b/>
        </w:rPr>
        <w:t>IZDZ/</w:t>
      </w:r>
      <w:r w:rsidR="00207813">
        <w:rPr>
          <w:b/>
        </w:rPr>
        <w:t>IORP (doplnkov</w:t>
      </w:r>
      <w:r>
        <w:rPr>
          <w:b/>
        </w:rPr>
        <w:t>é</w:t>
      </w:r>
      <w:r w:rsidR="00207813">
        <w:rPr>
          <w:b/>
        </w:rPr>
        <w:t xml:space="preserve"> dôchodkov</w:t>
      </w:r>
      <w:r>
        <w:rPr>
          <w:b/>
        </w:rPr>
        <w:t>é fondy</w:t>
      </w:r>
      <w:r w:rsidR="00207813">
        <w:rPr>
          <w:b/>
        </w:rPr>
        <w:t>), ktor</w:t>
      </w:r>
      <w:r>
        <w:rPr>
          <w:b/>
        </w:rPr>
        <w:t>á v súlade s vnútroštátnym právom</w:t>
      </w:r>
      <w:r w:rsidR="00207813">
        <w:rPr>
          <w:b/>
        </w:rPr>
        <w:t xml:space="preserve"> nemá </w:t>
      </w:r>
      <w:r w:rsidR="00207813">
        <w:rPr>
          <w:b/>
        </w:rPr>
        <w:lastRenderedPageBreak/>
        <w:t>právnu subjektivitu</w:t>
      </w:r>
      <w:r>
        <w:rPr>
          <w:b/>
        </w:rPr>
        <w:t>,</w:t>
      </w:r>
      <w:r w:rsidR="00207813">
        <w:rPr>
          <w:b/>
        </w:rPr>
        <w:t xml:space="preserve"> je zo</w:t>
      </w:r>
      <w:r w:rsidR="0089672D">
        <w:rPr>
          <w:b/>
        </w:rPr>
        <w:t>d</w:t>
      </w:r>
      <w:r w:rsidR="00207813">
        <w:rPr>
          <w:b/>
        </w:rPr>
        <w:t>povedný a</w:t>
      </w:r>
      <w:r>
        <w:rPr>
          <w:b/>
        </w:rPr>
        <w:t xml:space="preserve"> to aj </w:t>
      </w:r>
      <w:r w:rsidR="00207813">
        <w:rPr>
          <w:b/>
        </w:rPr>
        <w:t xml:space="preserve">právne </w:t>
      </w:r>
      <w:r w:rsidR="00607884">
        <w:rPr>
          <w:b/>
        </w:rPr>
        <w:t>zodpoved</w:t>
      </w:r>
      <w:r>
        <w:rPr>
          <w:b/>
        </w:rPr>
        <w:t>ný</w:t>
      </w:r>
      <w:r w:rsidR="00607884">
        <w:rPr>
          <w:b/>
        </w:rPr>
        <w:t xml:space="preserve"> za</w:t>
      </w:r>
      <w:r w:rsidR="00207813">
        <w:rPr>
          <w:b/>
        </w:rPr>
        <w:t xml:space="preserve"> ohlasova</w:t>
      </w:r>
      <w:r w:rsidR="00607884">
        <w:rPr>
          <w:b/>
        </w:rPr>
        <w:t>nie</w:t>
      </w:r>
      <w:r w:rsidR="00207813">
        <w:rPr>
          <w:b/>
        </w:rPr>
        <w:t xml:space="preserve"> </w:t>
      </w:r>
      <w:r>
        <w:rPr>
          <w:b/>
        </w:rPr>
        <w:t>údajov</w:t>
      </w:r>
      <w:r w:rsidR="00207813" w:rsidRPr="00207813">
        <w:t xml:space="preserve"> o OTC de</w:t>
      </w:r>
      <w:r w:rsidR="00207813">
        <w:t>r</w:t>
      </w:r>
      <w:r w:rsidR="00207813" w:rsidRPr="00207813">
        <w:t>ivátových kontraktoch</w:t>
      </w:r>
      <w:r w:rsidR="00E52861">
        <w:t>,</w:t>
      </w:r>
      <w:r w:rsidR="00207813" w:rsidRPr="00207813">
        <w:t xml:space="preserve"> pri ktorých je </w:t>
      </w:r>
      <w:r w:rsidR="00207813">
        <w:t xml:space="preserve">takáto </w:t>
      </w:r>
      <w:r>
        <w:t>IZDZ</w:t>
      </w:r>
      <w:r w:rsidR="00207813" w:rsidRPr="00207813">
        <w:t xml:space="preserve"> protistranou</w:t>
      </w:r>
      <w:r>
        <w:t>, ako aj za zabezpečenie správnosti ohlasovaných údajov</w:t>
      </w:r>
      <w:r w:rsidR="00E52861">
        <w:t>.</w:t>
      </w:r>
    </w:p>
    <w:p w:rsidR="00A7522A" w:rsidRPr="00A7522A" w:rsidRDefault="00A7522A" w:rsidP="004478B9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ESMA má v spolupráci s ESCB mandát na vypracovanie </w:t>
      </w:r>
      <w:r w:rsidRPr="00A7522A">
        <w:t xml:space="preserve">ITS s cieľom stanoviť štandardy údajov a formátov pre informácie, ktoré sa majú ohlasovať, ktoré zahŕňajú minimálne </w:t>
      </w:r>
      <w:proofErr w:type="spellStart"/>
      <w:r w:rsidRPr="00A7522A">
        <w:t>LEIs</w:t>
      </w:r>
      <w:proofErr w:type="spellEnd"/>
      <w:r w:rsidRPr="00A7522A">
        <w:t xml:space="preserve">, </w:t>
      </w:r>
      <w:proofErr w:type="spellStart"/>
      <w:r w:rsidRPr="00A7522A">
        <w:t>ISINs</w:t>
      </w:r>
      <w:proofErr w:type="spellEnd"/>
      <w:r w:rsidRPr="00A7522A">
        <w:t xml:space="preserve">, </w:t>
      </w:r>
      <w:proofErr w:type="spellStart"/>
      <w:r w:rsidRPr="00A7522A">
        <w:t>UTIs</w:t>
      </w:r>
      <w:proofErr w:type="spellEnd"/>
      <w:r w:rsidRPr="00A7522A">
        <w:t xml:space="preserve"> a metódy a systémy na ohlasovanie</w:t>
      </w:r>
      <w:r>
        <w:t>, frekvenciu ohlasovania, dátumu, do ktorého sa majú d</w:t>
      </w:r>
      <w:r w:rsidR="00295AAA">
        <w:t>e</w:t>
      </w:r>
      <w:r>
        <w:t>rivátové kontrakty ohlasovať</w:t>
      </w:r>
      <w:r w:rsidR="00E52861">
        <w:t>.</w:t>
      </w:r>
    </w:p>
    <w:p w:rsidR="008E0524" w:rsidRDefault="008E0524" w:rsidP="008E0524">
      <w:pPr>
        <w:jc w:val="both"/>
      </w:pPr>
    </w:p>
    <w:p w:rsidR="00462C3F" w:rsidRPr="00C61D9B" w:rsidRDefault="00462C3F" w:rsidP="00462C3F">
      <w:pPr>
        <w:ind w:left="48"/>
        <w:rPr>
          <w:b/>
        </w:rPr>
      </w:pPr>
      <w:r>
        <w:rPr>
          <w:sz w:val="28"/>
          <w:szCs w:val="28"/>
        </w:rPr>
        <w:t>4</w:t>
      </w:r>
      <w:r w:rsidRPr="00C61D9B">
        <w:rPr>
          <w:sz w:val="28"/>
          <w:szCs w:val="28"/>
        </w:rPr>
        <w:t>.</w:t>
      </w:r>
      <w:r>
        <w:t xml:space="preserve"> </w:t>
      </w:r>
      <w:r w:rsidRPr="00C61D9B">
        <w:rPr>
          <w:b/>
          <w:sz w:val="28"/>
          <w:szCs w:val="28"/>
        </w:rPr>
        <w:t xml:space="preserve">Zmeny </w:t>
      </w:r>
      <w:r>
        <w:rPr>
          <w:b/>
          <w:sz w:val="28"/>
          <w:szCs w:val="28"/>
        </w:rPr>
        <w:t>pri nefinančných protistranách (článok 10)</w:t>
      </w:r>
    </w:p>
    <w:p w:rsidR="00462C3F" w:rsidRDefault="00462C3F" w:rsidP="008E0524">
      <w:pPr>
        <w:jc w:val="both"/>
      </w:pPr>
    </w:p>
    <w:p w:rsidR="00D1613E" w:rsidRDefault="00D1613E" w:rsidP="008E0524">
      <w:pPr>
        <w:pStyle w:val="ListParagraph"/>
        <w:numPr>
          <w:ilvl w:val="0"/>
          <w:numId w:val="2"/>
        </w:numPr>
        <w:jc w:val="both"/>
      </w:pPr>
      <w:r w:rsidRPr="00D1613E">
        <w:rPr>
          <w:b/>
        </w:rPr>
        <w:t>Nefinančn</w:t>
      </w:r>
      <w:r w:rsidR="00663425">
        <w:rPr>
          <w:b/>
        </w:rPr>
        <w:t>á</w:t>
      </w:r>
      <w:r w:rsidRPr="00D1613E">
        <w:rPr>
          <w:b/>
        </w:rPr>
        <w:t xml:space="preserve"> protistran</w:t>
      </w:r>
      <w:r w:rsidR="00663425">
        <w:rPr>
          <w:b/>
        </w:rPr>
        <w:t>a</w:t>
      </w:r>
      <w:r w:rsidR="000C4833" w:rsidRPr="000C4833">
        <w:t>, ktorá nadobúda</w:t>
      </w:r>
      <w:r w:rsidRPr="00D1613E">
        <w:t xml:space="preserve"> pozície</w:t>
      </w:r>
      <w:r w:rsidRPr="00C61D9B">
        <w:t xml:space="preserve"> </w:t>
      </w:r>
      <w:r>
        <w:t>v OTC derivátových kontraktoch</w:t>
      </w:r>
      <w:r w:rsidR="000C4833">
        <w:t>,</w:t>
      </w:r>
      <w:r>
        <w:t xml:space="preserve"> môž</w:t>
      </w:r>
      <w:r w:rsidR="000C4833">
        <w:t>e</w:t>
      </w:r>
      <w:r>
        <w:t xml:space="preserve"> vypočítavať každých 12 mesiacov svoj</w:t>
      </w:r>
      <w:r w:rsidR="000C4833">
        <w:t>u</w:t>
      </w:r>
      <w:r>
        <w:t xml:space="preserve"> agregovan</w:t>
      </w:r>
      <w:r w:rsidR="000C4833">
        <w:t>ú</w:t>
      </w:r>
      <w:r>
        <w:t xml:space="preserve"> priemern</w:t>
      </w:r>
      <w:r w:rsidR="000C4833">
        <w:t>ú</w:t>
      </w:r>
      <w:r>
        <w:t xml:space="preserve"> pozíci</w:t>
      </w:r>
      <w:r w:rsidR="000C4833">
        <w:t>u</w:t>
      </w:r>
      <w:r>
        <w:t xml:space="preserve"> na konci mesiaca za predchád</w:t>
      </w:r>
      <w:r w:rsidR="00E52861">
        <w:t>z</w:t>
      </w:r>
      <w:r>
        <w:t>ajúcich 12 mesiacov.</w:t>
      </w:r>
    </w:p>
    <w:p w:rsidR="00D1613E" w:rsidRPr="00A7522A" w:rsidRDefault="00D1613E" w:rsidP="00D1613E">
      <w:pPr>
        <w:pStyle w:val="ListParagraph"/>
        <w:numPr>
          <w:ilvl w:val="0"/>
          <w:numId w:val="2"/>
        </w:numPr>
        <w:jc w:val="both"/>
      </w:pPr>
      <w:r>
        <w:rPr>
          <w:b/>
        </w:rPr>
        <w:t>Ak nefina</w:t>
      </w:r>
      <w:r w:rsidR="00E52861">
        <w:rPr>
          <w:b/>
        </w:rPr>
        <w:t>n</w:t>
      </w:r>
      <w:r>
        <w:rPr>
          <w:b/>
        </w:rPr>
        <w:t>čná protistrana nevypočítava svoje pozície</w:t>
      </w:r>
      <w:r w:rsidR="003503F8">
        <w:rPr>
          <w:b/>
        </w:rPr>
        <w:t>,</w:t>
      </w:r>
      <w:r>
        <w:rPr>
          <w:b/>
        </w:rPr>
        <w:t xml:space="preserve"> alebo ak výsledok takéhoto výpočtu </w:t>
      </w:r>
      <w:r w:rsidR="000C4833">
        <w:rPr>
          <w:b/>
        </w:rPr>
        <w:t>v prípade</w:t>
      </w:r>
      <w:r>
        <w:rPr>
          <w:b/>
        </w:rPr>
        <w:t xml:space="preserve"> jedn</w:t>
      </w:r>
      <w:r w:rsidR="000C4833">
        <w:rPr>
          <w:b/>
        </w:rPr>
        <w:t>ej</w:t>
      </w:r>
      <w:r>
        <w:rPr>
          <w:b/>
        </w:rPr>
        <w:t xml:space="preserve"> alebo viacer</w:t>
      </w:r>
      <w:r w:rsidR="000C4833">
        <w:rPr>
          <w:b/>
        </w:rPr>
        <w:t>ých</w:t>
      </w:r>
      <w:r>
        <w:rPr>
          <w:b/>
        </w:rPr>
        <w:t xml:space="preserve"> tried derivátov prevýši stanoven</w:t>
      </w:r>
      <w:r w:rsidR="000C4833">
        <w:rPr>
          <w:b/>
        </w:rPr>
        <w:t>é</w:t>
      </w:r>
      <w:r>
        <w:rPr>
          <w:b/>
        </w:rPr>
        <w:t xml:space="preserve"> zúčtovaci</w:t>
      </w:r>
      <w:r w:rsidR="000C4833">
        <w:rPr>
          <w:b/>
        </w:rPr>
        <w:t>e</w:t>
      </w:r>
      <w:r>
        <w:rPr>
          <w:b/>
        </w:rPr>
        <w:t xml:space="preserve"> prahov</w:t>
      </w:r>
      <w:r w:rsidR="000C4833">
        <w:rPr>
          <w:b/>
        </w:rPr>
        <w:t>é</w:t>
      </w:r>
      <w:r>
        <w:rPr>
          <w:b/>
        </w:rPr>
        <w:t xml:space="preserve"> hodnot</w:t>
      </w:r>
      <w:r w:rsidR="000C4833">
        <w:rPr>
          <w:b/>
        </w:rPr>
        <w:t>y</w:t>
      </w:r>
      <w:r w:rsidR="00E52861">
        <w:rPr>
          <w:b/>
        </w:rPr>
        <w:t>,</w:t>
      </w:r>
      <w:r>
        <w:rPr>
          <w:b/>
        </w:rPr>
        <w:t xml:space="preserve"> </w:t>
      </w:r>
      <w:r>
        <w:t xml:space="preserve">od </w:t>
      </w:r>
      <w:r w:rsidR="00281E2A">
        <w:t>ne</w:t>
      </w:r>
      <w:r>
        <w:t xml:space="preserve">finančných protistrán sa vyžaduje, aby toto </w:t>
      </w:r>
      <w:r w:rsidR="000C4833">
        <w:t>bezodkla</w:t>
      </w:r>
      <w:r w:rsidR="003A3328">
        <w:t>d</w:t>
      </w:r>
      <w:r w:rsidR="000C4833">
        <w:t>ne</w:t>
      </w:r>
      <w:r w:rsidRPr="003503F8">
        <w:rPr>
          <w:b/>
        </w:rPr>
        <w:t xml:space="preserve"> oznámili ESMA a príslušným orgánom (NBS)</w:t>
      </w:r>
      <w:r w:rsidR="00281E2A" w:rsidRPr="003503F8">
        <w:rPr>
          <w:b/>
        </w:rPr>
        <w:t>,</w:t>
      </w:r>
      <w:r w:rsidR="00281E2A">
        <w:t xml:space="preserve"> vrátane relevantného obdobia použitého na výpočet a</w:t>
      </w:r>
      <w:r w:rsidR="0011749F">
        <w:t xml:space="preserve"> zaviedli systém zúčtovania </w:t>
      </w:r>
      <w:r w:rsidR="003A3328">
        <w:t>do</w:t>
      </w:r>
      <w:r w:rsidR="0011749F">
        <w:t xml:space="preserve"> 4 mesiacov od oznámenia</w:t>
      </w:r>
      <w:r w:rsidR="00281E2A">
        <w:t>. Nefinančné protistrany</w:t>
      </w:r>
      <w:r w:rsidR="0011749F">
        <w:t xml:space="preserve"> </w:t>
      </w:r>
      <w:r w:rsidR="00281E2A">
        <w:t>s</w:t>
      </w:r>
      <w:r w:rsidR="0011749F">
        <w:t xml:space="preserve">a </w:t>
      </w:r>
      <w:r>
        <w:t>stanú podliehajúcimi zúčtovacej povinnosti pre OTC derivátové kontrakty uzatvorené alebo obnovené viac ako 4 mesiace po tomto oznámení</w:t>
      </w:r>
      <w:r w:rsidR="0011749F">
        <w:t>.</w:t>
      </w:r>
    </w:p>
    <w:p w:rsidR="00D1613E" w:rsidRPr="00D1613E" w:rsidRDefault="00D1613E" w:rsidP="0011749F">
      <w:pPr>
        <w:ind w:left="408"/>
        <w:jc w:val="both"/>
      </w:pPr>
    </w:p>
    <w:p w:rsidR="00C61D9B" w:rsidRDefault="0011749F" w:rsidP="00C61D9B">
      <w:pPr>
        <w:pStyle w:val="ListParagraph"/>
        <w:numPr>
          <w:ilvl w:val="0"/>
          <w:numId w:val="2"/>
        </w:numPr>
        <w:jc w:val="both"/>
      </w:pPr>
      <w:r w:rsidRPr="008620A5">
        <w:rPr>
          <w:b/>
        </w:rPr>
        <w:t>Ne</w:t>
      </w:r>
      <w:r w:rsidR="00D1613E" w:rsidRPr="008620A5">
        <w:rPr>
          <w:b/>
        </w:rPr>
        <w:t>finančn</w:t>
      </w:r>
      <w:r w:rsidRPr="008620A5">
        <w:rPr>
          <w:b/>
        </w:rPr>
        <w:t>á</w:t>
      </w:r>
      <w:r w:rsidR="00D1613E" w:rsidRPr="008620A5">
        <w:rPr>
          <w:b/>
        </w:rPr>
        <w:t xml:space="preserve"> protistran</w:t>
      </w:r>
      <w:r w:rsidRPr="008620A5">
        <w:rPr>
          <w:b/>
        </w:rPr>
        <w:t>a, ktorá podlieha zúčtovacej povinnosti</w:t>
      </w:r>
      <w:r>
        <w:t xml:space="preserve"> alebo sa stane podliehajúcou zúčtovacej povinnosti</w:t>
      </w:r>
      <w:r w:rsidR="00D1613E">
        <w:t xml:space="preserve"> </w:t>
      </w:r>
      <w:r w:rsidRPr="008620A5">
        <w:rPr>
          <w:b/>
        </w:rPr>
        <w:t>dovtedy</w:t>
      </w:r>
      <w:r w:rsidR="0032795C">
        <w:rPr>
          <w:b/>
        </w:rPr>
        <w:t>,</w:t>
      </w:r>
      <w:r w:rsidRPr="008620A5">
        <w:rPr>
          <w:b/>
        </w:rPr>
        <w:t xml:space="preserve"> kým</w:t>
      </w:r>
      <w:r>
        <w:t xml:space="preserve"> nepreukáže príslušnému orgánu (NBS) že jej</w:t>
      </w:r>
      <w:r w:rsidR="008620A5">
        <w:t xml:space="preserve"> agregovaná priemerná pozícia na konci mesiaca za posledných 12 mesiacov už neprevyšuje stanovenú zúčtovaciu prahovú hodnotu.</w:t>
      </w:r>
    </w:p>
    <w:p w:rsidR="008620A5" w:rsidRDefault="008620A5" w:rsidP="008620A5">
      <w:pPr>
        <w:pStyle w:val="ListParagraph"/>
      </w:pPr>
    </w:p>
    <w:p w:rsidR="008620A5" w:rsidRPr="00D1501B" w:rsidRDefault="008620A5" w:rsidP="00C61D9B">
      <w:pPr>
        <w:pStyle w:val="ListParagraph"/>
        <w:numPr>
          <w:ilvl w:val="0"/>
          <w:numId w:val="2"/>
        </w:numPr>
        <w:jc w:val="both"/>
      </w:pPr>
      <w:r>
        <w:t>Príslušn</w:t>
      </w:r>
      <w:r w:rsidR="003503F8">
        <w:t>é</w:t>
      </w:r>
      <w:r>
        <w:t xml:space="preserve"> orgán</w:t>
      </w:r>
      <w:r w:rsidR="003503F8">
        <w:t>y</w:t>
      </w:r>
      <w:r>
        <w:t xml:space="preserve"> (NBS) nefinančnej protistrany a ostatn</w:t>
      </w:r>
      <w:r w:rsidR="003503F8">
        <w:t>ých</w:t>
      </w:r>
      <w:r>
        <w:t xml:space="preserve"> subjekt</w:t>
      </w:r>
      <w:r w:rsidR="003503F8">
        <w:t>ov</w:t>
      </w:r>
      <w:r>
        <w:t xml:space="preserve"> v rámci skupiny </w:t>
      </w:r>
      <w:r w:rsidRPr="008620A5">
        <w:rPr>
          <w:b/>
        </w:rPr>
        <w:t xml:space="preserve">zavedú postupy spolupráce </w:t>
      </w:r>
      <w:r>
        <w:t xml:space="preserve">na zabezpečenie účinného </w:t>
      </w:r>
      <w:r w:rsidRPr="008620A5">
        <w:rPr>
          <w:b/>
        </w:rPr>
        <w:t>výpočtu pozícií na úrovni</w:t>
      </w:r>
      <w:r w:rsidR="003503F8">
        <w:rPr>
          <w:b/>
        </w:rPr>
        <w:t xml:space="preserve"> skupiny</w:t>
      </w:r>
      <w:r>
        <w:t>.</w:t>
      </w:r>
    </w:p>
    <w:p w:rsidR="00D1501B" w:rsidRPr="001F4642" w:rsidRDefault="00D1501B" w:rsidP="00D1501B">
      <w:pPr>
        <w:jc w:val="both"/>
      </w:pPr>
    </w:p>
    <w:p w:rsidR="002624CC" w:rsidRPr="00C61D9B" w:rsidRDefault="0004345B" w:rsidP="002624CC">
      <w:pPr>
        <w:ind w:left="48"/>
        <w:rPr>
          <w:b/>
        </w:rPr>
      </w:pPr>
      <w:r>
        <w:rPr>
          <w:sz w:val="28"/>
          <w:szCs w:val="28"/>
        </w:rPr>
        <w:t>5</w:t>
      </w:r>
      <w:r w:rsidR="002624CC" w:rsidRPr="00C61D9B">
        <w:rPr>
          <w:sz w:val="28"/>
          <w:szCs w:val="28"/>
        </w:rPr>
        <w:t>.</w:t>
      </w:r>
      <w:r w:rsidR="002624CC">
        <w:t xml:space="preserve"> </w:t>
      </w:r>
      <w:r w:rsidR="002624CC" w:rsidRPr="00C61D9B">
        <w:rPr>
          <w:b/>
          <w:sz w:val="28"/>
          <w:szCs w:val="28"/>
        </w:rPr>
        <w:t xml:space="preserve">Zmeny </w:t>
      </w:r>
      <w:r w:rsidR="002624CC">
        <w:rPr>
          <w:b/>
          <w:sz w:val="28"/>
          <w:szCs w:val="28"/>
        </w:rPr>
        <w:t xml:space="preserve">pri transparentnosti </w:t>
      </w:r>
      <w:r w:rsidR="00082E32">
        <w:rPr>
          <w:b/>
          <w:sz w:val="28"/>
          <w:szCs w:val="28"/>
        </w:rPr>
        <w:t>centrálnej protistrany (</w:t>
      </w:r>
      <w:r w:rsidR="002624CC">
        <w:rPr>
          <w:b/>
          <w:sz w:val="28"/>
          <w:szCs w:val="28"/>
        </w:rPr>
        <w:t>CCP</w:t>
      </w:r>
      <w:r w:rsidR="00082E32">
        <w:rPr>
          <w:b/>
          <w:sz w:val="28"/>
          <w:szCs w:val="28"/>
        </w:rPr>
        <w:t>)</w:t>
      </w:r>
      <w:r w:rsidR="002624CC">
        <w:rPr>
          <w:b/>
          <w:sz w:val="28"/>
          <w:szCs w:val="28"/>
        </w:rPr>
        <w:t xml:space="preserve"> (článok 38)</w:t>
      </w:r>
    </w:p>
    <w:p w:rsidR="002624CC" w:rsidRDefault="002624CC" w:rsidP="002624CC">
      <w:pPr>
        <w:jc w:val="both"/>
      </w:pPr>
    </w:p>
    <w:p w:rsidR="00082E32" w:rsidRDefault="00082E32" w:rsidP="00983415">
      <w:pPr>
        <w:pStyle w:val="ListParagraph"/>
        <w:numPr>
          <w:ilvl w:val="0"/>
          <w:numId w:val="2"/>
        </w:numPr>
        <w:jc w:val="both"/>
      </w:pPr>
      <w:r w:rsidRPr="00082E32">
        <w:rPr>
          <w:b/>
        </w:rPr>
        <w:t xml:space="preserve">CCP poskytne svojim zúčtovacím členom </w:t>
      </w:r>
      <w:r w:rsidR="00D9774F">
        <w:rPr>
          <w:b/>
        </w:rPr>
        <w:t xml:space="preserve">simulačný </w:t>
      </w:r>
      <w:r w:rsidRPr="00082E32">
        <w:rPr>
          <w:b/>
        </w:rPr>
        <w:t>nástroj</w:t>
      </w:r>
      <w:r w:rsidRPr="00082E32">
        <w:t xml:space="preserve">, ktorý im </w:t>
      </w:r>
      <w:r>
        <w:t xml:space="preserve">umožní určiť na hrubej báze sumu dodatočnej počiatočnej marže, ktoré môže CCP vyžadovať </w:t>
      </w:r>
      <w:r w:rsidR="00FB0F0A">
        <w:t>pr</w:t>
      </w:r>
      <w:r w:rsidR="00D9774F">
        <w:t>i</w:t>
      </w:r>
      <w:r>
        <w:t xml:space="preserve"> zúčtovan</w:t>
      </w:r>
      <w:r w:rsidR="00D9774F">
        <w:t>í</w:t>
      </w:r>
      <w:r>
        <w:t xml:space="preserve"> novej transakcie</w:t>
      </w:r>
      <w:r w:rsidR="00D9774F">
        <w:t xml:space="preserve"> </w:t>
      </w:r>
      <w:r w:rsidR="00D9774F" w:rsidRPr="00554809">
        <w:rPr>
          <w:b/>
        </w:rPr>
        <w:t>(nový odsek 6)</w:t>
      </w:r>
      <w:r w:rsidRPr="00554809">
        <w:rPr>
          <w:b/>
        </w:rPr>
        <w:t>.</w:t>
      </w:r>
    </w:p>
    <w:p w:rsidR="000B23AA" w:rsidRDefault="00082E32" w:rsidP="00983415">
      <w:pPr>
        <w:pStyle w:val="ListParagraph"/>
        <w:numPr>
          <w:ilvl w:val="0"/>
          <w:numId w:val="2"/>
        </w:numPr>
        <w:jc w:val="both"/>
      </w:pPr>
      <w:r>
        <w:rPr>
          <w:b/>
        </w:rPr>
        <w:t>CCP</w:t>
      </w:r>
      <w:r>
        <w:t xml:space="preserve"> </w:t>
      </w:r>
      <w:r w:rsidRPr="00082E32">
        <w:rPr>
          <w:b/>
        </w:rPr>
        <w:t>poskytne svojim zúčtovacím členom</w:t>
      </w:r>
      <w:r>
        <w:rPr>
          <w:b/>
        </w:rPr>
        <w:t xml:space="preserve"> informáci</w:t>
      </w:r>
      <w:r w:rsidR="00D9774F">
        <w:rPr>
          <w:b/>
        </w:rPr>
        <w:t>e</w:t>
      </w:r>
      <w:r>
        <w:rPr>
          <w:b/>
        </w:rPr>
        <w:t xml:space="preserve"> o modeli, ktorý používa na počiatočnú maržu, </w:t>
      </w:r>
      <w:r w:rsidRPr="00082E32">
        <w:t>ktor</w:t>
      </w:r>
      <w:r w:rsidR="00D9774F">
        <w:t>é</w:t>
      </w:r>
      <w:r w:rsidRPr="00082E32">
        <w:t xml:space="preserve"> mus</w:t>
      </w:r>
      <w:r w:rsidR="00D9774F">
        <w:t>ia</w:t>
      </w:r>
      <w:r w:rsidRPr="00082E32">
        <w:t xml:space="preserve"> spĺňať stanovené podmienky</w:t>
      </w:r>
      <w:r w:rsidR="00D9774F">
        <w:t xml:space="preserve"> </w:t>
      </w:r>
      <w:r w:rsidR="00D9774F" w:rsidRPr="00554809">
        <w:rPr>
          <w:b/>
        </w:rPr>
        <w:t>(nový ods</w:t>
      </w:r>
      <w:r w:rsidR="00D41A2D" w:rsidRPr="00554809">
        <w:rPr>
          <w:b/>
        </w:rPr>
        <w:t>ek</w:t>
      </w:r>
      <w:r w:rsidR="00D9774F" w:rsidRPr="00554809">
        <w:rPr>
          <w:b/>
        </w:rPr>
        <w:t xml:space="preserve"> 7)</w:t>
      </w:r>
      <w:r w:rsidRPr="00554809">
        <w:rPr>
          <w:b/>
        </w:rPr>
        <w:t>.</w:t>
      </w:r>
    </w:p>
    <w:p w:rsidR="00D9774F" w:rsidRDefault="00D9774F" w:rsidP="00D9774F">
      <w:pPr>
        <w:jc w:val="both"/>
      </w:pPr>
    </w:p>
    <w:p w:rsidR="00116283" w:rsidRDefault="00116283" w:rsidP="00D9774F">
      <w:pPr>
        <w:jc w:val="both"/>
      </w:pPr>
    </w:p>
    <w:p w:rsidR="00116283" w:rsidRDefault="00116283" w:rsidP="00D9774F">
      <w:pPr>
        <w:jc w:val="both"/>
      </w:pPr>
    </w:p>
    <w:p w:rsidR="00D9774F" w:rsidRPr="00C61D9B" w:rsidRDefault="00ED33F5" w:rsidP="00D9774F">
      <w:pPr>
        <w:ind w:left="48"/>
        <w:rPr>
          <w:b/>
        </w:rPr>
      </w:pPr>
      <w:r>
        <w:rPr>
          <w:sz w:val="28"/>
          <w:szCs w:val="28"/>
        </w:rPr>
        <w:lastRenderedPageBreak/>
        <w:t>6</w:t>
      </w:r>
      <w:r w:rsidR="00D9774F" w:rsidRPr="00C61D9B">
        <w:rPr>
          <w:sz w:val="28"/>
          <w:szCs w:val="28"/>
        </w:rPr>
        <w:t>.</w:t>
      </w:r>
      <w:r w:rsidR="00D9774F">
        <w:t xml:space="preserve"> </w:t>
      </w:r>
      <w:r w:rsidR="00D9774F">
        <w:rPr>
          <w:b/>
          <w:sz w:val="28"/>
          <w:szCs w:val="28"/>
        </w:rPr>
        <w:t>Doplnenie</w:t>
      </w:r>
      <w:r w:rsidR="00D41A2D">
        <w:rPr>
          <w:b/>
          <w:sz w:val="28"/>
          <w:szCs w:val="28"/>
        </w:rPr>
        <w:t xml:space="preserve"> </w:t>
      </w:r>
      <w:r w:rsidR="00D9774F">
        <w:rPr>
          <w:b/>
          <w:sz w:val="28"/>
          <w:szCs w:val="28"/>
        </w:rPr>
        <w:t>článk</w:t>
      </w:r>
      <w:r w:rsidR="00D41A2D">
        <w:rPr>
          <w:b/>
          <w:sz w:val="28"/>
          <w:szCs w:val="28"/>
        </w:rPr>
        <w:t>u</w:t>
      </w:r>
      <w:r w:rsidR="00D9774F">
        <w:rPr>
          <w:b/>
          <w:sz w:val="28"/>
          <w:szCs w:val="28"/>
        </w:rPr>
        <w:t xml:space="preserve"> 3</w:t>
      </w:r>
      <w:r w:rsidR="00D41A2D">
        <w:rPr>
          <w:b/>
          <w:sz w:val="28"/>
          <w:szCs w:val="28"/>
        </w:rPr>
        <w:t>9 – oddelenie a prenosnosť</w:t>
      </w:r>
    </w:p>
    <w:p w:rsidR="00B84169" w:rsidRDefault="00D41A2D" w:rsidP="00983415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Vnútroštátne právne predpisy o </w:t>
      </w:r>
      <w:proofErr w:type="spellStart"/>
      <w:r w:rsidR="00ED33F5">
        <w:rPr>
          <w:b/>
        </w:rPr>
        <w:t>i</w:t>
      </w:r>
      <w:r w:rsidR="00B84169">
        <w:rPr>
          <w:b/>
        </w:rPr>
        <w:t>nsolvenčn</w:t>
      </w:r>
      <w:r>
        <w:rPr>
          <w:b/>
        </w:rPr>
        <w:t>om</w:t>
      </w:r>
      <w:proofErr w:type="spellEnd"/>
      <w:r w:rsidR="00B84169">
        <w:rPr>
          <w:b/>
        </w:rPr>
        <w:t xml:space="preserve"> </w:t>
      </w:r>
      <w:r>
        <w:rPr>
          <w:b/>
        </w:rPr>
        <w:t>konaní</w:t>
      </w:r>
      <w:r w:rsidR="00B84169">
        <w:rPr>
          <w:b/>
        </w:rPr>
        <w:t xml:space="preserve"> nesmú brániť CCP konať</w:t>
      </w:r>
      <w:r w:rsidR="0004345B">
        <w:rPr>
          <w:b/>
        </w:rPr>
        <w:t xml:space="preserve"> v súlade s článkom 48 ods. 5 až 7 EMIR </w:t>
      </w:r>
      <w:r w:rsidRPr="00D41A2D">
        <w:t>pokiaľ ide o</w:t>
      </w:r>
      <w:r>
        <w:t> aktíva a pozície zaznamenané na účtoch uvedených v odsekoch 2 až 5 tohto článku</w:t>
      </w:r>
      <w:r w:rsidR="0004345B" w:rsidRPr="00D41A2D">
        <w:t>(</w:t>
      </w:r>
      <w:r>
        <w:t xml:space="preserve">ide o </w:t>
      </w:r>
      <w:r w:rsidR="0004345B" w:rsidRPr="0004345B">
        <w:t xml:space="preserve"> prípad zlyhania zúčtovacieho člena)</w:t>
      </w:r>
      <w:r w:rsidR="0004345B">
        <w:t>.</w:t>
      </w:r>
      <w:r w:rsidR="00554809">
        <w:t xml:space="preserve"> </w:t>
      </w:r>
      <w:r w:rsidR="00554809" w:rsidRPr="00554809">
        <w:rPr>
          <w:b/>
        </w:rPr>
        <w:t>(nový odsek 11)</w:t>
      </w:r>
    </w:p>
    <w:p w:rsidR="0004345B" w:rsidRDefault="0004345B" w:rsidP="0004345B">
      <w:pPr>
        <w:jc w:val="both"/>
      </w:pPr>
    </w:p>
    <w:p w:rsidR="0004345B" w:rsidRPr="00C61D9B" w:rsidRDefault="00ED33F5" w:rsidP="0004345B">
      <w:pPr>
        <w:ind w:left="48"/>
        <w:rPr>
          <w:b/>
        </w:rPr>
      </w:pPr>
      <w:r>
        <w:rPr>
          <w:sz w:val="28"/>
          <w:szCs w:val="28"/>
        </w:rPr>
        <w:t>7</w:t>
      </w:r>
      <w:r w:rsidR="0004345B" w:rsidRPr="00C61D9B">
        <w:rPr>
          <w:sz w:val="28"/>
          <w:szCs w:val="28"/>
        </w:rPr>
        <w:t>.</w:t>
      </w:r>
      <w:r w:rsidR="0004345B">
        <w:t xml:space="preserve"> </w:t>
      </w:r>
      <w:r w:rsidR="0004345B" w:rsidRPr="00C61D9B">
        <w:rPr>
          <w:b/>
          <w:sz w:val="28"/>
          <w:szCs w:val="28"/>
        </w:rPr>
        <w:t xml:space="preserve">Zmeny </w:t>
      </w:r>
      <w:r w:rsidR="0004345B">
        <w:rPr>
          <w:b/>
          <w:sz w:val="28"/>
          <w:szCs w:val="28"/>
        </w:rPr>
        <w:t>pri žiadosti o registráciu archívu obchodných údajov (TR) (článok 56)</w:t>
      </w:r>
    </w:p>
    <w:p w:rsidR="0004345B" w:rsidRDefault="0004345B" w:rsidP="0004345B">
      <w:pPr>
        <w:jc w:val="both"/>
      </w:pPr>
    </w:p>
    <w:p w:rsidR="0004345B" w:rsidRPr="00C20794" w:rsidRDefault="00C20794" w:rsidP="0004345B">
      <w:pPr>
        <w:pStyle w:val="ListParagraph"/>
        <w:numPr>
          <w:ilvl w:val="0"/>
          <w:numId w:val="2"/>
        </w:numPr>
        <w:jc w:val="both"/>
      </w:pPr>
      <w:r w:rsidRPr="00C20794">
        <w:rPr>
          <w:b/>
        </w:rPr>
        <w:t>Stanovuje sa</w:t>
      </w:r>
      <w:r w:rsidR="0004345B" w:rsidRPr="00C20794">
        <w:rPr>
          <w:b/>
        </w:rPr>
        <w:t xml:space="preserve"> čo musí predložiť TR ESMA pri registrácii</w:t>
      </w:r>
      <w:r w:rsidRPr="00C20794">
        <w:rPr>
          <w:b/>
        </w:rPr>
        <w:t xml:space="preserve"> </w:t>
      </w:r>
      <w:r w:rsidR="0004345B" w:rsidRPr="00C20794">
        <w:rPr>
          <w:b/>
        </w:rPr>
        <w:t>archív</w:t>
      </w:r>
      <w:r w:rsidRPr="00C20794">
        <w:rPr>
          <w:b/>
        </w:rPr>
        <w:t>u</w:t>
      </w:r>
      <w:r w:rsidR="0004345B" w:rsidRPr="00C20794">
        <w:rPr>
          <w:b/>
        </w:rPr>
        <w:t xml:space="preserve"> obch</w:t>
      </w:r>
      <w:r w:rsidRPr="00C20794">
        <w:rPr>
          <w:b/>
        </w:rPr>
        <w:t>odných údajov</w:t>
      </w:r>
    </w:p>
    <w:p w:rsidR="00C20794" w:rsidRPr="00C20794" w:rsidRDefault="00C20794" w:rsidP="0004345B">
      <w:pPr>
        <w:pStyle w:val="ListParagraph"/>
        <w:numPr>
          <w:ilvl w:val="0"/>
          <w:numId w:val="2"/>
        </w:numPr>
        <w:jc w:val="both"/>
      </w:pPr>
      <w:r>
        <w:rPr>
          <w:b/>
        </w:rPr>
        <w:t>Zmeny v splnomocňovacích ustanovenie ESMA na vypracovanie RTS</w:t>
      </w:r>
    </w:p>
    <w:p w:rsidR="00C20794" w:rsidRDefault="00C20794" w:rsidP="00C20794">
      <w:pPr>
        <w:jc w:val="both"/>
      </w:pPr>
    </w:p>
    <w:p w:rsidR="00C20794" w:rsidRPr="00C61D9B" w:rsidRDefault="00ED33F5" w:rsidP="00C20794">
      <w:pPr>
        <w:ind w:left="48"/>
        <w:rPr>
          <w:b/>
        </w:rPr>
      </w:pPr>
      <w:r>
        <w:rPr>
          <w:sz w:val="28"/>
          <w:szCs w:val="28"/>
        </w:rPr>
        <w:t>8</w:t>
      </w:r>
      <w:r w:rsidR="00C20794" w:rsidRPr="00C61D9B">
        <w:rPr>
          <w:sz w:val="28"/>
          <w:szCs w:val="28"/>
        </w:rPr>
        <w:t>.</w:t>
      </w:r>
      <w:r w:rsidR="00C20794">
        <w:t xml:space="preserve"> </w:t>
      </w:r>
      <w:r w:rsidR="00C20794" w:rsidRPr="00C61D9B">
        <w:rPr>
          <w:b/>
          <w:sz w:val="28"/>
          <w:szCs w:val="28"/>
        </w:rPr>
        <w:t xml:space="preserve">Zmeny </w:t>
      </w:r>
      <w:r w:rsidR="00C20794">
        <w:rPr>
          <w:b/>
          <w:sz w:val="28"/>
          <w:szCs w:val="28"/>
        </w:rPr>
        <w:t>vo všeobecných vyšetrovaniach (článok 62 ods. 5)</w:t>
      </w:r>
    </w:p>
    <w:p w:rsidR="00C20794" w:rsidRDefault="00C20794" w:rsidP="00C20794">
      <w:pPr>
        <w:jc w:val="both"/>
      </w:pPr>
    </w:p>
    <w:p w:rsidR="00C20794" w:rsidRPr="00C20794" w:rsidRDefault="00401F61" w:rsidP="00C20794">
      <w:pPr>
        <w:pStyle w:val="ListParagraph"/>
        <w:numPr>
          <w:ilvl w:val="0"/>
          <w:numId w:val="2"/>
        </w:numPr>
        <w:jc w:val="both"/>
      </w:pPr>
      <w:r w:rsidRPr="00401F61">
        <w:t>Ak si žiadosť o záznamy o telefonickej alebo dátovej prevádzke vyžaduje podľa vnútroštátnych predpisov povolenie súdneho orgánu,</w:t>
      </w:r>
      <w:r>
        <w:rPr>
          <w:b/>
        </w:rPr>
        <w:t xml:space="preserve"> ESMA môže podobne žiadať o také povolenie.</w:t>
      </w:r>
    </w:p>
    <w:p w:rsidR="00C20794" w:rsidRDefault="00C20794" w:rsidP="00C20794">
      <w:pPr>
        <w:jc w:val="both"/>
      </w:pPr>
    </w:p>
    <w:p w:rsidR="00401F61" w:rsidRPr="00C61D9B" w:rsidRDefault="00ED33F5" w:rsidP="00401F61">
      <w:pPr>
        <w:ind w:left="48"/>
        <w:rPr>
          <w:b/>
        </w:rPr>
      </w:pPr>
      <w:r>
        <w:rPr>
          <w:sz w:val="28"/>
          <w:szCs w:val="28"/>
        </w:rPr>
        <w:t>9</w:t>
      </w:r>
      <w:r w:rsidR="00401F61" w:rsidRPr="00C61D9B">
        <w:rPr>
          <w:sz w:val="28"/>
          <w:szCs w:val="28"/>
        </w:rPr>
        <w:t>.</w:t>
      </w:r>
      <w:r w:rsidR="00401F61">
        <w:t xml:space="preserve"> </w:t>
      </w:r>
      <w:r w:rsidR="00401F61" w:rsidRPr="00C61D9B">
        <w:rPr>
          <w:b/>
          <w:sz w:val="28"/>
          <w:szCs w:val="28"/>
        </w:rPr>
        <w:t xml:space="preserve">Zmeny </w:t>
      </w:r>
      <w:r w:rsidR="00401F61">
        <w:rPr>
          <w:b/>
          <w:sz w:val="28"/>
          <w:szCs w:val="28"/>
        </w:rPr>
        <w:t>v kontrolách na mieste</w:t>
      </w:r>
      <w:r w:rsidR="007E732F">
        <w:rPr>
          <w:b/>
          <w:sz w:val="28"/>
          <w:szCs w:val="28"/>
        </w:rPr>
        <w:t xml:space="preserve"> v TR</w:t>
      </w:r>
      <w:r w:rsidR="00401F61">
        <w:rPr>
          <w:b/>
          <w:sz w:val="28"/>
          <w:szCs w:val="28"/>
        </w:rPr>
        <w:t xml:space="preserve"> (článok 63</w:t>
      </w:r>
      <w:r w:rsidR="00686EC7">
        <w:rPr>
          <w:b/>
          <w:sz w:val="28"/>
          <w:szCs w:val="28"/>
        </w:rPr>
        <w:t>,</w:t>
      </w:r>
      <w:r w:rsidR="007E732F">
        <w:rPr>
          <w:b/>
          <w:sz w:val="28"/>
          <w:szCs w:val="28"/>
        </w:rPr>
        <w:t xml:space="preserve"> nahradené</w:t>
      </w:r>
      <w:r w:rsidR="00401F61">
        <w:rPr>
          <w:b/>
          <w:sz w:val="28"/>
          <w:szCs w:val="28"/>
        </w:rPr>
        <w:t xml:space="preserve"> ods. 1</w:t>
      </w:r>
      <w:r w:rsidR="007E732F">
        <w:rPr>
          <w:b/>
          <w:sz w:val="28"/>
          <w:szCs w:val="28"/>
        </w:rPr>
        <w:t>, 2 a 8</w:t>
      </w:r>
      <w:r w:rsidR="00401F61">
        <w:rPr>
          <w:b/>
          <w:sz w:val="28"/>
          <w:szCs w:val="28"/>
        </w:rPr>
        <w:t>)</w:t>
      </w:r>
    </w:p>
    <w:p w:rsidR="00401F61" w:rsidRDefault="00401F61" w:rsidP="00401F61">
      <w:pPr>
        <w:jc w:val="both"/>
      </w:pPr>
    </w:p>
    <w:p w:rsidR="00401F61" w:rsidRDefault="00401F61" w:rsidP="00401F61">
      <w:pPr>
        <w:pStyle w:val="ListParagraph"/>
        <w:numPr>
          <w:ilvl w:val="0"/>
          <w:numId w:val="2"/>
        </w:numPr>
        <w:jc w:val="both"/>
      </w:pPr>
      <w:r>
        <w:t>ESMA môže s cieľom plniť svoje povinnosti podľa nariadenia EMIR</w:t>
      </w:r>
      <w:r w:rsidR="007E732F">
        <w:t xml:space="preserve"> vykonávať všetky potrebné kontroly na mieste </w:t>
      </w:r>
      <w:r w:rsidR="007E732F" w:rsidRPr="007E732F">
        <w:rPr>
          <w:b/>
        </w:rPr>
        <w:t>v akýchkoľvek</w:t>
      </w:r>
      <w:r w:rsidR="007E732F">
        <w:t xml:space="preserve"> podnikateľských priestoroch a na pozemkoch právnických osôb uvedených v článku 61 ods. 1 EMIR (týka sa archívov obchodných údajov)</w:t>
      </w:r>
      <w:r w:rsidR="00A01603">
        <w:t>.</w:t>
      </w:r>
    </w:p>
    <w:p w:rsidR="00686EC7" w:rsidRDefault="00686EC7" w:rsidP="00401F61">
      <w:pPr>
        <w:pStyle w:val="ListParagraph"/>
        <w:numPr>
          <w:ilvl w:val="0"/>
          <w:numId w:val="2"/>
        </w:numPr>
        <w:jc w:val="both"/>
      </w:pPr>
      <w:r>
        <w:t>Sú nastavené právomoci úradníkov a osôb poverených ESMA na vykonanie kontroly na mieste v TR</w:t>
      </w:r>
    </w:p>
    <w:p w:rsidR="007E732F" w:rsidRPr="00C20794" w:rsidRDefault="007E732F" w:rsidP="00401F61">
      <w:pPr>
        <w:pStyle w:val="ListParagraph"/>
        <w:numPr>
          <w:ilvl w:val="0"/>
          <w:numId w:val="2"/>
        </w:numPr>
        <w:jc w:val="both"/>
      </w:pPr>
      <w:r>
        <w:t>Ak sa na kontrolu na mieste</w:t>
      </w:r>
      <w:r w:rsidR="00686EC7">
        <w:t xml:space="preserve"> alebo pomoc vyžaduje od  príslušného orgánu, </w:t>
      </w:r>
      <w:r w:rsidR="002E4105">
        <w:t>aby</w:t>
      </w:r>
      <w:r w:rsidR="00686EC7">
        <w:t xml:space="preserve"> požiadal súdny orgán o takéto povolenie, </w:t>
      </w:r>
      <w:r w:rsidR="00686EC7" w:rsidRPr="00686EC7">
        <w:rPr>
          <w:b/>
        </w:rPr>
        <w:t>o takéto povolenie môže podobne  požiadať ESMA</w:t>
      </w:r>
      <w:r w:rsidR="00686EC7">
        <w:t>.</w:t>
      </w:r>
    </w:p>
    <w:p w:rsidR="00401F61" w:rsidRDefault="00401F61" w:rsidP="00C20794">
      <w:pPr>
        <w:jc w:val="both"/>
      </w:pPr>
    </w:p>
    <w:p w:rsidR="002C3945" w:rsidRDefault="00ED33F5" w:rsidP="002C3945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2C3945" w:rsidRPr="00C61D9B">
        <w:rPr>
          <w:sz w:val="28"/>
          <w:szCs w:val="28"/>
        </w:rPr>
        <w:t>.</w:t>
      </w:r>
      <w:r w:rsidR="002C3945">
        <w:t xml:space="preserve"> </w:t>
      </w:r>
      <w:r w:rsidR="002C3945" w:rsidRPr="00C61D9B">
        <w:rPr>
          <w:b/>
          <w:sz w:val="28"/>
          <w:szCs w:val="28"/>
        </w:rPr>
        <w:t xml:space="preserve">Zmeny </w:t>
      </w:r>
      <w:r w:rsidR="002C3945">
        <w:rPr>
          <w:b/>
          <w:sz w:val="28"/>
          <w:szCs w:val="28"/>
        </w:rPr>
        <w:t>v procesných pravidlách pre prijatie opatrení dohľadu a ukladanie pokút v TR (článok 64, nahradené ods. 4 a 8)</w:t>
      </w:r>
    </w:p>
    <w:p w:rsidR="002C3945" w:rsidRDefault="002C3945" w:rsidP="002C3945">
      <w:pPr>
        <w:ind w:left="48"/>
        <w:rPr>
          <w:b/>
        </w:rPr>
      </w:pPr>
    </w:p>
    <w:p w:rsidR="002C3945" w:rsidRDefault="00BD5906" w:rsidP="002C3945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33F5">
        <w:rPr>
          <w:sz w:val="28"/>
          <w:szCs w:val="28"/>
        </w:rPr>
        <w:t>1</w:t>
      </w:r>
      <w:r w:rsidR="002C3945" w:rsidRPr="00C61D9B">
        <w:rPr>
          <w:sz w:val="28"/>
          <w:szCs w:val="28"/>
        </w:rPr>
        <w:t>.</w:t>
      </w:r>
      <w:r w:rsidR="002C3945">
        <w:t xml:space="preserve"> </w:t>
      </w:r>
      <w:r w:rsidR="002C3945" w:rsidRPr="00C61D9B">
        <w:rPr>
          <w:b/>
          <w:sz w:val="28"/>
          <w:szCs w:val="28"/>
        </w:rPr>
        <w:t xml:space="preserve">Zmeny </w:t>
      </w:r>
      <w:r w:rsidR="002C3945">
        <w:rPr>
          <w:b/>
          <w:sz w:val="28"/>
          <w:szCs w:val="28"/>
        </w:rPr>
        <w:t>v uložených po</w:t>
      </w:r>
      <w:r w:rsidR="00662847">
        <w:rPr>
          <w:b/>
          <w:sz w:val="28"/>
          <w:szCs w:val="28"/>
        </w:rPr>
        <w:t>k</w:t>
      </w:r>
      <w:r w:rsidR="002C3945">
        <w:rPr>
          <w:b/>
          <w:sz w:val="28"/>
          <w:szCs w:val="28"/>
        </w:rPr>
        <w:t>utách TR (článok 65, nahraden</w:t>
      </w:r>
      <w:r w:rsidR="00662847">
        <w:rPr>
          <w:b/>
          <w:sz w:val="28"/>
          <w:szCs w:val="28"/>
        </w:rPr>
        <w:t>ý</w:t>
      </w:r>
      <w:r w:rsidR="002C3945">
        <w:rPr>
          <w:b/>
          <w:sz w:val="28"/>
          <w:szCs w:val="28"/>
        </w:rPr>
        <w:t xml:space="preserve"> ods. </w:t>
      </w:r>
      <w:r w:rsidR="00662847">
        <w:rPr>
          <w:b/>
          <w:sz w:val="28"/>
          <w:szCs w:val="28"/>
        </w:rPr>
        <w:t>2</w:t>
      </w:r>
      <w:r w:rsidR="002C3945">
        <w:rPr>
          <w:b/>
          <w:sz w:val="28"/>
          <w:szCs w:val="28"/>
        </w:rPr>
        <w:t>)</w:t>
      </w:r>
    </w:p>
    <w:p w:rsidR="00662847" w:rsidRDefault="00662847" w:rsidP="0066284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Zmena výšky pokuty z „EUR 20 00“ na „EUR 200 000“ </w:t>
      </w:r>
      <w:r w:rsidRPr="00662847">
        <w:t>podľa ods</w:t>
      </w:r>
      <w:r>
        <w:t>.</w:t>
      </w:r>
      <w:r w:rsidRPr="00662847">
        <w:t xml:space="preserve"> 2 písm</w:t>
      </w:r>
      <w:r>
        <w:t xml:space="preserve">. </w:t>
      </w:r>
      <w:r w:rsidRPr="00662847">
        <w:rPr>
          <w:b/>
        </w:rPr>
        <w:t>a)</w:t>
      </w:r>
    </w:p>
    <w:p w:rsidR="00662847" w:rsidRDefault="00662847" w:rsidP="00662847">
      <w:pPr>
        <w:pStyle w:val="ListParagraph"/>
        <w:numPr>
          <w:ilvl w:val="0"/>
          <w:numId w:val="2"/>
        </w:numPr>
        <w:jc w:val="both"/>
      </w:pPr>
      <w:r>
        <w:rPr>
          <w:b/>
        </w:rPr>
        <w:t xml:space="preserve">Zmena výšky maximálnej pokuty z „EUR 10 00“ na „EUR 100 000“ </w:t>
      </w:r>
      <w:r w:rsidRPr="00662847">
        <w:t>podľa ods</w:t>
      </w:r>
      <w:r>
        <w:t>.</w:t>
      </w:r>
      <w:r w:rsidRPr="00662847">
        <w:t xml:space="preserve"> 2 písm.</w:t>
      </w:r>
      <w:r>
        <w:t xml:space="preserve"> </w:t>
      </w:r>
      <w:r w:rsidRPr="00662847">
        <w:rPr>
          <w:b/>
        </w:rPr>
        <w:t>b)</w:t>
      </w:r>
    </w:p>
    <w:p w:rsidR="00662847" w:rsidRPr="00C20794" w:rsidRDefault="00662847" w:rsidP="00662847">
      <w:pPr>
        <w:pStyle w:val="ListParagraph"/>
        <w:numPr>
          <w:ilvl w:val="0"/>
          <w:numId w:val="2"/>
        </w:numPr>
        <w:jc w:val="both"/>
      </w:pPr>
      <w:r>
        <w:t xml:space="preserve">Vložené v ods. 2 písm. c) – pokuta za porušenie uvedené </w:t>
      </w:r>
      <w:proofErr w:type="spellStart"/>
      <w:r>
        <w:t>oddieli</w:t>
      </w:r>
      <w:proofErr w:type="spellEnd"/>
      <w:r>
        <w:t xml:space="preserve"> IV prílohy I najmenej </w:t>
      </w:r>
      <w:r w:rsidR="00BB6370">
        <w:t xml:space="preserve">EUR </w:t>
      </w:r>
      <w:r>
        <w:t>5</w:t>
      </w:r>
      <w:r w:rsidR="00BB6370">
        <w:t xml:space="preserve"> 0</w:t>
      </w:r>
      <w:r>
        <w:t>00 a</w:t>
      </w:r>
      <w:r w:rsidR="00BB6370">
        <w:t> </w:t>
      </w:r>
      <w:r>
        <w:t>maximálne</w:t>
      </w:r>
      <w:r w:rsidR="00BB6370">
        <w:t xml:space="preserve"> EUR</w:t>
      </w:r>
      <w:r>
        <w:t xml:space="preserve"> 10 000 </w:t>
      </w:r>
    </w:p>
    <w:p w:rsidR="00662847" w:rsidRPr="00C61D9B" w:rsidRDefault="00662847" w:rsidP="002C3945">
      <w:pPr>
        <w:ind w:left="48"/>
        <w:rPr>
          <w:b/>
        </w:rPr>
      </w:pPr>
    </w:p>
    <w:p w:rsidR="004D420B" w:rsidRDefault="004D420B" w:rsidP="004D420B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D33F5">
        <w:rPr>
          <w:sz w:val="28"/>
          <w:szCs w:val="28"/>
        </w:rPr>
        <w:t>2</w:t>
      </w:r>
      <w:r w:rsidRPr="00C61D9B">
        <w:rPr>
          <w:sz w:val="28"/>
          <w:szCs w:val="28"/>
        </w:rPr>
        <w:t>.</w:t>
      </w:r>
      <w:r>
        <w:t xml:space="preserve"> </w:t>
      </w:r>
      <w:r w:rsidRPr="00C61D9B">
        <w:rPr>
          <w:b/>
          <w:sz w:val="28"/>
          <w:szCs w:val="28"/>
        </w:rPr>
        <w:t xml:space="preserve">Zmeny </w:t>
      </w:r>
      <w:r>
        <w:rPr>
          <w:b/>
          <w:sz w:val="28"/>
          <w:szCs w:val="28"/>
        </w:rPr>
        <w:t>pri vypočutí dotknutých strán TR (článok 67, nahradený ods. 1)</w:t>
      </w:r>
    </w:p>
    <w:p w:rsidR="002C3945" w:rsidRDefault="002C3945" w:rsidP="00C20794">
      <w:pPr>
        <w:jc w:val="both"/>
      </w:pPr>
    </w:p>
    <w:p w:rsidR="004D420B" w:rsidRDefault="004D420B" w:rsidP="004D420B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33F5">
        <w:rPr>
          <w:sz w:val="28"/>
          <w:szCs w:val="28"/>
        </w:rPr>
        <w:t>3</w:t>
      </w:r>
      <w:r w:rsidRPr="00C61D9B">
        <w:rPr>
          <w:sz w:val="28"/>
          <w:szCs w:val="28"/>
        </w:rPr>
        <w:t>.</w:t>
      </w:r>
      <w:r>
        <w:t xml:space="preserve"> </w:t>
      </w:r>
      <w:r w:rsidRPr="00C61D9B">
        <w:rPr>
          <w:b/>
          <w:sz w:val="28"/>
          <w:szCs w:val="28"/>
        </w:rPr>
        <w:t>Zmeny</w:t>
      </w:r>
      <w:r>
        <w:rPr>
          <w:b/>
          <w:sz w:val="28"/>
          <w:szCs w:val="28"/>
        </w:rPr>
        <w:t xml:space="preserve"> znenia o poplatkoch za dohľad TR (článok 72, nahradený ods. 2)</w:t>
      </w:r>
    </w:p>
    <w:p w:rsidR="008B580C" w:rsidRDefault="008B580C" w:rsidP="008B580C">
      <w:pPr>
        <w:ind w:left="48"/>
        <w:rPr>
          <w:sz w:val="28"/>
          <w:szCs w:val="28"/>
        </w:rPr>
      </w:pPr>
    </w:p>
    <w:p w:rsidR="008B580C" w:rsidRDefault="008B580C" w:rsidP="008B580C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33F5">
        <w:rPr>
          <w:sz w:val="28"/>
          <w:szCs w:val="28"/>
        </w:rPr>
        <w:t>4</w:t>
      </w:r>
      <w:r w:rsidRPr="00C61D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6A31">
        <w:rPr>
          <w:b/>
          <w:sz w:val="28"/>
          <w:szCs w:val="28"/>
        </w:rPr>
        <w:t>Vzájomný priamy prístup k údajom</w:t>
      </w:r>
      <w:r>
        <w:rPr>
          <w:b/>
          <w:sz w:val="28"/>
          <w:szCs w:val="28"/>
        </w:rPr>
        <w:t xml:space="preserve"> TR (vložený nový článok 76a</w:t>
      </w:r>
      <w:r w:rsidR="002D6A31">
        <w:rPr>
          <w:b/>
          <w:sz w:val="28"/>
          <w:szCs w:val="28"/>
        </w:rPr>
        <w:t>, ods. 1 a 2</w:t>
      </w:r>
      <w:r>
        <w:rPr>
          <w:b/>
          <w:sz w:val="28"/>
          <w:szCs w:val="28"/>
        </w:rPr>
        <w:t>)</w:t>
      </w:r>
    </w:p>
    <w:p w:rsidR="002D6A31" w:rsidRDefault="002D6A31" w:rsidP="002D6A31">
      <w:pPr>
        <w:pStyle w:val="ListParagraph"/>
        <w:numPr>
          <w:ilvl w:val="0"/>
          <w:numId w:val="2"/>
        </w:numPr>
        <w:jc w:val="both"/>
      </w:pPr>
      <w:r>
        <w:t xml:space="preserve">Ak je to potrebné pre vykonávanie svojich povinností, </w:t>
      </w:r>
      <w:r w:rsidRPr="002D6A31">
        <w:rPr>
          <w:b/>
        </w:rPr>
        <w:t>relevantné orgány tretích krajín, v ktorých sú usadené jeden alebo viacero TR, majú priamy prístup k informáciám do TR usadených v Únii</w:t>
      </w:r>
      <w:r>
        <w:t xml:space="preserve"> pokiaľ komisia prijala vykonávací akt podľa odseku 2 na tento účel.</w:t>
      </w:r>
    </w:p>
    <w:p w:rsidR="00D60531" w:rsidRDefault="00D60531" w:rsidP="00D60531">
      <w:pPr>
        <w:jc w:val="both"/>
      </w:pPr>
    </w:p>
    <w:p w:rsidR="00967664" w:rsidRDefault="00967664" w:rsidP="00D60531">
      <w:pPr>
        <w:ind w:left="48"/>
        <w:rPr>
          <w:sz w:val="28"/>
          <w:szCs w:val="28"/>
        </w:rPr>
      </w:pPr>
    </w:p>
    <w:p w:rsidR="00D60531" w:rsidRDefault="00D60531" w:rsidP="00D60531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33F5">
        <w:rPr>
          <w:sz w:val="28"/>
          <w:szCs w:val="28"/>
        </w:rPr>
        <w:t>5</w:t>
      </w:r>
      <w:r w:rsidRPr="00C61D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6A31">
        <w:rPr>
          <w:b/>
          <w:sz w:val="28"/>
          <w:szCs w:val="28"/>
        </w:rPr>
        <w:t>V</w:t>
      </w:r>
      <w:r w:rsidR="003D6476">
        <w:rPr>
          <w:b/>
          <w:sz w:val="28"/>
          <w:szCs w:val="28"/>
        </w:rPr>
        <w:t>šeobecné požiadavky na</w:t>
      </w:r>
      <w:r>
        <w:rPr>
          <w:b/>
          <w:sz w:val="28"/>
          <w:szCs w:val="28"/>
        </w:rPr>
        <w:t xml:space="preserve"> TR (</w:t>
      </w:r>
      <w:r w:rsidR="003D6476">
        <w:rPr>
          <w:b/>
          <w:sz w:val="28"/>
          <w:szCs w:val="28"/>
        </w:rPr>
        <w:t>článok</w:t>
      </w:r>
      <w:r>
        <w:rPr>
          <w:b/>
          <w:sz w:val="28"/>
          <w:szCs w:val="28"/>
        </w:rPr>
        <w:t xml:space="preserve"> 7</w:t>
      </w:r>
      <w:r w:rsidR="003D647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, </w:t>
      </w:r>
      <w:r w:rsidR="003D6476">
        <w:rPr>
          <w:b/>
          <w:sz w:val="28"/>
          <w:szCs w:val="28"/>
        </w:rPr>
        <w:t>vložené nové odseky</w:t>
      </w:r>
      <w:r>
        <w:rPr>
          <w:b/>
          <w:sz w:val="28"/>
          <w:szCs w:val="28"/>
        </w:rPr>
        <w:t xml:space="preserve"> 1 a 2)</w:t>
      </w:r>
    </w:p>
    <w:p w:rsidR="004D420B" w:rsidRDefault="003D6476" w:rsidP="00C20794">
      <w:pPr>
        <w:pStyle w:val="ListParagraph"/>
        <w:numPr>
          <w:ilvl w:val="0"/>
          <w:numId w:val="2"/>
        </w:numPr>
        <w:jc w:val="both"/>
      </w:pPr>
      <w:r>
        <w:t xml:space="preserve">Povinnosť zavedenia stanovených postupov a politík </w:t>
      </w:r>
    </w:p>
    <w:p w:rsidR="003D6476" w:rsidRDefault="003D6476" w:rsidP="00C20794">
      <w:pPr>
        <w:pStyle w:val="ListParagraph"/>
        <w:numPr>
          <w:ilvl w:val="0"/>
          <w:numId w:val="2"/>
        </w:numPr>
        <w:jc w:val="both"/>
      </w:pPr>
      <w:r>
        <w:t>Splnomocňovacie ustanovenie pre ESMA na vypracovanie RTS a právomoc na Komisiu</w:t>
      </w:r>
    </w:p>
    <w:p w:rsidR="002001A7" w:rsidRDefault="002001A7" w:rsidP="002001A7">
      <w:pPr>
        <w:jc w:val="both"/>
      </w:pPr>
    </w:p>
    <w:p w:rsidR="002001A7" w:rsidRDefault="002001A7" w:rsidP="002001A7">
      <w:pPr>
        <w:ind w:left="48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ED33F5">
        <w:rPr>
          <w:sz w:val="28"/>
          <w:szCs w:val="28"/>
        </w:rPr>
        <w:t>6</w:t>
      </w:r>
      <w:r w:rsidRPr="00C61D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001A7">
        <w:rPr>
          <w:b/>
          <w:sz w:val="28"/>
          <w:szCs w:val="28"/>
        </w:rPr>
        <w:t>Požiadavky na ochran</w:t>
      </w:r>
      <w:r w:rsidR="00456994">
        <w:rPr>
          <w:b/>
          <w:sz w:val="28"/>
          <w:szCs w:val="28"/>
        </w:rPr>
        <w:t>u</w:t>
      </w:r>
      <w:r w:rsidRPr="002001A7">
        <w:rPr>
          <w:b/>
          <w:sz w:val="28"/>
          <w:szCs w:val="28"/>
        </w:rPr>
        <w:t xml:space="preserve"> a za</w:t>
      </w:r>
      <w:r w:rsidR="00C3758B">
        <w:rPr>
          <w:b/>
          <w:sz w:val="28"/>
          <w:szCs w:val="28"/>
        </w:rPr>
        <w:t>z</w:t>
      </w:r>
      <w:r w:rsidRPr="002001A7">
        <w:rPr>
          <w:b/>
          <w:sz w:val="28"/>
          <w:szCs w:val="28"/>
        </w:rPr>
        <w:t>namenávanie údajov</w:t>
      </w:r>
      <w:r>
        <w:rPr>
          <w:b/>
          <w:sz w:val="28"/>
          <w:szCs w:val="28"/>
        </w:rPr>
        <w:t xml:space="preserve"> TR (článok 80, vložené nové odseky 5a)</w:t>
      </w:r>
    </w:p>
    <w:p w:rsidR="002001A7" w:rsidRDefault="002001A7" w:rsidP="002001A7">
      <w:pPr>
        <w:pStyle w:val="ListParagraph"/>
        <w:numPr>
          <w:ilvl w:val="0"/>
          <w:numId w:val="2"/>
        </w:numPr>
        <w:jc w:val="both"/>
      </w:pPr>
      <w:r>
        <w:t xml:space="preserve">Povinnosť </w:t>
      </w:r>
      <w:r w:rsidR="00456994">
        <w:t>TR poskytnúť na požiadanie podrobnosti o derivátových kontraktoch</w:t>
      </w:r>
      <w:r>
        <w:t xml:space="preserve"> </w:t>
      </w:r>
    </w:p>
    <w:p w:rsidR="002001A7" w:rsidRDefault="002001A7" w:rsidP="002001A7">
      <w:pPr>
        <w:jc w:val="both"/>
      </w:pPr>
    </w:p>
    <w:p w:rsidR="00456994" w:rsidRDefault="00456994" w:rsidP="00456994">
      <w:pPr>
        <w:ind w:left="48"/>
        <w:rPr>
          <w:b/>
          <w:sz w:val="28"/>
          <w:szCs w:val="28"/>
        </w:rPr>
      </w:pPr>
      <w:r w:rsidRPr="00010434">
        <w:rPr>
          <w:b/>
          <w:sz w:val="28"/>
          <w:szCs w:val="28"/>
        </w:rPr>
        <w:t>1</w:t>
      </w:r>
      <w:r w:rsidR="00ED33F5">
        <w:rPr>
          <w:b/>
          <w:sz w:val="28"/>
          <w:szCs w:val="28"/>
        </w:rPr>
        <w:t>7</w:t>
      </w:r>
      <w:r w:rsidRPr="00010434">
        <w:rPr>
          <w:b/>
          <w:sz w:val="28"/>
          <w:szCs w:val="28"/>
        </w:rPr>
        <w:t>. Zmeny v transparentnosti a sprístupňovan</w:t>
      </w:r>
      <w:r w:rsidR="00323823">
        <w:rPr>
          <w:b/>
          <w:sz w:val="28"/>
          <w:szCs w:val="28"/>
        </w:rPr>
        <w:t>í</w:t>
      </w:r>
      <w:r w:rsidRPr="00010434">
        <w:rPr>
          <w:b/>
          <w:sz w:val="28"/>
          <w:szCs w:val="28"/>
        </w:rPr>
        <w:t xml:space="preserve"> údajov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 (článok 81, </w:t>
      </w:r>
      <w:r w:rsidR="00010434">
        <w:rPr>
          <w:b/>
          <w:sz w:val="28"/>
          <w:szCs w:val="28"/>
        </w:rPr>
        <w:t>v ods. 3 doplnené písm. q)</w:t>
      </w:r>
      <w:r>
        <w:rPr>
          <w:b/>
          <w:sz w:val="28"/>
          <w:szCs w:val="28"/>
        </w:rPr>
        <w:t>)</w:t>
      </w:r>
    </w:p>
    <w:p w:rsidR="006565A3" w:rsidRPr="006565A3" w:rsidRDefault="003765DB" w:rsidP="00456994">
      <w:pPr>
        <w:pStyle w:val="ListParagraph"/>
        <w:numPr>
          <w:ilvl w:val="0"/>
          <w:numId w:val="2"/>
        </w:numPr>
        <w:jc w:val="both"/>
        <w:rPr>
          <w:b/>
        </w:rPr>
      </w:pPr>
      <w:r>
        <w:t>Dopĺňa sa komu ešte TR sprístupňuje informácie</w:t>
      </w:r>
      <w:r w:rsidR="006565A3">
        <w:t xml:space="preserve"> – </w:t>
      </w:r>
      <w:r w:rsidR="006565A3" w:rsidRPr="006565A3">
        <w:rPr>
          <w:b/>
        </w:rPr>
        <w:t>príslušným orgánom tretích krajín ohľadne ktorých sa prijal vykonávací akt</w:t>
      </w:r>
    </w:p>
    <w:p w:rsidR="006565A3" w:rsidRDefault="006565A3" w:rsidP="00456994">
      <w:pPr>
        <w:pStyle w:val="ListParagraph"/>
        <w:numPr>
          <w:ilvl w:val="0"/>
          <w:numId w:val="2"/>
        </w:numPr>
        <w:jc w:val="both"/>
      </w:pPr>
      <w:r>
        <w:t>Nahrádza sa splnomocňovacie ustanovenie pre vypracovanie RTS</w:t>
      </w:r>
    </w:p>
    <w:p w:rsidR="00456994" w:rsidRDefault="00456994" w:rsidP="006565A3">
      <w:pPr>
        <w:jc w:val="both"/>
      </w:pPr>
      <w:r>
        <w:t xml:space="preserve"> </w:t>
      </w:r>
    </w:p>
    <w:p w:rsidR="006565A3" w:rsidRDefault="006565A3" w:rsidP="006565A3">
      <w:pPr>
        <w:ind w:left="48"/>
        <w:rPr>
          <w:b/>
          <w:sz w:val="28"/>
          <w:szCs w:val="28"/>
        </w:rPr>
      </w:pPr>
      <w:r w:rsidRPr="00010434">
        <w:rPr>
          <w:b/>
          <w:sz w:val="28"/>
          <w:szCs w:val="28"/>
        </w:rPr>
        <w:t>1</w:t>
      </w:r>
      <w:r w:rsidR="00ED33F5">
        <w:rPr>
          <w:b/>
          <w:sz w:val="28"/>
          <w:szCs w:val="28"/>
        </w:rPr>
        <w:t>8</w:t>
      </w:r>
      <w:r w:rsidRPr="0001043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Podmienky pre delegovanie právomocí</w:t>
      </w:r>
      <w:r>
        <w:rPr>
          <w:sz w:val="28"/>
          <w:szCs w:val="28"/>
        </w:rPr>
        <w:t xml:space="preserve">  komisii prijímať delegované akty </w:t>
      </w:r>
      <w:r>
        <w:rPr>
          <w:b/>
          <w:sz w:val="28"/>
          <w:szCs w:val="28"/>
        </w:rPr>
        <w:t>(v článku 82 sa nahrádzajú odseky 2 až 6)</w:t>
      </w:r>
    </w:p>
    <w:p w:rsidR="006565A3" w:rsidRDefault="006565A3" w:rsidP="006565A3">
      <w:pPr>
        <w:jc w:val="both"/>
      </w:pPr>
    </w:p>
    <w:p w:rsidR="001C4B98" w:rsidRDefault="006565A3" w:rsidP="006565A3">
      <w:pPr>
        <w:ind w:left="48"/>
        <w:rPr>
          <w:b/>
          <w:sz w:val="28"/>
          <w:szCs w:val="28"/>
        </w:rPr>
      </w:pPr>
      <w:r w:rsidRPr="00010434">
        <w:rPr>
          <w:b/>
          <w:sz w:val="28"/>
          <w:szCs w:val="28"/>
        </w:rPr>
        <w:t>1</w:t>
      </w:r>
      <w:r w:rsidR="00ED33F5">
        <w:rPr>
          <w:b/>
          <w:sz w:val="28"/>
          <w:szCs w:val="28"/>
        </w:rPr>
        <w:t>9</w:t>
      </w:r>
      <w:r w:rsidRPr="0001043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Zmeny v prechodných a</w:t>
      </w:r>
      <w:r w:rsidR="00E85747">
        <w:rPr>
          <w:b/>
          <w:sz w:val="28"/>
          <w:szCs w:val="28"/>
        </w:rPr>
        <w:t> záverečných ustanoveniach</w:t>
      </w:r>
    </w:p>
    <w:p w:rsidR="006565A3" w:rsidRPr="001C4B98" w:rsidRDefault="006565A3" w:rsidP="001C4B9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1C4B98">
        <w:rPr>
          <w:b/>
          <w:sz w:val="28"/>
          <w:szCs w:val="28"/>
        </w:rPr>
        <w:t>(</w:t>
      </w:r>
      <w:r w:rsidR="001C4B98" w:rsidRPr="001C4B98">
        <w:rPr>
          <w:b/>
          <w:sz w:val="28"/>
          <w:szCs w:val="28"/>
        </w:rPr>
        <w:t>v</w:t>
      </w:r>
      <w:r w:rsidRPr="001C4B98">
        <w:rPr>
          <w:b/>
          <w:sz w:val="28"/>
          <w:szCs w:val="28"/>
        </w:rPr>
        <w:t xml:space="preserve"> článk</w:t>
      </w:r>
      <w:r w:rsidR="001C4B98" w:rsidRPr="001C4B98">
        <w:rPr>
          <w:b/>
          <w:sz w:val="28"/>
          <w:szCs w:val="28"/>
        </w:rPr>
        <w:t>u</w:t>
      </w:r>
      <w:r w:rsidRPr="001C4B98">
        <w:rPr>
          <w:b/>
          <w:sz w:val="28"/>
          <w:szCs w:val="28"/>
        </w:rPr>
        <w:t xml:space="preserve"> 8</w:t>
      </w:r>
      <w:r w:rsidR="00E85747" w:rsidRPr="001C4B98">
        <w:rPr>
          <w:b/>
          <w:sz w:val="28"/>
          <w:szCs w:val="28"/>
        </w:rPr>
        <w:t>5 nahraden</w:t>
      </w:r>
      <w:r w:rsidR="001C4B98" w:rsidRPr="001C4B98">
        <w:rPr>
          <w:b/>
          <w:sz w:val="28"/>
          <w:szCs w:val="28"/>
        </w:rPr>
        <w:t>é</w:t>
      </w:r>
      <w:r w:rsidR="00E85747" w:rsidRPr="001C4B98">
        <w:rPr>
          <w:b/>
          <w:sz w:val="28"/>
          <w:szCs w:val="28"/>
        </w:rPr>
        <w:t xml:space="preserve"> ods. 1</w:t>
      </w:r>
      <w:r w:rsidR="002D680E" w:rsidRPr="001C4B98">
        <w:rPr>
          <w:b/>
          <w:sz w:val="28"/>
          <w:szCs w:val="28"/>
        </w:rPr>
        <w:t>,</w:t>
      </w:r>
      <w:r w:rsidR="00E85747" w:rsidRPr="001C4B98">
        <w:rPr>
          <w:b/>
          <w:sz w:val="28"/>
          <w:szCs w:val="28"/>
        </w:rPr>
        <w:t xml:space="preserve"> 2</w:t>
      </w:r>
      <w:r w:rsidR="001C4B98" w:rsidRPr="001C4B98">
        <w:rPr>
          <w:b/>
          <w:sz w:val="28"/>
          <w:szCs w:val="28"/>
        </w:rPr>
        <w:t xml:space="preserve"> a </w:t>
      </w:r>
      <w:r w:rsidR="002D680E" w:rsidRPr="001C4B98">
        <w:rPr>
          <w:b/>
          <w:sz w:val="28"/>
          <w:szCs w:val="28"/>
        </w:rPr>
        <w:t>3</w:t>
      </w:r>
      <w:r w:rsidRPr="001C4B98">
        <w:rPr>
          <w:b/>
          <w:sz w:val="28"/>
          <w:szCs w:val="28"/>
        </w:rPr>
        <w:t>)</w:t>
      </w:r>
    </w:p>
    <w:p w:rsidR="006565A3" w:rsidRDefault="00E85747" w:rsidP="006565A3">
      <w:pPr>
        <w:pStyle w:val="ListParagraph"/>
        <w:numPr>
          <w:ilvl w:val="0"/>
          <w:numId w:val="2"/>
        </w:numPr>
        <w:jc w:val="both"/>
      </w:pPr>
      <w:r>
        <w:t>Pripravenie správ Komisiou po nadobudnutí tohto zmeneného nariadenia v stanovených obdobiach</w:t>
      </w:r>
    </w:p>
    <w:p w:rsidR="001C4B98" w:rsidRDefault="001C4B98" w:rsidP="001C4B9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1C4B98">
        <w:rPr>
          <w:b/>
          <w:sz w:val="28"/>
          <w:szCs w:val="28"/>
        </w:rPr>
        <w:lastRenderedPageBreak/>
        <w:t>(v článku 8</w:t>
      </w:r>
      <w:r>
        <w:rPr>
          <w:b/>
          <w:sz w:val="28"/>
          <w:szCs w:val="28"/>
        </w:rPr>
        <w:t>6</w:t>
      </w:r>
      <w:r w:rsidRPr="001C4B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doplnený ods. 3</w:t>
      </w:r>
      <w:r w:rsidRPr="001C4B98">
        <w:rPr>
          <w:b/>
          <w:sz w:val="28"/>
          <w:szCs w:val="28"/>
        </w:rPr>
        <w:t>)</w:t>
      </w:r>
    </w:p>
    <w:p w:rsidR="002F3B1D" w:rsidRDefault="001C4B98" w:rsidP="001C4B9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(v článku 89 ods. 1 prvý </w:t>
      </w:r>
      <w:proofErr w:type="spellStart"/>
      <w:r>
        <w:rPr>
          <w:b/>
          <w:sz w:val="28"/>
          <w:szCs w:val="28"/>
        </w:rPr>
        <w:t>pododsek</w:t>
      </w:r>
      <w:proofErr w:type="spellEnd"/>
      <w:r>
        <w:rPr>
          <w:b/>
          <w:sz w:val="28"/>
          <w:szCs w:val="28"/>
        </w:rPr>
        <w:t xml:space="preserve"> je nahradený)</w:t>
      </w:r>
    </w:p>
    <w:p w:rsidR="001C4B98" w:rsidRPr="001F0E0C" w:rsidRDefault="00C60D4A" w:rsidP="001C4B98">
      <w:pPr>
        <w:pStyle w:val="ListParagraph"/>
        <w:numPr>
          <w:ilvl w:val="0"/>
          <w:numId w:val="2"/>
        </w:numPr>
        <w:rPr>
          <w:rFonts w:cs="Times New Roman"/>
        </w:rPr>
      </w:pPr>
      <w:r w:rsidRPr="001F0E0C">
        <w:rPr>
          <w:b/>
        </w:rPr>
        <w:t xml:space="preserve"> </w:t>
      </w:r>
      <w:r w:rsidR="001F0E0C" w:rsidRPr="001F0E0C">
        <w:rPr>
          <w:rFonts w:cs="Times New Roman"/>
        </w:rPr>
        <w:t>P</w:t>
      </w:r>
      <w:r w:rsidRPr="001F0E0C">
        <w:rPr>
          <w:rFonts w:cs="Times New Roman"/>
        </w:rPr>
        <w:t>redlžuje</w:t>
      </w:r>
      <w:r w:rsidR="001F0E0C">
        <w:rPr>
          <w:rFonts w:cs="Times New Roman"/>
        </w:rPr>
        <w:t xml:space="preserve"> sa</w:t>
      </w:r>
      <w:r w:rsidRPr="001F0E0C">
        <w:rPr>
          <w:rFonts w:cs="Times New Roman"/>
        </w:rPr>
        <w:t xml:space="preserve"> výnimk</w:t>
      </w:r>
      <w:r w:rsidR="001F0E0C">
        <w:rPr>
          <w:rFonts w:cs="Times New Roman"/>
        </w:rPr>
        <w:t>a zo zúčtovacej povinnosti pre systémy dôchodkového zabezpečenia (SDZ)</w:t>
      </w:r>
    </w:p>
    <w:p w:rsidR="001C4B98" w:rsidRDefault="001C4B98" w:rsidP="001C4B98">
      <w:pPr>
        <w:pStyle w:val="ListParagraph"/>
        <w:numPr>
          <w:ilvl w:val="0"/>
          <w:numId w:val="2"/>
        </w:numPr>
        <w:jc w:val="both"/>
      </w:pPr>
      <w:r w:rsidRPr="001F0E0C">
        <w:rPr>
          <w:b/>
        </w:rPr>
        <w:t>Počas dvoch rokov</w:t>
      </w:r>
      <w:r>
        <w:t xml:space="preserve"> od nadobudnutia účinnosti tohto zmeneného nariadenia sa </w:t>
      </w:r>
      <w:r w:rsidRPr="001F0E0C">
        <w:rPr>
          <w:b/>
        </w:rPr>
        <w:t>zúčtovacia povinnosť</w:t>
      </w:r>
      <w:r>
        <w:t xml:space="preserve"> ustanovená v článku 4 </w:t>
      </w:r>
      <w:r w:rsidRPr="001F0E0C">
        <w:rPr>
          <w:b/>
        </w:rPr>
        <w:t>nevzťahuje na OTC derivátové kontrakty, ktoré sú objektívne merateľné ako zmierňujúce investičné riziká priamo súvisiace</w:t>
      </w:r>
      <w:r w:rsidR="00024EE0" w:rsidRPr="001F0E0C">
        <w:rPr>
          <w:b/>
        </w:rPr>
        <w:t xml:space="preserve"> s finančnou solventnosťou systémov dôchodkového zabezpečenia</w:t>
      </w:r>
      <w:r w:rsidR="00024EE0">
        <w:t xml:space="preserve"> (</w:t>
      </w:r>
      <w:r w:rsidR="001F0E0C">
        <w:t>SDZ</w:t>
      </w:r>
      <w:r w:rsidR="00024EE0">
        <w:t>)</w:t>
      </w:r>
      <w:r w:rsidR="00E94A74" w:rsidRPr="00E94A74">
        <w:rPr>
          <w:i/>
        </w:rPr>
        <w:t>/</w:t>
      </w:r>
      <w:r w:rsidR="00E94A74">
        <w:rPr>
          <w:i/>
        </w:rPr>
        <w:t xml:space="preserve"> viď vymedzenie v článku 2, bod 10</w:t>
      </w:r>
      <w:r w:rsidR="00750C0F">
        <w:rPr>
          <w:i/>
        </w:rPr>
        <w:t xml:space="preserve"> EMIR</w:t>
      </w:r>
      <w:r w:rsidR="00E94A74">
        <w:rPr>
          <w:i/>
        </w:rPr>
        <w:t xml:space="preserve"> -</w:t>
      </w:r>
      <w:r w:rsidR="001F0E0C">
        <w:rPr>
          <w:i/>
        </w:rPr>
        <w:t xml:space="preserve"> v</w:t>
      </w:r>
      <w:r w:rsidR="00E94A74" w:rsidRPr="00E94A74">
        <w:rPr>
          <w:i/>
        </w:rPr>
        <w:t xml:space="preserve"> </w:t>
      </w:r>
      <w:r w:rsidR="001F0E0C">
        <w:rPr>
          <w:i/>
        </w:rPr>
        <w:t>SR</w:t>
      </w:r>
      <w:r w:rsidR="00E94A74" w:rsidRPr="00E94A74">
        <w:rPr>
          <w:i/>
        </w:rPr>
        <w:t xml:space="preserve"> I</w:t>
      </w:r>
      <w:r w:rsidR="001F0E0C">
        <w:rPr>
          <w:i/>
        </w:rPr>
        <w:t>.</w:t>
      </w:r>
      <w:r w:rsidR="00E94A74" w:rsidRPr="00E94A74">
        <w:rPr>
          <w:i/>
        </w:rPr>
        <w:t>, II</w:t>
      </w:r>
      <w:r w:rsidR="001F0E0C">
        <w:rPr>
          <w:i/>
        </w:rPr>
        <w:t>.</w:t>
      </w:r>
      <w:r w:rsidR="00E94A74" w:rsidRPr="00E94A74">
        <w:rPr>
          <w:i/>
        </w:rPr>
        <w:t xml:space="preserve"> a</w:t>
      </w:r>
      <w:r w:rsidR="001F0E0C">
        <w:rPr>
          <w:i/>
        </w:rPr>
        <w:t> </w:t>
      </w:r>
      <w:r w:rsidR="00E94A74" w:rsidRPr="00E94A74">
        <w:rPr>
          <w:i/>
        </w:rPr>
        <w:t>III</w:t>
      </w:r>
      <w:r w:rsidR="001F0E0C">
        <w:rPr>
          <w:i/>
        </w:rPr>
        <w:t>.</w:t>
      </w:r>
      <w:r w:rsidR="00E94A74" w:rsidRPr="00E94A74">
        <w:rPr>
          <w:i/>
        </w:rPr>
        <w:t xml:space="preserve"> pilier/</w:t>
      </w:r>
      <w:r w:rsidR="00024EE0">
        <w:t>, a subjekt</w:t>
      </w:r>
      <w:r w:rsidR="008C7193">
        <w:t>y</w:t>
      </w:r>
      <w:r w:rsidR="00024EE0">
        <w:t xml:space="preserve"> zriaden</w:t>
      </w:r>
      <w:r w:rsidR="008C7193">
        <w:t>é</w:t>
      </w:r>
      <w:r w:rsidR="00024EE0">
        <w:t xml:space="preserve"> na účely poskytovania kompenzácií členom systému dôchodkového zabezpečenia v prípade zlyhania systému dôchodkového zabezpečenia.</w:t>
      </w:r>
      <w:r w:rsidR="002A5B6A">
        <w:t xml:space="preserve"> </w:t>
      </w:r>
      <w:r w:rsidR="002A5B6A" w:rsidRPr="001F0E0C">
        <w:rPr>
          <w:b/>
        </w:rPr>
        <w:t>(pôvodne táto výnimka podľa článku 89 ods. 1 EMIR vypršala 1</w:t>
      </w:r>
      <w:r w:rsidR="00AD7348" w:rsidRPr="001F0E0C">
        <w:rPr>
          <w:b/>
        </w:rPr>
        <w:t>6</w:t>
      </w:r>
      <w:r w:rsidR="002A5B6A" w:rsidRPr="001F0E0C">
        <w:rPr>
          <w:b/>
        </w:rPr>
        <w:t>. augusta 2018)</w:t>
      </w:r>
      <w:r w:rsidR="00E94A74" w:rsidRPr="001F0E0C">
        <w:rPr>
          <w:b/>
        </w:rPr>
        <w:t>.</w:t>
      </w:r>
    </w:p>
    <w:p w:rsidR="00750C0F" w:rsidRDefault="00024EE0" w:rsidP="001C4B98">
      <w:pPr>
        <w:pStyle w:val="ListParagraph"/>
        <w:numPr>
          <w:ilvl w:val="0"/>
          <w:numId w:val="2"/>
        </w:numPr>
        <w:jc w:val="both"/>
      </w:pPr>
      <w:r>
        <w:t xml:space="preserve">Navyše, </w:t>
      </w:r>
      <w:r w:rsidRPr="001F0E0C">
        <w:rPr>
          <w:b/>
        </w:rPr>
        <w:t>zúčtovacia povinnosť</w:t>
      </w:r>
      <w:r>
        <w:t xml:space="preserve"> ustanovená v článku 4 </w:t>
      </w:r>
      <w:r w:rsidRPr="001F0E0C">
        <w:rPr>
          <w:b/>
        </w:rPr>
        <w:t>sa nevzťahuje</w:t>
      </w:r>
      <w:r>
        <w:t xml:space="preserve"> na OTC derivátové kontrakty uvedené v prvom </w:t>
      </w:r>
      <w:proofErr w:type="spellStart"/>
      <w:r>
        <w:t>pododseku</w:t>
      </w:r>
      <w:proofErr w:type="spellEnd"/>
      <w:r w:rsidR="00AD7348">
        <w:t>, ktoré</w:t>
      </w:r>
      <w:r>
        <w:t xml:space="preserve"> uza</w:t>
      </w:r>
      <w:r w:rsidR="00BC4E36">
        <w:t>t</w:t>
      </w:r>
      <w:r>
        <w:t>v</w:t>
      </w:r>
      <w:r w:rsidR="00AD7348">
        <w:t>orili</w:t>
      </w:r>
      <w:r>
        <w:t xml:space="preserve"> systém</w:t>
      </w:r>
      <w:r w:rsidR="00AD7348">
        <w:t>y</w:t>
      </w:r>
      <w:r>
        <w:t xml:space="preserve"> dôchodkového zabezpečenia </w:t>
      </w:r>
      <w:r w:rsidR="00AD7348" w:rsidRPr="001F0E0C">
        <w:rPr>
          <w:b/>
        </w:rPr>
        <w:t>od</w:t>
      </w:r>
      <w:r w:rsidRPr="001F0E0C">
        <w:rPr>
          <w:b/>
        </w:rPr>
        <w:t xml:space="preserve"> 17</w:t>
      </w:r>
      <w:r w:rsidR="00C3758B" w:rsidRPr="001F0E0C">
        <w:rPr>
          <w:b/>
        </w:rPr>
        <w:t>.</w:t>
      </w:r>
      <w:r w:rsidRPr="001F0E0C">
        <w:rPr>
          <w:b/>
        </w:rPr>
        <w:t xml:space="preserve"> august</w:t>
      </w:r>
      <w:r w:rsidR="00AD7348" w:rsidRPr="001F0E0C">
        <w:rPr>
          <w:b/>
        </w:rPr>
        <w:t>a</w:t>
      </w:r>
      <w:r w:rsidRPr="001F0E0C">
        <w:rPr>
          <w:b/>
        </w:rPr>
        <w:t xml:space="preserve"> 2018 </w:t>
      </w:r>
      <w:r w:rsidR="00AD7348" w:rsidRPr="001F0E0C">
        <w:rPr>
          <w:b/>
        </w:rPr>
        <w:t>do</w:t>
      </w:r>
      <w:r w:rsidRPr="001F0E0C">
        <w:rPr>
          <w:b/>
        </w:rPr>
        <w:t xml:space="preserve"> nadobudnutia účinnosti tohto zmeneného nariadenia</w:t>
      </w:r>
      <w:r>
        <w:t>.</w:t>
      </w:r>
    </w:p>
    <w:p w:rsidR="001F0E0C" w:rsidRDefault="001F0E0C" w:rsidP="001F0E0C">
      <w:pPr>
        <w:jc w:val="both"/>
      </w:pPr>
    </w:p>
    <w:p w:rsidR="001F0E0C" w:rsidRDefault="00750C0F" w:rsidP="001C4B98">
      <w:pPr>
        <w:pStyle w:val="ListParagraph"/>
        <w:numPr>
          <w:ilvl w:val="0"/>
          <w:numId w:val="2"/>
        </w:numPr>
        <w:jc w:val="both"/>
      </w:pPr>
      <w:r w:rsidRPr="00750C0F">
        <w:rPr>
          <w:b/>
        </w:rPr>
        <w:t>U</w:t>
      </w:r>
      <w:r w:rsidR="001F0E0C">
        <w:rPr>
          <w:b/>
        </w:rPr>
        <w:t>POZORNENIE</w:t>
      </w:r>
      <w:r w:rsidRPr="00750C0F">
        <w:rPr>
          <w:b/>
        </w:rPr>
        <w:t>:</w:t>
      </w:r>
      <w:r>
        <w:t xml:space="preserve"> </w:t>
      </w:r>
      <w:r w:rsidR="00CB365C" w:rsidRPr="00CB365C">
        <w:rPr>
          <w:b/>
        </w:rPr>
        <w:t>Č</w:t>
      </w:r>
      <w:r w:rsidRPr="00CB365C">
        <w:rPr>
          <w:b/>
        </w:rPr>
        <w:t>lánok 89 ods. 2 EMIR však zostáva nezmenený</w:t>
      </w:r>
      <w:r w:rsidR="00CB365C" w:rsidRPr="00CB365C">
        <w:rPr>
          <w:b/>
        </w:rPr>
        <w:t>.</w:t>
      </w:r>
      <w:r w:rsidR="00CB365C">
        <w:t xml:space="preserve"> Systémom dôchodkového zabezpečenia</w:t>
      </w:r>
      <w:r w:rsidR="00024EE0">
        <w:t xml:space="preserve"> </w:t>
      </w:r>
      <w:r w:rsidR="00CB365C">
        <w:t>uvedenom v článku 2 bod 10 písm. c) a d)</w:t>
      </w:r>
      <w:r w:rsidR="00651438">
        <w:t xml:space="preserve"> EMIR</w:t>
      </w:r>
      <w:r w:rsidR="00CB365C">
        <w:t xml:space="preserve"> </w:t>
      </w:r>
      <w:r w:rsidR="00CB365C" w:rsidRPr="001F0E0C">
        <w:rPr>
          <w:b/>
        </w:rPr>
        <w:t>(</w:t>
      </w:r>
      <w:r w:rsidR="001F0E0C" w:rsidRPr="001F0E0C">
        <w:rPr>
          <w:b/>
        </w:rPr>
        <w:t xml:space="preserve">v SR </w:t>
      </w:r>
      <w:r w:rsidR="00CB365C" w:rsidRPr="001F0E0C">
        <w:rPr>
          <w:b/>
        </w:rPr>
        <w:t>I</w:t>
      </w:r>
      <w:r w:rsidR="001F0E0C" w:rsidRPr="001F0E0C">
        <w:rPr>
          <w:b/>
        </w:rPr>
        <w:t>.</w:t>
      </w:r>
      <w:r w:rsidR="00CB365C" w:rsidRPr="001F0E0C">
        <w:rPr>
          <w:b/>
        </w:rPr>
        <w:t xml:space="preserve"> a</w:t>
      </w:r>
      <w:r w:rsidR="001F0E0C" w:rsidRPr="001F0E0C">
        <w:rPr>
          <w:b/>
        </w:rPr>
        <w:t> </w:t>
      </w:r>
      <w:r w:rsidR="00CB365C" w:rsidRPr="001F0E0C">
        <w:rPr>
          <w:b/>
        </w:rPr>
        <w:t>II</w:t>
      </w:r>
      <w:r w:rsidR="001F0E0C" w:rsidRPr="001F0E0C">
        <w:rPr>
          <w:b/>
        </w:rPr>
        <w:t>.</w:t>
      </w:r>
      <w:r w:rsidR="00CB365C" w:rsidRPr="001F0E0C">
        <w:rPr>
          <w:b/>
        </w:rPr>
        <w:t xml:space="preserve"> pilier)</w:t>
      </w:r>
      <w:r w:rsidR="00CB365C">
        <w:t xml:space="preserve"> vyššie uvedenú výnimku udelí dotknutý príslušný orgán (NBS) a informuje </w:t>
      </w:r>
      <w:r w:rsidR="00CB365C" w:rsidRPr="001F0E0C">
        <w:rPr>
          <w:b/>
        </w:rPr>
        <w:t>ESMA a EIOPA</w:t>
      </w:r>
      <w:r w:rsidR="00CB365C">
        <w:t>, ktor</w:t>
      </w:r>
      <w:r w:rsidR="001B0C54">
        <w:t>á</w:t>
      </w:r>
      <w:r w:rsidR="00CB365C">
        <w:t xml:space="preserve"> </w:t>
      </w:r>
      <w:r w:rsidR="00CB365C" w:rsidRPr="001F0E0C">
        <w:rPr>
          <w:b/>
        </w:rPr>
        <w:t>posúdi dôvody oprávnenosti výnimky vzhľadom na ťažkosti spojené so splnením požiadaviek súvisiacich s variačnou maržou.</w:t>
      </w:r>
      <w:r w:rsidR="00CB365C">
        <w:t xml:space="preserve"> </w:t>
      </w:r>
    </w:p>
    <w:p w:rsidR="00024EE0" w:rsidRDefault="001F0E0C" w:rsidP="001C4B98">
      <w:pPr>
        <w:pStyle w:val="ListParagraph"/>
        <w:numPr>
          <w:ilvl w:val="0"/>
          <w:numId w:val="2"/>
        </w:numPr>
        <w:jc w:val="both"/>
      </w:pPr>
      <w:r w:rsidRPr="001F0E0C">
        <w:rPr>
          <w:b/>
        </w:rPr>
        <w:t>POZNÁMKA</w:t>
      </w:r>
      <w:r w:rsidR="00CB365C" w:rsidRPr="001F0E0C">
        <w:rPr>
          <w:b/>
        </w:rPr>
        <w:t>:</w:t>
      </w:r>
      <w:r w:rsidR="008F430A">
        <w:t xml:space="preserve"> II. pilier by to zrejme nepreukázal, takže reálne </w:t>
      </w:r>
      <w:r w:rsidR="008F430A" w:rsidRPr="001F0E0C">
        <w:rPr>
          <w:b/>
        </w:rPr>
        <w:t>vyššie uvedená výnimka platí automaticky  len pre III. Pilier.</w:t>
      </w:r>
      <w:r w:rsidR="008F430A">
        <w:t xml:space="preserve"> Pre II. pilier to však nie je reálny problém, pretože spadá pod nefinančnú protistranu, ktorá by spadala pod zúčtovaciu povinnosť až v prípade prekročenia zúčtovacej prahovej hodnoty, čo však vzhľadom na obmedzenia pri deriváto</w:t>
      </w:r>
      <w:r w:rsidR="00323823">
        <w:t>ch</w:t>
      </w:r>
      <w:r w:rsidR="008F430A">
        <w:t xml:space="preserve"> nie je reálne. I. pilier neuzatvára deriváty. </w:t>
      </w:r>
    </w:p>
    <w:p w:rsidR="00CB365C" w:rsidRDefault="00CB365C" w:rsidP="00866101">
      <w:pPr>
        <w:jc w:val="both"/>
      </w:pPr>
    </w:p>
    <w:p w:rsidR="00024EE0" w:rsidRDefault="00024EE0" w:rsidP="001C4B98">
      <w:pPr>
        <w:pStyle w:val="ListParagraph"/>
        <w:numPr>
          <w:ilvl w:val="0"/>
          <w:numId w:val="2"/>
        </w:numPr>
        <w:jc w:val="both"/>
      </w:pPr>
      <w:r>
        <w:t>Príloha č. 1 je zmenená v súlade s prílohou tohto nariadenia</w:t>
      </w:r>
      <w:r w:rsidR="00B202A3">
        <w:t>.</w:t>
      </w:r>
    </w:p>
    <w:p w:rsidR="00456994" w:rsidRDefault="00456994" w:rsidP="002001A7">
      <w:pPr>
        <w:jc w:val="both"/>
      </w:pPr>
    </w:p>
    <w:p w:rsidR="00F3604A" w:rsidRDefault="00F3604A" w:rsidP="00A77638">
      <w:pPr>
        <w:pStyle w:val="ListParagraph"/>
        <w:numPr>
          <w:ilvl w:val="0"/>
          <w:numId w:val="2"/>
        </w:numPr>
        <w:jc w:val="both"/>
        <w:rPr>
          <w:b/>
        </w:rPr>
      </w:pPr>
      <w:r w:rsidRPr="00A77638">
        <w:rPr>
          <w:b/>
        </w:rPr>
        <w:t>Toto nariadenie nadobudne účinnosť dvadsiatym dňom po jeho uverejnení v Úradnom vestníku EÚ</w:t>
      </w:r>
    </w:p>
    <w:p w:rsidR="00A77638" w:rsidRPr="00A77638" w:rsidRDefault="00A77638" w:rsidP="00A77638">
      <w:pPr>
        <w:pStyle w:val="ListParagraph"/>
        <w:rPr>
          <w:b/>
        </w:rPr>
      </w:pPr>
    </w:p>
    <w:p w:rsidR="00A77638" w:rsidRPr="00A77638" w:rsidRDefault="00A77638" w:rsidP="00A7763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Uplatňuje sa odo dňa nadobudnutia účinnosti s týmito výnimkami:</w:t>
      </w:r>
    </w:p>
    <w:p w:rsidR="00F3604A" w:rsidRDefault="00A77638" w:rsidP="002001A7">
      <w:pPr>
        <w:jc w:val="both"/>
        <w:rPr>
          <w:b/>
        </w:rPr>
      </w:pPr>
      <w:r>
        <w:t>Ustanovenia uvedené v č</w:t>
      </w:r>
      <w:r w:rsidR="00F3604A">
        <w:t>lánku 1 body 10 a</w:t>
      </w:r>
      <w:r w:rsidR="007F1D4C">
        <w:t> </w:t>
      </w:r>
      <w:r w:rsidR="00F3604A">
        <w:t>11</w:t>
      </w:r>
      <w:r w:rsidR="007F1D4C">
        <w:t xml:space="preserve"> týkajúce sa článku 38 ods. 6 a 7 a článku 39 ods.</w:t>
      </w:r>
      <w:r>
        <w:t xml:space="preserve"> 11 nariadenia EMIR</w:t>
      </w:r>
      <w:r w:rsidR="00F3604A">
        <w:t xml:space="preserve"> </w:t>
      </w:r>
      <w:r w:rsidR="00F3604A" w:rsidRPr="00E262A2">
        <w:rPr>
          <w:b/>
        </w:rPr>
        <w:t>(6 mesiacov po nadobudnutí účinnosti)</w:t>
      </w:r>
      <w:r w:rsidR="00E262A2">
        <w:rPr>
          <w:b/>
        </w:rPr>
        <w:t>.</w:t>
      </w:r>
    </w:p>
    <w:p w:rsidR="00554809" w:rsidRDefault="00554809" w:rsidP="00554809">
      <w:pPr>
        <w:pStyle w:val="ListParagraph"/>
        <w:numPr>
          <w:ilvl w:val="0"/>
          <w:numId w:val="4"/>
        </w:numPr>
        <w:jc w:val="both"/>
      </w:pPr>
      <w:r w:rsidRPr="0063761A">
        <w:rPr>
          <w:b/>
        </w:rPr>
        <w:t>Poskytnutie simulačného nástroja zúčtovacím členom</w:t>
      </w:r>
      <w:r>
        <w:t xml:space="preserve"> centrálnou protistranou (CCP)</w:t>
      </w:r>
    </w:p>
    <w:p w:rsidR="00554809" w:rsidRDefault="00554809" w:rsidP="00554809">
      <w:pPr>
        <w:pStyle w:val="ListParagraph"/>
        <w:numPr>
          <w:ilvl w:val="0"/>
          <w:numId w:val="4"/>
        </w:numPr>
        <w:jc w:val="both"/>
      </w:pPr>
      <w:r w:rsidRPr="0063761A">
        <w:rPr>
          <w:b/>
        </w:rPr>
        <w:t>Poskytnutie zúčtovacím členom informácie o modeli</w:t>
      </w:r>
      <w:r w:rsidRPr="00554809">
        <w:t>, ktorý používa centrálna protistrana na počiatočnú maržu</w:t>
      </w:r>
    </w:p>
    <w:p w:rsidR="00554809" w:rsidRPr="00554809" w:rsidRDefault="00554809" w:rsidP="00554809">
      <w:pPr>
        <w:pStyle w:val="ListParagraph"/>
        <w:numPr>
          <w:ilvl w:val="0"/>
          <w:numId w:val="4"/>
        </w:numPr>
        <w:jc w:val="both"/>
      </w:pPr>
      <w:r w:rsidRPr="0063761A">
        <w:rPr>
          <w:b/>
        </w:rPr>
        <w:t xml:space="preserve">Vnútroštátne právne predpisy o </w:t>
      </w:r>
      <w:proofErr w:type="spellStart"/>
      <w:r w:rsidR="00790EFF" w:rsidRPr="0063761A">
        <w:rPr>
          <w:b/>
        </w:rPr>
        <w:t>i</w:t>
      </w:r>
      <w:r w:rsidRPr="0063761A">
        <w:rPr>
          <w:b/>
        </w:rPr>
        <w:t>nsolvenčnom</w:t>
      </w:r>
      <w:proofErr w:type="spellEnd"/>
      <w:r w:rsidRPr="0063761A">
        <w:rPr>
          <w:b/>
        </w:rPr>
        <w:t xml:space="preserve"> konaní</w:t>
      </w:r>
      <w:r w:rsidRPr="00554809">
        <w:t xml:space="preserve"> </w:t>
      </w:r>
      <w:r>
        <w:t>(v SR zákon o</w:t>
      </w:r>
      <w:r w:rsidR="006F1E31">
        <w:t xml:space="preserve"> konkurze a reštrukturalizácii) </w:t>
      </w:r>
      <w:r w:rsidRPr="00554809">
        <w:t>nesmú brániť CCP konať v súlade s článkom 48 ods. 5 až 7 EMIR</w:t>
      </w:r>
      <w:r w:rsidR="0063761A">
        <w:t xml:space="preserve"> (poznámka: v SR nemá sídlo žiadna CCP)</w:t>
      </w:r>
    </w:p>
    <w:p w:rsidR="00F3604A" w:rsidRDefault="00A77638" w:rsidP="002001A7">
      <w:pPr>
        <w:jc w:val="both"/>
        <w:rPr>
          <w:b/>
        </w:rPr>
      </w:pPr>
      <w:r>
        <w:lastRenderedPageBreak/>
        <w:t>Ustanovenia uvedené v č</w:t>
      </w:r>
      <w:r w:rsidR="00F3604A">
        <w:t xml:space="preserve">lánku 1 bod 7 </w:t>
      </w:r>
      <w:r>
        <w:t xml:space="preserve">písm. </w:t>
      </w:r>
      <w:r w:rsidR="00F3604A">
        <w:t>b)</w:t>
      </w:r>
      <w:r>
        <w:t xml:space="preserve"> týkajúce sa článku 9 ods. 1a až 1d nariadenia EMIR</w:t>
      </w:r>
      <w:r w:rsidR="00F3604A">
        <w:t xml:space="preserve"> </w:t>
      </w:r>
      <w:r w:rsidR="00F3604A" w:rsidRPr="00E262A2">
        <w:rPr>
          <w:b/>
        </w:rPr>
        <w:t>(12 mesiacov po nadobudnutí účinnosti)</w:t>
      </w:r>
      <w:r w:rsidR="00E262A2">
        <w:rPr>
          <w:b/>
        </w:rPr>
        <w:t>.</w:t>
      </w:r>
    </w:p>
    <w:p w:rsidR="00E5420F" w:rsidRPr="00EB6CFE" w:rsidRDefault="00E5420F" w:rsidP="00E5420F">
      <w:pPr>
        <w:pStyle w:val="ListParagraph"/>
        <w:numPr>
          <w:ilvl w:val="0"/>
          <w:numId w:val="5"/>
        </w:numPr>
        <w:jc w:val="both"/>
      </w:pPr>
      <w:r w:rsidRPr="00EB6CFE">
        <w:rPr>
          <w:b/>
        </w:rPr>
        <w:t>Zodpovednosť za ohlasovanie</w:t>
      </w:r>
      <w:r w:rsidR="00EB6CFE" w:rsidRPr="00EB6CFE">
        <w:rPr>
          <w:b/>
        </w:rPr>
        <w:t xml:space="preserve"> údajov o OTC derivátoch archívom obchodných údajov</w:t>
      </w:r>
      <w:r w:rsidR="00EB6CFE">
        <w:t xml:space="preserve"> (finančná protistrana, správcovská spoločnosť spravujúca UCITS a AIF, dôchodková správcovská spoločnosť spravujúca dôchodkové fondy a doplnková dôchodková spoločnosť spravujúca doplnkové dôchodkové fondy)</w:t>
      </w:r>
    </w:p>
    <w:p w:rsidR="006F1E31" w:rsidRDefault="006F1E31" w:rsidP="002001A7">
      <w:pPr>
        <w:jc w:val="both"/>
        <w:rPr>
          <w:b/>
        </w:rPr>
      </w:pPr>
    </w:p>
    <w:p w:rsidR="00F3604A" w:rsidRDefault="00A77638" w:rsidP="002001A7">
      <w:pPr>
        <w:jc w:val="both"/>
        <w:rPr>
          <w:b/>
        </w:rPr>
      </w:pPr>
      <w:r>
        <w:t>Ustanovenia uvedené v č</w:t>
      </w:r>
      <w:r w:rsidR="00F3604A">
        <w:t>lánku 1 bod</w:t>
      </w:r>
      <w:r w:rsidR="000F75B6">
        <w:t>e</w:t>
      </w:r>
      <w:r w:rsidR="00F3604A">
        <w:t xml:space="preserve"> 2</w:t>
      </w:r>
      <w:r w:rsidR="000F75B6">
        <w:t xml:space="preserve"> písm.</w:t>
      </w:r>
      <w:r w:rsidR="00F3604A">
        <w:t xml:space="preserve"> c) a</w:t>
      </w:r>
      <w:r w:rsidR="00E262A2">
        <w:t> bode 20</w:t>
      </w:r>
      <w:r w:rsidR="00F3604A">
        <w:t xml:space="preserve"> </w:t>
      </w:r>
      <w:r>
        <w:t xml:space="preserve">týkajúce sa článku 4 ods. 3a a článku 78 ods. 9 a 10 nariadenia EMIR </w:t>
      </w:r>
      <w:r w:rsidR="00F3604A" w:rsidRPr="00E262A2">
        <w:rPr>
          <w:b/>
        </w:rPr>
        <w:t>(24 mesiacov po nadobudnutí účinnosti)</w:t>
      </w:r>
      <w:r w:rsidR="00E262A2">
        <w:rPr>
          <w:b/>
        </w:rPr>
        <w:t>.</w:t>
      </w:r>
    </w:p>
    <w:p w:rsidR="007D084F" w:rsidRPr="007D084F" w:rsidRDefault="007D084F" w:rsidP="007D084F">
      <w:pPr>
        <w:pStyle w:val="ListParagraph"/>
        <w:numPr>
          <w:ilvl w:val="0"/>
          <w:numId w:val="5"/>
        </w:numPr>
        <w:jc w:val="both"/>
      </w:pPr>
      <w:r>
        <w:rPr>
          <w:b/>
        </w:rPr>
        <w:t xml:space="preserve">Povinnosť pre zúčtovacích členov a klientov, ktorí poskytujú zúčtovacie služby uzatvárať zmluvy na uvedené služby </w:t>
      </w:r>
      <w:r w:rsidRPr="007D084F">
        <w:t>na základe spravodlivých, primeraných, nediskriminačných a transparentných podmienok a ďalších stanovených podmienok</w:t>
      </w:r>
      <w:r w:rsidR="00FC37C0">
        <w:t>.</w:t>
      </w:r>
    </w:p>
    <w:p w:rsidR="007D084F" w:rsidRPr="00EB6CFE" w:rsidRDefault="007D084F" w:rsidP="007D084F">
      <w:pPr>
        <w:pStyle w:val="ListParagraph"/>
        <w:numPr>
          <w:ilvl w:val="0"/>
          <w:numId w:val="5"/>
        </w:numPr>
        <w:jc w:val="both"/>
      </w:pPr>
      <w:r>
        <w:rPr>
          <w:b/>
        </w:rPr>
        <w:t xml:space="preserve"> </w:t>
      </w:r>
      <w:r w:rsidR="00FC37C0">
        <w:rPr>
          <w:b/>
        </w:rPr>
        <w:t xml:space="preserve">Povinnosť pre archívy obchodných údajov </w:t>
      </w:r>
      <w:r w:rsidR="00FC37C0" w:rsidRPr="00FC37C0">
        <w:t>stanoviť zásady a postupy týkajúce sa zosúlaďovania údajov medzi archívmi obchodných údajov, overovania úplnosti a správnosti ohlasovaných údajov a riadneho prenosu údajov do iného archívu obchodných údajov</w:t>
      </w:r>
      <w:r w:rsidR="00FC37C0">
        <w:t>.</w:t>
      </w:r>
    </w:p>
    <w:p w:rsidR="007D084F" w:rsidRDefault="007D084F" w:rsidP="002001A7">
      <w:pPr>
        <w:jc w:val="both"/>
      </w:pPr>
    </w:p>
    <w:p w:rsidR="00A20791" w:rsidRPr="008C3944" w:rsidRDefault="00A20791" w:rsidP="002001A7">
      <w:pPr>
        <w:jc w:val="both"/>
        <w:rPr>
          <w:b/>
        </w:rPr>
      </w:pPr>
      <w:r w:rsidRPr="008C3944">
        <w:rPr>
          <w:b/>
        </w:rPr>
        <w:t>UPOZORNENIE:</w:t>
      </w:r>
    </w:p>
    <w:p w:rsidR="00A20791" w:rsidRDefault="00A20791" w:rsidP="002001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zhrnutie bolo vypracované na základe anglického </w:t>
      </w:r>
      <w:proofErr w:type="spellStart"/>
      <w:r>
        <w:rPr>
          <w:sz w:val="23"/>
          <w:szCs w:val="23"/>
        </w:rPr>
        <w:t>Refit</w:t>
      </w:r>
      <w:proofErr w:type="spellEnd"/>
      <w:r>
        <w:rPr>
          <w:sz w:val="23"/>
          <w:szCs w:val="23"/>
        </w:rPr>
        <w:t xml:space="preserve"> textu potvrdenom </w:t>
      </w:r>
      <w:proofErr w:type="spellStart"/>
      <w:r>
        <w:rPr>
          <w:sz w:val="23"/>
          <w:szCs w:val="23"/>
        </w:rPr>
        <w:t>Commitee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Permanent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Representatives</w:t>
      </w:r>
      <w:proofErr w:type="spellEnd"/>
      <w:r>
        <w:rPr>
          <w:sz w:val="23"/>
          <w:szCs w:val="23"/>
        </w:rPr>
        <w:t xml:space="preserve"> in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Union</w:t>
      </w:r>
      <w:proofErr w:type="spellEnd"/>
      <w:r>
        <w:rPr>
          <w:sz w:val="23"/>
          <w:szCs w:val="23"/>
        </w:rPr>
        <w:t xml:space="preserve"> (COREPER) zo 6. marca 2019</w:t>
      </w:r>
      <w:r w:rsidR="008C3944">
        <w:rPr>
          <w:sz w:val="23"/>
          <w:szCs w:val="23"/>
        </w:rPr>
        <w:t xml:space="preserve"> s výhradou, že znenie, ktoré bude zverejnené v úradnom vestníku EÚ sa môže líšiť vo formálnej  legislatívnej úprave. Nepredpokladáme však zmenu podstaty týchto zmien nariadenia EMIR.</w:t>
      </w:r>
    </w:p>
    <w:p w:rsidR="008C3944" w:rsidRDefault="008C3944" w:rsidP="002001A7">
      <w:pPr>
        <w:jc w:val="both"/>
        <w:rPr>
          <w:sz w:val="23"/>
          <w:szCs w:val="23"/>
        </w:rPr>
      </w:pPr>
    </w:p>
    <w:p w:rsidR="008C3944" w:rsidRDefault="008C3944" w:rsidP="002001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Vypracoval:  V Bratislave </w:t>
      </w:r>
      <w:r w:rsidR="00116283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="00116283">
        <w:rPr>
          <w:sz w:val="23"/>
          <w:szCs w:val="23"/>
        </w:rPr>
        <w:t>4</w:t>
      </w:r>
      <w:r>
        <w:rPr>
          <w:sz w:val="23"/>
          <w:szCs w:val="23"/>
        </w:rPr>
        <w:t>.2019</w:t>
      </w:r>
    </w:p>
    <w:p w:rsidR="008C3944" w:rsidRDefault="008C3944" w:rsidP="002001A7">
      <w:pPr>
        <w:jc w:val="both"/>
        <w:rPr>
          <w:sz w:val="23"/>
          <w:szCs w:val="23"/>
        </w:rPr>
      </w:pPr>
      <w:r>
        <w:rPr>
          <w:sz w:val="23"/>
          <w:szCs w:val="23"/>
        </w:rPr>
        <w:t>Ing. Stanislav Štít</w:t>
      </w:r>
    </w:p>
    <w:p w:rsidR="008C3944" w:rsidRDefault="008C3944" w:rsidP="002001A7">
      <w:pPr>
        <w:jc w:val="both"/>
        <w:rPr>
          <w:sz w:val="23"/>
          <w:szCs w:val="23"/>
        </w:rPr>
      </w:pPr>
      <w:r>
        <w:rPr>
          <w:sz w:val="23"/>
          <w:szCs w:val="23"/>
        </w:rPr>
        <w:t>Oddelenie regulácie trhu CP a DS</w:t>
      </w:r>
    </w:p>
    <w:p w:rsidR="008C3944" w:rsidRPr="0004345B" w:rsidRDefault="008C3944" w:rsidP="002001A7">
      <w:pPr>
        <w:jc w:val="both"/>
      </w:pPr>
      <w:r>
        <w:rPr>
          <w:sz w:val="23"/>
          <w:szCs w:val="23"/>
        </w:rPr>
        <w:t>Národná banka Slovenska</w:t>
      </w:r>
    </w:p>
    <w:sectPr w:rsidR="008C3944" w:rsidRPr="0004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37C2"/>
    <w:multiLevelType w:val="hybridMultilevel"/>
    <w:tmpl w:val="585ACD44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6E327CE"/>
    <w:multiLevelType w:val="hybridMultilevel"/>
    <w:tmpl w:val="8230D702"/>
    <w:lvl w:ilvl="0" w:tplc="041B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CEB3475"/>
    <w:multiLevelType w:val="hybridMultilevel"/>
    <w:tmpl w:val="57420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4549E"/>
    <w:multiLevelType w:val="hybridMultilevel"/>
    <w:tmpl w:val="E2CE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8316D"/>
    <w:multiLevelType w:val="hybridMultilevel"/>
    <w:tmpl w:val="CE4CE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15"/>
    <w:rsid w:val="00010434"/>
    <w:rsid w:val="00021CAE"/>
    <w:rsid w:val="00024EE0"/>
    <w:rsid w:val="00025507"/>
    <w:rsid w:val="0004345B"/>
    <w:rsid w:val="000570B3"/>
    <w:rsid w:val="00061A5F"/>
    <w:rsid w:val="00082E32"/>
    <w:rsid w:val="000B23AA"/>
    <w:rsid w:val="000C4833"/>
    <w:rsid w:val="000C54D1"/>
    <w:rsid w:val="000D505D"/>
    <w:rsid w:val="000F75B6"/>
    <w:rsid w:val="00116283"/>
    <w:rsid w:val="0011749F"/>
    <w:rsid w:val="00127D48"/>
    <w:rsid w:val="00134E71"/>
    <w:rsid w:val="00156031"/>
    <w:rsid w:val="001606F5"/>
    <w:rsid w:val="00176584"/>
    <w:rsid w:val="001A09A3"/>
    <w:rsid w:val="001B0C54"/>
    <w:rsid w:val="001C4B98"/>
    <w:rsid w:val="001C5473"/>
    <w:rsid w:val="001D3425"/>
    <w:rsid w:val="001F0E0C"/>
    <w:rsid w:val="001F145D"/>
    <w:rsid w:val="001F3C8F"/>
    <w:rsid w:val="001F4642"/>
    <w:rsid w:val="001F61E4"/>
    <w:rsid w:val="002001A7"/>
    <w:rsid w:val="00207813"/>
    <w:rsid w:val="00207F22"/>
    <w:rsid w:val="0025090C"/>
    <w:rsid w:val="002528B7"/>
    <w:rsid w:val="002577FD"/>
    <w:rsid w:val="002624CC"/>
    <w:rsid w:val="00281E2A"/>
    <w:rsid w:val="00295AAA"/>
    <w:rsid w:val="002A5B6A"/>
    <w:rsid w:val="002C3945"/>
    <w:rsid w:val="002C409B"/>
    <w:rsid w:val="002C40F6"/>
    <w:rsid w:val="002D680E"/>
    <w:rsid w:val="002D6A31"/>
    <w:rsid w:val="002E4105"/>
    <w:rsid w:val="002F3B1D"/>
    <w:rsid w:val="00323823"/>
    <w:rsid w:val="0032795C"/>
    <w:rsid w:val="003503F8"/>
    <w:rsid w:val="003765DB"/>
    <w:rsid w:val="00394825"/>
    <w:rsid w:val="00395F1F"/>
    <w:rsid w:val="003A3328"/>
    <w:rsid w:val="003D6476"/>
    <w:rsid w:val="003F5170"/>
    <w:rsid w:val="00401F61"/>
    <w:rsid w:val="00413BC4"/>
    <w:rsid w:val="004478B9"/>
    <w:rsid w:val="004515DC"/>
    <w:rsid w:val="00456994"/>
    <w:rsid w:val="00462C3F"/>
    <w:rsid w:val="004C005E"/>
    <w:rsid w:val="004D420B"/>
    <w:rsid w:val="004D4B5D"/>
    <w:rsid w:val="00503255"/>
    <w:rsid w:val="00551B93"/>
    <w:rsid w:val="00552EE5"/>
    <w:rsid w:val="00554809"/>
    <w:rsid w:val="00562B41"/>
    <w:rsid w:val="00565509"/>
    <w:rsid w:val="005666C4"/>
    <w:rsid w:val="0057163B"/>
    <w:rsid w:val="0057511D"/>
    <w:rsid w:val="00607884"/>
    <w:rsid w:val="006219E4"/>
    <w:rsid w:val="0063761A"/>
    <w:rsid w:val="00651438"/>
    <w:rsid w:val="006565A3"/>
    <w:rsid w:val="00661861"/>
    <w:rsid w:val="00662847"/>
    <w:rsid w:val="00663425"/>
    <w:rsid w:val="00686EC7"/>
    <w:rsid w:val="006F1E31"/>
    <w:rsid w:val="00734F54"/>
    <w:rsid w:val="00737B71"/>
    <w:rsid w:val="00750C0F"/>
    <w:rsid w:val="00790EFF"/>
    <w:rsid w:val="007A0CC1"/>
    <w:rsid w:val="007C6D89"/>
    <w:rsid w:val="007D084F"/>
    <w:rsid w:val="007E732F"/>
    <w:rsid w:val="007F1D4C"/>
    <w:rsid w:val="008620A5"/>
    <w:rsid w:val="00866101"/>
    <w:rsid w:val="0087024C"/>
    <w:rsid w:val="0089672D"/>
    <w:rsid w:val="008B580C"/>
    <w:rsid w:val="008C3944"/>
    <w:rsid w:val="008C7193"/>
    <w:rsid w:val="008E0524"/>
    <w:rsid w:val="008F430A"/>
    <w:rsid w:val="00967664"/>
    <w:rsid w:val="00983415"/>
    <w:rsid w:val="00990C76"/>
    <w:rsid w:val="009942FF"/>
    <w:rsid w:val="009A6F4D"/>
    <w:rsid w:val="009B38F5"/>
    <w:rsid w:val="009D42CA"/>
    <w:rsid w:val="00A01603"/>
    <w:rsid w:val="00A20791"/>
    <w:rsid w:val="00A42651"/>
    <w:rsid w:val="00A7522A"/>
    <w:rsid w:val="00A77638"/>
    <w:rsid w:val="00AD3551"/>
    <w:rsid w:val="00AD7348"/>
    <w:rsid w:val="00B16403"/>
    <w:rsid w:val="00B202A3"/>
    <w:rsid w:val="00B30EA2"/>
    <w:rsid w:val="00B82EE5"/>
    <w:rsid w:val="00B84169"/>
    <w:rsid w:val="00BA3C4E"/>
    <w:rsid w:val="00BB6370"/>
    <w:rsid w:val="00BC3978"/>
    <w:rsid w:val="00BC4E36"/>
    <w:rsid w:val="00BD5742"/>
    <w:rsid w:val="00BD5906"/>
    <w:rsid w:val="00C20794"/>
    <w:rsid w:val="00C23057"/>
    <w:rsid w:val="00C247C7"/>
    <w:rsid w:val="00C3758B"/>
    <w:rsid w:val="00C60D4A"/>
    <w:rsid w:val="00C61D9B"/>
    <w:rsid w:val="00CB365C"/>
    <w:rsid w:val="00CC0FD7"/>
    <w:rsid w:val="00D05CD8"/>
    <w:rsid w:val="00D1501B"/>
    <w:rsid w:val="00D1613E"/>
    <w:rsid w:val="00D364D9"/>
    <w:rsid w:val="00D41A2D"/>
    <w:rsid w:val="00D60531"/>
    <w:rsid w:val="00D7018A"/>
    <w:rsid w:val="00D80B0A"/>
    <w:rsid w:val="00D9774F"/>
    <w:rsid w:val="00DB7D30"/>
    <w:rsid w:val="00DD50B2"/>
    <w:rsid w:val="00E061D2"/>
    <w:rsid w:val="00E135B4"/>
    <w:rsid w:val="00E262A2"/>
    <w:rsid w:val="00E400D6"/>
    <w:rsid w:val="00E46720"/>
    <w:rsid w:val="00E52861"/>
    <w:rsid w:val="00E5420F"/>
    <w:rsid w:val="00E85747"/>
    <w:rsid w:val="00E94A74"/>
    <w:rsid w:val="00EA01D3"/>
    <w:rsid w:val="00EB6CFE"/>
    <w:rsid w:val="00EC79EC"/>
    <w:rsid w:val="00ED33F5"/>
    <w:rsid w:val="00F3604A"/>
    <w:rsid w:val="00F97B1F"/>
    <w:rsid w:val="00FB0F0A"/>
    <w:rsid w:val="00FB6900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6062"/>
  <w15:chartTrackingRefBased/>
  <w15:docId w15:val="{31470552-814E-4388-B43C-2D94AD14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3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2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E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ma.europa.eu/sites/default/files/library/esma70-151-2181_public_statement_on_refit_implementation_of_co_regime_for_fcs_and_nfc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D6D6-6F4C-4FB2-BD21-5FC3E2C5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8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Stanislav Štít</dc:creator>
  <cp:keywords/>
  <dc:description/>
  <cp:lastModifiedBy>Ing. Stanislav Štít</cp:lastModifiedBy>
  <cp:revision>42</cp:revision>
  <cp:lastPrinted>2019-03-27T14:55:00Z</cp:lastPrinted>
  <dcterms:created xsi:type="dcterms:W3CDTF">2019-03-27T07:45:00Z</dcterms:created>
  <dcterms:modified xsi:type="dcterms:W3CDTF">2019-04-01T09:04:00Z</dcterms:modified>
</cp:coreProperties>
</file>