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5B5E93" w14:textId="13F42B1D" w:rsidR="00AC3473" w:rsidRPr="00AC3473" w:rsidRDefault="00AC3473" w:rsidP="00AC3473">
      <w:pPr>
        <w:jc w:val="center"/>
        <w:rPr>
          <w:b/>
          <w:bCs/>
        </w:rPr>
      </w:pPr>
      <w:r w:rsidRPr="00AC3473">
        <w:rPr>
          <w:b/>
          <w:bCs/>
        </w:rPr>
        <w:t>Záznam pre pamäť z on-line  stretnutia MF SR, SBA, SLASPO k pripomienkam k novele zákona o dani z príjmov 4.8.2022.</w:t>
      </w:r>
    </w:p>
    <w:p w14:paraId="73E2A5F1" w14:textId="5AA3564C" w:rsidR="00B12572" w:rsidRDefault="00994306">
      <w:r>
        <w:t xml:space="preserve">Na úvod </w:t>
      </w:r>
      <w:r w:rsidR="00301258">
        <w:t xml:space="preserve">p.Adame </w:t>
      </w:r>
      <w:r w:rsidR="00AC3473">
        <w:t xml:space="preserve">, riaditeľka odboru priamych daní, </w:t>
      </w:r>
      <w:r>
        <w:t xml:space="preserve">upozornila, že </w:t>
      </w:r>
      <w:r w:rsidR="00301258">
        <w:t>nejde o oficiálne rozporové konanie, keďže SLASPO ani SBS nie sú ofic</w:t>
      </w:r>
      <w:r>
        <w:t>i</w:t>
      </w:r>
      <w:r w:rsidR="00301258">
        <w:t xml:space="preserve">álne účastníci </w:t>
      </w:r>
      <w:r>
        <w:t>MPK. Požiadala, aby SBA a SLASPO najprv odprezentovali svoje zásadné pripomienky.</w:t>
      </w:r>
    </w:p>
    <w:p w14:paraId="47328DBB" w14:textId="5FCD8359" w:rsidR="00AC3473" w:rsidRPr="00AC3473" w:rsidRDefault="00AC3473">
      <w:pPr>
        <w:rPr>
          <w:b/>
          <w:bCs/>
        </w:rPr>
      </w:pPr>
      <w:r w:rsidRPr="00AC3473">
        <w:rPr>
          <w:b/>
          <w:bCs/>
        </w:rPr>
        <w:t>Zásadné pripomienky SLASPO:</w:t>
      </w:r>
    </w:p>
    <w:p w14:paraId="183EFE57" w14:textId="611EEC8D" w:rsidR="00994306" w:rsidRPr="00994306" w:rsidRDefault="00994306" w:rsidP="00994306">
      <w:pPr>
        <w:rPr>
          <w:b/>
          <w:bCs/>
        </w:rPr>
      </w:pPr>
      <w:r>
        <w:rPr>
          <w:b/>
          <w:bCs/>
        </w:rPr>
        <w:t xml:space="preserve">K </w:t>
      </w:r>
      <w:r w:rsidRPr="00994306">
        <w:rPr>
          <w:b/>
          <w:bCs/>
        </w:rPr>
        <w:t>bodu 6 § 17 ods. 5, písm.  a) zásadná</w:t>
      </w:r>
    </w:p>
    <w:p w14:paraId="64AAC9EE" w14:textId="550F7264" w:rsidR="00994306" w:rsidRDefault="00994306" w:rsidP="00994306">
      <w:r>
        <w:t>Navrhujeme text doplniť tak, aby bolo jasné, ako sa sleduje hranica významnosti pri ostatných finančných transakciách (nielen úver a pôžička). Odôvodnenie: Z predkladaného návrhu vyplýva neistota, ako pri určovaní hranice významnosti pre účel úpravy podľa §18 pristupovať k finančným transakciám iným ako úver alebo pôžička (pri ktorých sa berie do úvahy istina, nie výnos z transakcie ako takej – je otázne, či rovnaký prístup by nemal byť aplikovaný aj pri garanciách, cash-poolingu, zaistení, finančných investíciách).</w:t>
      </w:r>
    </w:p>
    <w:p w14:paraId="4CA45B11" w14:textId="359F3C4B" w:rsidR="00975CE6" w:rsidRDefault="00975CE6" w:rsidP="00994306">
      <w:r>
        <w:t>Doplnenie SLASPO:  Pripomienka upozorňuje na rozpor s </w:t>
      </w:r>
      <w:r w:rsidRPr="00975CE6">
        <w:t>U</w:t>
      </w:r>
      <w:r>
        <w:t xml:space="preserve">smernením MF SR </w:t>
      </w:r>
      <w:r w:rsidRPr="00975CE6">
        <w:t>č. MF/019153/2018-724</w:t>
      </w:r>
    </w:p>
    <w:p w14:paraId="4AF4B0CB" w14:textId="5FD6D36C" w:rsidR="00994306" w:rsidRDefault="00994306">
      <w:pPr>
        <w:rPr>
          <w:color w:val="0070C0"/>
        </w:rPr>
      </w:pPr>
      <w:r>
        <w:rPr>
          <w:color w:val="0070C0"/>
        </w:rPr>
        <w:t>Vyjadrenie MF SR:</w:t>
      </w:r>
    </w:p>
    <w:p w14:paraId="4F79B6E4" w14:textId="53107599" w:rsidR="00994306" w:rsidRPr="00994306" w:rsidRDefault="00994306">
      <w:pPr>
        <w:rPr>
          <w:color w:val="0070C0"/>
        </w:rPr>
      </w:pPr>
      <w:r>
        <w:rPr>
          <w:color w:val="0070C0"/>
        </w:rPr>
        <w:t>V nadväznosti na navrhovanú úpravu zákona budú zmenené aj ďalšie normy vrátane usmernenia MF SR č</w:t>
      </w:r>
      <w:r w:rsidRPr="00994306">
        <w:rPr>
          <w:color w:val="0070C0"/>
        </w:rPr>
        <w:t>. MF/019153/2018-724</w:t>
      </w:r>
      <w:r w:rsidR="00FE7552">
        <w:rPr>
          <w:color w:val="0070C0"/>
        </w:rPr>
        <w:t>, tak aby neboli v rozpore s novelou zákona.</w:t>
      </w:r>
      <w:r w:rsidR="00AC3473">
        <w:rPr>
          <w:color w:val="0070C0"/>
        </w:rPr>
        <w:t xml:space="preserve"> Text zákona sa v súvislosti s touto pripomienkou meniť nebude.</w:t>
      </w:r>
    </w:p>
    <w:p w14:paraId="7E300C8B" w14:textId="12C26C46" w:rsidR="00381194" w:rsidRPr="00381194" w:rsidRDefault="00381194" w:rsidP="00381194">
      <w:pPr>
        <w:rPr>
          <w:b/>
          <w:bCs/>
        </w:rPr>
      </w:pPr>
      <w:r w:rsidRPr="00381194">
        <w:rPr>
          <w:b/>
          <w:bCs/>
        </w:rPr>
        <w:t>K bodu 13 -  § 18 ods. 1 - zásadná</w:t>
      </w:r>
      <w:r w:rsidRPr="00381194">
        <w:rPr>
          <w:b/>
          <w:bCs/>
        </w:rPr>
        <w:tab/>
      </w:r>
    </w:p>
    <w:p w14:paraId="145E2337" w14:textId="77777777" w:rsidR="00381194" w:rsidRDefault="00381194" w:rsidP="00381194">
      <w:r>
        <w:t>Navrhujeme slová „podľa strednej hodnoty (mediánu)“ nahradiť slovami „na úrovni hodnoty dolného kvartilu“.</w:t>
      </w:r>
    </w:p>
    <w:p w14:paraId="7A79AC0D" w14:textId="77777777" w:rsidR="00381194" w:rsidRDefault="00381194" w:rsidP="00381194">
      <w:r>
        <w:t>Odôvodnenie:</w:t>
      </w:r>
    </w:p>
    <w:p w14:paraId="28CA5BF8" w14:textId="77777777" w:rsidR="00381194" w:rsidRDefault="00381194" w:rsidP="00381194">
      <w:r>
        <w:t>Navrhujeme namiesto úpravy na strednú hodnotu (medián) úpravu na úroveň dolného kvartilu, ktorý sa v zmysle Smernice OECD považuje za hodnotu porovnateľnú s trhom. Používanie stredných tendencií sa v zmysle bodu 3.57, na ktorý sa bod 3.62 v súvislosti so strednými tendenciami odvoláva, doporučuje iba v prípade významných „comparability defects“ a v prípade „sizeable number of observations“.</w:t>
      </w:r>
    </w:p>
    <w:p w14:paraId="76370CA3" w14:textId="77777777" w:rsidR="00381194" w:rsidRDefault="00381194" w:rsidP="00381194">
      <w:r>
        <w:t>3.62 „In determining this point, where the range comprises results of relatively equal and high reliability, it could be argued that any point in the range satisfies the arm`s length principle.“</w:t>
      </w:r>
    </w:p>
    <w:p w14:paraId="540CA037" w14:textId="6C431EDC" w:rsidR="004C6A0C" w:rsidRDefault="00381194" w:rsidP="00381194">
      <w:r>
        <w:t>Naviac, v navrhovanej textácií sa Smernica OECD „zohľadňuje“, nie striktne aplikuje, čo pravdepodobne neprispeje k zníženiu sporov s daňovou správou.</w:t>
      </w:r>
    </w:p>
    <w:p w14:paraId="23258F12" w14:textId="77777777" w:rsidR="00381194" w:rsidRDefault="00381194" w:rsidP="00381194">
      <w:pPr>
        <w:rPr>
          <w:color w:val="0070C0"/>
        </w:rPr>
      </w:pPr>
      <w:r>
        <w:rPr>
          <w:color w:val="0070C0"/>
        </w:rPr>
        <w:t>Vyjadrenie MF SR:</w:t>
      </w:r>
    </w:p>
    <w:p w14:paraId="72EE5C16" w14:textId="072F1BD1" w:rsidR="00381194" w:rsidRDefault="00AC3473" w:rsidP="00381194">
      <w:r>
        <w:rPr>
          <w:color w:val="0070C0"/>
        </w:rPr>
        <w:t xml:space="preserve">Obdobnú pripomienku mali viaceré subjekty. </w:t>
      </w:r>
      <w:r w:rsidR="00381194">
        <w:rPr>
          <w:color w:val="0070C0"/>
        </w:rPr>
        <w:t xml:space="preserve">Rovnaké znenie </w:t>
      </w:r>
      <w:r>
        <w:rPr>
          <w:color w:val="0070C0"/>
        </w:rPr>
        <w:t xml:space="preserve">však </w:t>
      </w:r>
      <w:r w:rsidR="00381194">
        <w:rPr>
          <w:color w:val="0070C0"/>
        </w:rPr>
        <w:t>majú viaceré krajiny (Nemecko, Maďarsko)</w:t>
      </w:r>
      <w:r>
        <w:rPr>
          <w:color w:val="0070C0"/>
        </w:rPr>
        <w:t xml:space="preserve"> a na medzinárodnej úrovni sa </w:t>
      </w:r>
      <w:r w:rsidR="00C120B2">
        <w:rPr>
          <w:color w:val="0070C0"/>
        </w:rPr>
        <w:t>zvyčajne uplatňuje medián. Text bodu bude ešte upresnený, ale používanie mediánu v návrhu zostane.</w:t>
      </w:r>
    </w:p>
    <w:p w14:paraId="693402F2" w14:textId="77777777" w:rsidR="00657632" w:rsidRPr="00657632" w:rsidRDefault="00657632" w:rsidP="00657632">
      <w:pPr>
        <w:tabs>
          <w:tab w:val="left" w:pos="142"/>
        </w:tabs>
        <w:spacing w:after="0" w:line="240" w:lineRule="auto"/>
        <w:jc w:val="both"/>
        <w:rPr>
          <w:rFonts w:cstheme="minorHAnsi"/>
          <w:b/>
          <w:bCs/>
          <w:color w:val="000000" w:themeColor="text1"/>
        </w:rPr>
      </w:pPr>
      <w:r w:rsidRPr="00657632">
        <w:rPr>
          <w:rFonts w:cstheme="minorHAnsi"/>
          <w:b/>
          <w:bCs/>
          <w:color w:val="000000" w:themeColor="text1"/>
        </w:rPr>
        <w:t xml:space="preserve">K bodu 20 - § 18 ods. 11 - </w:t>
      </w:r>
      <w:r w:rsidRPr="00657632">
        <w:rPr>
          <w:rFonts w:cstheme="minorHAnsi"/>
          <w:b/>
          <w:bCs/>
          <w:color w:val="000000" w:themeColor="text1"/>
          <w:highlight w:val="yellow"/>
        </w:rPr>
        <w:t>zásadná</w:t>
      </w:r>
      <w:r w:rsidRPr="00657632">
        <w:rPr>
          <w:rFonts w:cstheme="minorHAnsi"/>
          <w:b/>
          <w:bCs/>
          <w:color w:val="000000" w:themeColor="text1"/>
        </w:rPr>
        <w:tab/>
      </w:r>
    </w:p>
    <w:p w14:paraId="0B61F31B" w14:textId="77777777" w:rsidR="00657632" w:rsidRPr="00B37B76" w:rsidRDefault="00657632" w:rsidP="00657632">
      <w:pPr>
        <w:tabs>
          <w:tab w:val="left" w:pos="142"/>
        </w:tabs>
        <w:spacing w:after="0" w:line="240" w:lineRule="auto"/>
        <w:jc w:val="both"/>
        <w:rPr>
          <w:rFonts w:cstheme="minorHAnsi"/>
          <w:color w:val="000000" w:themeColor="text1"/>
        </w:rPr>
      </w:pPr>
      <w:r w:rsidRPr="00B37B76">
        <w:rPr>
          <w:rFonts w:cstheme="minorHAnsi"/>
          <w:color w:val="000000" w:themeColor="text1"/>
        </w:rPr>
        <w:t xml:space="preserve">Navrhujeme za slová „na výzvu správcu dane alebo finančného riaditeľstva“ vložiť slová „v odôvodnených prípadoch“ </w:t>
      </w:r>
    </w:p>
    <w:p w14:paraId="47B80995" w14:textId="77777777" w:rsidR="00657632" w:rsidRPr="00B37B76" w:rsidRDefault="00657632" w:rsidP="00657632">
      <w:pPr>
        <w:tabs>
          <w:tab w:val="left" w:pos="142"/>
        </w:tabs>
        <w:spacing w:after="0" w:line="240" w:lineRule="auto"/>
        <w:jc w:val="both"/>
        <w:rPr>
          <w:rFonts w:cstheme="minorHAnsi"/>
          <w:color w:val="000000" w:themeColor="text1"/>
        </w:rPr>
      </w:pPr>
      <w:r w:rsidRPr="00B37B76">
        <w:rPr>
          <w:rFonts w:cstheme="minorHAnsi"/>
          <w:color w:val="000000" w:themeColor="text1"/>
        </w:rPr>
        <w:lastRenderedPageBreak/>
        <w:t xml:space="preserve">Alternatívne navrhujeme slová „predloží dokumentáciu do 15 dní od doručenia výzvy aj v štátnom jazyku.“ nahradiť slovami „predloží dokumentáciu na základe doručenia výzvy aj v štátnom jazyku“. </w:t>
      </w:r>
    </w:p>
    <w:p w14:paraId="7A546A7F" w14:textId="77777777" w:rsidR="00657632" w:rsidRPr="00B37B76" w:rsidRDefault="00657632" w:rsidP="00657632">
      <w:pPr>
        <w:tabs>
          <w:tab w:val="left" w:pos="142"/>
        </w:tabs>
        <w:spacing w:after="0" w:line="240" w:lineRule="auto"/>
        <w:jc w:val="both"/>
        <w:rPr>
          <w:rFonts w:cstheme="minorHAnsi"/>
          <w:color w:val="000000" w:themeColor="text1"/>
          <w:u w:val="single"/>
        </w:rPr>
      </w:pPr>
      <w:r w:rsidRPr="00B37B76">
        <w:rPr>
          <w:rFonts w:cstheme="minorHAnsi"/>
          <w:color w:val="000000" w:themeColor="text1"/>
          <w:u w:val="single"/>
        </w:rPr>
        <w:t>Odôvodnenie:</w:t>
      </w:r>
    </w:p>
    <w:p w14:paraId="13869462" w14:textId="77777777" w:rsidR="00657632" w:rsidRPr="00B37B76" w:rsidRDefault="00657632" w:rsidP="00657632">
      <w:pPr>
        <w:tabs>
          <w:tab w:val="left" w:pos="142"/>
        </w:tabs>
        <w:spacing w:after="0" w:line="240" w:lineRule="auto"/>
        <w:jc w:val="both"/>
        <w:rPr>
          <w:rFonts w:cstheme="minorHAnsi"/>
          <w:color w:val="000000" w:themeColor="text1"/>
        </w:rPr>
      </w:pPr>
      <w:r w:rsidRPr="00B37B76">
        <w:rPr>
          <w:rFonts w:cstheme="minorHAnsi"/>
          <w:color w:val="000000" w:themeColor="text1"/>
        </w:rPr>
        <w:t xml:space="preserve">Navrhujeme obmedziť požiadavku na predloženie v štátnom jazyku na odôvodnené prípady (napr. daňovo nespoľahlivé subjekty) – zvýšenie právnej istoty daňovníka, výrazné zníženie administratívnej náročnosti. </w:t>
      </w:r>
    </w:p>
    <w:p w14:paraId="2CF72C06" w14:textId="77777777" w:rsidR="00657632" w:rsidRPr="00B37B76" w:rsidRDefault="00657632" w:rsidP="00657632">
      <w:pPr>
        <w:pStyle w:val="Odsekzoznamu"/>
        <w:tabs>
          <w:tab w:val="left" w:pos="142"/>
        </w:tabs>
        <w:spacing w:after="0" w:line="240" w:lineRule="auto"/>
        <w:jc w:val="both"/>
        <w:rPr>
          <w:rFonts w:cstheme="minorHAnsi"/>
          <w:color w:val="000000" w:themeColor="text1"/>
        </w:rPr>
      </w:pPr>
    </w:p>
    <w:p w14:paraId="2160B367" w14:textId="56EDFA91" w:rsidR="00657632" w:rsidRDefault="00657632" w:rsidP="00657632">
      <w:pPr>
        <w:tabs>
          <w:tab w:val="left" w:pos="142"/>
        </w:tabs>
        <w:spacing w:after="0" w:line="240" w:lineRule="auto"/>
        <w:jc w:val="both"/>
        <w:rPr>
          <w:rFonts w:cstheme="minorHAnsi"/>
          <w:color w:val="000000" w:themeColor="text1"/>
        </w:rPr>
      </w:pPr>
      <w:r w:rsidRPr="00B37B76">
        <w:rPr>
          <w:rFonts w:cstheme="minorHAnsi"/>
          <w:color w:val="000000" w:themeColor="text1"/>
        </w:rPr>
        <w:t xml:space="preserve">Upozorňujeme, že v prípade niektorých spoločností môže byť dokumentácia rozsiahla a objektívne nebude možné dodržať lehotu 15 dní. Pokiaľ ale bude táto lehota daná zákonom, nebude mať daňovník možnosť sa so správcom dane dohodnúť na lehote dlhšej ako 15 dní.  </w:t>
      </w:r>
    </w:p>
    <w:p w14:paraId="148C5088" w14:textId="77777777" w:rsidR="00C120B2" w:rsidRDefault="00C120B2" w:rsidP="00657632">
      <w:pPr>
        <w:rPr>
          <w:color w:val="0070C0"/>
        </w:rPr>
      </w:pPr>
    </w:p>
    <w:p w14:paraId="112AA698" w14:textId="354AE051" w:rsidR="00657632" w:rsidRDefault="00657632" w:rsidP="00657632">
      <w:pPr>
        <w:rPr>
          <w:color w:val="0070C0"/>
        </w:rPr>
      </w:pPr>
      <w:r>
        <w:rPr>
          <w:color w:val="0070C0"/>
        </w:rPr>
        <w:t>Vyjadrenie MF SR:</w:t>
      </w:r>
    </w:p>
    <w:p w14:paraId="02B2671E" w14:textId="31D628EF" w:rsidR="00657632" w:rsidRPr="00B37B76" w:rsidRDefault="00C120B2" w:rsidP="00657632">
      <w:pPr>
        <w:tabs>
          <w:tab w:val="left" w:pos="142"/>
        </w:tabs>
        <w:spacing w:after="0" w:line="240" w:lineRule="auto"/>
        <w:jc w:val="both"/>
        <w:rPr>
          <w:rFonts w:cstheme="minorHAnsi"/>
          <w:color w:val="000000" w:themeColor="text1"/>
        </w:rPr>
      </w:pPr>
      <w:r>
        <w:rPr>
          <w:color w:val="0070C0"/>
        </w:rPr>
        <w:t>Podľa doterajších skúseností by nemal byť problém s dodržaním 15-dňovej lehoty. Ak subjekt má obavy, že by preklad do 15 dní nevedel zabezpečiť, má si pripravovať dokumentáciu v slovenskom jazyku aj bez požiadavky správcu dane.</w:t>
      </w:r>
    </w:p>
    <w:p w14:paraId="47513688" w14:textId="2D37581F" w:rsidR="004C6A0C" w:rsidRDefault="004C6A0C" w:rsidP="00381194"/>
    <w:p w14:paraId="0E448B86" w14:textId="77777777" w:rsidR="000F565A" w:rsidRPr="000F565A" w:rsidRDefault="000F565A" w:rsidP="000F565A">
      <w:pPr>
        <w:tabs>
          <w:tab w:val="left" w:pos="142"/>
        </w:tabs>
        <w:spacing w:after="0" w:line="240" w:lineRule="auto"/>
        <w:jc w:val="both"/>
        <w:rPr>
          <w:rFonts w:cstheme="minorHAnsi"/>
          <w:b/>
          <w:bCs/>
          <w:color w:val="000000" w:themeColor="text1"/>
        </w:rPr>
      </w:pPr>
      <w:r w:rsidRPr="000F565A">
        <w:rPr>
          <w:rFonts w:cstheme="minorHAnsi"/>
          <w:b/>
          <w:bCs/>
          <w:color w:val="000000" w:themeColor="text1"/>
        </w:rPr>
        <w:t xml:space="preserve">K bodu 38 </w:t>
      </w:r>
      <w:r w:rsidRPr="000F565A">
        <w:rPr>
          <w:rFonts w:cstheme="minorHAnsi"/>
          <w:color w:val="000000" w:themeColor="text1"/>
        </w:rPr>
        <w:t xml:space="preserve">- § 52zzn odsek 1 - </w:t>
      </w:r>
      <w:r w:rsidRPr="000F565A">
        <w:rPr>
          <w:rFonts w:cstheme="minorHAnsi"/>
          <w:b/>
          <w:bCs/>
          <w:color w:val="000000" w:themeColor="text1"/>
          <w:highlight w:val="yellow"/>
        </w:rPr>
        <w:t>zásadná</w:t>
      </w:r>
    </w:p>
    <w:p w14:paraId="76A95AB5" w14:textId="77777777" w:rsidR="000F565A" w:rsidRPr="00B37B76" w:rsidRDefault="000F565A" w:rsidP="000F565A">
      <w:pPr>
        <w:tabs>
          <w:tab w:val="left" w:pos="0"/>
        </w:tabs>
        <w:spacing w:after="0" w:line="240" w:lineRule="auto"/>
        <w:ind w:left="-360"/>
        <w:jc w:val="both"/>
        <w:rPr>
          <w:rFonts w:cstheme="minorHAnsi"/>
          <w:color w:val="000000" w:themeColor="text1"/>
        </w:rPr>
      </w:pPr>
      <w:r>
        <w:rPr>
          <w:rFonts w:cstheme="minorHAnsi"/>
          <w:b/>
          <w:bCs/>
          <w:color w:val="000000" w:themeColor="text1"/>
        </w:rPr>
        <w:tab/>
      </w:r>
      <w:r w:rsidRPr="00B37B76">
        <w:rPr>
          <w:rFonts w:cstheme="minorHAnsi"/>
          <w:color w:val="000000" w:themeColor="text1"/>
        </w:rPr>
        <w:t xml:space="preserve">Navrhujeme </w:t>
      </w:r>
      <w:r>
        <w:rPr>
          <w:rFonts w:cstheme="minorHAnsi"/>
          <w:color w:val="000000" w:themeColor="text1"/>
        </w:rPr>
        <w:t>nové</w:t>
      </w:r>
      <w:r w:rsidRPr="00B37B76">
        <w:rPr>
          <w:rFonts w:cstheme="minorHAnsi"/>
          <w:color w:val="000000" w:themeColor="text1"/>
        </w:rPr>
        <w:t xml:space="preserve"> znenie</w:t>
      </w:r>
      <w:r>
        <w:rPr>
          <w:rFonts w:cstheme="minorHAnsi"/>
          <w:color w:val="000000" w:themeColor="text1"/>
        </w:rPr>
        <w:t xml:space="preserve"> odseku 1 v</w:t>
      </w:r>
      <w:r w:rsidRPr="00B37B76">
        <w:rPr>
          <w:rFonts w:cstheme="minorHAnsi"/>
          <w:color w:val="000000" w:themeColor="text1"/>
        </w:rPr>
        <w:t xml:space="preserve"> § 52zzn:</w:t>
      </w:r>
    </w:p>
    <w:p w14:paraId="5A09D973" w14:textId="77777777" w:rsidR="000F565A" w:rsidRPr="00B37B76" w:rsidRDefault="000F565A" w:rsidP="000F565A">
      <w:pPr>
        <w:tabs>
          <w:tab w:val="left" w:pos="851"/>
        </w:tabs>
        <w:spacing w:after="0" w:line="240" w:lineRule="auto"/>
        <w:jc w:val="both"/>
        <w:rPr>
          <w:rFonts w:cstheme="minorHAnsi"/>
        </w:rPr>
      </w:pPr>
      <w:r w:rsidRPr="00B37B76">
        <w:rPr>
          <w:rFonts w:eastAsia="Times New Roman" w:cstheme="minorHAnsi"/>
          <w:bCs/>
          <w:kern w:val="36"/>
          <w:lang w:eastAsia="cs-CZ"/>
        </w:rPr>
        <w:t>„</w:t>
      </w:r>
      <w:r>
        <w:rPr>
          <w:rFonts w:eastAsia="Times New Roman" w:cstheme="minorHAnsi"/>
          <w:bCs/>
          <w:kern w:val="36"/>
          <w:lang w:eastAsia="cs-CZ"/>
        </w:rPr>
        <w:t xml:space="preserve">(1) </w:t>
      </w:r>
      <w:r w:rsidRPr="00B37B76">
        <w:rPr>
          <w:rFonts w:eastAsia="Times New Roman" w:cstheme="minorHAnsi"/>
          <w:bCs/>
          <w:kern w:val="36"/>
          <w:lang w:eastAsia="cs-CZ"/>
        </w:rPr>
        <w:t xml:space="preserve">Úpravy </w:t>
      </w:r>
      <w:r w:rsidRPr="00B37B76">
        <w:rPr>
          <w:rFonts w:cstheme="minorHAnsi"/>
        </w:rPr>
        <w:t>základu</w:t>
      </w:r>
      <w:r w:rsidRPr="00B37B76">
        <w:rPr>
          <w:rFonts w:eastAsia="Times New Roman" w:cstheme="minorHAnsi"/>
          <w:bCs/>
          <w:kern w:val="36"/>
          <w:lang w:eastAsia="cs-CZ"/>
        </w:rPr>
        <w:t xml:space="preserve"> dane podľa § 17 ods. 2 písm. d), ktoré vyplývajú z implementácie medzinárodných štandardov pre finančné výkazníctvo IFRS 17 a IFRS 9 poisťovňou, pobočkou poisťovne iného členského štátu, pobočkou zahraničnej poisťovne,  sa zahrnú do základu dane rovnomerne počnúc zdaňovacím obdobím, ktoré začína najskôr 1. januára 2023, najneskôr však do konca štvrtého zdaňovacieho obdobia, ktoré nasleduje po zdaňovacom období, ktoré začalo najskôr 1. januára 2023, pričom na zrušenie  technických rezerv tvorených k 31. decembru 2022 sa nebude aplikovať ustanovenie § 17 odsek 15.“</w:t>
      </w:r>
    </w:p>
    <w:p w14:paraId="46E7E8D1" w14:textId="77777777" w:rsidR="000F565A" w:rsidRPr="00B37B76" w:rsidRDefault="000F565A" w:rsidP="000F565A">
      <w:pPr>
        <w:spacing w:after="0" w:line="240" w:lineRule="auto"/>
        <w:jc w:val="both"/>
        <w:rPr>
          <w:rFonts w:cstheme="minorHAnsi"/>
          <w:u w:val="single"/>
        </w:rPr>
      </w:pPr>
      <w:r w:rsidRPr="00B37B76">
        <w:rPr>
          <w:rFonts w:cstheme="minorHAnsi"/>
          <w:u w:val="single"/>
        </w:rPr>
        <w:t>Odôvodnenie:</w:t>
      </w:r>
    </w:p>
    <w:p w14:paraId="49DB842C" w14:textId="77777777" w:rsidR="000F565A" w:rsidRPr="00B37B76" w:rsidRDefault="000F565A" w:rsidP="000F565A">
      <w:pPr>
        <w:spacing w:after="0" w:line="240" w:lineRule="auto"/>
        <w:jc w:val="both"/>
        <w:rPr>
          <w:rFonts w:cstheme="minorHAnsi"/>
          <w:color w:val="000000" w:themeColor="text1"/>
        </w:rPr>
      </w:pPr>
      <w:r w:rsidRPr="00B37B76">
        <w:rPr>
          <w:rFonts w:cstheme="minorHAnsi"/>
          <w:color w:val="000000" w:themeColor="text1"/>
        </w:rPr>
        <w:t xml:space="preserve">Vzhľadom k tomu, že pri prvotnom uplatnení medzinárodných účtovných štandardov IAS/IFRS poisťovňami a zaisťovňami bola zmena z dôvodu zmeny účtovnej metódy zahrnutá do základu dane v priebehu piatich zdaňovacích období </w:t>
      </w:r>
      <w:r w:rsidRPr="00B37B76">
        <w:rPr>
          <w:rFonts w:cstheme="minorHAnsi"/>
          <w:i/>
          <w:iCs/>
          <w:color w:val="000000" w:themeColor="text1"/>
          <w:lang w:val="en-US"/>
        </w:rPr>
        <w:t>(</w:t>
      </w:r>
      <w:r w:rsidRPr="00B37B76">
        <w:rPr>
          <w:rFonts w:cstheme="minorHAnsi"/>
          <w:i/>
          <w:iCs/>
          <w:color w:val="000000" w:themeColor="text1"/>
        </w:rPr>
        <w:t>§ 10 Opatrenie MF 011053/2006-72 – tzv. prevodového mostíka)</w:t>
      </w:r>
      <w:r w:rsidRPr="00B37B76">
        <w:rPr>
          <w:rFonts w:cstheme="minorHAnsi"/>
          <w:color w:val="000000" w:themeColor="text1"/>
        </w:rPr>
        <w:t xml:space="preserve">, navrhujeme aby aj zmena účtovnej metódy z dôvodu prechodu na štandard IFRS 17 a IFRS 9 bola rovnako zahrnutá v priebehu </w:t>
      </w:r>
      <w:r w:rsidRPr="00B37B76">
        <w:rPr>
          <w:rFonts w:cstheme="minorHAnsi"/>
          <w:b/>
          <w:bCs/>
          <w:color w:val="000000" w:themeColor="text1"/>
        </w:rPr>
        <w:t xml:space="preserve">piatich </w:t>
      </w:r>
      <w:r w:rsidRPr="00B37B76">
        <w:rPr>
          <w:rFonts w:cstheme="minorHAnsi"/>
          <w:color w:val="000000" w:themeColor="text1"/>
        </w:rPr>
        <w:t>zdaňovacích období. Vzhľadom na to, že rozsah zmien v účtovníctve poisťovní bude pri implementácii IFRS 17 a IFRS 9 podobný, ako pri zavedení medzinárodných štandardov, navrhujeme aby aj v tomto prípade bolo použité prechodné obdobie v trvaní 5 rokov. Rovnako dlhé prechodné obdobie je uvedené aj v §52 odsek 11.</w:t>
      </w:r>
    </w:p>
    <w:p w14:paraId="056A7B8E" w14:textId="77777777" w:rsidR="000F565A" w:rsidRDefault="000F565A" w:rsidP="000F565A">
      <w:pPr>
        <w:spacing w:after="0" w:line="240" w:lineRule="auto"/>
        <w:jc w:val="both"/>
        <w:rPr>
          <w:rFonts w:cstheme="minorHAnsi"/>
          <w:color w:val="000000" w:themeColor="text1"/>
        </w:rPr>
      </w:pPr>
      <w:r w:rsidRPr="00B37B76">
        <w:rPr>
          <w:rFonts w:cstheme="minorHAnsi"/>
          <w:color w:val="000000" w:themeColor="text1"/>
        </w:rPr>
        <w:t xml:space="preserve">Tiež navrhujeme doplniť do zákona, že ustanovenie § 17 odsek 15 sa nebude vzťahovať na zrušenie technických rezerv zaúčtovaných k 31. decembru 2022 z dôvodu prechodu na nový štandard IFRS 17. Rozumieme, že úmyslom zákonodarcu je zdanenie rozdielu vyplývajúceho z implementácie štandardu IFRS 17 a IFRS 9 v priebehu niekoľkých zdaňovacích období. Vzhľadom však k tomu, že zákon o dani z príjmov obsahuje špecifické ustanovenie, podľa ktorého sa v prípade zrušenia rezerv na účet nerozdeleného zisku minulých rokov, ktorých tvorba bola uznaná za daňový výdavok tieto dodania v danom zdaňovacom období, navrhujeme z dôvodu väčšej právnej istoty priamo v zákone definovať, že toto ustanovenie nebude v prípade implementácie štandardu IFRS 17 a IFRS 9 použité. </w:t>
      </w:r>
    </w:p>
    <w:p w14:paraId="4E7A225B" w14:textId="77777777" w:rsidR="00DF0B8E" w:rsidRDefault="00DF0B8E" w:rsidP="000F565A"/>
    <w:p w14:paraId="5B5C4362" w14:textId="710E5906" w:rsidR="000F565A" w:rsidRDefault="000F565A" w:rsidP="000F565A">
      <w:pPr>
        <w:rPr>
          <w:color w:val="0070C0"/>
        </w:rPr>
      </w:pPr>
      <w:r>
        <w:rPr>
          <w:color w:val="0070C0"/>
        </w:rPr>
        <w:t>Vyjadrenie MF SR:</w:t>
      </w:r>
    </w:p>
    <w:p w14:paraId="38DFF8C8" w14:textId="315F821A" w:rsidR="000F565A" w:rsidRDefault="00DF0B8E" w:rsidP="000F565A">
      <w:pPr>
        <w:rPr>
          <w:color w:val="0070C0"/>
        </w:rPr>
      </w:pPr>
      <w:r>
        <w:rPr>
          <w:color w:val="0070C0"/>
        </w:rPr>
        <w:t>Na základe rokovaní s vedením MF SR bolo stanovené 3-ročné prechodné obdobie. Jeho predĺženie v rámci ďalšieho legislatívneho procesu nie je pravdepodobné. Požiadavku na doplneniu vety „</w:t>
      </w:r>
      <w:r w:rsidRPr="00DF0B8E">
        <w:rPr>
          <w:color w:val="0070C0"/>
        </w:rPr>
        <w:t>pričom na zrušenie  technických rezerv tvorených k 31. decembru 2022 sa nebude aplikovať ustanovenie § 17 odsek 15.“</w:t>
      </w:r>
      <w:r>
        <w:rPr>
          <w:color w:val="0070C0"/>
        </w:rPr>
        <w:t xml:space="preserve"> chápu a zvážia potrebu zapracovania tejto pripomienky priamo do zákona.</w:t>
      </w:r>
    </w:p>
    <w:p w14:paraId="380EEC79" w14:textId="2F92AD4F" w:rsidR="00DF0B8E" w:rsidRDefault="00DF0B8E" w:rsidP="000F565A">
      <w:pPr>
        <w:rPr>
          <w:color w:val="0070C0"/>
        </w:rPr>
      </w:pPr>
    </w:p>
    <w:p w14:paraId="4C33D5B8" w14:textId="5112A965" w:rsidR="00DF0B8E" w:rsidRPr="00DF0B8E" w:rsidRDefault="00DF0B8E" w:rsidP="00DF0B8E">
      <w:pPr>
        <w:rPr>
          <w:b/>
          <w:bCs/>
        </w:rPr>
      </w:pPr>
      <w:r w:rsidRPr="00DF0B8E">
        <w:rPr>
          <w:b/>
          <w:bCs/>
        </w:rPr>
        <w:t>K  bodu 23 - § 20 ods. 8 – zásadná</w:t>
      </w:r>
    </w:p>
    <w:p w14:paraId="7B9AC6A3" w14:textId="77777777" w:rsidR="00DF0B8E" w:rsidRDefault="00DF0B8E" w:rsidP="00DF0B8E">
      <w:r>
        <w:t>Navrhujeme, aby súčasťou predloženého návrhu zákona bol v zmysle zákona č. 400/2015 Z.z. o tvorbe právnych predpisov a o Zbierke zákonov SR návrh novely opatrenia MF 011053/2006-72.</w:t>
      </w:r>
    </w:p>
    <w:p w14:paraId="7BC35066" w14:textId="77777777" w:rsidR="00DF0B8E" w:rsidRDefault="00DF0B8E" w:rsidP="00DF0B8E">
      <w:r>
        <w:t>Odôvodnenie:</w:t>
      </w:r>
    </w:p>
    <w:p w14:paraId="0EF05C8F" w14:textId="77777777" w:rsidR="00DF0B8E" w:rsidRDefault="00DF0B8E" w:rsidP="00DF0B8E">
      <w:r>
        <w:t>V nadväznosti na novelu zákona je potrebné novelizovať aj Opatrenie MF 011053/2006-72 tak,aby nebolo v rozpore s cieľom novely zákona a nespôsobilo právnu neistotu na strane poisťovní.</w:t>
      </w:r>
    </w:p>
    <w:p w14:paraId="361B8509" w14:textId="77777777" w:rsidR="00DF0B8E" w:rsidRDefault="00DF0B8E" w:rsidP="00DF0B8E">
      <w:r>
        <w:t>Navrhujme preto aby v súlade so zákonom č. 400/2015 Z.z. o tvorbe právnych predpisov a o Zbierke zákonov SR, bol súčasťou návrhu zákona v MPK aj návrh novely Opatrenia MF 011053/2006-72. Pokiaľ náš návrh predkladateľ z časových dôvodov nemôže akceptovať, žiadame aspoň informáciu o prijatí novely opatrenia v neskoršom legislatívnom procese uviesť do dôvodovej správy a doplniť v nej text: „V nadväznosti na túto úpravu zákona bude upravené Opatrenia MF 011053/2006-72,– najmä pôjde o vypustenie § 9, ktorý upravuje vykazovanie poistných zmlúv, s cieľom, aby operácie účtované s vplyvom na výsledok hospodárenia v zmysle medzinárodného účtovného štandardu upravujúceho účtovanie poistných zmlúv (IFRS17) boli súčasťou základu dane u daňovníka, ktorým je poisťovňa, pobočka poisťovne iného členského štátu, pobočka zahraničnej poisťovne, zaisťovňa, pobočka zaisťovne iného členského štátu a pobočka zahraničnej zaisťovne.“</w:t>
      </w:r>
    </w:p>
    <w:p w14:paraId="69F3249E" w14:textId="77777777" w:rsidR="00DF0B8E" w:rsidRDefault="00DF0B8E" w:rsidP="00DF0B8E">
      <w:pPr>
        <w:rPr>
          <w:color w:val="0070C0"/>
        </w:rPr>
      </w:pPr>
      <w:r>
        <w:rPr>
          <w:color w:val="0070C0"/>
        </w:rPr>
        <w:t>Vyjadrenie MF SR:</w:t>
      </w:r>
    </w:p>
    <w:p w14:paraId="290F70E3" w14:textId="75785F75" w:rsidR="00DF0B8E" w:rsidRDefault="00F3495F" w:rsidP="00DF0B8E">
      <w:pPr>
        <w:rPr>
          <w:color w:val="0070C0"/>
        </w:rPr>
      </w:pPr>
      <w:r>
        <w:rPr>
          <w:color w:val="0070C0"/>
        </w:rPr>
        <w:t xml:space="preserve">MF SR si je vedomé </w:t>
      </w:r>
      <w:r w:rsidR="005A195B">
        <w:rPr>
          <w:color w:val="0070C0"/>
        </w:rPr>
        <w:t xml:space="preserve">vzťahu </w:t>
      </w:r>
      <w:r>
        <w:rPr>
          <w:color w:val="0070C0"/>
        </w:rPr>
        <w:t xml:space="preserve"> medzi novelou zákona </w:t>
      </w:r>
      <w:r w:rsidR="005A195B">
        <w:rPr>
          <w:color w:val="0070C0"/>
        </w:rPr>
        <w:t>a O</w:t>
      </w:r>
      <w:r w:rsidR="005A195B" w:rsidRPr="00786C48">
        <w:rPr>
          <w:color w:val="0070C0"/>
        </w:rPr>
        <w:t>patren</w:t>
      </w:r>
      <w:r w:rsidR="005A195B">
        <w:rPr>
          <w:color w:val="0070C0"/>
        </w:rPr>
        <w:t>ím</w:t>
      </w:r>
      <w:r w:rsidR="005A195B" w:rsidRPr="00786C48">
        <w:rPr>
          <w:color w:val="0070C0"/>
        </w:rPr>
        <w:t xml:space="preserve"> MF 011053/2006-72</w:t>
      </w:r>
      <w:r w:rsidR="005A195B">
        <w:rPr>
          <w:color w:val="0070C0"/>
        </w:rPr>
        <w:t xml:space="preserve">,  a preto bude  v </w:t>
      </w:r>
      <w:r w:rsidR="00786C48">
        <w:rPr>
          <w:color w:val="0070C0"/>
        </w:rPr>
        <w:t xml:space="preserve">súvislosti s úpravou zákona o dani z príjmov </w:t>
      </w:r>
      <w:r w:rsidR="005A195B">
        <w:rPr>
          <w:color w:val="0070C0"/>
        </w:rPr>
        <w:t xml:space="preserve">toto opatrenie </w:t>
      </w:r>
      <w:r w:rsidR="00786C48">
        <w:rPr>
          <w:color w:val="0070C0"/>
        </w:rPr>
        <w:t xml:space="preserve">novelizované. </w:t>
      </w:r>
    </w:p>
    <w:p w14:paraId="06910535" w14:textId="67A4C290" w:rsidR="00E96103" w:rsidRPr="00E96103" w:rsidRDefault="00E96103" w:rsidP="00E96103">
      <w:pPr>
        <w:rPr>
          <w:b/>
          <w:bCs/>
        </w:rPr>
      </w:pPr>
      <w:r w:rsidRPr="00E96103">
        <w:rPr>
          <w:b/>
          <w:bCs/>
        </w:rPr>
        <w:t>Doplnenie nového odseku - zásadná</w:t>
      </w:r>
    </w:p>
    <w:p w14:paraId="04817E20" w14:textId="77777777" w:rsidR="00E96103" w:rsidRDefault="00E96103" w:rsidP="00E96103">
      <w:r>
        <w:t>V § 17 navrhujeme doplniť nový odsek 45, ktorý znie:</w:t>
      </w:r>
    </w:p>
    <w:p w14:paraId="76D04A1E" w14:textId="77777777" w:rsidR="00E96103" w:rsidRDefault="00E96103" w:rsidP="00E96103">
      <w:r>
        <w:t>Súčasťou základu dane u daňovníka, ktorým je poisťovňa, pobočka poisťovne iného členského štátu, pobočka zahraničnej poisťovne, zaisťovňa, pobočka zaisťovne iného členského štátu a pobočka zahraničnej zaisťovne., ktorý pri zisťovaní základu dane alebo daňovej straty postupuje podľa odseku 1 písm. c), sú operácie  z poistných a zaistných zmlúv účtované s vplyvom na výsledok hospodárenia daňovníka v súlade so štandardom IFRS 17 Poistné zmluvy.</w:t>
      </w:r>
    </w:p>
    <w:p w14:paraId="2FB85F74" w14:textId="77777777" w:rsidR="00E96103" w:rsidRDefault="00E96103" w:rsidP="00E96103">
      <w:r>
        <w:t>Odôvodnenie:</w:t>
      </w:r>
    </w:p>
    <w:p w14:paraId="449C0CFB" w14:textId="56A6D902" w:rsidR="00E96103" w:rsidRDefault="00E96103" w:rsidP="00E96103">
      <w:r>
        <w:t>Za účelom vyššej právnej istoty v súvislosti s implementáciou IFRS 17, navrhujeme doplnenie priamo do zákona, že v prípade účtovania poistných zmlúv s vplyvom na výsledok hospodárenia podľa IFRS 17  tieto operácie ostávajú súčasťou základu dane v súlade s účtovníctvom. Rovnaká logika je pritom použitá aj v dôvodovej správe.</w:t>
      </w:r>
    </w:p>
    <w:p w14:paraId="02D9634C" w14:textId="41E498B7" w:rsidR="00E96103" w:rsidRDefault="00E96103" w:rsidP="00E96103">
      <w:pPr>
        <w:rPr>
          <w:color w:val="0070C0"/>
        </w:rPr>
      </w:pPr>
      <w:r>
        <w:rPr>
          <w:color w:val="0070C0"/>
        </w:rPr>
        <w:t>Vyjadrenie MF SR:</w:t>
      </w:r>
    </w:p>
    <w:p w14:paraId="79C36B22" w14:textId="14F58C02" w:rsidR="00E96103" w:rsidRDefault="00E96103" w:rsidP="00E96103">
      <w:pPr>
        <w:rPr>
          <w:color w:val="0070C0"/>
        </w:rPr>
      </w:pPr>
      <w:r>
        <w:rPr>
          <w:color w:val="0070C0"/>
        </w:rPr>
        <w:t xml:space="preserve">Chápu obavy poisťovní a zvážia spôsob, akým sa s touto požiadavkou vysporiadajú. </w:t>
      </w:r>
    </w:p>
    <w:p w14:paraId="59E00980" w14:textId="59582825" w:rsidR="00E96103" w:rsidRDefault="00E96103" w:rsidP="00E96103">
      <w:pPr>
        <w:rPr>
          <w:b/>
          <w:bCs/>
        </w:rPr>
      </w:pPr>
      <w:r>
        <w:rPr>
          <w:b/>
          <w:bCs/>
        </w:rPr>
        <w:t>Ostatné pripomienky SLASPO</w:t>
      </w:r>
    </w:p>
    <w:p w14:paraId="26090BC7" w14:textId="1DB34088" w:rsidR="00E96103" w:rsidRDefault="00E96103" w:rsidP="00E96103">
      <w:r>
        <w:t xml:space="preserve">Vzhľadom na vyčlenený čas na stretnutie </w:t>
      </w:r>
      <w:r w:rsidR="00F3495F">
        <w:t>neboli ostatné pripomienky detailne preberané. Zástupcovia MF SR potvrdili, že sa nimi zaoberali a o to, ktoré akceptovali sa dozvieme z vyhodnotenia MPK.</w:t>
      </w:r>
    </w:p>
    <w:p w14:paraId="03871469" w14:textId="4FB8A5D1" w:rsidR="00F3495F" w:rsidRDefault="00F3495F" w:rsidP="00E96103">
      <w:pPr>
        <w:rPr>
          <w:b/>
          <w:bCs/>
        </w:rPr>
      </w:pPr>
      <w:r w:rsidRPr="00F3495F">
        <w:rPr>
          <w:b/>
          <w:bCs/>
        </w:rPr>
        <w:t>Iné</w:t>
      </w:r>
    </w:p>
    <w:p w14:paraId="79BE1A10" w14:textId="5886971E" w:rsidR="00F3495F" w:rsidRPr="00F3495F" w:rsidRDefault="00F3495F" w:rsidP="00E96103">
      <w:r>
        <w:lastRenderedPageBreak/>
        <w:t>Zástupcovia SBA navrhli nad rámec pripravovanej novely zákona, aby sa bankám opravné položky k úverom daňovo uznávali v rozsahu, ako ich majú zaúčtované v súlade s IFRS. Zástupcovia MF SR v súčasnosti tento návrh neakceptovali, ale nebránia sa v budúcnosti ďalšej diskusii na túto tému.</w:t>
      </w:r>
    </w:p>
    <w:sectPr w:rsidR="00F3495F" w:rsidRPr="00F3495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87F7A"/>
    <w:multiLevelType w:val="hybridMultilevel"/>
    <w:tmpl w:val="BD922B6E"/>
    <w:lvl w:ilvl="0" w:tplc="726E5704">
      <w:start w:val="1"/>
      <w:numFmt w:val="decimal"/>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3659071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258"/>
    <w:rsid w:val="000F565A"/>
    <w:rsid w:val="00301258"/>
    <w:rsid w:val="00381194"/>
    <w:rsid w:val="004C6A0C"/>
    <w:rsid w:val="005A195B"/>
    <w:rsid w:val="00657632"/>
    <w:rsid w:val="00786C48"/>
    <w:rsid w:val="00975CE6"/>
    <w:rsid w:val="00994306"/>
    <w:rsid w:val="00AC3473"/>
    <w:rsid w:val="00B12572"/>
    <w:rsid w:val="00C120B2"/>
    <w:rsid w:val="00DF0B8E"/>
    <w:rsid w:val="00E96103"/>
    <w:rsid w:val="00F3495F"/>
    <w:rsid w:val="00FE755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41000"/>
  <w15:chartTrackingRefBased/>
  <w15:docId w15:val="{63583A50-389A-4802-BFAF-6005473D8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Odsek,Odsek zoznamu1,ODRAZKY PRVA UROVEN,Nad,Odstavec_muj,Conclusion de partie,_Odstavec se seznamem,Seznam - odrážky,Odstavec cíl se seznamem,Odstavec se seznamem5,List Paragraph (Czech Tourism),Odsek zákon"/>
    <w:basedOn w:val="Normlny"/>
    <w:link w:val="OdsekzoznamuChar"/>
    <w:uiPriority w:val="34"/>
    <w:qFormat/>
    <w:rsid w:val="00657632"/>
    <w:pPr>
      <w:spacing w:line="256" w:lineRule="auto"/>
      <w:ind w:left="720"/>
      <w:contextualSpacing/>
    </w:pPr>
  </w:style>
  <w:style w:type="character" w:customStyle="1" w:styleId="OdsekzoznamuChar">
    <w:name w:val="Odsek zoznamu Char"/>
    <w:aliases w:val="body Char,Odsek zoznamu2 Char,Odsek Char,Odsek zoznamu1 Char,ODRAZKY PRVA UROVEN Char,Nad Char,Odstavec_muj Char,Conclusion de partie Char,_Odstavec se seznamem Char,Seznam - odrážky Char,Odstavec cíl se seznamem Char,Odsek zákon Char"/>
    <w:link w:val="Odsekzoznamu"/>
    <w:uiPriority w:val="34"/>
    <w:qFormat/>
    <w:locked/>
    <w:rsid w:val="006576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4</Pages>
  <Words>1352</Words>
  <Characters>7713</Characters>
  <Application>Microsoft Office Word</Application>
  <DocSecurity>0</DocSecurity>
  <Lines>64</Lines>
  <Paragraphs>18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jozef.bachnicek</dc:creator>
  <cp:keywords/>
  <dc:description/>
  <cp:lastModifiedBy>jozef.bachnicek</cp:lastModifiedBy>
  <cp:revision>9</cp:revision>
  <dcterms:created xsi:type="dcterms:W3CDTF">2022-08-04T11:08:00Z</dcterms:created>
  <dcterms:modified xsi:type="dcterms:W3CDTF">2022-08-04T13:18:00Z</dcterms:modified>
</cp:coreProperties>
</file>