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5A060" w14:textId="267BC5E1" w:rsidR="00D11BDD" w:rsidRDefault="009A21FA" w:rsidP="00D11BDD">
      <w:pPr>
        <w:jc w:val="center"/>
        <w:rPr>
          <w:b/>
        </w:rPr>
      </w:pPr>
      <w:r>
        <w:rPr>
          <w:b/>
        </w:rPr>
        <w:t>On-line z</w:t>
      </w:r>
      <w:r w:rsidR="00D11BDD" w:rsidRPr="009B143F">
        <w:rPr>
          <w:b/>
        </w:rPr>
        <w:t xml:space="preserve">asadnutie </w:t>
      </w:r>
      <w:r w:rsidR="00DC2403">
        <w:rPr>
          <w:b/>
        </w:rPr>
        <w:t>E</w:t>
      </w:r>
      <w:r w:rsidR="00D11BDD" w:rsidRPr="009B143F">
        <w:rPr>
          <w:b/>
        </w:rPr>
        <w:t>konomickej sekcie  SLASPO</w:t>
      </w:r>
      <w:r w:rsidR="00DB1897">
        <w:rPr>
          <w:b/>
        </w:rPr>
        <w:t xml:space="preserve"> </w:t>
      </w:r>
    </w:p>
    <w:p w14:paraId="10A65F6A" w14:textId="4B5F9697" w:rsidR="00D11BDD" w:rsidRPr="00322559" w:rsidRDefault="00DB1897" w:rsidP="00D11BDD">
      <w:pPr>
        <w:rPr>
          <w:rFonts w:cstheme="minorHAnsi"/>
          <w:b/>
        </w:rPr>
      </w:pPr>
      <w:r w:rsidRPr="00322559">
        <w:rPr>
          <w:rFonts w:cstheme="minorHAnsi"/>
          <w:b/>
        </w:rPr>
        <w:t xml:space="preserve">Dátum: </w:t>
      </w:r>
      <w:r w:rsidR="009A21FA" w:rsidRPr="00322559">
        <w:rPr>
          <w:rFonts w:cstheme="minorHAnsi"/>
          <w:b/>
        </w:rPr>
        <w:t>13</w:t>
      </w:r>
      <w:r w:rsidR="00D11BDD" w:rsidRPr="00322559">
        <w:rPr>
          <w:rFonts w:cstheme="minorHAnsi"/>
          <w:b/>
        </w:rPr>
        <w:t>.</w:t>
      </w:r>
      <w:r w:rsidR="009A21FA" w:rsidRPr="00322559">
        <w:rPr>
          <w:rFonts w:cstheme="minorHAnsi"/>
          <w:b/>
        </w:rPr>
        <w:t>4</w:t>
      </w:r>
      <w:r w:rsidRPr="00322559">
        <w:rPr>
          <w:rFonts w:cstheme="minorHAnsi"/>
          <w:b/>
        </w:rPr>
        <w:t>.20</w:t>
      </w:r>
      <w:r w:rsidR="009A21FA" w:rsidRPr="00322559">
        <w:rPr>
          <w:rFonts w:cstheme="minorHAnsi"/>
          <w:b/>
        </w:rPr>
        <w:t>22</w:t>
      </w:r>
      <w:r w:rsidR="00D11BDD" w:rsidRPr="00322559">
        <w:rPr>
          <w:rFonts w:cstheme="minorHAnsi"/>
          <w:b/>
        </w:rPr>
        <w:t xml:space="preserve"> </w:t>
      </w:r>
      <w:r w:rsidR="00D11BDD" w:rsidRPr="00322559">
        <w:rPr>
          <w:rFonts w:cstheme="minorHAnsi"/>
          <w:b/>
          <w:bCs/>
        </w:rPr>
        <w:t>o</w:t>
      </w:r>
      <w:r w:rsidR="00DC2403" w:rsidRPr="00322559">
        <w:rPr>
          <w:rFonts w:cstheme="minorHAnsi"/>
          <w:b/>
          <w:bCs/>
        </w:rPr>
        <w:t> 1</w:t>
      </w:r>
      <w:r w:rsidR="009A21FA" w:rsidRPr="00322559">
        <w:rPr>
          <w:rFonts w:cstheme="minorHAnsi"/>
          <w:b/>
          <w:bCs/>
        </w:rPr>
        <w:t>0</w:t>
      </w:r>
      <w:r w:rsidR="00DC2403" w:rsidRPr="00322559">
        <w:rPr>
          <w:rFonts w:cstheme="minorHAnsi"/>
          <w:b/>
          <w:bCs/>
        </w:rPr>
        <w:t>:00</w:t>
      </w:r>
      <w:r w:rsidR="00D11BDD" w:rsidRPr="00322559">
        <w:rPr>
          <w:rFonts w:cstheme="minorHAnsi"/>
          <w:b/>
        </w:rPr>
        <w:t xml:space="preserve"> </w:t>
      </w:r>
    </w:p>
    <w:p w14:paraId="59A7257F" w14:textId="0E4F6FE2" w:rsidR="00D739BE" w:rsidRPr="00322559" w:rsidRDefault="00D739BE" w:rsidP="00D11BDD">
      <w:pPr>
        <w:rPr>
          <w:rFonts w:cstheme="minorHAnsi"/>
        </w:rPr>
      </w:pPr>
      <w:r w:rsidRPr="00322559">
        <w:rPr>
          <w:rFonts w:cstheme="minorHAnsi"/>
          <w:b/>
        </w:rPr>
        <w:t>P</w:t>
      </w:r>
      <w:r w:rsidR="009A21FA" w:rsidRPr="00322559">
        <w:rPr>
          <w:rFonts w:cstheme="minorHAnsi"/>
          <w:b/>
        </w:rPr>
        <w:t>ozvaní:</w:t>
      </w:r>
      <w:r w:rsidRPr="00322559">
        <w:rPr>
          <w:rFonts w:cstheme="minorHAnsi"/>
          <w:b/>
        </w:rPr>
        <w:t xml:space="preserve"> </w:t>
      </w:r>
    </w:p>
    <w:p w14:paraId="001810BC" w14:textId="41C546DB" w:rsidR="00797FC6" w:rsidRPr="00322559" w:rsidRDefault="009A21FA" w:rsidP="00D11BDD">
      <w:pPr>
        <w:rPr>
          <w:rFonts w:cstheme="minorHAnsi"/>
        </w:rPr>
      </w:pPr>
      <w:r w:rsidRPr="00322559">
        <w:rPr>
          <w:rFonts w:cstheme="minorHAnsi"/>
        </w:rPr>
        <w:object w:dxaOrig="1540" w:dyaOrig="996" w14:anchorId="483C0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5" o:title=""/>
          </v:shape>
          <o:OLEObject Type="Embed" ProgID="Excel.Sheet.12" ShapeID="_x0000_i1025" DrawAspect="Icon" ObjectID="_1711871567" r:id="rId6"/>
        </w:object>
      </w:r>
    </w:p>
    <w:p w14:paraId="7C56579E" w14:textId="77777777" w:rsidR="002C133B" w:rsidRPr="00322559" w:rsidRDefault="00D11BDD" w:rsidP="00BB4EEA">
      <w:pPr>
        <w:jc w:val="both"/>
        <w:rPr>
          <w:rFonts w:cstheme="minorHAnsi"/>
          <w:b/>
        </w:rPr>
      </w:pPr>
      <w:r w:rsidRPr="00322559">
        <w:rPr>
          <w:rFonts w:cstheme="minorHAnsi"/>
          <w:b/>
        </w:rPr>
        <w:t>Program:</w:t>
      </w:r>
    </w:p>
    <w:p w14:paraId="75196DFB" w14:textId="77777777" w:rsidR="009A21FA" w:rsidRPr="00322559" w:rsidRDefault="009A21FA" w:rsidP="009A21FA">
      <w:pPr>
        <w:pStyle w:val="Odsekzoznamu"/>
        <w:numPr>
          <w:ilvl w:val="0"/>
          <w:numId w:val="11"/>
        </w:numPr>
        <w:spacing w:line="252" w:lineRule="auto"/>
        <w:rPr>
          <w:rFonts w:eastAsia="Times New Roman" w:cstheme="minorHAnsi"/>
        </w:rPr>
      </w:pPr>
      <w:r w:rsidRPr="00322559">
        <w:rPr>
          <w:rFonts w:eastAsia="Times New Roman" w:cstheme="minorHAnsi"/>
        </w:rPr>
        <w:t>Novela zákona o dani z príjmov v súvislosti s implementáciou IFRS 17 a IFRS 9 – aktuálny stav</w:t>
      </w:r>
    </w:p>
    <w:p w14:paraId="6B9D345D" w14:textId="77777777" w:rsidR="009A21FA" w:rsidRPr="00322559" w:rsidRDefault="009A21FA" w:rsidP="009A21FA">
      <w:pPr>
        <w:pStyle w:val="Odsekzoznamu"/>
        <w:numPr>
          <w:ilvl w:val="0"/>
          <w:numId w:val="11"/>
        </w:numPr>
        <w:spacing w:line="252" w:lineRule="auto"/>
        <w:rPr>
          <w:rFonts w:eastAsia="Times New Roman" w:cstheme="minorHAnsi"/>
        </w:rPr>
      </w:pPr>
      <w:r w:rsidRPr="00322559">
        <w:rPr>
          <w:rFonts w:eastAsia="Times New Roman" w:cstheme="minorHAnsi"/>
        </w:rPr>
        <w:t>Aktualizácia podkladov pre MF SR ohľadom dopadu prechodu na  IFRS 17 a IFRS 9</w:t>
      </w:r>
    </w:p>
    <w:p w14:paraId="08EEB4AC" w14:textId="77777777" w:rsidR="009A21FA" w:rsidRPr="00322559" w:rsidRDefault="009A21FA" w:rsidP="009A21FA">
      <w:pPr>
        <w:pStyle w:val="Odsekzoznamu"/>
        <w:numPr>
          <w:ilvl w:val="0"/>
          <w:numId w:val="11"/>
        </w:numPr>
        <w:spacing w:line="252" w:lineRule="auto"/>
        <w:rPr>
          <w:rFonts w:eastAsia="Times New Roman" w:cstheme="minorHAnsi"/>
        </w:rPr>
      </w:pPr>
      <w:r w:rsidRPr="00322559">
        <w:rPr>
          <w:rFonts w:eastAsia="Times New Roman" w:cstheme="minorHAnsi"/>
        </w:rPr>
        <w:t>Štatistiky a zber údajov od roku 2023</w:t>
      </w:r>
    </w:p>
    <w:p w14:paraId="37A7C118" w14:textId="4D49BB77" w:rsidR="009A21FA" w:rsidRPr="00322559" w:rsidRDefault="009A21FA" w:rsidP="00097385">
      <w:pPr>
        <w:pStyle w:val="Odsekzoznamu"/>
        <w:numPr>
          <w:ilvl w:val="1"/>
          <w:numId w:val="13"/>
        </w:numPr>
        <w:spacing w:line="252" w:lineRule="auto"/>
        <w:rPr>
          <w:rFonts w:eastAsia="Times New Roman" w:cstheme="minorHAnsi"/>
        </w:rPr>
      </w:pPr>
      <w:r w:rsidRPr="00322559">
        <w:rPr>
          <w:rFonts w:eastAsia="Times New Roman" w:cstheme="minorHAnsi"/>
        </w:rPr>
        <w:t>Od roku 2023 bude zrejme potrebné štatistiky (vrátane podielu na trhu) postaviť iba na aktualizovanom výkaze S.05.01</w:t>
      </w:r>
      <w:r w:rsidR="00C01A05" w:rsidRPr="00322559">
        <w:rPr>
          <w:rFonts w:eastAsia="Times New Roman" w:cstheme="minorHAnsi"/>
        </w:rPr>
        <w:t>. Aká bude d</w:t>
      </w:r>
      <w:r w:rsidRPr="00322559">
        <w:rPr>
          <w:rFonts w:eastAsia="Times New Roman" w:cstheme="minorHAnsi"/>
        </w:rPr>
        <w:t>ostupnosť podkladov  od členov SLASPO – pobočiek poisťovní iného členského štátu</w:t>
      </w:r>
      <w:r w:rsidR="00C01A05" w:rsidRPr="00322559">
        <w:rPr>
          <w:rFonts w:eastAsia="Times New Roman" w:cstheme="minorHAnsi"/>
        </w:rPr>
        <w:t>?</w:t>
      </w:r>
    </w:p>
    <w:p w14:paraId="39A77CAD" w14:textId="77777777" w:rsidR="009A21FA" w:rsidRPr="00322559" w:rsidRDefault="009A21FA" w:rsidP="009A21FA">
      <w:pPr>
        <w:pStyle w:val="Odsekzoznamu"/>
        <w:numPr>
          <w:ilvl w:val="1"/>
          <w:numId w:val="13"/>
        </w:numPr>
        <w:spacing w:line="252" w:lineRule="auto"/>
        <w:rPr>
          <w:rFonts w:eastAsia="Times New Roman" w:cstheme="minorHAnsi"/>
        </w:rPr>
      </w:pPr>
      <w:r w:rsidRPr="00322559">
        <w:rPr>
          <w:rFonts w:eastAsia="Times New Roman" w:cstheme="minorHAnsi"/>
        </w:rPr>
        <w:t> Zber údajov o štruktúre poistného podľa distribučných kanálov?</w:t>
      </w:r>
    </w:p>
    <w:p w14:paraId="6966D335" w14:textId="77777777" w:rsidR="009A21FA" w:rsidRPr="00322559" w:rsidRDefault="009A21FA" w:rsidP="009A21FA">
      <w:pPr>
        <w:pStyle w:val="Odsekzoznamu"/>
        <w:numPr>
          <w:ilvl w:val="0"/>
          <w:numId w:val="11"/>
        </w:numPr>
        <w:spacing w:line="252" w:lineRule="auto"/>
        <w:rPr>
          <w:rFonts w:eastAsia="Times New Roman" w:cstheme="minorHAnsi"/>
        </w:rPr>
      </w:pPr>
      <w:r w:rsidRPr="00322559">
        <w:rPr>
          <w:rFonts w:eastAsia="Times New Roman" w:cstheme="minorHAnsi"/>
        </w:rPr>
        <w:t>Aktuálny vývoj ohľadom návrhu zákona o faktúre a zasielaní údajov do systému e-faktúra</w:t>
      </w:r>
    </w:p>
    <w:p w14:paraId="28C19AB5" w14:textId="77777777" w:rsidR="009A21FA" w:rsidRPr="00322559" w:rsidRDefault="009A21FA" w:rsidP="009A21FA">
      <w:pPr>
        <w:pStyle w:val="Odsekzoznamu"/>
        <w:numPr>
          <w:ilvl w:val="0"/>
          <w:numId w:val="11"/>
        </w:numPr>
        <w:spacing w:line="252" w:lineRule="auto"/>
        <w:rPr>
          <w:rFonts w:eastAsia="Times New Roman" w:cstheme="minorHAnsi"/>
        </w:rPr>
      </w:pPr>
      <w:r w:rsidRPr="00322559">
        <w:rPr>
          <w:rFonts w:eastAsia="Times New Roman" w:cstheme="minorHAnsi"/>
        </w:rPr>
        <w:t xml:space="preserve">Rôzne </w:t>
      </w:r>
    </w:p>
    <w:p w14:paraId="2658CE4C" w14:textId="62A3C1C3" w:rsidR="009A21FA" w:rsidRPr="00322559" w:rsidRDefault="009A21FA" w:rsidP="009A21FA">
      <w:pPr>
        <w:pStyle w:val="Odsekzoznamu"/>
        <w:numPr>
          <w:ilvl w:val="1"/>
          <w:numId w:val="12"/>
        </w:numPr>
        <w:spacing w:line="252" w:lineRule="auto"/>
        <w:rPr>
          <w:rFonts w:eastAsia="Times New Roman" w:cstheme="minorHAnsi"/>
        </w:rPr>
      </w:pPr>
      <w:r w:rsidRPr="00322559">
        <w:rPr>
          <w:rFonts w:eastAsia="Times New Roman" w:cstheme="minorHAnsi"/>
        </w:rPr>
        <w:t> Index daňovej spoľahlivosti – informácie od členov SLASPO o prípadných problémoch</w:t>
      </w:r>
    </w:p>
    <w:p w14:paraId="3F4D3167" w14:textId="7F113654" w:rsidR="009A21FA" w:rsidRPr="00322559" w:rsidRDefault="009A21FA" w:rsidP="009A21FA">
      <w:pPr>
        <w:pStyle w:val="Odsekzoznamu"/>
        <w:numPr>
          <w:ilvl w:val="1"/>
          <w:numId w:val="12"/>
        </w:numPr>
        <w:spacing w:line="252" w:lineRule="auto"/>
        <w:rPr>
          <w:rFonts w:eastAsia="Times New Roman" w:cstheme="minorHAnsi"/>
        </w:rPr>
      </w:pPr>
      <w:r w:rsidRPr="00322559">
        <w:rPr>
          <w:rFonts w:eastAsia="Times New Roman" w:cstheme="minorHAnsi"/>
        </w:rPr>
        <w:t xml:space="preserve"> Účasť </w:t>
      </w:r>
      <w:proofErr w:type="spellStart"/>
      <w:r w:rsidRPr="00322559">
        <w:rPr>
          <w:rFonts w:eastAsia="Times New Roman" w:cstheme="minorHAnsi"/>
        </w:rPr>
        <w:t>auditorských</w:t>
      </w:r>
      <w:proofErr w:type="spellEnd"/>
      <w:r w:rsidRPr="00322559">
        <w:rPr>
          <w:rFonts w:eastAsia="Times New Roman" w:cstheme="minorHAnsi"/>
        </w:rPr>
        <w:t xml:space="preserve"> spoločností na stretnutiach Ekonomickej sekcie</w:t>
      </w:r>
    </w:p>
    <w:p w14:paraId="525E42CE" w14:textId="0DCF40A2" w:rsidR="00553353" w:rsidRPr="00322559" w:rsidRDefault="00553353" w:rsidP="009A21FA">
      <w:pPr>
        <w:pStyle w:val="Odsekzoznamu"/>
        <w:numPr>
          <w:ilvl w:val="1"/>
          <w:numId w:val="12"/>
        </w:numPr>
        <w:spacing w:line="252" w:lineRule="auto"/>
        <w:rPr>
          <w:rFonts w:eastAsia="Times New Roman" w:cstheme="minorHAnsi"/>
        </w:rPr>
      </w:pPr>
      <w:bookmarkStart w:id="0" w:name="_Hlk100562390"/>
      <w:r w:rsidRPr="00322559">
        <w:rPr>
          <w:rFonts w:eastAsia="Times New Roman" w:cstheme="minorHAnsi"/>
        </w:rPr>
        <w:t>Metodické usmernenie MV SR č. SVS-OAR1-2022/016340 k uchovávaniu a vyraďovaniu účtovných záznamov</w:t>
      </w:r>
      <w:bookmarkEnd w:id="0"/>
    </w:p>
    <w:p w14:paraId="46E692A6" w14:textId="77777777" w:rsidR="006050A2" w:rsidRPr="00322559" w:rsidRDefault="006050A2" w:rsidP="00BB4EEA">
      <w:pPr>
        <w:pStyle w:val="Odsekzoznamu"/>
        <w:jc w:val="both"/>
        <w:rPr>
          <w:rFonts w:cstheme="minorHAnsi"/>
          <w:b/>
        </w:rPr>
      </w:pPr>
    </w:p>
    <w:p w14:paraId="656C0325" w14:textId="77777777" w:rsidR="00164B67" w:rsidRPr="00322559" w:rsidRDefault="00164B67" w:rsidP="00BB4EEA">
      <w:pPr>
        <w:pStyle w:val="Odsekzoznamu"/>
        <w:ind w:left="0"/>
        <w:jc w:val="both"/>
        <w:rPr>
          <w:rFonts w:cstheme="minorHAnsi"/>
        </w:rPr>
      </w:pPr>
    </w:p>
    <w:p w14:paraId="7BC18B1D" w14:textId="1F31B5E3" w:rsidR="006050A2" w:rsidRPr="00322559" w:rsidRDefault="00D11BDD" w:rsidP="00BB4EEA">
      <w:pPr>
        <w:pStyle w:val="Odsekzoznamu"/>
        <w:ind w:left="0"/>
        <w:jc w:val="both"/>
        <w:rPr>
          <w:rFonts w:cstheme="minorHAnsi"/>
          <w:b/>
        </w:rPr>
      </w:pPr>
      <w:r w:rsidRPr="00322559">
        <w:rPr>
          <w:rFonts w:cstheme="minorHAnsi"/>
          <w:b/>
        </w:rPr>
        <w:t xml:space="preserve">K bodu </w:t>
      </w:r>
      <w:r w:rsidR="00BA79B4" w:rsidRPr="00322559">
        <w:rPr>
          <w:rFonts w:cstheme="minorHAnsi"/>
          <w:b/>
        </w:rPr>
        <w:t>1</w:t>
      </w:r>
    </w:p>
    <w:p w14:paraId="511B7DA9" w14:textId="6AFA558D" w:rsidR="000150DE" w:rsidRPr="00322559" w:rsidRDefault="00913F71" w:rsidP="00744709">
      <w:pPr>
        <w:pStyle w:val="Odsekzoznamu"/>
        <w:spacing w:after="0" w:line="240" w:lineRule="auto"/>
        <w:ind w:left="0"/>
        <w:jc w:val="both"/>
        <w:rPr>
          <w:rFonts w:cstheme="minorHAnsi"/>
          <w:bCs/>
        </w:rPr>
      </w:pPr>
      <w:r w:rsidRPr="00322559">
        <w:rPr>
          <w:rFonts w:cstheme="minorHAnsi"/>
          <w:bCs/>
        </w:rPr>
        <w:t xml:space="preserve">P. </w:t>
      </w:r>
      <w:proofErr w:type="spellStart"/>
      <w:r w:rsidRPr="00322559">
        <w:rPr>
          <w:rFonts w:cstheme="minorHAnsi"/>
          <w:bCs/>
        </w:rPr>
        <w:t>Bachniček</w:t>
      </w:r>
      <w:proofErr w:type="spellEnd"/>
      <w:r w:rsidRPr="00322559">
        <w:rPr>
          <w:rFonts w:cstheme="minorHAnsi"/>
          <w:bCs/>
        </w:rPr>
        <w:t xml:space="preserve"> </w:t>
      </w:r>
      <w:r w:rsidR="008D11D0" w:rsidRPr="00322559">
        <w:rPr>
          <w:rFonts w:cstheme="minorHAnsi"/>
          <w:bCs/>
        </w:rPr>
        <w:t>uviedol,</w:t>
      </w:r>
      <w:r w:rsidRPr="00322559">
        <w:rPr>
          <w:rFonts w:cstheme="minorHAnsi"/>
          <w:bCs/>
        </w:rPr>
        <w:t xml:space="preserve"> že všetky relevantné informácie SLASPO pre zverejňuje na svojej stránke.</w:t>
      </w:r>
    </w:p>
    <w:p w14:paraId="7E51B674" w14:textId="4683890F" w:rsidR="008D003E" w:rsidRPr="00322559" w:rsidRDefault="00322559" w:rsidP="00744709">
      <w:pPr>
        <w:pStyle w:val="Odsekzoznamu"/>
        <w:spacing w:after="0" w:line="240" w:lineRule="auto"/>
        <w:ind w:left="0"/>
        <w:jc w:val="both"/>
        <w:rPr>
          <w:rStyle w:val="Vrazn"/>
          <w:rFonts w:cstheme="minorHAnsi"/>
          <w:b w:val="0"/>
          <w:bCs w:val="0"/>
          <w:color w:val="000000"/>
        </w:rPr>
      </w:pPr>
      <w:hyperlink r:id="rId7" w:history="1">
        <w:r w:rsidR="000150DE" w:rsidRPr="00322559">
          <w:rPr>
            <w:rStyle w:val="Vrazn"/>
            <w:rFonts w:cstheme="minorHAnsi"/>
            <w:color w:val="3D57A7"/>
            <w:u w:val="single"/>
          </w:rPr>
          <w:t>IFRS 17 a dane</w:t>
        </w:r>
      </w:hyperlink>
      <w:r w:rsidR="00913F71" w:rsidRPr="00322559">
        <w:rPr>
          <w:rStyle w:val="Vrazn"/>
          <w:rFonts w:cstheme="minorHAnsi"/>
          <w:color w:val="000000"/>
        </w:rPr>
        <w:t xml:space="preserve"> . </w:t>
      </w:r>
      <w:r w:rsidR="00913F71" w:rsidRPr="00322559">
        <w:rPr>
          <w:rStyle w:val="Vrazn"/>
          <w:rFonts w:cstheme="minorHAnsi"/>
          <w:b w:val="0"/>
          <w:bCs w:val="0"/>
          <w:color w:val="000000"/>
        </w:rPr>
        <w:t xml:space="preserve">Na konzultáciách k novele zákona o dani z príjmov P. </w:t>
      </w:r>
      <w:proofErr w:type="spellStart"/>
      <w:r w:rsidR="00913F71" w:rsidRPr="00322559">
        <w:rPr>
          <w:rStyle w:val="Vrazn"/>
          <w:rFonts w:cstheme="minorHAnsi"/>
          <w:b w:val="0"/>
          <w:bCs w:val="0"/>
          <w:color w:val="000000"/>
        </w:rPr>
        <w:t>Adame</w:t>
      </w:r>
      <w:proofErr w:type="spellEnd"/>
      <w:r w:rsidR="00913F71" w:rsidRPr="00322559">
        <w:rPr>
          <w:rStyle w:val="Vrazn"/>
          <w:rFonts w:cstheme="minorHAnsi"/>
          <w:b w:val="0"/>
          <w:bCs w:val="0"/>
          <w:color w:val="000000"/>
        </w:rPr>
        <w:t>, riaditeľka odboru priamych daní na MF SR, povedala, že chápe potrebu zapracovania riešenia daňových aspektov implementácie IFRS 17 a IFRS 9 do najbližšej novely zákona a bude to takto prezentovať aj vedeniu ministerstva. Zároveň potvrdila, že pracovníci odboru priamych daní budú pokračovať v komunikácií so SLASPO pri riešení tejto problematiky aj nad rámec oficiálneho legislatívneho procesu.</w:t>
      </w:r>
      <w:r w:rsidR="00744709" w:rsidRPr="00322559">
        <w:rPr>
          <w:rStyle w:val="Vrazn"/>
          <w:rFonts w:cstheme="minorHAnsi"/>
          <w:b w:val="0"/>
          <w:bCs w:val="0"/>
          <w:color w:val="000000"/>
        </w:rPr>
        <w:t xml:space="preserve"> </w:t>
      </w:r>
      <w:r w:rsidR="00D325C5" w:rsidRPr="00322559">
        <w:rPr>
          <w:rStyle w:val="Vrazn"/>
          <w:rFonts w:cstheme="minorHAnsi"/>
          <w:b w:val="0"/>
          <w:bCs w:val="0"/>
          <w:color w:val="000000"/>
        </w:rPr>
        <w:t>Na podnet MF SR bolo d</w:t>
      </w:r>
      <w:r w:rsidR="00744709" w:rsidRPr="00322559">
        <w:rPr>
          <w:rStyle w:val="Vrazn"/>
          <w:rFonts w:cstheme="minorHAnsi"/>
          <w:b w:val="0"/>
          <w:bCs w:val="0"/>
          <w:color w:val="000000"/>
        </w:rPr>
        <w:t xml:space="preserve">ňa 12.4.2022 </w:t>
      </w:r>
      <w:r w:rsidR="00D325C5" w:rsidRPr="00322559">
        <w:rPr>
          <w:rStyle w:val="Vrazn"/>
          <w:rFonts w:cstheme="minorHAnsi"/>
          <w:b w:val="0"/>
          <w:bCs w:val="0"/>
          <w:color w:val="000000"/>
        </w:rPr>
        <w:t xml:space="preserve">na rýchlo zvolané on-line stretnutie zástupcova SLASPO a MF SR, na ktorom p. </w:t>
      </w:r>
      <w:proofErr w:type="spellStart"/>
      <w:r w:rsidR="00D325C5" w:rsidRPr="00322559">
        <w:rPr>
          <w:rStyle w:val="Vrazn"/>
          <w:rFonts w:cstheme="minorHAnsi"/>
          <w:b w:val="0"/>
          <w:bCs w:val="0"/>
          <w:color w:val="000000"/>
        </w:rPr>
        <w:t>Horniaček</w:t>
      </w:r>
      <w:proofErr w:type="spellEnd"/>
      <w:r w:rsidR="00D325C5" w:rsidRPr="00322559">
        <w:rPr>
          <w:rStyle w:val="Vrazn"/>
          <w:rFonts w:cstheme="minorHAnsi"/>
          <w:b w:val="0"/>
          <w:bCs w:val="0"/>
          <w:color w:val="000000"/>
        </w:rPr>
        <w:t xml:space="preserve"> (MF SR) zopakoval, že pripomienka SLASPO o zapracovaní dopadov IFRS 17 bude vedeniu ministerstva prezentovaná ako opodstatnená. </w:t>
      </w:r>
      <w:r w:rsidR="008D003E" w:rsidRPr="00322559">
        <w:rPr>
          <w:rStyle w:val="Vrazn"/>
          <w:rFonts w:cstheme="minorHAnsi"/>
          <w:b w:val="0"/>
          <w:bCs w:val="0"/>
          <w:color w:val="000000"/>
        </w:rPr>
        <w:t>K vypusteniu ods.</w:t>
      </w:r>
      <w:r w:rsidR="008D003E" w:rsidRPr="00322559">
        <w:rPr>
          <w:rStyle w:val="Vrazn"/>
          <w:rFonts w:cstheme="minorHAnsi"/>
          <w:b w:val="0"/>
          <w:bCs w:val="0"/>
          <w:color w:val="000000"/>
          <w:lang w:val="en-US"/>
        </w:rPr>
        <w:t>8</w:t>
      </w:r>
      <w:r w:rsidR="008D003E" w:rsidRPr="00322559">
        <w:rPr>
          <w:rStyle w:val="Vrazn"/>
          <w:rFonts w:cstheme="minorHAnsi"/>
          <w:b w:val="0"/>
          <w:bCs w:val="0"/>
          <w:color w:val="000000"/>
        </w:rPr>
        <w:t xml:space="preserve"> z §20 zákona o dani z príjmov bolo dohodnuté, že z pohľadu poisťovní je možné tento odsek vypustiť, na ministerstve ale ešte musia preveriť, či ho nebude potrebné v nejakej podobe ponechať pre SKP a Eximbanku. Zatiaľ nie je jasné, či bude potrebné v súvislosti jednorazovým dopadom </w:t>
      </w:r>
      <w:r w:rsidR="00EF0324" w:rsidRPr="00322559">
        <w:rPr>
          <w:rStyle w:val="Vrazn"/>
          <w:rFonts w:cstheme="minorHAnsi"/>
          <w:b w:val="0"/>
          <w:bCs w:val="0"/>
          <w:color w:val="000000"/>
        </w:rPr>
        <w:t xml:space="preserve">pri </w:t>
      </w:r>
      <w:r w:rsidR="008D003E" w:rsidRPr="00322559">
        <w:rPr>
          <w:rStyle w:val="Vrazn"/>
          <w:rFonts w:cstheme="minorHAnsi"/>
          <w:b w:val="0"/>
          <w:bCs w:val="0"/>
          <w:color w:val="000000"/>
        </w:rPr>
        <w:t>prechod</w:t>
      </w:r>
      <w:r w:rsidR="00EF0324" w:rsidRPr="00322559">
        <w:rPr>
          <w:rStyle w:val="Vrazn"/>
          <w:rFonts w:cstheme="minorHAnsi"/>
          <w:b w:val="0"/>
          <w:bCs w:val="0"/>
          <w:color w:val="000000"/>
        </w:rPr>
        <w:t>e</w:t>
      </w:r>
      <w:r w:rsidR="008D003E" w:rsidRPr="00322559">
        <w:rPr>
          <w:rStyle w:val="Vrazn"/>
          <w:rFonts w:cstheme="minorHAnsi"/>
          <w:b w:val="0"/>
          <w:bCs w:val="0"/>
          <w:color w:val="000000"/>
        </w:rPr>
        <w:t xml:space="preserve"> poisťovní na IFRS 17 a IFRS 9</w:t>
      </w:r>
      <w:r w:rsidR="00EF0324" w:rsidRPr="00322559">
        <w:rPr>
          <w:rStyle w:val="Vrazn"/>
          <w:rFonts w:cstheme="minorHAnsi"/>
          <w:b w:val="0"/>
          <w:bCs w:val="0"/>
          <w:color w:val="000000"/>
        </w:rPr>
        <w:t xml:space="preserve"> špeciálne prechodné ustanovenie. K rozhodnutiu v tejto veci by MF SR potrebovalo mať číselné odhady aspoň za časť trhu hneď a za väčšinu trhu najneskôr do prvej polovice mája.</w:t>
      </w:r>
    </w:p>
    <w:p w14:paraId="0B10D9D5" w14:textId="2081708F" w:rsidR="00913F71" w:rsidRPr="00322559" w:rsidRDefault="00913F71" w:rsidP="00744709">
      <w:pPr>
        <w:pStyle w:val="Odsekzoznamu"/>
        <w:spacing w:after="0" w:line="240" w:lineRule="auto"/>
        <w:ind w:left="0"/>
        <w:jc w:val="both"/>
        <w:rPr>
          <w:rStyle w:val="Vrazn"/>
          <w:rFonts w:cstheme="minorHAnsi"/>
          <w:b w:val="0"/>
          <w:bCs w:val="0"/>
          <w:color w:val="FF0000"/>
        </w:rPr>
      </w:pPr>
    </w:p>
    <w:p w14:paraId="435DA9EA" w14:textId="77777777" w:rsidR="00BD1D31" w:rsidRPr="00322559" w:rsidRDefault="00913F71" w:rsidP="00744709">
      <w:pPr>
        <w:pStyle w:val="Odsekzoznamu"/>
        <w:spacing w:after="0" w:line="240" w:lineRule="auto"/>
        <w:ind w:left="0"/>
        <w:jc w:val="both"/>
        <w:rPr>
          <w:rFonts w:cstheme="minorHAnsi"/>
          <w:b/>
        </w:rPr>
      </w:pPr>
      <w:r w:rsidRPr="00322559">
        <w:rPr>
          <w:rFonts w:cstheme="minorHAnsi"/>
          <w:b/>
        </w:rPr>
        <w:t>K bodu 2</w:t>
      </w:r>
    </w:p>
    <w:p w14:paraId="424AA023" w14:textId="6E36AE3A" w:rsidR="00BD1D31" w:rsidRPr="00322559" w:rsidRDefault="00BD1D31" w:rsidP="00744709">
      <w:pPr>
        <w:pStyle w:val="Odsekzoznamu"/>
        <w:spacing w:after="0" w:line="240" w:lineRule="auto"/>
        <w:ind w:left="0"/>
        <w:jc w:val="both"/>
        <w:rPr>
          <w:rFonts w:eastAsia="Times New Roman" w:cstheme="minorHAnsi"/>
        </w:rPr>
      </w:pPr>
      <w:r w:rsidRPr="00322559">
        <w:rPr>
          <w:rFonts w:cstheme="minorHAnsi"/>
        </w:rPr>
        <w:t>Prvé podklady k vyčísleniu dopadu</w:t>
      </w:r>
      <w:r w:rsidRPr="00322559">
        <w:rPr>
          <w:rFonts w:eastAsia="Times New Roman" w:cstheme="minorHAnsi"/>
        </w:rPr>
        <w:t xml:space="preserve"> prechodu na  IFRS 17 a IFRS 9 dodali v závere roka 2021 iba 4 spoločnosti reprezentujúce niečo vyše 40</w:t>
      </w:r>
      <w:r w:rsidRPr="00322559">
        <w:rPr>
          <w:rFonts w:eastAsia="Times New Roman" w:cstheme="minorHAnsi"/>
          <w:lang w:val="en-US"/>
        </w:rPr>
        <w:t xml:space="preserve">% </w:t>
      </w:r>
      <w:proofErr w:type="spellStart"/>
      <w:r w:rsidRPr="00322559">
        <w:rPr>
          <w:rFonts w:eastAsia="Times New Roman" w:cstheme="minorHAnsi"/>
          <w:lang w:val="en-US"/>
        </w:rPr>
        <w:t>trhu</w:t>
      </w:r>
      <w:proofErr w:type="spellEnd"/>
      <w:r w:rsidRPr="00322559">
        <w:rPr>
          <w:rFonts w:eastAsia="Times New Roman" w:cstheme="minorHAnsi"/>
          <w:lang w:val="en-US"/>
        </w:rPr>
        <w:t xml:space="preserve">.  </w:t>
      </w:r>
      <w:proofErr w:type="spellStart"/>
      <w:r w:rsidRPr="00322559">
        <w:rPr>
          <w:rFonts w:eastAsia="Times New Roman" w:cstheme="minorHAnsi"/>
          <w:lang w:val="en-US"/>
        </w:rPr>
        <w:t>Vzh</w:t>
      </w:r>
      <w:proofErr w:type="spellEnd"/>
      <w:r w:rsidRPr="00322559">
        <w:rPr>
          <w:rFonts w:eastAsia="Times New Roman" w:cstheme="minorHAnsi"/>
        </w:rPr>
        <w:t>ľadom na pomerne malú vzorku a neistotu ohľadom toho, ako sa môžu prvé odhady líšiť od definitívnych údajov, SLASPO zaslala na MF SR iba stručnú informáciu:</w:t>
      </w:r>
    </w:p>
    <w:p w14:paraId="42C6DE6E" w14:textId="77777777" w:rsidR="007924C3" w:rsidRPr="00322559" w:rsidRDefault="007924C3" w:rsidP="00744709">
      <w:pPr>
        <w:pStyle w:val="Odsekzoznamu"/>
        <w:spacing w:after="0" w:line="240" w:lineRule="auto"/>
        <w:ind w:left="0"/>
        <w:jc w:val="both"/>
        <w:rPr>
          <w:rFonts w:eastAsia="Times New Roman" w:cstheme="minorHAnsi"/>
        </w:rPr>
      </w:pPr>
    </w:p>
    <w:p w14:paraId="14C84028" w14:textId="77777777" w:rsidR="007924C3" w:rsidRPr="00322559" w:rsidRDefault="007924C3" w:rsidP="00744709">
      <w:pPr>
        <w:pStyle w:val="Odsekzoznamu"/>
        <w:spacing w:after="0" w:line="240" w:lineRule="auto"/>
        <w:ind w:left="0"/>
        <w:jc w:val="both"/>
        <w:rPr>
          <w:rFonts w:cstheme="minorHAnsi"/>
          <w:bCs/>
          <w:i/>
          <w:iCs/>
        </w:rPr>
      </w:pPr>
      <w:r w:rsidRPr="00322559">
        <w:rPr>
          <w:rFonts w:cstheme="minorHAnsi"/>
          <w:bCs/>
          <w:i/>
          <w:iCs/>
        </w:rPr>
        <w:t xml:space="preserve">Dostali sme prvé odhady dopadov prechodu na IFRS 17 a IFRS 9 od 4 spoločností reprezentujúcich viac než 40% poistného trhu. Upozorňujem, že ide o len prvé odhady, predpoklady, na základe ktorých sa k </w:t>
      </w:r>
      <w:r w:rsidRPr="00322559">
        <w:rPr>
          <w:rFonts w:cstheme="minorHAnsi"/>
          <w:bCs/>
          <w:i/>
          <w:iCs/>
        </w:rPr>
        <w:lastRenderedPageBreak/>
        <w:t>výsledkom dospelo, sa ešte môžu v priebehu roku 20222 modifikovať, čo môže mať vplyv na konečné čísla. Napriek tomu na základe týchto odhadov môžeme uviesť nasledovné skutočnosti:</w:t>
      </w:r>
    </w:p>
    <w:p w14:paraId="61520CD4" w14:textId="77777777" w:rsidR="007924C3" w:rsidRPr="00322559" w:rsidRDefault="007924C3" w:rsidP="00744709">
      <w:pPr>
        <w:pStyle w:val="Odsekzoznamu"/>
        <w:spacing w:after="0" w:line="240" w:lineRule="auto"/>
        <w:ind w:left="0"/>
        <w:jc w:val="both"/>
        <w:rPr>
          <w:rFonts w:cstheme="minorHAnsi"/>
          <w:bCs/>
          <w:i/>
          <w:iCs/>
        </w:rPr>
      </w:pPr>
    </w:p>
    <w:p w14:paraId="23C31A1A" w14:textId="3386E19C" w:rsidR="007924C3" w:rsidRPr="00322559" w:rsidRDefault="007924C3" w:rsidP="00744709">
      <w:pPr>
        <w:pStyle w:val="Odsekzoznamu"/>
        <w:spacing w:after="0" w:line="240" w:lineRule="auto"/>
        <w:ind w:left="0"/>
        <w:jc w:val="both"/>
        <w:rPr>
          <w:rFonts w:cstheme="minorHAnsi"/>
          <w:bCs/>
          <w:i/>
          <w:iCs/>
        </w:rPr>
      </w:pPr>
      <w:r w:rsidRPr="00322559">
        <w:rPr>
          <w:rFonts w:cstheme="minorHAnsi"/>
          <w:bCs/>
          <w:i/>
          <w:iCs/>
        </w:rPr>
        <w:t xml:space="preserve">1. Výška záväzkov z poistných zmlúv po implementovaní IFRS 17 k 1.1.2023 bude takmer určite nižšia než hodnota rezerv na poistné zmluvy podľa IFRS 4 k 31.12.2022 . Podľa odhadov za poisťovne, ktoré dodali dáta, bola výška rezerv podľa IFRS 4 v hodnote 2,9 mld.  Eur (z toho IBNR 146 mil. EUR) a odhadovaná výška záväzkov z poistných zmlúv podľa IFRS 17 by mala byť 2,4 mld. Eur. </w:t>
      </w:r>
    </w:p>
    <w:p w14:paraId="27350D97" w14:textId="3CAD5382" w:rsidR="00BD1D31" w:rsidRPr="00322559" w:rsidRDefault="007924C3" w:rsidP="00744709">
      <w:pPr>
        <w:pStyle w:val="Odsekzoznamu"/>
        <w:spacing w:after="0" w:line="240" w:lineRule="auto"/>
        <w:ind w:left="0"/>
        <w:jc w:val="both"/>
        <w:rPr>
          <w:rFonts w:cstheme="minorHAnsi"/>
          <w:bCs/>
          <w:i/>
          <w:iCs/>
        </w:rPr>
      </w:pPr>
      <w:r w:rsidRPr="00322559">
        <w:rPr>
          <w:rFonts w:cstheme="minorHAnsi"/>
          <w:bCs/>
          <w:i/>
          <w:iCs/>
        </w:rPr>
        <w:t>2. Dopad prechodu na IFRS 17 a IFRS 9 sa môže v jednotlivých spoločnostiach líšiť (v niektorých môže vlastné imanie vzrásť, v iných klesnúť).</w:t>
      </w:r>
    </w:p>
    <w:p w14:paraId="20C7EFEC" w14:textId="034AFEE4" w:rsidR="00913F71" w:rsidRPr="00322559" w:rsidRDefault="002A76E7" w:rsidP="00744709">
      <w:pPr>
        <w:pStyle w:val="Odsekzoznamu"/>
        <w:spacing w:after="0" w:line="240" w:lineRule="auto"/>
        <w:ind w:left="0"/>
        <w:jc w:val="both"/>
        <w:rPr>
          <w:rFonts w:cstheme="minorHAnsi"/>
          <w:bCs/>
        </w:rPr>
      </w:pPr>
      <w:r w:rsidRPr="00322559">
        <w:rPr>
          <w:rFonts w:cstheme="minorHAnsi"/>
          <w:bCs/>
        </w:rPr>
        <w:t xml:space="preserve">Podľa vyjadrení z minulého roka by už takmer všetci členovia SLASPO mali mať pripravené odhady dopadu prechodu na IFRS 17 a IFRS 9 v priebehu 2.štvrťroka 2022. Nevyjadrili sa iba zástupcovia </w:t>
      </w:r>
      <w:proofErr w:type="spellStart"/>
      <w:r w:rsidRPr="00322559">
        <w:rPr>
          <w:rFonts w:cstheme="minorHAnsi"/>
          <w:bCs/>
        </w:rPr>
        <w:t>Metlife</w:t>
      </w:r>
      <w:proofErr w:type="spellEnd"/>
      <w:r w:rsidRPr="00322559">
        <w:rPr>
          <w:rFonts w:cstheme="minorHAnsi"/>
          <w:bCs/>
        </w:rPr>
        <w:t xml:space="preserve"> a </w:t>
      </w:r>
      <w:proofErr w:type="spellStart"/>
      <w:r w:rsidRPr="00322559">
        <w:rPr>
          <w:rFonts w:cstheme="minorHAnsi"/>
          <w:bCs/>
        </w:rPr>
        <w:t>Groupama</w:t>
      </w:r>
      <w:proofErr w:type="spellEnd"/>
      <w:r w:rsidRPr="00322559">
        <w:rPr>
          <w:rFonts w:cstheme="minorHAnsi"/>
          <w:bCs/>
        </w:rPr>
        <w:t>.</w:t>
      </w:r>
    </w:p>
    <w:p w14:paraId="6F2111A5" w14:textId="62AED636" w:rsidR="002A76E7" w:rsidRPr="00322559" w:rsidRDefault="002A76E7" w:rsidP="00744709">
      <w:pPr>
        <w:pStyle w:val="Odsekzoznamu"/>
        <w:spacing w:after="0" w:line="240" w:lineRule="auto"/>
        <w:ind w:left="0"/>
        <w:jc w:val="both"/>
        <w:rPr>
          <w:rFonts w:cstheme="minorHAnsi"/>
          <w:bCs/>
        </w:rPr>
      </w:pPr>
    </w:p>
    <w:p w14:paraId="03236D02" w14:textId="74D085E0" w:rsidR="009D0DCE" w:rsidRPr="00322559" w:rsidRDefault="009D0DCE" w:rsidP="00744709">
      <w:pPr>
        <w:pStyle w:val="Odsekzoznamu"/>
        <w:spacing w:after="0" w:line="240" w:lineRule="auto"/>
        <w:ind w:left="0"/>
        <w:jc w:val="both"/>
        <w:rPr>
          <w:rFonts w:cstheme="minorHAnsi"/>
          <w:bCs/>
        </w:rPr>
      </w:pPr>
      <w:r w:rsidRPr="00322559">
        <w:rPr>
          <w:rFonts w:cstheme="minorHAnsi"/>
          <w:bCs/>
        </w:rPr>
        <w:t xml:space="preserve">SLASPO bude opäť zbierať údaje v štruktúre </w:t>
      </w:r>
    </w:p>
    <w:p w14:paraId="7EACDE87" w14:textId="3EA10DF8" w:rsidR="009D0DCE" w:rsidRPr="00322559" w:rsidRDefault="009D0DCE" w:rsidP="00744709">
      <w:pPr>
        <w:pStyle w:val="Odsekzoznamu"/>
        <w:spacing w:after="0" w:line="240" w:lineRule="auto"/>
        <w:ind w:left="0"/>
        <w:jc w:val="both"/>
        <w:rPr>
          <w:rFonts w:cstheme="minorHAnsi"/>
          <w:bCs/>
        </w:rPr>
      </w:pPr>
      <w:r w:rsidRPr="00322559">
        <w:rPr>
          <w:rFonts w:cstheme="minorHAnsi"/>
          <w:bCs/>
        </w:rPr>
        <w:object w:dxaOrig="1540" w:dyaOrig="996" w14:anchorId="0FC2C8E1">
          <v:shape id="_x0000_i1026" type="#_x0000_t75" style="width:77pt;height:49.5pt" o:ole="">
            <v:imagedata r:id="rId8" o:title=""/>
          </v:shape>
          <o:OLEObject Type="Embed" ProgID="Excel.Sheet.12" ShapeID="_x0000_i1026" DrawAspect="Icon" ObjectID="_1711871568" r:id="rId9"/>
        </w:object>
      </w:r>
    </w:p>
    <w:p w14:paraId="43A1BFB5" w14:textId="776154A1" w:rsidR="009D0DCE" w:rsidRPr="00322559" w:rsidRDefault="000679BC" w:rsidP="00744709">
      <w:pPr>
        <w:pStyle w:val="Odsekzoznamu"/>
        <w:spacing w:after="0" w:line="240" w:lineRule="auto"/>
        <w:ind w:left="0"/>
        <w:jc w:val="both"/>
        <w:rPr>
          <w:rFonts w:cstheme="minorHAnsi"/>
          <w:bCs/>
        </w:rPr>
      </w:pPr>
      <w:r w:rsidRPr="00322559">
        <w:rPr>
          <w:rFonts w:cstheme="minorHAnsi"/>
          <w:bCs/>
        </w:rPr>
        <w:t>Podľa vyjadrení členov Ekonomickej sekcie na porade by dostupnosť údajov by mala byť nasledovná:</w:t>
      </w:r>
    </w:p>
    <w:tbl>
      <w:tblPr>
        <w:tblW w:w="5800" w:type="dxa"/>
        <w:tblCellMar>
          <w:left w:w="70" w:type="dxa"/>
          <w:right w:w="70" w:type="dxa"/>
        </w:tblCellMar>
        <w:tblLook w:val="04A0" w:firstRow="1" w:lastRow="0" w:firstColumn="1" w:lastColumn="0" w:noHBand="0" w:noVBand="1"/>
      </w:tblPr>
      <w:tblGrid>
        <w:gridCol w:w="3800"/>
        <w:gridCol w:w="2000"/>
      </w:tblGrid>
      <w:tr w:rsidR="005F3C65" w:rsidRPr="00322559" w14:paraId="36BA88A2" w14:textId="77777777" w:rsidTr="005F3C65">
        <w:trPr>
          <w:trHeight w:val="290"/>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A318" w14:textId="77777777" w:rsidR="005F3C65" w:rsidRPr="00322559" w:rsidRDefault="005F3C65" w:rsidP="005F3C65">
            <w:pPr>
              <w:spacing w:after="0" w:line="240" w:lineRule="auto"/>
              <w:rPr>
                <w:rFonts w:eastAsia="Times New Roman" w:cstheme="minorHAnsi"/>
                <w:b/>
                <w:bCs/>
                <w:color w:val="000000"/>
                <w:lang w:eastAsia="sk-SK"/>
              </w:rPr>
            </w:pPr>
            <w:r w:rsidRPr="00322559">
              <w:rPr>
                <w:rFonts w:eastAsia="Times New Roman" w:cstheme="minorHAnsi"/>
                <w:b/>
                <w:bCs/>
                <w:color w:val="000000"/>
                <w:lang w:eastAsia="sk-SK"/>
              </w:rPr>
              <w:t>Spoločnosť</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736A73C" w14:textId="77777777" w:rsidR="005F3C65" w:rsidRPr="00322559" w:rsidRDefault="005F3C65" w:rsidP="005F3C65">
            <w:pPr>
              <w:spacing w:after="0" w:line="240" w:lineRule="auto"/>
              <w:jc w:val="center"/>
              <w:rPr>
                <w:rFonts w:eastAsia="Times New Roman" w:cstheme="minorHAnsi"/>
                <w:b/>
                <w:bCs/>
                <w:color w:val="000000"/>
                <w:lang w:eastAsia="sk-SK"/>
              </w:rPr>
            </w:pPr>
            <w:r w:rsidRPr="00322559">
              <w:rPr>
                <w:rFonts w:eastAsia="Times New Roman" w:cstheme="minorHAnsi"/>
                <w:b/>
                <w:bCs/>
                <w:color w:val="000000"/>
                <w:lang w:eastAsia="sk-SK"/>
              </w:rPr>
              <w:t>Dodanie odhadov</w:t>
            </w:r>
          </w:p>
        </w:tc>
      </w:tr>
      <w:tr w:rsidR="005F3C65" w:rsidRPr="00322559" w14:paraId="76133101" w14:textId="77777777" w:rsidTr="005F3C6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D186E8B"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Allianz - Slovenská poisťovňa, a. s.</w:t>
            </w:r>
          </w:p>
        </w:tc>
        <w:tc>
          <w:tcPr>
            <w:tcW w:w="2000" w:type="dxa"/>
            <w:tcBorders>
              <w:top w:val="nil"/>
              <w:left w:val="nil"/>
              <w:bottom w:val="single" w:sz="4" w:space="0" w:color="auto"/>
              <w:right w:val="single" w:sz="4" w:space="0" w:color="auto"/>
            </w:tcBorders>
            <w:shd w:val="clear" w:color="auto" w:fill="auto"/>
            <w:vAlign w:val="center"/>
            <w:hideMark/>
          </w:tcPr>
          <w:p w14:paraId="1D558D1C" w14:textId="77777777" w:rsidR="005F3C65" w:rsidRPr="00322559" w:rsidRDefault="005F3C65" w:rsidP="005F3C65">
            <w:pPr>
              <w:spacing w:after="0" w:line="240" w:lineRule="auto"/>
              <w:jc w:val="center"/>
              <w:rPr>
                <w:rFonts w:eastAsia="Times New Roman" w:cstheme="minorHAnsi"/>
                <w:lang w:eastAsia="sk-SK"/>
              </w:rPr>
            </w:pPr>
            <w:r w:rsidRPr="00322559">
              <w:rPr>
                <w:rFonts w:eastAsia="Times New Roman" w:cstheme="minorHAnsi"/>
                <w:lang w:eastAsia="sk-SK"/>
              </w:rPr>
              <w:t>10.5.2022</w:t>
            </w:r>
          </w:p>
        </w:tc>
      </w:tr>
      <w:tr w:rsidR="005F3C65" w:rsidRPr="00322559" w14:paraId="475C2664" w14:textId="77777777" w:rsidTr="005F3C6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594BD84A"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 xml:space="preserve">BNP </w:t>
            </w:r>
            <w:proofErr w:type="spellStart"/>
            <w:r w:rsidRPr="00322559">
              <w:rPr>
                <w:rFonts w:eastAsia="Times New Roman" w:cstheme="minorHAnsi"/>
                <w:lang w:eastAsia="sk-SK"/>
              </w:rPr>
              <w:t>Paribas</w:t>
            </w:r>
            <w:proofErr w:type="spellEnd"/>
            <w:r w:rsidRPr="00322559">
              <w:rPr>
                <w:rFonts w:eastAsia="Times New Roman" w:cstheme="minorHAnsi"/>
                <w:lang w:eastAsia="sk-SK"/>
              </w:rPr>
              <w:t xml:space="preserve"> </w:t>
            </w:r>
            <w:proofErr w:type="spellStart"/>
            <w:r w:rsidRPr="00322559">
              <w:rPr>
                <w:rFonts w:eastAsia="Times New Roman" w:cstheme="minorHAnsi"/>
                <w:lang w:eastAsia="sk-SK"/>
              </w:rPr>
              <w:t>Cardif</w:t>
            </w:r>
            <w:proofErr w:type="spellEnd"/>
            <w:r w:rsidRPr="00322559">
              <w:rPr>
                <w:rFonts w:eastAsia="Times New Roman" w:cstheme="minorHAnsi"/>
                <w:lang w:eastAsia="sk-SK"/>
              </w:rPr>
              <w:t xml:space="preserve"> Poisťovňa, a. s.</w:t>
            </w:r>
          </w:p>
        </w:tc>
        <w:tc>
          <w:tcPr>
            <w:tcW w:w="2000" w:type="dxa"/>
            <w:tcBorders>
              <w:top w:val="nil"/>
              <w:left w:val="nil"/>
              <w:bottom w:val="single" w:sz="4" w:space="0" w:color="auto"/>
              <w:right w:val="single" w:sz="4" w:space="0" w:color="auto"/>
            </w:tcBorders>
            <w:shd w:val="clear" w:color="auto" w:fill="auto"/>
            <w:vAlign w:val="center"/>
            <w:hideMark/>
          </w:tcPr>
          <w:p w14:paraId="4DB5827F" w14:textId="77777777" w:rsidR="005F3C65" w:rsidRPr="00322559" w:rsidRDefault="005F3C65" w:rsidP="005F3C65">
            <w:pPr>
              <w:spacing w:after="0" w:line="240" w:lineRule="auto"/>
              <w:jc w:val="center"/>
              <w:rPr>
                <w:rFonts w:eastAsia="Times New Roman" w:cstheme="minorHAnsi"/>
                <w:lang w:eastAsia="sk-SK"/>
              </w:rPr>
            </w:pPr>
            <w:r w:rsidRPr="00322559">
              <w:rPr>
                <w:rFonts w:eastAsia="Times New Roman" w:cstheme="minorHAnsi"/>
                <w:lang w:eastAsia="sk-SK"/>
              </w:rPr>
              <w:t>10.5.2022</w:t>
            </w:r>
          </w:p>
        </w:tc>
      </w:tr>
      <w:tr w:rsidR="005F3C65" w:rsidRPr="00322559" w14:paraId="4252A3AB" w14:textId="77777777" w:rsidTr="005F3C6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539A584"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ČSOB Poisťovňa, a. s.</w:t>
            </w:r>
          </w:p>
        </w:tc>
        <w:tc>
          <w:tcPr>
            <w:tcW w:w="2000" w:type="dxa"/>
            <w:tcBorders>
              <w:top w:val="nil"/>
              <w:left w:val="nil"/>
              <w:bottom w:val="single" w:sz="4" w:space="0" w:color="auto"/>
              <w:right w:val="single" w:sz="4" w:space="0" w:color="auto"/>
            </w:tcBorders>
            <w:shd w:val="clear" w:color="auto" w:fill="auto"/>
            <w:vAlign w:val="center"/>
            <w:hideMark/>
          </w:tcPr>
          <w:p w14:paraId="7F8F94F6" w14:textId="77777777" w:rsidR="005F3C65" w:rsidRPr="00322559" w:rsidRDefault="005F3C65" w:rsidP="005F3C65">
            <w:pPr>
              <w:spacing w:after="0" w:line="240" w:lineRule="auto"/>
              <w:jc w:val="center"/>
              <w:rPr>
                <w:rFonts w:eastAsia="Times New Roman" w:cstheme="minorHAnsi"/>
                <w:lang w:eastAsia="sk-SK"/>
              </w:rPr>
            </w:pPr>
            <w:r w:rsidRPr="00322559">
              <w:rPr>
                <w:rFonts w:eastAsia="Times New Roman" w:cstheme="minorHAnsi"/>
                <w:lang w:eastAsia="sk-SK"/>
              </w:rPr>
              <w:t>10.5.2022</w:t>
            </w:r>
          </w:p>
        </w:tc>
      </w:tr>
      <w:tr w:rsidR="005F3C65" w:rsidRPr="00322559" w14:paraId="7DF9A32B" w14:textId="77777777" w:rsidTr="005F3C65">
        <w:trPr>
          <w:trHeight w:val="50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775DAC29"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 xml:space="preserve">Generali Poisťovňa, </w:t>
            </w:r>
            <w:proofErr w:type="spellStart"/>
            <w:r w:rsidRPr="00322559">
              <w:rPr>
                <w:rFonts w:eastAsia="Times New Roman" w:cstheme="minorHAnsi"/>
                <w:lang w:eastAsia="sk-SK"/>
              </w:rPr>
              <w:t>a.s</w:t>
            </w:r>
            <w:proofErr w:type="spellEnd"/>
            <w:r w:rsidRPr="00322559">
              <w:rPr>
                <w:rFonts w:eastAsia="Times New Roman" w:cstheme="minorHAnsi"/>
                <w:lang w:eastAsia="sk-SK"/>
              </w:rPr>
              <w:t xml:space="preserve">., pobočka poisťovne z iného členského štátu </w:t>
            </w:r>
          </w:p>
        </w:tc>
        <w:tc>
          <w:tcPr>
            <w:tcW w:w="2000" w:type="dxa"/>
            <w:tcBorders>
              <w:top w:val="nil"/>
              <w:left w:val="nil"/>
              <w:bottom w:val="single" w:sz="4" w:space="0" w:color="auto"/>
              <w:right w:val="single" w:sz="4" w:space="0" w:color="auto"/>
            </w:tcBorders>
            <w:shd w:val="clear" w:color="auto" w:fill="auto"/>
            <w:vAlign w:val="center"/>
            <w:hideMark/>
          </w:tcPr>
          <w:p w14:paraId="5FA2A750" w14:textId="77777777" w:rsidR="005F3C65" w:rsidRPr="00322559" w:rsidRDefault="005F3C65" w:rsidP="005F3C65">
            <w:pPr>
              <w:spacing w:after="0" w:line="240" w:lineRule="auto"/>
              <w:jc w:val="center"/>
              <w:rPr>
                <w:rFonts w:eastAsia="Times New Roman" w:cstheme="minorHAnsi"/>
                <w:lang w:eastAsia="sk-SK"/>
              </w:rPr>
            </w:pPr>
            <w:r w:rsidRPr="00322559">
              <w:rPr>
                <w:rFonts w:eastAsia="Times New Roman" w:cstheme="minorHAnsi"/>
                <w:lang w:eastAsia="sk-SK"/>
              </w:rPr>
              <w:t>10.5.2022</w:t>
            </w:r>
          </w:p>
        </w:tc>
      </w:tr>
      <w:tr w:rsidR="005F3C65" w:rsidRPr="00322559" w14:paraId="574F16F5" w14:textId="77777777" w:rsidTr="005F3C65">
        <w:trPr>
          <w:trHeight w:val="50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CF5932B"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 xml:space="preserve">Komunálna poisťovňa a. s., </w:t>
            </w:r>
            <w:proofErr w:type="spellStart"/>
            <w:r w:rsidRPr="00322559">
              <w:rPr>
                <w:rFonts w:eastAsia="Times New Roman" w:cstheme="minorHAnsi"/>
                <w:lang w:eastAsia="sk-SK"/>
              </w:rPr>
              <w:t>Vienna</w:t>
            </w:r>
            <w:proofErr w:type="spellEnd"/>
            <w:r w:rsidRPr="00322559">
              <w:rPr>
                <w:rFonts w:eastAsia="Times New Roman" w:cstheme="minorHAnsi"/>
                <w:lang w:eastAsia="sk-SK"/>
              </w:rPr>
              <w:t xml:space="preserve"> </w:t>
            </w:r>
            <w:proofErr w:type="spellStart"/>
            <w:r w:rsidRPr="00322559">
              <w:rPr>
                <w:rFonts w:eastAsia="Times New Roman" w:cstheme="minorHAnsi"/>
                <w:lang w:eastAsia="sk-SK"/>
              </w:rPr>
              <w:t>Insurance</w:t>
            </w:r>
            <w:proofErr w:type="spellEnd"/>
            <w:r w:rsidRPr="00322559">
              <w:rPr>
                <w:rFonts w:eastAsia="Times New Roman" w:cstheme="minorHAnsi"/>
                <w:lang w:eastAsia="sk-SK"/>
              </w:rPr>
              <w:t xml:space="preserve"> Group</w:t>
            </w:r>
          </w:p>
        </w:tc>
        <w:tc>
          <w:tcPr>
            <w:tcW w:w="2000" w:type="dxa"/>
            <w:tcBorders>
              <w:top w:val="nil"/>
              <w:left w:val="nil"/>
              <w:bottom w:val="single" w:sz="4" w:space="0" w:color="auto"/>
              <w:right w:val="single" w:sz="4" w:space="0" w:color="auto"/>
            </w:tcBorders>
            <w:shd w:val="clear" w:color="auto" w:fill="auto"/>
            <w:vAlign w:val="center"/>
            <w:hideMark/>
          </w:tcPr>
          <w:p w14:paraId="241BBDDA" w14:textId="77777777" w:rsidR="005F3C65" w:rsidRPr="00322559" w:rsidRDefault="005F3C65" w:rsidP="005F3C65">
            <w:pPr>
              <w:spacing w:after="0" w:line="240" w:lineRule="auto"/>
              <w:jc w:val="center"/>
              <w:rPr>
                <w:rFonts w:eastAsia="Times New Roman" w:cstheme="minorHAnsi"/>
                <w:color w:val="000000"/>
                <w:lang w:eastAsia="sk-SK"/>
              </w:rPr>
            </w:pPr>
            <w:r w:rsidRPr="00322559">
              <w:rPr>
                <w:rFonts w:eastAsia="Times New Roman" w:cstheme="minorHAnsi"/>
                <w:color w:val="000000"/>
                <w:lang w:eastAsia="sk-SK"/>
              </w:rPr>
              <w:t>koncom mája</w:t>
            </w:r>
          </w:p>
        </w:tc>
      </w:tr>
      <w:tr w:rsidR="005F3C65" w:rsidRPr="00322559" w14:paraId="4C4AAB53" w14:textId="77777777" w:rsidTr="005F3C65">
        <w:trPr>
          <w:trHeight w:val="50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03088C7"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 xml:space="preserve">KOOPERATIVA poisťovňa, a. s., </w:t>
            </w:r>
            <w:proofErr w:type="spellStart"/>
            <w:r w:rsidRPr="00322559">
              <w:rPr>
                <w:rFonts w:eastAsia="Times New Roman" w:cstheme="minorHAnsi"/>
                <w:lang w:eastAsia="sk-SK"/>
              </w:rPr>
              <w:t>Vienna</w:t>
            </w:r>
            <w:proofErr w:type="spellEnd"/>
            <w:r w:rsidRPr="00322559">
              <w:rPr>
                <w:rFonts w:eastAsia="Times New Roman" w:cstheme="minorHAnsi"/>
                <w:lang w:eastAsia="sk-SK"/>
              </w:rPr>
              <w:t xml:space="preserve"> </w:t>
            </w:r>
            <w:proofErr w:type="spellStart"/>
            <w:r w:rsidRPr="00322559">
              <w:rPr>
                <w:rFonts w:eastAsia="Times New Roman" w:cstheme="minorHAnsi"/>
                <w:lang w:eastAsia="sk-SK"/>
              </w:rPr>
              <w:t>Insurance</w:t>
            </w:r>
            <w:proofErr w:type="spellEnd"/>
            <w:r w:rsidRPr="00322559">
              <w:rPr>
                <w:rFonts w:eastAsia="Times New Roman" w:cstheme="minorHAnsi"/>
                <w:lang w:eastAsia="sk-SK"/>
              </w:rPr>
              <w:t xml:space="preserve"> Group</w:t>
            </w:r>
          </w:p>
        </w:tc>
        <w:tc>
          <w:tcPr>
            <w:tcW w:w="2000" w:type="dxa"/>
            <w:tcBorders>
              <w:top w:val="nil"/>
              <w:left w:val="nil"/>
              <w:bottom w:val="single" w:sz="4" w:space="0" w:color="auto"/>
              <w:right w:val="single" w:sz="4" w:space="0" w:color="auto"/>
            </w:tcBorders>
            <w:shd w:val="clear" w:color="auto" w:fill="auto"/>
            <w:vAlign w:val="center"/>
            <w:hideMark/>
          </w:tcPr>
          <w:p w14:paraId="30FBF09E" w14:textId="77777777" w:rsidR="005F3C65" w:rsidRPr="00322559" w:rsidRDefault="005F3C65" w:rsidP="005F3C65">
            <w:pPr>
              <w:spacing w:after="0" w:line="240" w:lineRule="auto"/>
              <w:jc w:val="center"/>
              <w:rPr>
                <w:rFonts w:eastAsia="Times New Roman" w:cstheme="minorHAnsi"/>
                <w:color w:val="000000"/>
                <w:lang w:eastAsia="sk-SK"/>
              </w:rPr>
            </w:pPr>
            <w:r w:rsidRPr="00322559">
              <w:rPr>
                <w:rFonts w:eastAsia="Times New Roman" w:cstheme="minorHAnsi"/>
                <w:color w:val="000000"/>
                <w:lang w:eastAsia="sk-SK"/>
              </w:rPr>
              <w:t>koncom mája</w:t>
            </w:r>
          </w:p>
        </w:tc>
      </w:tr>
      <w:tr w:rsidR="005F3C65" w:rsidRPr="00322559" w14:paraId="09ABA78E" w14:textId="77777777" w:rsidTr="005F3C6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79B6565"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NN Životná poisťovňa, a. s.</w:t>
            </w:r>
          </w:p>
        </w:tc>
        <w:tc>
          <w:tcPr>
            <w:tcW w:w="2000" w:type="dxa"/>
            <w:tcBorders>
              <w:top w:val="nil"/>
              <w:left w:val="nil"/>
              <w:bottom w:val="single" w:sz="4" w:space="0" w:color="auto"/>
              <w:right w:val="single" w:sz="4" w:space="0" w:color="auto"/>
            </w:tcBorders>
            <w:shd w:val="clear" w:color="auto" w:fill="auto"/>
            <w:vAlign w:val="center"/>
            <w:hideMark/>
          </w:tcPr>
          <w:p w14:paraId="4F8DB027" w14:textId="77777777" w:rsidR="005F3C65" w:rsidRPr="00322559" w:rsidRDefault="005F3C65" w:rsidP="005F3C65">
            <w:pPr>
              <w:spacing w:after="0" w:line="240" w:lineRule="auto"/>
              <w:jc w:val="center"/>
              <w:rPr>
                <w:rFonts w:eastAsia="Times New Roman" w:cstheme="minorHAnsi"/>
                <w:lang w:eastAsia="sk-SK"/>
              </w:rPr>
            </w:pPr>
            <w:r w:rsidRPr="00322559">
              <w:rPr>
                <w:rFonts w:eastAsia="Times New Roman" w:cstheme="minorHAnsi"/>
                <w:lang w:eastAsia="sk-SK"/>
              </w:rPr>
              <w:t>10.5.2022</w:t>
            </w:r>
          </w:p>
        </w:tc>
      </w:tr>
      <w:tr w:rsidR="005F3C65" w:rsidRPr="00322559" w14:paraId="30CE24A5" w14:textId="77777777" w:rsidTr="005F3C6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1947AED5" w14:textId="77777777" w:rsidR="005F3C65" w:rsidRPr="00322559" w:rsidRDefault="005F3C65" w:rsidP="005F3C65">
            <w:pPr>
              <w:spacing w:after="0" w:line="240" w:lineRule="auto"/>
              <w:rPr>
                <w:rFonts w:eastAsia="Times New Roman" w:cstheme="minorHAnsi"/>
                <w:lang w:eastAsia="sk-SK"/>
              </w:rPr>
            </w:pPr>
            <w:proofErr w:type="spellStart"/>
            <w:r w:rsidRPr="00322559">
              <w:rPr>
                <w:rFonts w:eastAsia="Times New Roman" w:cstheme="minorHAnsi"/>
                <w:lang w:eastAsia="sk-SK"/>
              </w:rPr>
              <w:t>Union</w:t>
            </w:r>
            <w:proofErr w:type="spellEnd"/>
            <w:r w:rsidRPr="00322559">
              <w:rPr>
                <w:rFonts w:eastAsia="Times New Roman" w:cstheme="minorHAnsi"/>
                <w:lang w:eastAsia="sk-SK"/>
              </w:rPr>
              <w:t xml:space="preserve"> poisťovňa, a. s.</w:t>
            </w:r>
          </w:p>
        </w:tc>
        <w:tc>
          <w:tcPr>
            <w:tcW w:w="2000" w:type="dxa"/>
            <w:tcBorders>
              <w:top w:val="nil"/>
              <w:left w:val="nil"/>
              <w:bottom w:val="single" w:sz="4" w:space="0" w:color="auto"/>
              <w:right w:val="single" w:sz="4" w:space="0" w:color="auto"/>
            </w:tcBorders>
            <w:shd w:val="clear" w:color="auto" w:fill="auto"/>
            <w:vAlign w:val="center"/>
            <w:hideMark/>
          </w:tcPr>
          <w:p w14:paraId="6E0AD65A" w14:textId="77777777" w:rsidR="005F3C65" w:rsidRPr="00322559" w:rsidRDefault="005F3C65" w:rsidP="005F3C65">
            <w:pPr>
              <w:spacing w:after="0" w:line="240" w:lineRule="auto"/>
              <w:jc w:val="center"/>
              <w:rPr>
                <w:rFonts w:eastAsia="Times New Roman" w:cstheme="minorHAnsi"/>
                <w:color w:val="000000"/>
                <w:lang w:eastAsia="sk-SK"/>
              </w:rPr>
            </w:pPr>
            <w:r w:rsidRPr="00322559">
              <w:rPr>
                <w:rFonts w:eastAsia="Times New Roman" w:cstheme="minorHAnsi"/>
                <w:color w:val="000000"/>
                <w:lang w:eastAsia="sk-SK"/>
              </w:rPr>
              <w:t>???</w:t>
            </w:r>
          </w:p>
        </w:tc>
      </w:tr>
      <w:tr w:rsidR="005F3C65" w:rsidRPr="00322559" w14:paraId="44CDD9CD" w14:textId="77777777" w:rsidTr="005F3C65">
        <w:trPr>
          <w:trHeight w:val="50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F60A1C9" w14:textId="77777777" w:rsidR="005F3C65" w:rsidRPr="00322559" w:rsidRDefault="005F3C65" w:rsidP="005F3C65">
            <w:pPr>
              <w:spacing w:after="0" w:line="240" w:lineRule="auto"/>
              <w:rPr>
                <w:rFonts w:eastAsia="Times New Roman" w:cstheme="minorHAnsi"/>
                <w:lang w:eastAsia="sk-SK"/>
              </w:rPr>
            </w:pPr>
            <w:r w:rsidRPr="00322559">
              <w:rPr>
                <w:rFonts w:eastAsia="Times New Roman" w:cstheme="minorHAnsi"/>
                <w:lang w:eastAsia="sk-SK"/>
              </w:rPr>
              <w:t xml:space="preserve">UNIQA </w:t>
            </w:r>
            <w:proofErr w:type="spellStart"/>
            <w:r w:rsidRPr="00322559">
              <w:rPr>
                <w:rFonts w:eastAsia="Times New Roman" w:cstheme="minorHAnsi"/>
                <w:lang w:eastAsia="sk-SK"/>
              </w:rPr>
              <w:t>pojišťovna</w:t>
            </w:r>
            <w:proofErr w:type="spellEnd"/>
            <w:r w:rsidRPr="00322559">
              <w:rPr>
                <w:rFonts w:eastAsia="Times New Roman" w:cstheme="minorHAnsi"/>
                <w:lang w:eastAsia="sk-SK"/>
              </w:rPr>
              <w:t xml:space="preserve">, </w:t>
            </w:r>
            <w:proofErr w:type="spellStart"/>
            <w:r w:rsidRPr="00322559">
              <w:rPr>
                <w:rFonts w:eastAsia="Times New Roman" w:cstheme="minorHAnsi"/>
                <w:lang w:eastAsia="sk-SK"/>
              </w:rPr>
              <w:t>a.s</w:t>
            </w:r>
            <w:proofErr w:type="spellEnd"/>
            <w:r w:rsidRPr="00322559">
              <w:rPr>
                <w:rFonts w:eastAsia="Times New Roman" w:cstheme="minorHAnsi"/>
                <w:lang w:eastAsia="sk-SK"/>
              </w:rPr>
              <w:t xml:space="preserve">., pobočka poisťovne z iného členského štátu </w:t>
            </w:r>
          </w:p>
        </w:tc>
        <w:tc>
          <w:tcPr>
            <w:tcW w:w="2000" w:type="dxa"/>
            <w:tcBorders>
              <w:top w:val="nil"/>
              <w:left w:val="nil"/>
              <w:bottom w:val="single" w:sz="4" w:space="0" w:color="auto"/>
              <w:right w:val="single" w:sz="4" w:space="0" w:color="auto"/>
            </w:tcBorders>
            <w:shd w:val="clear" w:color="auto" w:fill="auto"/>
            <w:vAlign w:val="center"/>
            <w:hideMark/>
          </w:tcPr>
          <w:p w14:paraId="692B7FAC" w14:textId="77777777" w:rsidR="005F3C65" w:rsidRPr="00322559" w:rsidRDefault="005F3C65" w:rsidP="005F3C65">
            <w:pPr>
              <w:spacing w:after="0" w:line="240" w:lineRule="auto"/>
              <w:jc w:val="center"/>
              <w:rPr>
                <w:rFonts w:eastAsia="Times New Roman" w:cstheme="minorHAnsi"/>
                <w:color w:val="000000"/>
                <w:lang w:eastAsia="sk-SK"/>
              </w:rPr>
            </w:pPr>
            <w:r w:rsidRPr="00322559">
              <w:rPr>
                <w:rFonts w:eastAsia="Times New Roman" w:cstheme="minorHAnsi"/>
                <w:color w:val="000000"/>
                <w:lang w:eastAsia="sk-SK"/>
              </w:rPr>
              <w:t>koncom mája</w:t>
            </w:r>
          </w:p>
        </w:tc>
      </w:tr>
      <w:tr w:rsidR="005F3C65" w:rsidRPr="00322559" w14:paraId="2DA1E10D" w14:textId="77777777" w:rsidTr="005F3C65">
        <w:trPr>
          <w:trHeight w:val="29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8297207" w14:textId="77777777" w:rsidR="005F3C65" w:rsidRPr="00322559" w:rsidRDefault="005F3C65" w:rsidP="005F3C65">
            <w:pPr>
              <w:spacing w:after="0" w:line="240" w:lineRule="auto"/>
              <w:rPr>
                <w:rFonts w:eastAsia="Times New Roman" w:cstheme="minorHAnsi"/>
                <w:lang w:eastAsia="sk-SK"/>
              </w:rPr>
            </w:pPr>
            <w:proofErr w:type="spellStart"/>
            <w:r w:rsidRPr="00322559">
              <w:rPr>
                <w:rFonts w:eastAsia="Times New Roman" w:cstheme="minorHAnsi"/>
                <w:lang w:eastAsia="sk-SK"/>
              </w:rPr>
              <w:t>Wüstenrot</w:t>
            </w:r>
            <w:proofErr w:type="spellEnd"/>
            <w:r w:rsidRPr="00322559">
              <w:rPr>
                <w:rFonts w:eastAsia="Times New Roman" w:cstheme="minorHAnsi"/>
                <w:lang w:eastAsia="sk-SK"/>
              </w:rPr>
              <w:t xml:space="preserve"> poisťovňa, a. s.</w:t>
            </w:r>
          </w:p>
        </w:tc>
        <w:tc>
          <w:tcPr>
            <w:tcW w:w="2000" w:type="dxa"/>
            <w:tcBorders>
              <w:top w:val="nil"/>
              <w:left w:val="nil"/>
              <w:bottom w:val="single" w:sz="4" w:space="0" w:color="auto"/>
              <w:right w:val="single" w:sz="4" w:space="0" w:color="auto"/>
            </w:tcBorders>
            <w:shd w:val="clear" w:color="auto" w:fill="auto"/>
            <w:vAlign w:val="center"/>
            <w:hideMark/>
          </w:tcPr>
          <w:p w14:paraId="5908473D" w14:textId="77777777" w:rsidR="005F3C65" w:rsidRPr="00322559" w:rsidRDefault="005F3C65" w:rsidP="005F3C65">
            <w:pPr>
              <w:spacing w:after="0" w:line="240" w:lineRule="auto"/>
              <w:jc w:val="center"/>
              <w:rPr>
                <w:rFonts w:eastAsia="Times New Roman" w:cstheme="minorHAnsi"/>
                <w:lang w:eastAsia="sk-SK"/>
              </w:rPr>
            </w:pPr>
            <w:r w:rsidRPr="00322559">
              <w:rPr>
                <w:rFonts w:eastAsia="Times New Roman" w:cstheme="minorHAnsi"/>
                <w:lang w:eastAsia="sk-SK"/>
              </w:rPr>
              <w:t>10.5.2022</w:t>
            </w:r>
          </w:p>
        </w:tc>
      </w:tr>
      <w:tr w:rsidR="005F3C65" w:rsidRPr="00322559" w14:paraId="6D0EB9B0" w14:textId="77777777" w:rsidTr="005F3C65">
        <w:trPr>
          <w:trHeight w:val="50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36438D29" w14:textId="77777777" w:rsidR="005F3C65" w:rsidRPr="00322559" w:rsidRDefault="005F3C65" w:rsidP="005F3C65">
            <w:pPr>
              <w:spacing w:after="0" w:line="240" w:lineRule="auto"/>
              <w:rPr>
                <w:rFonts w:eastAsia="Times New Roman" w:cstheme="minorHAnsi"/>
                <w:lang w:eastAsia="sk-SK"/>
              </w:rPr>
            </w:pPr>
            <w:proofErr w:type="spellStart"/>
            <w:r w:rsidRPr="00322559">
              <w:rPr>
                <w:rFonts w:eastAsia="Times New Roman" w:cstheme="minorHAnsi"/>
                <w:lang w:eastAsia="sk-SK"/>
              </w:rPr>
              <w:t>Groupama</w:t>
            </w:r>
            <w:proofErr w:type="spellEnd"/>
            <w:r w:rsidRPr="00322559">
              <w:rPr>
                <w:rFonts w:eastAsia="Times New Roman" w:cstheme="minorHAnsi"/>
                <w:lang w:eastAsia="sk-SK"/>
              </w:rPr>
              <w:t xml:space="preserve"> poisťovňa, a. s., pobočka poisťovne z iného členského štátu</w:t>
            </w:r>
          </w:p>
        </w:tc>
        <w:tc>
          <w:tcPr>
            <w:tcW w:w="2000" w:type="dxa"/>
            <w:tcBorders>
              <w:top w:val="nil"/>
              <w:left w:val="nil"/>
              <w:bottom w:val="single" w:sz="4" w:space="0" w:color="auto"/>
              <w:right w:val="single" w:sz="4" w:space="0" w:color="auto"/>
            </w:tcBorders>
            <w:shd w:val="clear" w:color="auto" w:fill="auto"/>
            <w:vAlign w:val="center"/>
            <w:hideMark/>
          </w:tcPr>
          <w:p w14:paraId="588B24C7" w14:textId="77777777" w:rsidR="005F3C65" w:rsidRPr="00322559" w:rsidRDefault="005F3C65" w:rsidP="005F3C65">
            <w:pPr>
              <w:spacing w:after="0" w:line="240" w:lineRule="auto"/>
              <w:jc w:val="center"/>
              <w:rPr>
                <w:rFonts w:eastAsia="Times New Roman" w:cstheme="minorHAnsi"/>
                <w:color w:val="000000"/>
                <w:lang w:eastAsia="sk-SK"/>
              </w:rPr>
            </w:pPr>
            <w:r w:rsidRPr="00322559">
              <w:rPr>
                <w:rFonts w:eastAsia="Times New Roman" w:cstheme="minorHAnsi"/>
                <w:color w:val="000000"/>
                <w:lang w:eastAsia="sk-SK"/>
              </w:rPr>
              <w:t>Zistia a oznámia</w:t>
            </w:r>
          </w:p>
        </w:tc>
      </w:tr>
      <w:tr w:rsidR="005F3C65" w:rsidRPr="00322559" w14:paraId="55F49AD3" w14:textId="77777777" w:rsidTr="005F3C65">
        <w:trPr>
          <w:trHeight w:val="50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68F67525" w14:textId="77777777" w:rsidR="005F3C65" w:rsidRPr="00322559" w:rsidRDefault="005F3C65" w:rsidP="005F3C65">
            <w:pPr>
              <w:spacing w:after="0" w:line="240" w:lineRule="auto"/>
              <w:rPr>
                <w:rFonts w:eastAsia="Times New Roman" w:cstheme="minorHAnsi"/>
                <w:lang w:eastAsia="sk-SK"/>
              </w:rPr>
            </w:pPr>
            <w:proofErr w:type="spellStart"/>
            <w:r w:rsidRPr="00322559">
              <w:rPr>
                <w:rFonts w:eastAsia="Times New Roman" w:cstheme="minorHAnsi"/>
                <w:lang w:eastAsia="sk-SK"/>
              </w:rPr>
              <w:t>MetLife</w:t>
            </w:r>
            <w:proofErr w:type="spellEnd"/>
            <w:r w:rsidRPr="00322559">
              <w:rPr>
                <w:rFonts w:eastAsia="Times New Roman" w:cstheme="minorHAnsi"/>
                <w:lang w:eastAsia="sk-SK"/>
              </w:rPr>
              <w:t xml:space="preserve"> </w:t>
            </w:r>
            <w:proofErr w:type="spellStart"/>
            <w:r w:rsidRPr="00322559">
              <w:rPr>
                <w:rFonts w:eastAsia="Times New Roman" w:cstheme="minorHAnsi"/>
                <w:lang w:eastAsia="sk-SK"/>
              </w:rPr>
              <w:t>Europe</w:t>
            </w:r>
            <w:proofErr w:type="spellEnd"/>
            <w:r w:rsidRPr="00322559">
              <w:rPr>
                <w:rFonts w:eastAsia="Times New Roman" w:cstheme="minorHAnsi"/>
                <w:lang w:eastAsia="sk-SK"/>
              </w:rPr>
              <w:t xml:space="preserve"> d. a. c., pobočka poisťovne z iného členského štát</w:t>
            </w:r>
          </w:p>
        </w:tc>
        <w:tc>
          <w:tcPr>
            <w:tcW w:w="2000" w:type="dxa"/>
            <w:tcBorders>
              <w:top w:val="nil"/>
              <w:left w:val="nil"/>
              <w:bottom w:val="single" w:sz="4" w:space="0" w:color="auto"/>
              <w:right w:val="single" w:sz="4" w:space="0" w:color="auto"/>
            </w:tcBorders>
            <w:shd w:val="clear" w:color="auto" w:fill="auto"/>
            <w:vAlign w:val="center"/>
            <w:hideMark/>
          </w:tcPr>
          <w:p w14:paraId="51F8EEF9" w14:textId="77777777" w:rsidR="005F3C65" w:rsidRPr="00322559" w:rsidRDefault="005F3C65" w:rsidP="005F3C65">
            <w:pPr>
              <w:spacing w:after="0" w:line="240" w:lineRule="auto"/>
              <w:jc w:val="center"/>
              <w:rPr>
                <w:rFonts w:eastAsia="Times New Roman" w:cstheme="minorHAnsi"/>
                <w:color w:val="000000"/>
                <w:lang w:eastAsia="sk-SK"/>
              </w:rPr>
            </w:pPr>
            <w:r w:rsidRPr="00322559">
              <w:rPr>
                <w:rFonts w:eastAsia="Times New Roman" w:cstheme="minorHAnsi"/>
                <w:color w:val="000000"/>
                <w:lang w:eastAsia="sk-SK"/>
              </w:rPr>
              <w:t>Zistia a oznámia</w:t>
            </w:r>
          </w:p>
        </w:tc>
      </w:tr>
      <w:tr w:rsidR="005F3C65" w:rsidRPr="00322559" w14:paraId="5F10DE48" w14:textId="77777777" w:rsidTr="005F3C65">
        <w:trPr>
          <w:trHeight w:val="750"/>
        </w:trPr>
        <w:tc>
          <w:tcPr>
            <w:tcW w:w="3800" w:type="dxa"/>
            <w:tcBorders>
              <w:top w:val="nil"/>
              <w:left w:val="single" w:sz="4" w:space="0" w:color="auto"/>
              <w:bottom w:val="single" w:sz="4" w:space="0" w:color="auto"/>
              <w:right w:val="single" w:sz="4" w:space="0" w:color="auto"/>
            </w:tcBorders>
            <w:shd w:val="clear" w:color="auto" w:fill="auto"/>
            <w:vAlign w:val="center"/>
            <w:hideMark/>
          </w:tcPr>
          <w:p w14:paraId="23E47EB9" w14:textId="77777777" w:rsidR="005F3C65" w:rsidRPr="00322559" w:rsidRDefault="005F3C65" w:rsidP="005F3C65">
            <w:pPr>
              <w:spacing w:after="0" w:line="240" w:lineRule="auto"/>
              <w:rPr>
                <w:rFonts w:eastAsia="Times New Roman" w:cstheme="minorHAnsi"/>
                <w:lang w:eastAsia="sk-SK"/>
              </w:rPr>
            </w:pPr>
            <w:proofErr w:type="spellStart"/>
            <w:r w:rsidRPr="00322559">
              <w:rPr>
                <w:rFonts w:eastAsia="Times New Roman" w:cstheme="minorHAnsi"/>
                <w:lang w:eastAsia="sk-SK"/>
              </w:rPr>
              <w:t>Youplus</w:t>
            </w:r>
            <w:proofErr w:type="spellEnd"/>
            <w:r w:rsidRPr="00322559">
              <w:rPr>
                <w:rFonts w:eastAsia="Times New Roman" w:cstheme="minorHAnsi"/>
                <w:lang w:eastAsia="sk-SK"/>
              </w:rPr>
              <w:t xml:space="preserve"> </w:t>
            </w:r>
            <w:proofErr w:type="spellStart"/>
            <w:r w:rsidRPr="00322559">
              <w:rPr>
                <w:rFonts w:eastAsia="Times New Roman" w:cstheme="minorHAnsi"/>
                <w:lang w:eastAsia="sk-SK"/>
              </w:rPr>
              <w:t>Insurance</w:t>
            </w:r>
            <w:proofErr w:type="spellEnd"/>
            <w:r w:rsidRPr="00322559">
              <w:rPr>
                <w:rFonts w:eastAsia="Times New Roman" w:cstheme="minorHAnsi"/>
                <w:lang w:eastAsia="sk-SK"/>
              </w:rPr>
              <w:t xml:space="preserve"> International AG, pobočka poisťovne z iného členského štátu </w:t>
            </w:r>
          </w:p>
        </w:tc>
        <w:tc>
          <w:tcPr>
            <w:tcW w:w="2000" w:type="dxa"/>
            <w:tcBorders>
              <w:top w:val="nil"/>
              <w:left w:val="nil"/>
              <w:bottom w:val="single" w:sz="4" w:space="0" w:color="auto"/>
              <w:right w:val="single" w:sz="4" w:space="0" w:color="auto"/>
            </w:tcBorders>
            <w:shd w:val="clear" w:color="auto" w:fill="auto"/>
            <w:vAlign w:val="center"/>
            <w:hideMark/>
          </w:tcPr>
          <w:p w14:paraId="0FDE5288" w14:textId="77777777" w:rsidR="005F3C65" w:rsidRPr="00322559" w:rsidRDefault="005F3C65" w:rsidP="005F3C65">
            <w:pPr>
              <w:spacing w:after="0" w:line="240" w:lineRule="auto"/>
              <w:jc w:val="center"/>
              <w:rPr>
                <w:rFonts w:eastAsia="Times New Roman" w:cstheme="minorHAnsi"/>
                <w:color w:val="000000"/>
                <w:lang w:eastAsia="sk-SK"/>
              </w:rPr>
            </w:pPr>
            <w:r w:rsidRPr="00322559">
              <w:rPr>
                <w:rFonts w:eastAsia="Times New Roman" w:cstheme="minorHAnsi"/>
                <w:color w:val="000000"/>
                <w:lang w:eastAsia="sk-SK"/>
              </w:rPr>
              <w:t>júl august</w:t>
            </w:r>
          </w:p>
        </w:tc>
      </w:tr>
    </w:tbl>
    <w:p w14:paraId="6BF8939B" w14:textId="77777777" w:rsidR="000679BC" w:rsidRPr="00322559" w:rsidRDefault="000679BC" w:rsidP="00744709">
      <w:pPr>
        <w:pStyle w:val="Odsekzoznamu"/>
        <w:spacing w:after="0" w:line="240" w:lineRule="auto"/>
        <w:ind w:left="0"/>
        <w:jc w:val="both"/>
        <w:rPr>
          <w:rFonts w:cstheme="minorHAnsi"/>
          <w:bCs/>
        </w:rPr>
      </w:pPr>
    </w:p>
    <w:p w14:paraId="5EDD5782" w14:textId="166C4D19" w:rsidR="003A4640" w:rsidRPr="00322559" w:rsidRDefault="003A4640" w:rsidP="00744709">
      <w:pPr>
        <w:pStyle w:val="Odsekzoznamu"/>
        <w:spacing w:after="0" w:line="240" w:lineRule="auto"/>
        <w:ind w:left="0"/>
        <w:jc w:val="both"/>
        <w:rPr>
          <w:rFonts w:cstheme="minorHAnsi"/>
          <w:b/>
          <w:highlight w:val="yellow"/>
        </w:rPr>
      </w:pPr>
      <w:r w:rsidRPr="00322559">
        <w:rPr>
          <w:rFonts w:cstheme="minorHAnsi"/>
          <w:b/>
          <w:highlight w:val="yellow"/>
        </w:rPr>
        <w:t>Úloha č.1</w:t>
      </w:r>
    </w:p>
    <w:p w14:paraId="20355079" w14:textId="53D677B2" w:rsidR="000679BC" w:rsidRPr="00322559" w:rsidRDefault="005F3C65" w:rsidP="00744709">
      <w:pPr>
        <w:pStyle w:val="Odsekzoznamu"/>
        <w:spacing w:after="0" w:line="240" w:lineRule="auto"/>
        <w:ind w:left="0"/>
        <w:jc w:val="both"/>
        <w:rPr>
          <w:rFonts w:cstheme="minorHAnsi"/>
          <w:b/>
        </w:rPr>
      </w:pPr>
      <w:r w:rsidRPr="00322559">
        <w:rPr>
          <w:rFonts w:cstheme="minorHAnsi"/>
          <w:b/>
          <w:highlight w:val="yellow"/>
        </w:rPr>
        <w:t>Zástupcovia spoločností, ktorí na stretnutí nevedeli potvrdiť termín dodania podkladov, pošlú túto informáciu na SLASPO čo najskôr.</w:t>
      </w:r>
    </w:p>
    <w:p w14:paraId="6946D715" w14:textId="77777777" w:rsidR="003A4640" w:rsidRPr="00322559" w:rsidRDefault="003A4640" w:rsidP="00744709">
      <w:pPr>
        <w:pStyle w:val="Odsekzoznamu"/>
        <w:spacing w:after="0" w:line="240" w:lineRule="auto"/>
        <w:ind w:left="0"/>
        <w:jc w:val="both"/>
        <w:rPr>
          <w:rFonts w:cstheme="minorHAnsi"/>
          <w:b/>
        </w:rPr>
      </w:pPr>
    </w:p>
    <w:p w14:paraId="65BAC9AB" w14:textId="26E639DF" w:rsidR="003A4640" w:rsidRPr="00322559" w:rsidRDefault="003A4640" w:rsidP="00744709">
      <w:pPr>
        <w:pStyle w:val="Odsekzoznamu"/>
        <w:spacing w:after="0" w:line="240" w:lineRule="auto"/>
        <w:ind w:left="0"/>
        <w:jc w:val="both"/>
        <w:rPr>
          <w:rFonts w:cstheme="minorHAnsi"/>
          <w:b/>
          <w:highlight w:val="yellow"/>
        </w:rPr>
      </w:pPr>
      <w:r w:rsidRPr="00322559">
        <w:rPr>
          <w:rFonts w:cstheme="minorHAnsi"/>
          <w:b/>
          <w:highlight w:val="yellow"/>
        </w:rPr>
        <w:t>Úloha č.2</w:t>
      </w:r>
    </w:p>
    <w:p w14:paraId="69CCA57A" w14:textId="4F126900" w:rsidR="009D0DCE" w:rsidRPr="00322559" w:rsidRDefault="005F3C65" w:rsidP="00744709">
      <w:pPr>
        <w:pStyle w:val="Odsekzoznamu"/>
        <w:spacing w:after="0" w:line="240" w:lineRule="auto"/>
        <w:ind w:left="0"/>
        <w:jc w:val="both"/>
        <w:rPr>
          <w:rFonts w:cstheme="minorHAnsi"/>
          <w:bCs/>
        </w:rPr>
      </w:pPr>
      <w:r w:rsidRPr="00322559">
        <w:rPr>
          <w:rFonts w:cstheme="minorHAnsi"/>
          <w:b/>
          <w:highlight w:val="yellow"/>
        </w:rPr>
        <w:t>Členovia SLASPO pošlú podklady vo vyššie uvedenej štruktúre v termíne uvedenom v tabuľke.</w:t>
      </w:r>
      <w:r w:rsidRPr="00322559">
        <w:rPr>
          <w:rFonts w:cstheme="minorHAnsi"/>
          <w:bCs/>
          <w:highlight w:val="yellow"/>
        </w:rPr>
        <w:t xml:space="preserve"> </w:t>
      </w:r>
      <w:r w:rsidRPr="00322559">
        <w:rPr>
          <w:rFonts w:cstheme="minorHAnsi"/>
          <w:bCs/>
        </w:rPr>
        <w:t xml:space="preserve">Z podkladov pripraví </w:t>
      </w:r>
      <w:proofErr w:type="spellStart"/>
      <w:r w:rsidRPr="00322559">
        <w:rPr>
          <w:rFonts w:cstheme="minorHAnsi"/>
          <w:bCs/>
        </w:rPr>
        <w:t>p.Bachniček</w:t>
      </w:r>
      <w:proofErr w:type="spellEnd"/>
      <w:r w:rsidRPr="00322559">
        <w:rPr>
          <w:rFonts w:cstheme="minorHAnsi"/>
          <w:bCs/>
        </w:rPr>
        <w:t xml:space="preserve"> agregovanú informáciu, ktorej prvú verziu  pošle na MF SR do 13.5.2022 a druhú verziu koncom mája alebo začiatkom júna.</w:t>
      </w:r>
    </w:p>
    <w:p w14:paraId="3FFBCA16" w14:textId="07F04C11" w:rsidR="002A76E7" w:rsidRPr="00322559" w:rsidRDefault="002A76E7" w:rsidP="00744709">
      <w:pPr>
        <w:pStyle w:val="Odsekzoznamu"/>
        <w:spacing w:after="0" w:line="240" w:lineRule="auto"/>
        <w:ind w:left="0"/>
        <w:jc w:val="both"/>
        <w:rPr>
          <w:rFonts w:cstheme="minorHAnsi"/>
          <w:bCs/>
        </w:rPr>
      </w:pPr>
    </w:p>
    <w:p w14:paraId="52F15DBC" w14:textId="77777777" w:rsidR="003A4640" w:rsidRPr="00322559" w:rsidRDefault="003A4640" w:rsidP="00744709">
      <w:pPr>
        <w:pStyle w:val="Odsekzoznamu"/>
        <w:spacing w:after="0" w:line="240" w:lineRule="auto"/>
        <w:ind w:left="0"/>
        <w:jc w:val="both"/>
        <w:rPr>
          <w:rFonts w:cstheme="minorHAnsi"/>
          <w:b/>
        </w:rPr>
      </w:pPr>
    </w:p>
    <w:p w14:paraId="46ABC4FF" w14:textId="77777777" w:rsidR="003A4640" w:rsidRPr="00322559" w:rsidRDefault="003A4640" w:rsidP="00744709">
      <w:pPr>
        <w:pStyle w:val="Odsekzoznamu"/>
        <w:spacing w:after="0" w:line="240" w:lineRule="auto"/>
        <w:ind w:left="0"/>
        <w:jc w:val="both"/>
        <w:rPr>
          <w:rFonts w:cstheme="minorHAnsi"/>
          <w:b/>
        </w:rPr>
      </w:pPr>
    </w:p>
    <w:p w14:paraId="6AD31868" w14:textId="10A5E0BF" w:rsidR="00830B92" w:rsidRPr="00322559" w:rsidRDefault="00830B92" w:rsidP="00744709">
      <w:pPr>
        <w:pStyle w:val="Odsekzoznamu"/>
        <w:spacing w:after="0" w:line="240" w:lineRule="auto"/>
        <w:ind w:left="0"/>
        <w:jc w:val="both"/>
        <w:rPr>
          <w:rFonts w:cstheme="minorHAnsi"/>
          <w:b/>
        </w:rPr>
      </w:pPr>
      <w:r w:rsidRPr="00322559">
        <w:rPr>
          <w:rFonts w:cstheme="minorHAnsi"/>
          <w:b/>
        </w:rPr>
        <w:t>K bodu 3</w:t>
      </w:r>
      <w:r w:rsidR="00542EDC" w:rsidRPr="00322559">
        <w:rPr>
          <w:rFonts w:cstheme="minorHAnsi"/>
          <w:b/>
        </w:rPr>
        <w:t>a)</w:t>
      </w:r>
    </w:p>
    <w:p w14:paraId="28A2ED30" w14:textId="09DA81D8" w:rsidR="00830B92" w:rsidRPr="00322559" w:rsidRDefault="00830B92" w:rsidP="00744709">
      <w:pPr>
        <w:pStyle w:val="Odsekzoznamu"/>
        <w:spacing w:after="0" w:line="240" w:lineRule="auto"/>
        <w:ind w:left="0"/>
        <w:jc w:val="both"/>
        <w:rPr>
          <w:rFonts w:cstheme="minorHAnsi"/>
          <w:bCs/>
        </w:rPr>
      </w:pPr>
      <w:r w:rsidRPr="00322559">
        <w:rPr>
          <w:rFonts w:cstheme="minorHAnsi"/>
          <w:bCs/>
        </w:rPr>
        <w:t>Od roku 2023 budú údaje o predpísanom poistnom zrejme dostupné iba z výkazu S.05, ktorého pracovná verzia je priložená</w:t>
      </w:r>
      <w:r w:rsidR="00245519" w:rsidRPr="00322559">
        <w:rPr>
          <w:rFonts w:cstheme="minorHAnsi"/>
          <w:bCs/>
        </w:rPr>
        <w:t>:</w:t>
      </w:r>
    </w:p>
    <w:p w14:paraId="1EB3FA30" w14:textId="77777777" w:rsidR="00262158" w:rsidRPr="00322559" w:rsidRDefault="00262158" w:rsidP="00744709">
      <w:pPr>
        <w:pStyle w:val="Odsekzoznamu"/>
        <w:spacing w:after="0" w:line="240" w:lineRule="auto"/>
        <w:ind w:left="0"/>
        <w:jc w:val="both"/>
        <w:rPr>
          <w:rFonts w:cstheme="minorHAnsi"/>
          <w:bCs/>
        </w:rPr>
      </w:pPr>
    </w:p>
    <w:bookmarkStart w:id="1" w:name="_MON_1711356320"/>
    <w:bookmarkEnd w:id="1"/>
    <w:p w14:paraId="691BEBCA" w14:textId="31F68744" w:rsidR="00830B92" w:rsidRPr="00322559" w:rsidRDefault="00262158" w:rsidP="00744709">
      <w:pPr>
        <w:pStyle w:val="Odsekzoznamu"/>
        <w:spacing w:after="0" w:line="240" w:lineRule="auto"/>
        <w:ind w:left="0"/>
        <w:jc w:val="both"/>
        <w:rPr>
          <w:rFonts w:cstheme="minorHAnsi"/>
          <w:bCs/>
          <w:color w:val="FF0000"/>
        </w:rPr>
      </w:pPr>
      <w:r w:rsidRPr="00322559">
        <w:rPr>
          <w:rFonts w:cstheme="minorHAnsi"/>
          <w:bCs/>
          <w:color w:val="FF0000"/>
        </w:rPr>
        <w:object w:dxaOrig="1508" w:dyaOrig="982" w14:anchorId="5EEA9082">
          <v:shape id="_x0000_i1027" type="#_x0000_t75" style="width:75.5pt;height:49pt" o:ole="">
            <v:imagedata r:id="rId10" o:title=""/>
          </v:shape>
          <o:OLEObject Type="Embed" ProgID="Excel.Sheet.12" ShapeID="_x0000_i1027" DrawAspect="Icon" ObjectID="_1711871569" r:id="rId11"/>
        </w:object>
      </w:r>
    </w:p>
    <w:p w14:paraId="59B0085B" w14:textId="6382DD2B" w:rsidR="00262158" w:rsidRPr="00322559" w:rsidRDefault="00262158" w:rsidP="00744709">
      <w:pPr>
        <w:pStyle w:val="Odsekzoznamu"/>
        <w:spacing w:after="0" w:line="240" w:lineRule="auto"/>
        <w:ind w:left="0"/>
        <w:jc w:val="both"/>
        <w:rPr>
          <w:rFonts w:cstheme="minorHAnsi"/>
          <w:bCs/>
          <w:color w:val="FF0000"/>
        </w:rPr>
      </w:pPr>
    </w:p>
    <w:p w14:paraId="63E41669" w14:textId="34A4ED09" w:rsidR="00245519" w:rsidRPr="00322559" w:rsidRDefault="00245519" w:rsidP="00744709">
      <w:pPr>
        <w:pStyle w:val="Odsekzoznamu"/>
        <w:spacing w:after="0" w:line="240" w:lineRule="auto"/>
        <w:ind w:left="0"/>
        <w:jc w:val="both"/>
        <w:rPr>
          <w:rFonts w:cstheme="minorHAnsi"/>
          <w:bCs/>
        </w:rPr>
      </w:pPr>
      <w:proofErr w:type="spellStart"/>
      <w:r w:rsidRPr="00322559">
        <w:rPr>
          <w:rFonts w:cstheme="minorHAnsi"/>
          <w:bCs/>
        </w:rPr>
        <w:t>P.Bachniček</w:t>
      </w:r>
      <w:proofErr w:type="spellEnd"/>
      <w:r w:rsidRPr="00322559">
        <w:rPr>
          <w:rFonts w:cstheme="minorHAnsi"/>
          <w:bCs/>
        </w:rPr>
        <w:t xml:space="preserve"> navrhol, aby od roku 2023 boli štatistiky SLASPO a určovanie trhových podielov boli postavené na výkaze S.05, ktorý by na SLASPO štvrťročne posielali všetci členovia SLASPO. Pre poisťovne by to nemal byť problém, otázna je dostupnosť údajov za pobočky poisťovní iných členských štátov.</w:t>
      </w:r>
      <w:r w:rsidR="00F714E1" w:rsidRPr="00322559">
        <w:rPr>
          <w:rFonts w:cstheme="minorHAnsi"/>
          <w:bCs/>
        </w:rPr>
        <w:t xml:space="preserve">  Pokiaľ by bol problém pre pobočky posielať celý výkaz, minimálne by mali zabezpečiť vyplnené žlté položky a tie, ktoré majú aj aktívne zaistenie, aj oranžové položky.</w:t>
      </w:r>
      <w:r w:rsidR="00E971CB" w:rsidRPr="00322559">
        <w:rPr>
          <w:rFonts w:cstheme="minorHAnsi"/>
          <w:bCs/>
        </w:rPr>
        <w:t xml:space="preserve"> Členovia Ekonomickej sekcie vyjadrili súhlas so zbieraním údajov tejto podobe od roku 2023.</w:t>
      </w:r>
    </w:p>
    <w:p w14:paraId="0732069A" w14:textId="5541320F" w:rsidR="00E971CB" w:rsidRPr="00322559" w:rsidRDefault="00262158" w:rsidP="00744709">
      <w:pPr>
        <w:pStyle w:val="Odsekzoznamu"/>
        <w:spacing w:after="0" w:line="240" w:lineRule="auto"/>
        <w:ind w:left="0"/>
        <w:jc w:val="both"/>
        <w:rPr>
          <w:rFonts w:cstheme="minorHAnsi"/>
          <w:bCs/>
        </w:rPr>
      </w:pPr>
      <w:r w:rsidRPr="00322559">
        <w:rPr>
          <w:rFonts w:cstheme="minorHAnsi"/>
          <w:bCs/>
        </w:rPr>
        <w:t xml:space="preserve">Zástupcovia pobočiek poisťovní iných členských štátov sa vyjadrili, že </w:t>
      </w:r>
      <w:r w:rsidR="003A4640" w:rsidRPr="00322559">
        <w:rPr>
          <w:rFonts w:cstheme="minorHAnsi"/>
          <w:bCs/>
        </w:rPr>
        <w:t>sa pokúsia uvedené údaje zabezpečiť, ale definitívne sa vyjadria až po konzultácií so svojimi zriaďovateľmi.</w:t>
      </w:r>
      <w:r w:rsidR="00E971CB" w:rsidRPr="00322559">
        <w:rPr>
          <w:rFonts w:cstheme="minorHAnsi"/>
          <w:bCs/>
        </w:rPr>
        <w:t xml:space="preserve"> Niektoré údaje však možno budú dostupné iba formou kvalifikovaného odhadu. </w:t>
      </w:r>
    </w:p>
    <w:p w14:paraId="412A4B9B" w14:textId="77777777" w:rsidR="00D84D83" w:rsidRPr="00322559" w:rsidRDefault="00D84D83" w:rsidP="00744709">
      <w:pPr>
        <w:pStyle w:val="Odsekzoznamu"/>
        <w:spacing w:after="0" w:line="240" w:lineRule="auto"/>
        <w:ind w:left="0"/>
        <w:jc w:val="both"/>
        <w:rPr>
          <w:rFonts w:cstheme="minorHAnsi"/>
          <w:bCs/>
        </w:rPr>
      </w:pPr>
    </w:p>
    <w:p w14:paraId="7B1B593E" w14:textId="5F321B5D" w:rsidR="003A4640" w:rsidRPr="00322559" w:rsidRDefault="003A4640" w:rsidP="00744709">
      <w:pPr>
        <w:pStyle w:val="Odsekzoznamu"/>
        <w:spacing w:after="0" w:line="240" w:lineRule="auto"/>
        <w:ind w:left="0"/>
        <w:jc w:val="both"/>
        <w:rPr>
          <w:rFonts w:cstheme="minorHAnsi"/>
          <w:b/>
          <w:highlight w:val="yellow"/>
        </w:rPr>
      </w:pPr>
      <w:r w:rsidRPr="00322559">
        <w:rPr>
          <w:rFonts w:cstheme="minorHAnsi"/>
          <w:b/>
          <w:highlight w:val="yellow"/>
        </w:rPr>
        <w:t>Úloha č.3</w:t>
      </w:r>
    </w:p>
    <w:p w14:paraId="2BAC817C" w14:textId="67288720" w:rsidR="00D157E9" w:rsidRPr="00322559" w:rsidRDefault="00E971CB" w:rsidP="00744709">
      <w:pPr>
        <w:pStyle w:val="Odsekzoznamu"/>
        <w:spacing w:after="0" w:line="240" w:lineRule="auto"/>
        <w:ind w:left="0"/>
        <w:jc w:val="both"/>
        <w:rPr>
          <w:rFonts w:cstheme="minorHAnsi"/>
          <w:b/>
        </w:rPr>
      </w:pPr>
      <w:r w:rsidRPr="00322559">
        <w:rPr>
          <w:rFonts w:cstheme="minorHAnsi"/>
          <w:b/>
          <w:highlight w:val="yellow"/>
        </w:rPr>
        <w:t xml:space="preserve">Zástupcovia pobočiek poisťovní iných členských štátov oznámia do 13.5.2022 SLASPO, či budú schopní posielať štvrťročne kompletné údaje v štruktúre výkazu </w:t>
      </w:r>
      <w:r w:rsidR="00D84D83" w:rsidRPr="00322559">
        <w:rPr>
          <w:rFonts w:cstheme="minorHAnsi"/>
          <w:b/>
          <w:highlight w:val="yellow"/>
        </w:rPr>
        <w:t>S.05. (prípadne iba žlté a oranžové položky)</w:t>
      </w:r>
      <w:r w:rsidR="000F5893" w:rsidRPr="00322559">
        <w:rPr>
          <w:rFonts w:cstheme="minorHAnsi"/>
          <w:b/>
        </w:rPr>
        <w:t>.</w:t>
      </w:r>
    </w:p>
    <w:p w14:paraId="1436FB2C" w14:textId="1C4E8DDE" w:rsidR="00152BCF" w:rsidRPr="00322559" w:rsidRDefault="00152BCF" w:rsidP="00744709">
      <w:pPr>
        <w:pStyle w:val="Odsekzoznamu"/>
        <w:spacing w:after="0" w:line="240" w:lineRule="auto"/>
        <w:ind w:left="0"/>
        <w:jc w:val="both"/>
        <w:rPr>
          <w:rFonts w:cstheme="minorHAnsi"/>
          <w:bCs/>
        </w:rPr>
      </w:pPr>
    </w:p>
    <w:p w14:paraId="0CA5510C" w14:textId="72B6D561" w:rsidR="00152BCF" w:rsidRPr="00322559" w:rsidRDefault="00152BCF" w:rsidP="00744709">
      <w:pPr>
        <w:pStyle w:val="Odsekzoznamu"/>
        <w:spacing w:after="0" w:line="240" w:lineRule="auto"/>
        <w:ind w:left="0"/>
        <w:jc w:val="both"/>
        <w:rPr>
          <w:rFonts w:cstheme="minorHAnsi"/>
          <w:bCs/>
          <w:u w:val="single"/>
        </w:rPr>
      </w:pPr>
      <w:r w:rsidRPr="00322559">
        <w:rPr>
          <w:rFonts w:cstheme="minorHAnsi"/>
          <w:bCs/>
          <w:u w:val="single"/>
        </w:rPr>
        <w:t>Stanovenie podielu na trhu</w:t>
      </w:r>
    </w:p>
    <w:p w14:paraId="6B24CCB1" w14:textId="469C1027" w:rsidR="00B93AD0" w:rsidRPr="00322559" w:rsidRDefault="00B93AD0" w:rsidP="00744709">
      <w:pPr>
        <w:pStyle w:val="Odsekzoznamu"/>
        <w:spacing w:after="0" w:line="240" w:lineRule="auto"/>
        <w:ind w:left="0"/>
        <w:jc w:val="both"/>
        <w:rPr>
          <w:rFonts w:cstheme="minorHAnsi"/>
          <w:bCs/>
        </w:rPr>
      </w:pPr>
      <w:r w:rsidRPr="00322559">
        <w:rPr>
          <w:rFonts w:cstheme="minorHAnsi"/>
          <w:bCs/>
        </w:rPr>
        <w:t xml:space="preserve">NBS zatiaľ neplánuje od pobočiek poisťovní iných členských štátov zbierať od roku 2023 údaje o predpísanom poistnom. </w:t>
      </w:r>
      <w:r w:rsidR="00F57F1F" w:rsidRPr="00322559">
        <w:rPr>
          <w:rFonts w:cstheme="minorHAnsi"/>
          <w:bCs/>
        </w:rPr>
        <w:t>Z</w:t>
      </w:r>
      <w:r w:rsidRPr="00322559">
        <w:rPr>
          <w:rFonts w:cstheme="minorHAnsi"/>
          <w:bCs/>
        </w:rPr>
        <w:t xml:space="preserve">a </w:t>
      </w:r>
      <w:r w:rsidR="00F57F1F" w:rsidRPr="00322559">
        <w:rPr>
          <w:rFonts w:cstheme="minorHAnsi"/>
          <w:bCs/>
        </w:rPr>
        <w:t>pobočky, ktoré nie sú členmi SLASPO, nebudú údaje o predpísanom poistnom dostupné skôr, než ich dodá NBS EIOPA, čo býva v 10.-11.mesiaci po skončení kalendárneho roka. Dovtedy bude môcť SLASPO zverejňovať iba údaje o podieloch na trhu v rámci SLASPO</w:t>
      </w:r>
      <w:r w:rsidR="000E4AD7" w:rsidRPr="00322559">
        <w:rPr>
          <w:rFonts w:cstheme="minorHAnsi"/>
          <w:bCs/>
        </w:rPr>
        <w:t>, resp. po získaní agregovaného výkazu S.05 za poisťovne bude môcť stanoviť podiely za časť trhu, ktorý sa skladá zo všetkých poisťovní na trhu a pobočiek poisťovní iných členských štátov, ktoré sú členmi SLASPO.</w:t>
      </w:r>
    </w:p>
    <w:p w14:paraId="600AFD07" w14:textId="2099D06F" w:rsidR="00F57F1F" w:rsidRPr="00322559" w:rsidRDefault="00F57F1F" w:rsidP="00744709">
      <w:pPr>
        <w:pStyle w:val="Odsekzoznamu"/>
        <w:spacing w:after="0" w:line="240" w:lineRule="auto"/>
        <w:ind w:left="0"/>
        <w:jc w:val="both"/>
        <w:rPr>
          <w:rFonts w:cstheme="minorHAnsi"/>
          <w:bCs/>
        </w:rPr>
      </w:pPr>
    </w:p>
    <w:p w14:paraId="47DDF276" w14:textId="54AA93C6" w:rsidR="00F57F1F" w:rsidRPr="00322559" w:rsidRDefault="005E55DC" w:rsidP="00744709">
      <w:pPr>
        <w:pStyle w:val="Odsekzoznamu"/>
        <w:spacing w:after="0" w:line="240" w:lineRule="auto"/>
        <w:ind w:left="0"/>
        <w:jc w:val="both"/>
        <w:rPr>
          <w:rFonts w:cstheme="minorHAnsi"/>
          <w:bCs/>
        </w:rPr>
      </w:pPr>
      <w:r w:rsidRPr="00322559">
        <w:rPr>
          <w:rFonts w:cstheme="minorHAnsi"/>
          <w:bCs/>
        </w:rPr>
        <w:t xml:space="preserve">V súčasnosti sa podiel na trhu stanovuje na základe technického poistného, ktoré vychádza z účtovných údajov (vrátane členenia na životné a neživotné poistenia). Vo výkaze S05. je však členenie na životné a neživotné poistenia odlišné od členenia v účtovníctve, preto dôjde </w:t>
      </w:r>
      <w:r w:rsidR="005A0BA5" w:rsidRPr="00322559">
        <w:rPr>
          <w:rFonts w:cstheme="minorHAnsi"/>
          <w:bCs/>
        </w:rPr>
        <w:t xml:space="preserve">u členov SLASPO </w:t>
      </w:r>
      <w:r w:rsidRPr="00322559">
        <w:rPr>
          <w:rFonts w:cstheme="minorHAnsi"/>
          <w:bCs/>
        </w:rPr>
        <w:t>k</w:t>
      </w:r>
      <w:r w:rsidR="005A0BA5" w:rsidRPr="00322559">
        <w:rPr>
          <w:rFonts w:cstheme="minorHAnsi"/>
          <w:bCs/>
        </w:rPr>
        <w:t> </w:t>
      </w:r>
      <w:r w:rsidRPr="00322559">
        <w:rPr>
          <w:rFonts w:cstheme="minorHAnsi"/>
          <w:bCs/>
        </w:rPr>
        <w:t>zmene</w:t>
      </w:r>
      <w:r w:rsidR="005A0BA5" w:rsidRPr="00322559">
        <w:rPr>
          <w:rFonts w:cstheme="minorHAnsi"/>
          <w:bCs/>
        </w:rPr>
        <w:t xml:space="preserve"> v podieloch na trhu v životnom a neživotnom poistení. Ak v S.05 nedôjde k zmene a bude sa naďalej vykazovať aj poistné za investičné kontrakty</w:t>
      </w:r>
      <w:r w:rsidR="00E33A28" w:rsidRPr="00322559">
        <w:rPr>
          <w:rFonts w:cstheme="minorHAnsi"/>
          <w:bCs/>
        </w:rPr>
        <w:t xml:space="preserve"> podľa IFRS 4, celková výška poistného podľa S.05 by sa mala zodpovedať súčasnému technickému poistnému.</w:t>
      </w:r>
      <w:r w:rsidR="00D37F66" w:rsidRPr="00322559">
        <w:rPr>
          <w:rFonts w:cstheme="minorHAnsi"/>
          <w:bCs/>
        </w:rPr>
        <w:t xml:space="preserve"> Jedinou výnimkou bude spoločnosť </w:t>
      </w:r>
      <w:proofErr w:type="spellStart"/>
      <w:r w:rsidR="00D37F66" w:rsidRPr="00322559">
        <w:rPr>
          <w:rFonts w:cstheme="minorHAnsi"/>
          <w:bCs/>
        </w:rPr>
        <w:t>Metlife</w:t>
      </w:r>
      <w:proofErr w:type="spellEnd"/>
      <w:r w:rsidR="00D37F66" w:rsidRPr="00322559">
        <w:rPr>
          <w:rFonts w:cstheme="minorHAnsi"/>
          <w:bCs/>
        </w:rPr>
        <w:t xml:space="preserve">, ktorá ako jediná vykazuje  vyššie poistné v súčasnom VÚP(Bil) než v S.05.01.  Podiel na trhu počítaný z údajov podľa S.05 bude pre </w:t>
      </w:r>
      <w:proofErr w:type="spellStart"/>
      <w:r w:rsidR="00D37F66" w:rsidRPr="00322559">
        <w:rPr>
          <w:rFonts w:cstheme="minorHAnsi"/>
          <w:bCs/>
        </w:rPr>
        <w:t>Metlife</w:t>
      </w:r>
      <w:proofErr w:type="spellEnd"/>
      <w:r w:rsidR="00D37F66" w:rsidRPr="00322559">
        <w:rPr>
          <w:rFonts w:cstheme="minorHAnsi"/>
          <w:bCs/>
        </w:rPr>
        <w:t xml:space="preserve"> nižší.</w:t>
      </w:r>
    </w:p>
    <w:p w14:paraId="367CF632" w14:textId="72FDAD15" w:rsidR="007B4F04" w:rsidRPr="00322559" w:rsidRDefault="007B4F04" w:rsidP="00744709">
      <w:pPr>
        <w:pStyle w:val="Odsekzoznamu"/>
        <w:spacing w:after="0" w:line="240" w:lineRule="auto"/>
        <w:ind w:left="0"/>
        <w:jc w:val="both"/>
        <w:rPr>
          <w:rFonts w:cstheme="minorHAnsi"/>
          <w:bCs/>
        </w:rPr>
      </w:pPr>
    </w:p>
    <w:p w14:paraId="08E6056E" w14:textId="24443685" w:rsidR="007B4F04" w:rsidRPr="00322559" w:rsidRDefault="007B4F04" w:rsidP="00744709">
      <w:pPr>
        <w:pStyle w:val="Odsekzoznamu"/>
        <w:spacing w:after="0" w:line="240" w:lineRule="auto"/>
        <w:ind w:left="0"/>
        <w:jc w:val="both"/>
        <w:rPr>
          <w:rFonts w:cstheme="minorHAnsi"/>
          <w:bCs/>
        </w:rPr>
      </w:pPr>
      <w:r w:rsidRPr="00322559">
        <w:rPr>
          <w:rFonts w:cstheme="minorHAnsi"/>
          <w:bCs/>
        </w:rPr>
        <w:t>Pokiaľ budú dostupné údaje od pobočiek spomínané vyššie, navrhujeme od roku 2023 počítať podiely v rámci SLASPO (koncom roka aj na trhu) za nasledujúce skupiny (podľa výkazu S.05):</w:t>
      </w:r>
    </w:p>
    <w:p w14:paraId="67EC4004" w14:textId="6D60C007" w:rsidR="007B4F04" w:rsidRPr="00322559" w:rsidRDefault="007B4F04" w:rsidP="00744709">
      <w:pPr>
        <w:pStyle w:val="Odsekzoznamu"/>
        <w:spacing w:after="0" w:line="240" w:lineRule="auto"/>
        <w:ind w:left="0"/>
        <w:jc w:val="both"/>
        <w:rPr>
          <w:rFonts w:cstheme="minorHAnsi"/>
          <w:bCs/>
        </w:rPr>
      </w:pPr>
    </w:p>
    <w:p w14:paraId="33B3BFEF" w14:textId="77D3BD23" w:rsidR="007B4F04" w:rsidRPr="00322559" w:rsidRDefault="007B4F04" w:rsidP="00744709">
      <w:pPr>
        <w:pStyle w:val="Odsekzoznamu"/>
        <w:numPr>
          <w:ilvl w:val="0"/>
          <w:numId w:val="16"/>
        </w:numPr>
        <w:spacing w:after="0" w:line="240" w:lineRule="auto"/>
        <w:jc w:val="both"/>
        <w:rPr>
          <w:rFonts w:cstheme="minorHAnsi"/>
          <w:bCs/>
        </w:rPr>
      </w:pPr>
      <w:r w:rsidRPr="00322559">
        <w:rPr>
          <w:rFonts w:cstheme="minorHAnsi"/>
          <w:bCs/>
        </w:rPr>
        <w:t>Životné poistenie (bez AZ)</w:t>
      </w:r>
    </w:p>
    <w:p w14:paraId="110BE0A7" w14:textId="48CB5EBA" w:rsidR="007B4F04" w:rsidRPr="00322559" w:rsidRDefault="007B4F04" w:rsidP="00744709">
      <w:pPr>
        <w:pStyle w:val="Odsekzoznamu"/>
        <w:numPr>
          <w:ilvl w:val="0"/>
          <w:numId w:val="16"/>
        </w:numPr>
        <w:spacing w:after="0" w:line="240" w:lineRule="auto"/>
        <w:jc w:val="both"/>
        <w:rPr>
          <w:rFonts w:cstheme="minorHAnsi"/>
          <w:bCs/>
        </w:rPr>
      </w:pPr>
      <w:r w:rsidRPr="00322559">
        <w:rPr>
          <w:rFonts w:cstheme="minorHAnsi"/>
          <w:bCs/>
        </w:rPr>
        <w:t>Neživotné poistenie (bez AZ)</w:t>
      </w:r>
    </w:p>
    <w:p w14:paraId="3CFDE508" w14:textId="1BA087EA" w:rsidR="007B4F04" w:rsidRPr="00322559" w:rsidRDefault="007B4F04" w:rsidP="00744709">
      <w:pPr>
        <w:pStyle w:val="Odsekzoznamu"/>
        <w:numPr>
          <w:ilvl w:val="0"/>
          <w:numId w:val="16"/>
        </w:numPr>
        <w:spacing w:after="0" w:line="240" w:lineRule="auto"/>
        <w:jc w:val="both"/>
        <w:rPr>
          <w:rFonts w:cstheme="minorHAnsi"/>
          <w:bCs/>
        </w:rPr>
      </w:pPr>
      <w:r w:rsidRPr="00322559">
        <w:rPr>
          <w:rFonts w:cstheme="minorHAnsi"/>
          <w:bCs/>
        </w:rPr>
        <w:t xml:space="preserve">Životné </w:t>
      </w:r>
      <w:r w:rsidRPr="00322559">
        <w:rPr>
          <w:rFonts w:cstheme="minorHAnsi"/>
          <w:bCs/>
          <w:lang w:val="en-US"/>
        </w:rPr>
        <w:t xml:space="preserve">+ </w:t>
      </w:r>
      <w:r w:rsidRPr="00322559">
        <w:rPr>
          <w:rFonts w:cstheme="minorHAnsi"/>
          <w:bCs/>
        </w:rPr>
        <w:t>neživotné poistenie bez AZ</w:t>
      </w:r>
    </w:p>
    <w:p w14:paraId="0B47E90D" w14:textId="45D6E965" w:rsidR="007B4F04" w:rsidRPr="00322559" w:rsidRDefault="007B4F04" w:rsidP="00744709">
      <w:pPr>
        <w:pStyle w:val="Odsekzoznamu"/>
        <w:numPr>
          <w:ilvl w:val="0"/>
          <w:numId w:val="16"/>
        </w:numPr>
        <w:spacing w:after="0" w:line="240" w:lineRule="auto"/>
        <w:jc w:val="both"/>
        <w:rPr>
          <w:rFonts w:cstheme="minorHAnsi"/>
          <w:bCs/>
        </w:rPr>
      </w:pPr>
      <w:r w:rsidRPr="00322559">
        <w:rPr>
          <w:rFonts w:cstheme="minorHAnsi"/>
          <w:bCs/>
        </w:rPr>
        <w:t xml:space="preserve">Životné poistenie </w:t>
      </w:r>
      <w:r w:rsidR="007D0D32" w:rsidRPr="00322559">
        <w:rPr>
          <w:rFonts w:cstheme="minorHAnsi"/>
          <w:bCs/>
        </w:rPr>
        <w:t xml:space="preserve">vrátane </w:t>
      </w:r>
      <w:r w:rsidRPr="00322559">
        <w:rPr>
          <w:rFonts w:cstheme="minorHAnsi"/>
          <w:bCs/>
        </w:rPr>
        <w:t xml:space="preserve"> AZ</w:t>
      </w:r>
    </w:p>
    <w:p w14:paraId="348FC141" w14:textId="77777777" w:rsidR="007D0D32" w:rsidRPr="00322559" w:rsidRDefault="007B4F04" w:rsidP="00744709">
      <w:pPr>
        <w:pStyle w:val="Odsekzoznamu"/>
        <w:numPr>
          <w:ilvl w:val="0"/>
          <w:numId w:val="16"/>
        </w:numPr>
        <w:spacing w:after="0" w:line="240" w:lineRule="auto"/>
        <w:jc w:val="both"/>
        <w:rPr>
          <w:rFonts w:cstheme="minorHAnsi"/>
          <w:bCs/>
        </w:rPr>
      </w:pPr>
      <w:r w:rsidRPr="00322559">
        <w:rPr>
          <w:rFonts w:cstheme="minorHAnsi"/>
          <w:bCs/>
        </w:rPr>
        <w:t xml:space="preserve">Neživotné poistenie </w:t>
      </w:r>
      <w:r w:rsidR="007D0D32" w:rsidRPr="00322559">
        <w:rPr>
          <w:rFonts w:cstheme="minorHAnsi"/>
          <w:bCs/>
        </w:rPr>
        <w:t>vrátane  AZ</w:t>
      </w:r>
    </w:p>
    <w:p w14:paraId="3F0D3B0D" w14:textId="77777777" w:rsidR="007D0D32" w:rsidRPr="00322559" w:rsidRDefault="007B4F04" w:rsidP="00744709">
      <w:pPr>
        <w:pStyle w:val="Odsekzoznamu"/>
        <w:numPr>
          <w:ilvl w:val="0"/>
          <w:numId w:val="16"/>
        </w:numPr>
        <w:spacing w:after="0" w:line="240" w:lineRule="auto"/>
        <w:jc w:val="both"/>
        <w:rPr>
          <w:rFonts w:cstheme="minorHAnsi"/>
          <w:bCs/>
        </w:rPr>
      </w:pPr>
      <w:r w:rsidRPr="00322559">
        <w:rPr>
          <w:rFonts w:cstheme="minorHAnsi"/>
          <w:bCs/>
        </w:rPr>
        <w:t xml:space="preserve">Životné </w:t>
      </w:r>
      <w:r w:rsidRPr="00322559">
        <w:rPr>
          <w:rFonts w:cstheme="minorHAnsi"/>
          <w:bCs/>
          <w:lang w:val="en-US"/>
        </w:rPr>
        <w:t xml:space="preserve">+ </w:t>
      </w:r>
      <w:r w:rsidRPr="00322559">
        <w:rPr>
          <w:rFonts w:cstheme="minorHAnsi"/>
          <w:bCs/>
        </w:rPr>
        <w:t xml:space="preserve">neživotné poistenie </w:t>
      </w:r>
      <w:r w:rsidR="007D0D32" w:rsidRPr="00322559">
        <w:rPr>
          <w:rFonts w:cstheme="minorHAnsi"/>
          <w:bCs/>
        </w:rPr>
        <w:t>vrátane  AZ</w:t>
      </w:r>
    </w:p>
    <w:p w14:paraId="438D6E98" w14:textId="799F3FAE" w:rsidR="007B4F04" w:rsidRPr="00322559" w:rsidRDefault="007B4F04" w:rsidP="00744709">
      <w:pPr>
        <w:pStyle w:val="Odsekzoznamu"/>
        <w:spacing w:after="0" w:line="240" w:lineRule="auto"/>
        <w:jc w:val="both"/>
        <w:rPr>
          <w:rFonts w:cstheme="minorHAnsi"/>
          <w:bCs/>
        </w:rPr>
      </w:pPr>
    </w:p>
    <w:p w14:paraId="502FD358" w14:textId="653BBC84" w:rsidR="008353B4" w:rsidRPr="00322559" w:rsidRDefault="000E4AD7" w:rsidP="000E4AD7">
      <w:pPr>
        <w:spacing w:after="0" w:line="240" w:lineRule="auto"/>
        <w:jc w:val="both"/>
        <w:rPr>
          <w:rFonts w:cstheme="minorHAnsi"/>
          <w:bCs/>
        </w:rPr>
      </w:pPr>
      <w:r w:rsidRPr="00322559">
        <w:rPr>
          <w:rFonts w:cstheme="minorHAnsi"/>
          <w:bCs/>
        </w:rPr>
        <w:t>Členovia Ekonomickej sekcie vyjadrili súhlas s takýmto stanovením podielov na trhu.</w:t>
      </w:r>
      <w:r w:rsidR="008353B4" w:rsidRPr="00322559">
        <w:rPr>
          <w:rFonts w:cstheme="minorHAnsi"/>
          <w:bCs/>
        </w:rPr>
        <w:t xml:space="preserve"> Po získaní definitívnych údajov za rok 2021 p. </w:t>
      </w:r>
      <w:proofErr w:type="spellStart"/>
      <w:r w:rsidR="008353B4" w:rsidRPr="00322559">
        <w:rPr>
          <w:rFonts w:cstheme="minorHAnsi"/>
          <w:bCs/>
        </w:rPr>
        <w:t>Bachniček</w:t>
      </w:r>
      <w:proofErr w:type="spellEnd"/>
      <w:r w:rsidR="008353B4" w:rsidRPr="00322559">
        <w:rPr>
          <w:rFonts w:cstheme="minorHAnsi"/>
          <w:bCs/>
        </w:rPr>
        <w:t xml:space="preserve"> pripraví v priebehu júla údaje o podieloch na trhu za rok 2021 podľa tejto štruktúry.</w:t>
      </w:r>
    </w:p>
    <w:p w14:paraId="6C6D8F13" w14:textId="77777777" w:rsidR="008353B4" w:rsidRPr="00322559" w:rsidRDefault="008353B4" w:rsidP="000E4AD7">
      <w:pPr>
        <w:spacing w:after="0" w:line="240" w:lineRule="auto"/>
        <w:jc w:val="both"/>
        <w:rPr>
          <w:rFonts w:cstheme="minorHAnsi"/>
          <w:bCs/>
        </w:rPr>
      </w:pPr>
    </w:p>
    <w:p w14:paraId="20853339" w14:textId="245FD7CB" w:rsidR="000B788E" w:rsidRPr="00322559" w:rsidRDefault="000B788E" w:rsidP="00744709">
      <w:pPr>
        <w:spacing w:after="0" w:line="240" w:lineRule="auto"/>
        <w:jc w:val="both"/>
        <w:rPr>
          <w:rFonts w:cstheme="minorHAnsi"/>
          <w:bCs/>
        </w:rPr>
      </w:pPr>
      <w:r w:rsidRPr="00322559">
        <w:rPr>
          <w:rFonts w:cstheme="minorHAnsi"/>
          <w:bCs/>
        </w:rPr>
        <w:t xml:space="preserve">Pre účely stanovenia výšky príspevkov pre SLASPO </w:t>
      </w:r>
      <w:r w:rsidR="008353B4" w:rsidRPr="00322559">
        <w:rPr>
          <w:rFonts w:cstheme="minorHAnsi"/>
          <w:bCs/>
        </w:rPr>
        <w:t xml:space="preserve">p. </w:t>
      </w:r>
      <w:proofErr w:type="spellStart"/>
      <w:r w:rsidR="008353B4" w:rsidRPr="00322559">
        <w:rPr>
          <w:rFonts w:cstheme="minorHAnsi"/>
          <w:bCs/>
        </w:rPr>
        <w:t>Bachniček</w:t>
      </w:r>
      <w:proofErr w:type="spellEnd"/>
      <w:r w:rsidR="008353B4" w:rsidRPr="00322559">
        <w:rPr>
          <w:rFonts w:cstheme="minorHAnsi"/>
          <w:bCs/>
        </w:rPr>
        <w:t xml:space="preserve"> </w:t>
      </w:r>
      <w:r w:rsidRPr="00322559">
        <w:rPr>
          <w:rFonts w:cstheme="minorHAnsi"/>
          <w:bCs/>
        </w:rPr>
        <w:t>navr</w:t>
      </w:r>
      <w:r w:rsidR="008353B4" w:rsidRPr="00322559">
        <w:rPr>
          <w:rFonts w:cstheme="minorHAnsi"/>
          <w:bCs/>
        </w:rPr>
        <w:t xml:space="preserve">hol </w:t>
      </w:r>
      <w:r w:rsidRPr="00322559">
        <w:rPr>
          <w:rFonts w:cstheme="minorHAnsi"/>
          <w:bCs/>
        </w:rPr>
        <w:t xml:space="preserve">použiť podiely na trhu </w:t>
      </w:r>
      <w:r w:rsidR="008353B4" w:rsidRPr="00322559">
        <w:rPr>
          <w:rFonts w:cstheme="minorHAnsi"/>
          <w:bCs/>
        </w:rPr>
        <w:t xml:space="preserve">podľa bodu </w:t>
      </w:r>
      <w:r w:rsidRPr="00322559">
        <w:rPr>
          <w:rFonts w:cstheme="minorHAnsi"/>
          <w:bCs/>
        </w:rPr>
        <w:t xml:space="preserve">6. Životné </w:t>
      </w:r>
      <w:r w:rsidRPr="00322559">
        <w:rPr>
          <w:rFonts w:cstheme="minorHAnsi"/>
          <w:bCs/>
          <w:lang w:val="en-US"/>
        </w:rPr>
        <w:t xml:space="preserve">+ </w:t>
      </w:r>
      <w:r w:rsidRPr="00322559">
        <w:rPr>
          <w:rFonts w:cstheme="minorHAnsi"/>
          <w:bCs/>
        </w:rPr>
        <w:t>neživotné poistenie vrátane  AZ, ktoré sú najbližšie k súčasnému stavu.</w:t>
      </w:r>
      <w:r w:rsidR="008353B4" w:rsidRPr="00322559">
        <w:rPr>
          <w:rFonts w:cstheme="minorHAnsi"/>
          <w:bCs/>
        </w:rPr>
        <w:t xml:space="preserve"> Členovia Ekonomickej sekcie s týmto návrhom vyslovili súhlas.</w:t>
      </w:r>
    </w:p>
    <w:p w14:paraId="1F50CBF7" w14:textId="77777777" w:rsidR="008353B4" w:rsidRPr="00322559" w:rsidRDefault="008353B4" w:rsidP="00744709">
      <w:pPr>
        <w:spacing w:after="0" w:line="240" w:lineRule="auto"/>
        <w:jc w:val="both"/>
        <w:rPr>
          <w:rFonts w:cstheme="minorHAnsi"/>
          <w:bCs/>
        </w:rPr>
      </w:pPr>
    </w:p>
    <w:p w14:paraId="29BAFBB6" w14:textId="727F3B81" w:rsidR="000B788E" w:rsidRPr="00322559" w:rsidRDefault="00DD2953" w:rsidP="00744709">
      <w:pPr>
        <w:spacing w:after="0" w:line="240" w:lineRule="auto"/>
        <w:jc w:val="both"/>
        <w:rPr>
          <w:rFonts w:cstheme="minorHAnsi"/>
          <w:bCs/>
        </w:rPr>
      </w:pPr>
      <w:proofErr w:type="spellStart"/>
      <w:r w:rsidRPr="00322559">
        <w:rPr>
          <w:rFonts w:cstheme="minorHAnsi"/>
          <w:bCs/>
        </w:rPr>
        <w:t>P.Bachniček</w:t>
      </w:r>
      <w:proofErr w:type="spellEnd"/>
      <w:r w:rsidRPr="00322559">
        <w:rPr>
          <w:rFonts w:cstheme="minorHAnsi"/>
          <w:bCs/>
        </w:rPr>
        <w:t xml:space="preserve"> upozornil, že zmeny v štatistikách a podieloch na trhu budú odsúhlasené zhromaždením SLASPO.</w:t>
      </w:r>
    </w:p>
    <w:p w14:paraId="161AB9A7" w14:textId="77777777" w:rsidR="002B1828" w:rsidRPr="00322559" w:rsidRDefault="002B1828" w:rsidP="00744709">
      <w:pPr>
        <w:spacing w:after="0" w:line="240" w:lineRule="auto"/>
        <w:jc w:val="both"/>
        <w:rPr>
          <w:rFonts w:cstheme="minorHAnsi"/>
          <w:bCs/>
        </w:rPr>
      </w:pPr>
    </w:p>
    <w:p w14:paraId="7C9C549D" w14:textId="4CFD17D8" w:rsidR="00542EDC" w:rsidRPr="00322559" w:rsidRDefault="00542EDC" w:rsidP="00744709">
      <w:pPr>
        <w:pStyle w:val="Odsekzoznamu"/>
        <w:spacing w:after="0" w:line="240" w:lineRule="auto"/>
        <w:ind w:left="0"/>
        <w:jc w:val="both"/>
        <w:rPr>
          <w:rFonts w:cstheme="minorHAnsi"/>
          <w:b/>
        </w:rPr>
      </w:pPr>
      <w:r w:rsidRPr="00322559">
        <w:rPr>
          <w:rFonts w:cstheme="minorHAnsi"/>
          <w:b/>
        </w:rPr>
        <w:t>K bodu 3b)</w:t>
      </w:r>
    </w:p>
    <w:p w14:paraId="2488A465" w14:textId="73F89911" w:rsidR="00542EDC" w:rsidRPr="00322559" w:rsidRDefault="00213E8D" w:rsidP="00744709">
      <w:pPr>
        <w:pStyle w:val="Odsekzoznamu"/>
        <w:spacing w:after="0" w:line="240" w:lineRule="auto"/>
        <w:ind w:left="0"/>
        <w:jc w:val="both"/>
        <w:rPr>
          <w:rFonts w:cstheme="minorHAnsi"/>
          <w:bCs/>
        </w:rPr>
      </w:pPr>
      <w:r w:rsidRPr="00322559">
        <w:rPr>
          <w:rFonts w:cstheme="minorHAnsi"/>
          <w:bCs/>
        </w:rPr>
        <w:t xml:space="preserve">V októbri 2021 predložila NBS do MPK návrh opatrenia, ktorým sa mení a dopĺňa opatrenie NBS č. 1/2016 o predkladaní výkazov, hlásení, prehľadov a iných správ poisťovňou ..., v rámci ktorého navrhuje zaviesť nový výkaz o distribúcii poistenia. </w:t>
      </w:r>
      <w:r w:rsidR="00C82F70" w:rsidRPr="00322559">
        <w:rPr>
          <w:rFonts w:cstheme="minorHAnsi"/>
          <w:bCs/>
        </w:rPr>
        <w:t>Na základe pripomienok bola odložená účinnosť opatrenia (predbežne na 31.12.2022) a pravdepodobne sa za upraví aj štruktúra výkazu</w:t>
      </w:r>
    </w:p>
    <w:p w14:paraId="23151E02" w14:textId="71655C24" w:rsidR="00C82F70" w:rsidRPr="00322559" w:rsidRDefault="00C82F70" w:rsidP="00744709">
      <w:pPr>
        <w:pStyle w:val="Odsekzoznamu"/>
        <w:spacing w:after="0" w:line="240" w:lineRule="auto"/>
        <w:ind w:left="0"/>
        <w:jc w:val="both"/>
        <w:rPr>
          <w:rFonts w:cstheme="minorHAnsi"/>
          <w:bCs/>
        </w:rPr>
      </w:pPr>
      <w:r w:rsidRPr="00322559">
        <w:rPr>
          <w:rFonts w:cstheme="minorHAnsi"/>
          <w:bCs/>
        </w:rPr>
        <w:object w:dxaOrig="1540" w:dyaOrig="996" w14:anchorId="456C938D">
          <v:shape id="_x0000_i1028" type="#_x0000_t75" style="width:77pt;height:49.5pt" o:ole="">
            <v:imagedata r:id="rId12" o:title=""/>
          </v:shape>
          <o:OLEObject Type="Embed" ProgID="Excel.Sheet.12" ShapeID="_x0000_i1028" DrawAspect="Icon" ObjectID="_1711871570" r:id="rId13"/>
        </w:object>
      </w:r>
    </w:p>
    <w:p w14:paraId="5C8ABD75" w14:textId="58DE33FB" w:rsidR="00C82F70" w:rsidRPr="00322559" w:rsidRDefault="00C82F70" w:rsidP="00744709">
      <w:pPr>
        <w:pStyle w:val="Odsekzoznamu"/>
        <w:spacing w:after="0" w:line="240" w:lineRule="auto"/>
        <w:ind w:left="0"/>
        <w:jc w:val="both"/>
        <w:rPr>
          <w:rFonts w:cstheme="minorHAnsi"/>
          <w:bCs/>
        </w:rPr>
      </w:pPr>
      <w:proofErr w:type="spellStart"/>
      <w:r w:rsidRPr="00322559">
        <w:rPr>
          <w:rFonts w:cstheme="minorHAnsi"/>
          <w:bCs/>
        </w:rPr>
        <w:t>P.Bachniček</w:t>
      </w:r>
      <w:proofErr w:type="spellEnd"/>
      <w:r w:rsidRPr="00322559">
        <w:rPr>
          <w:rFonts w:cstheme="minorHAnsi"/>
          <w:bCs/>
        </w:rPr>
        <w:t xml:space="preserve"> navrhol, aby po schválení opatrenia dali členovia SLASPO súhlas pre NBS, aby mohla SLASPO dostávať údaje za svojich členov a v agregovanej podobe ich zverejňovať.</w:t>
      </w:r>
      <w:r w:rsidR="00F233EC" w:rsidRPr="00322559">
        <w:rPr>
          <w:rFonts w:cstheme="minorHAnsi"/>
          <w:bCs/>
        </w:rPr>
        <w:t xml:space="preserve"> V prípade, že NBS poskytne SLASPO agregované údaje za všetky poisťovne na trhu, bude SLASPO zverejňovať údaje za všetky poisťovne. Členovia Ekonomickej sekcie s návrhom súhlasili.</w:t>
      </w:r>
    </w:p>
    <w:p w14:paraId="588CBBB3" w14:textId="72D7D170" w:rsidR="00C82F70" w:rsidRPr="00322559" w:rsidRDefault="00C82F70" w:rsidP="00744709">
      <w:pPr>
        <w:pStyle w:val="Odsekzoznamu"/>
        <w:spacing w:after="0" w:line="240" w:lineRule="auto"/>
        <w:ind w:left="0"/>
        <w:jc w:val="both"/>
        <w:rPr>
          <w:rFonts w:cstheme="minorHAnsi"/>
          <w:bCs/>
        </w:rPr>
      </w:pPr>
      <w:r w:rsidRPr="00322559">
        <w:rPr>
          <w:rFonts w:cstheme="minorHAnsi"/>
          <w:bCs/>
        </w:rPr>
        <w:t xml:space="preserve"> </w:t>
      </w:r>
    </w:p>
    <w:p w14:paraId="776199A6" w14:textId="64AF401C" w:rsidR="000B788E" w:rsidRPr="00322559" w:rsidRDefault="000B788E" w:rsidP="00744709">
      <w:pPr>
        <w:pStyle w:val="Odsekzoznamu"/>
        <w:spacing w:after="0" w:line="240" w:lineRule="auto"/>
        <w:ind w:left="0"/>
        <w:jc w:val="both"/>
        <w:rPr>
          <w:rFonts w:cstheme="minorHAnsi"/>
          <w:bCs/>
        </w:rPr>
      </w:pPr>
    </w:p>
    <w:p w14:paraId="4C2FFA4A" w14:textId="2C3EE65B" w:rsidR="00394DE8" w:rsidRPr="00322559" w:rsidRDefault="00394DE8" w:rsidP="00744709">
      <w:pPr>
        <w:pStyle w:val="Odsekzoznamu"/>
        <w:spacing w:after="0" w:line="240" w:lineRule="auto"/>
        <w:ind w:left="0"/>
        <w:jc w:val="both"/>
        <w:rPr>
          <w:rFonts w:cstheme="minorHAnsi"/>
          <w:b/>
        </w:rPr>
      </w:pPr>
      <w:r w:rsidRPr="00322559">
        <w:rPr>
          <w:rFonts w:cstheme="minorHAnsi"/>
          <w:b/>
        </w:rPr>
        <w:t>K bodu 4</w:t>
      </w:r>
    </w:p>
    <w:p w14:paraId="041801FC" w14:textId="5C56D9FF" w:rsidR="003F1614" w:rsidRPr="00322559" w:rsidRDefault="003F1614" w:rsidP="00744709">
      <w:pPr>
        <w:pStyle w:val="Odsekzoznamu"/>
        <w:spacing w:after="0" w:line="240" w:lineRule="auto"/>
        <w:ind w:left="0"/>
        <w:jc w:val="both"/>
        <w:rPr>
          <w:rFonts w:cstheme="minorHAnsi"/>
          <w:bCs/>
        </w:rPr>
      </w:pPr>
      <w:r w:rsidRPr="00322559">
        <w:rPr>
          <w:rFonts w:cstheme="minorHAnsi"/>
          <w:bCs/>
        </w:rPr>
        <w:t>P.</w:t>
      </w:r>
      <w:r w:rsidR="00FE040B" w:rsidRPr="00322559">
        <w:rPr>
          <w:rFonts w:cstheme="minorHAnsi"/>
          <w:bCs/>
        </w:rPr>
        <w:t xml:space="preserve"> </w:t>
      </w:r>
      <w:proofErr w:type="spellStart"/>
      <w:r w:rsidRPr="00322559">
        <w:rPr>
          <w:rFonts w:cstheme="minorHAnsi"/>
          <w:bCs/>
        </w:rPr>
        <w:t>Bachniček</w:t>
      </w:r>
      <w:proofErr w:type="spellEnd"/>
      <w:r w:rsidRPr="00322559">
        <w:rPr>
          <w:rFonts w:cstheme="minorHAnsi"/>
          <w:bCs/>
        </w:rPr>
        <w:t xml:space="preserve"> informoval, že informácie ohľadom pripravovaného zákona o zasielaní údajov do systému e-faktúra sú priebežne aktualizované na stránke </w:t>
      </w:r>
      <w:hyperlink r:id="rId14" w:history="1">
        <w:r w:rsidRPr="00322559">
          <w:rPr>
            <w:rStyle w:val="Vrazn"/>
            <w:rFonts w:cstheme="minorHAnsi"/>
            <w:color w:val="3D57A7"/>
            <w:u w:val="single"/>
          </w:rPr>
          <w:t>Návrh zákona o faktúre a zasielaní údajov do systému e-faktúra</w:t>
        </w:r>
      </w:hyperlink>
      <w:r w:rsidRPr="00322559">
        <w:rPr>
          <w:rStyle w:val="Vrazn"/>
          <w:rFonts w:cstheme="minorHAnsi"/>
          <w:color w:val="000000"/>
        </w:rPr>
        <w:t xml:space="preserve">.  </w:t>
      </w:r>
      <w:r w:rsidRPr="00322559">
        <w:rPr>
          <w:rStyle w:val="Vrazn"/>
          <w:rFonts w:cstheme="minorHAnsi"/>
          <w:b w:val="0"/>
          <w:bCs w:val="0"/>
          <w:color w:val="000000"/>
        </w:rPr>
        <w:t>Po stretnutí dňa 24.3.2022  so zástupcami MF SR, ktorí opäť odmietli ú</w:t>
      </w:r>
      <w:r w:rsidR="00C71BBA" w:rsidRPr="00322559">
        <w:rPr>
          <w:rStyle w:val="Vrazn"/>
          <w:rFonts w:cstheme="minorHAnsi"/>
          <w:b w:val="0"/>
          <w:bCs w:val="0"/>
          <w:color w:val="000000"/>
        </w:rPr>
        <w:t>plné vyňatie finančných služieb spod zákona</w:t>
      </w:r>
      <w:r w:rsidR="00A90492" w:rsidRPr="00322559">
        <w:rPr>
          <w:rStyle w:val="Vrazn"/>
          <w:rFonts w:cstheme="minorHAnsi"/>
          <w:b w:val="0"/>
          <w:bCs w:val="0"/>
          <w:color w:val="000000"/>
        </w:rPr>
        <w:t>, ale uviedli, že by sa zákon mohol vzťahovať iba na neživotné poistenia</w:t>
      </w:r>
      <w:r w:rsidR="00C71BBA" w:rsidRPr="00322559">
        <w:rPr>
          <w:rStyle w:val="Vrazn"/>
          <w:rFonts w:cstheme="minorHAnsi"/>
          <w:b w:val="0"/>
          <w:bCs w:val="0"/>
          <w:color w:val="000000"/>
        </w:rPr>
        <w:t>, SLASPO zaslala na MF SR návrh, aby povinnosti vyplývajúce z tohto zákona boli splnené zaslaním ročných reportov o neživotných poistných zmluvách právnických osôb a fyzických osôb – podnikateľov  s údajmi v rozsahu, ktoré je poisťovateľ podľa §11 Zákona č. 213/ 2018 o dani z poistenia povinný na požiadanie správcu dane doručiť elektronickými prostriedkami. Zástupcovia MF SR ocenili konštruktívny prístup SLASPO</w:t>
      </w:r>
      <w:r w:rsidR="00A90492" w:rsidRPr="00322559">
        <w:rPr>
          <w:rStyle w:val="Vrazn"/>
          <w:rFonts w:cstheme="minorHAnsi"/>
          <w:b w:val="0"/>
          <w:bCs w:val="0"/>
          <w:color w:val="000000"/>
        </w:rPr>
        <w:t>, definitívne rozhodnutie však bude na vedení MF SR.</w:t>
      </w:r>
    </w:p>
    <w:p w14:paraId="323B6603" w14:textId="5BE067D9" w:rsidR="00394DE8" w:rsidRPr="00322559" w:rsidRDefault="00394DE8" w:rsidP="00744709">
      <w:pPr>
        <w:pStyle w:val="Odsekzoznamu"/>
        <w:spacing w:after="0" w:line="240" w:lineRule="auto"/>
        <w:ind w:left="0"/>
        <w:jc w:val="both"/>
        <w:rPr>
          <w:rFonts w:cstheme="minorHAnsi"/>
          <w:bCs/>
        </w:rPr>
      </w:pPr>
    </w:p>
    <w:p w14:paraId="6097C8B9" w14:textId="1C890C00" w:rsidR="00316779" w:rsidRPr="00322559" w:rsidRDefault="00316779" w:rsidP="00744709">
      <w:pPr>
        <w:pStyle w:val="Odsekzoznamu"/>
        <w:spacing w:after="0" w:line="240" w:lineRule="auto"/>
        <w:ind w:left="0"/>
        <w:jc w:val="both"/>
        <w:rPr>
          <w:rFonts w:cstheme="minorHAnsi"/>
          <w:b/>
        </w:rPr>
      </w:pPr>
      <w:r w:rsidRPr="00322559">
        <w:rPr>
          <w:rFonts w:cstheme="minorHAnsi"/>
          <w:b/>
        </w:rPr>
        <w:t>K bodu 5a)</w:t>
      </w:r>
    </w:p>
    <w:p w14:paraId="4AFCD582" w14:textId="74552A67" w:rsidR="00316779" w:rsidRPr="00322559" w:rsidRDefault="00316779" w:rsidP="00744709">
      <w:pPr>
        <w:pStyle w:val="Odsekzoznamu"/>
        <w:spacing w:after="0" w:line="240" w:lineRule="auto"/>
        <w:ind w:left="0"/>
        <w:jc w:val="both"/>
        <w:rPr>
          <w:rStyle w:val="Vrazn"/>
          <w:rFonts w:cstheme="minorHAnsi"/>
          <w:b w:val="0"/>
          <w:bCs w:val="0"/>
          <w:color w:val="000000"/>
        </w:rPr>
      </w:pPr>
      <w:r w:rsidRPr="00322559">
        <w:rPr>
          <w:rFonts w:cstheme="minorHAnsi"/>
          <w:bCs/>
        </w:rPr>
        <w:t xml:space="preserve">Zástupcovia SLASPO sa zúčastnili niekoľkých stretnutí k zmenám pri stanovovaní indexu daňovej spoľahlivosti (informácie sú na </w:t>
      </w:r>
      <w:hyperlink r:id="rId15" w:history="1">
        <w:r w:rsidRPr="00322559">
          <w:rPr>
            <w:rStyle w:val="Vrazn"/>
            <w:rFonts w:cstheme="minorHAnsi"/>
            <w:color w:val="3D57A7"/>
            <w:u w:val="single"/>
          </w:rPr>
          <w:t>Návrh Vyhlášky Ministerstva financií Slovenskej republiky o kritériách Indexu daňovej spoľahlivosti</w:t>
        </w:r>
      </w:hyperlink>
      <w:r w:rsidRPr="00322559">
        <w:rPr>
          <w:rStyle w:val="Vrazn"/>
          <w:rFonts w:cstheme="minorHAnsi"/>
          <w:color w:val="000000"/>
        </w:rPr>
        <w:t xml:space="preserve">). </w:t>
      </w:r>
      <w:r w:rsidRPr="00322559">
        <w:rPr>
          <w:rStyle w:val="Vrazn"/>
          <w:rFonts w:cstheme="minorHAnsi"/>
          <w:b w:val="0"/>
          <w:bCs w:val="0"/>
          <w:color w:val="000000"/>
        </w:rPr>
        <w:t xml:space="preserve">Zástupcovia MF SR a Finančnej správy však iba v minimálnej miere vyhoveli pripomienkam, ktoré na stretnutiach zazneli. </w:t>
      </w:r>
    </w:p>
    <w:p w14:paraId="024898C0" w14:textId="3BFF77F2" w:rsidR="00BE7EEB" w:rsidRPr="00322559" w:rsidRDefault="00BE7EEB" w:rsidP="00744709">
      <w:pPr>
        <w:pStyle w:val="Odsekzoznamu"/>
        <w:spacing w:after="0" w:line="240" w:lineRule="auto"/>
        <w:ind w:left="0"/>
        <w:jc w:val="both"/>
        <w:rPr>
          <w:rStyle w:val="Vrazn"/>
          <w:rFonts w:cstheme="minorHAnsi"/>
          <w:color w:val="000000"/>
        </w:rPr>
      </w:pPr>
      <w:r w:rsidRPr="00322559">
        <w:rPr>
          <w:rStyle w:val="Vrazn"/>
          <w:rFonts w:cstheme="minorHAnsi"/>
          <w:b w:val="0"/>
          <w:bCs w:val="0"/>
          <w:color w:val="000000"/>
        </w:rPr>
        <w:t>Potenciálne problematické môže byť kritérium Ekonomický ukazovateľ - Efektívna daňová sadzba, ktorého splnenie je nutnou podmienkou, aby bol subjekt klasifikovaný ako vysoko spoľahlivý</w:t>
      </w:r>
      <w:r w:rsidR="00E00880" w:rsidRPr="00322559">
        <w:rPr>
          <w:rStyle w:val="Vrazn"/>
          <w:rFonts w:cstheme="minorHAnsi"/>
          <w:b w:val="0"/>
          <w:bCs w:val="0"/>
          <w:color w:val="000000"/>
        </w:rPr>
        <w:t>.</w:t>
      </w:r>
    </w:p>
    <w:p w14:paraId="7ED52F33" w14:textId="77777777" w:rsidR="00BE7EEB" w:rsidRPr="00322559" w:rsidRDefault="00BE7EEB" w:rsidP="00744709">
      <w:pPr>
        <w:spacing w:after="0" w:line="240" w:lineRule="auto"/>
        <w:jc w:val="both"/>
        <w:rPr>
          <w:rFonts w:cstheme="minorHAnsi"/>
          <w:bCs/>
          <w:i/>
          <w:iCs/>
        </w:rPr>
      </w:pPr>
      <w:r w:rsidRPr="00322559">
        <w:rPr>
          <w:rFonts w:cstheme="minorHAnsi"/>
          <w:bCs/>
          <w:i/>
          <w:iCs/>
        </w:rPr>
        <w:t>Vzorec pre výpočet EDS daňového subjektu:</w:t>
      </w:r>
    </w:p>
    <w:p w14:paraId="5380C51A" w14:textId="44077E22" w:rsidR="00BE7EEB" w:rsidRPr="00322559" w:rsidRDefault="00BE7EEB" w:rsidP="00744709">
      <w:pPr>
        <w:spacing w:after="0" w:line="240" w:lineRule="auto"/>
        <w:jc w:val="both"/>
        <w:rPr>
          <w:rFonts w:cstheme="minorHAnsi"/>
          <w:bCs/>
          <w:i/>
          <w:iCs/>
        </w:rPr>
      </w:pPr>
      <w:r w:rsidRPr="00322559">
        <w:rPr>
          <w:rFonts w:cstheme="minorHAnsi"/>
          <w:bCs/>
          <w:i/>
          <w:iCs/>
        </w:rPr>
        <w:t>EDS = 100x Daň z príjmov/(Výnosy alebo Príjmy), výsledok v %, zaokrúhlený na 2 desatinné miesta</w:t>
      </w:r>
    </w:p>
    <w:p w14:paraId="0E166B90" w14:textId="77777777" w:rsidR="00BE7EEB" w:rsidRPr="00322559" w:rsidRDefault="00BE7EEB" w:rsidP="00744709">
      <w:pPr>
        <w:spacing w:after="0" w:line="240" w:lineRule="auto"/>
        <w:jc w:val="both"/>
        <w:rPr>
          <w:rFonts w:cstheme="minorHAnsi"/>
          <w:bCs/>
          <w:i/>
          <w:iCs/>
        </w:rPr>
      </w:pPr>
      <w:r w:rsidRPr="00322559">
        <w:rPr>
          <w:rFonts w:cstheme="minorHAnsi"/>
          <w:bCs/>
          <w:i/>
          <w:iCs/>
        </w:rPr>
        <w:t>Výpočet individuálnej hraničnej hodnoty EDS:</w:t>
      </w:r>
    </w:p>
    <w:p w14:paraId="03EEAF09" w14:textId="77777777" w:rsidR="00E00880" w:rsidRPr="00322559" w:rsidRDefault="00BE7EEB" w:rsidP="00744709">
      <w:pPr>
        <w:spacing w:after="0" w:line="240" w:lineRule="auto"/>
        <w:jc w:val="both"/>
        <w:rPr>
          <w:rFonts w:cstheme="minorHAnsi"/>
          <w:bCs/>
          <w:i/>
          <w:iCs/>
        </w:rPr>
      </w:pPr>
      <w:r w:rsidRPr="00322559">
        <w:rPr>
          <w:rFonts w:cstheme="minorHAnsi"/>
          <w:bCs/>
          <w:i/>
          <w:iCs/>
        </w:rPr>
        <w:t>EDS0 = 2-log(</w:t>
      </w:r>
      <w:r w:rsidR="00E00880" w:rsidRPr="00322559">
        <w:rPr>
          <w:rFonts w:cstheme="minorHAnsi"/>
          <w:bCs/>
          <w:i/>
          <w:iCs/>
        </w:rPr>
        <w:t>zrazená daň zo závislej činnosti za svojich zamestnancov</w:t>
      </w:r>
      <w:r w:rsidRPr="00322559">
        <w:rPr>
          <w:rFonts w:cstheme="minorHAnsi"/>
          <w:bCs/>
          <w:i/>
          <w:iCs/>
        </w:rPr>
        <w:t>/1000)</w:t>
      </w:r>
    </w:p>
    <w:p w14:paraId="7E350B63" w14:textId="35CC914B" w:rsidR="00BE7EEB" w:rsidRPr="00322559" w:rsidRDefault="00BE7EEB" w:rsidP="00744709">
      <w:pPr>
        <w:spacing w:after="0" w:line="240" w:lineRule="auto"/>
        <w:jc w:val="both"/>
        <w:rPr>
          <w:rFonts w:cstheme="minorHAnsi"/>
          <w:bCs/>
          <w:i/>
          <w:iCs/>
        </w:rPr>
      </w:pPr>
      <w:r w:rsidRPr="00322559">
        <w:rPr>
          <w:rFonts w:cstheme="minorHAnsi"/>
          <w:bCs/>
          <w:i/>
          <w:iCs/>
        </w:rPr>
        <w:t>Ak EDS0 &lt; 0%, tak EDS0 = 0%</w:t>
      </w:r>
    </w:p>
    <w:p w14:paraId="61BC3EB4" w14:textId="07C692FD" w:rsidR="00BE7EEB" w:rsidRPr="00322559" w:rsidRDefault="00BE7EEB" w:rsidP="00744709">
      <w:pPr>
        <w:pStyle w:val="Odsekzoznamu"/>
        <w:spacing w:after="0" w:line="240" w:lineRule="auto"/>
        <w:ind w:left="0"/>
        <w:jc w:val="both"/>
        <w:rPr>
          <w:rFonts w:cstheme="minorHAnsi"/>
          <w:bCs/>
          <w:i/>
          <w:iCs/>
        </w:rPr>
      </w:pPr>
      <w:r w:rsidRPr="00322559">
        <w:rPr>
          <w:rFonts w:cstheme="minorHAnsi"/>
          <w:bCs/>
          <w:i/>
          <w:iCs/>
        </w:rPr>
        <w:t>Daňový subjekt spĺňa požiadavku efektívnej daňovej sadzby, ak platí: EDS &gt; EDS0</w:t>
      </w:r>
    </w:p>
    <w:p w14:paraId="6801B77E" w14:textId="24E956D5" w:rsidR="00E00880" w:rsidRPr="00322559" w:rsidRDefault="00E00880" w:rsidP="00744709">
      <w:pPr>
        <w:pStyle w:val="Odsekzoznamu"/>
        <w:spacing w:after="0" w:line="240" w:lineRule="auto"/>
        <w:ind w:left="0"/>
        <w:jc w:val="both"/>
        <w:rPr>
          <w:rFonts w:cstheme="minorHAnsi"/>
          <w:bCs/>
        </w:rPr>
      </w:pPr>
    </w:p>
    <w:p w14:paraId="26B4FF19" w14:textId="44402826" w:rsidR="00E00880" w:rsidRPr="00322559" w:rsidRDefault="00E00880" w:rsidP="00744709">
      <w:pPr>
        <w:pStyle w:val="Odsekzoznamu"/>
        <w:spacing w:after="0" w:line="240" w:lineRule="auto"/>
        <w:ind w:left="0"/>
        <w:jc w:val="both"/>
        <w:rPr>
          <w:rStyle w:val="Vrazn"/>
          <w:rFonts w:cstheme="minorHAnsi"/>
          <w:b w:val="0"/>
          <w:bCs w:val="0"/>
          <w:color w:val="000000"/>
        </w:rPr>
      </w:pPr>
      <w:r w:rsidRPr="00322559">
        <w:rPr>
          <w:rStyle w:val="Vrazn"/>
          <w:rFonts w:cstheme="minorHAnsi"/>
          <w:b w:val="0"/>
          <w:bCs w:val="0"/>
          <w:color w:val="000000"/>
        </w:rPr>
        <w:lastRenderedPageBreak/>
        <w:t>SLASPO však nemá podklady, na základe ktorých by vedela posúdiť, či toto kritérium spôsobuje poisťovniam problémy alebo nie</w:t>
      </w:r>
      <w:r w:rsidR="00945D15" w:rsidRPr="00322559">
        <w:rPr>
          <w:rStyle w:val="Vrazn"/>
          <w:rFonts w:cstheme="minorHAnsi"/>
          <w:b w:val="0"/>
          <w:bCs w:val="0"/>
          <w:color w:val="000000"/>
        </w:rPr>
        <w:t>.</w:t>
      </w:r>
      <w:r w:rsidR="00FE040B" w:rsidRPr="00322559">
        <w:rPr>
          <w:rStyle w:val="Vrazn"/>
          <w:rFonts w:cstheme="minorHAnsi"/>
          <w:b w:val="0"/>
          <w:bCs w:val="0"/>
          <w:color w:val="000000"/>
        </w:rPr>
        <w:t xml:space="preserve"> Podľa vyjadrení zástupcov Ekonomickej sekcie, ktorí už dostali index daňovej spoľahlivosti,  kritérium EDS spĺňali. </w:t>
      </w:r>
      <w:r w:rsidR="006A02D3" w:rsidRPr="00322559">
        <w:rPr>
          <w:rStyle w:val="Vrazn"/>
          <w:rFonts w:cstheme="minorHAnsi"/>
          <w:b w:val="0"/>
          <w:bCs w:val="0"/>
          <w:color w:val="000000"/>
        </w:rPr>
        <w:t>Pokiaľ niektorý člen SLASPO bude mať s týmto kritériom problém, oznámi to  SLASPO, ktorá bude následne komunikovať s MF SR a Finančnou správou.</w:t>
      </w:r>
    </w:p>
    <w:p w14:paraId="592A0F60" w14:textId="6114E827" w:rsidR="00945D15" w:rsidRPr="00322559" w:rsidRDefault="00945D15" w:rsidP="00744709">
      <w:pPr>
        <w:pStyle w:val="Odsekzoznamu"/>
        <w:spacing w:after="0" w:line="240" w:lineRule="auto"/>
        <w:ind w:left="360"/>
        <w:jc w:val="both"/>
        <w:rPr>
          <w:rFonts w:cstheme="minorHAnsi"/>
          <w:bCs/>
          <w:color w:val="FF0000"/>
        </w:rPr>
      </w:pPr>
    </w:p>
    <w:p w14:paraId="23B0E4B2" w14:textId="77777777" w:rsidR="00945D15" w:rsidRPr="00322559" w:rsidRDefault="00945D15" w:rsidP="00744709">
      <w:pPr>
        <w:pStyle w:val="Odsekzoznamu"/>
        <w:spacing w:after="0" w:line="240" w:lineRule="auto"/>
        <w:ind w:left="0"/>
        <w:jc w:val="both"/>
        <w:rPr>
          <w:rFonts w:cstheme="minorHAnsi"/>
          <w:b/>
        </w:rPr>
      </w:pPr>
    </w:p>
    <w:p w14:paraId="42244D96" w14:textId="69101C70" w:rsidR="00945D15" w:rsidRPr="00322559" w:rsidRDefault="00945D15" w:rsidP="00744709">
      <w:pPr>
        <w:pStyle w:val="Odsekzoznamu"/>
        <w:spacing w:after="0" w:line="240" w:lineRule="auto"/>
        <w:ind w:left="0"/>
        <w:jc w:val="both"/>
        <w:rPr>
          <w:rFonts w:cstheme="minorHAnsi"/>
          <w:b/>
        </w:rPr>
      </w:pPr>
      <w:r w:rsidRPr="00322559">
        <w:rPr>
          <w:rFonts w:cstheme="minorHAnsi"/>
          <w:b/>
        </w:rPr>
        <w:t>K bodu 5b)</w:t>
      </w:r>
    </w:p>
    <w:p w14:paraId="2A1FE2FC" w14:textId="77777777" w:rsidR="00945D15" w:rsidRPr="00322559" w:rsidRDefault="00945D15" w:rsidP="00744709">
      <w:pPr>
        <w:pStyle w:val="Odsekzoznamu"/>
        <w:spacing w:after="0" w:line="240" w:lineRule="auto"/>
        <w:ind w:left="0"/>
        <w:jc w:val="both"/>
        <w:rPr>
          <w:rFonts w:cstheme="minorHAnsi"/>
          <w:b/>
        </w:rPr>
      </w:pPr>
    </w:p>
    <w:p w14:paraId="0E5AD246" w14:textId="070F5DC6" w:rsidR="00945D15" w:rsidRPr="00322559" w:rsidRDefault="00945D15" w:rsidP="00744709">
      <w:pPr>
        <w:pStyle w:val="Odsekzoznamu"/>
        <w:spacing w:after="0" w:line="240" w:lineRule="auto"/>
        <w:ind w:left="0"/>
        <w:jc w:val="both"/>
        <w:rPr>
          <w:rFonts w:cstheme="minorHAnsi"/>
          <w:bCs/>
        </w:rPr>
      </w:pPr>
      <w:r w:rsidRPr="00322559">
        <w:rPr>
          <w:rFonts w:cstheme="minorHAnsi"/>
          <w:bCs/>
        </w:rPr>
        <w:t xml:space="preserve">P. </w:t>
      </w:r>
      <w:proofErr w:type="spellStart"/>
      <w:r w:rsidRPr="00322559">
        <w:rPr>
          <w:rFonts w:cstheme="minorHAnsi"/>
          <w:bCs/>
        </w:rPr>
        <w:t>Bachniček</w:t>
      </w:r>
      <w:proofErr w:type="spellEnd"/>
      <w:r w:rsidRPr="00322559">
        <w:rPr>
          <w:rFonts w:cstheme="minorHAnsi"/>
          <w:bCs/>
        </w:rPr>
        <w:t xml:space="preserve"> informoval, že zástupcovia audítorských firiem prejavili záujem o stretnutia s členmi SLASPO najmä v súvislosti s impleme</w:t>
      </w:r>
      <w:r w:rsidR="00057FBA" w:rsidRPr="00322559">
        <w:rPr>
          <w:rFonts w:cstheme="minorHAnsi"/>
          <w:bCs/>
        </w:rPr>
        <w:t>n</w:t>
      </w:r>
      <w:r w:rsidRPr="00322559">
        <w:rPr>
          <w:rFonts w:cstheme="minorHAnsi"/>
          <w:bCs/>
        </w:rPr>
        <w:t>táciou IFRS</w:t>
      </w:r>
      <w:r w:rsidR="00057FBA" w:rsidRPr="00322559">
        <w:rPr>
          <w:rFonts w:cstheme="minorHAnsi"/>
          <w:bCs/>
        </w:rPr>
        <w:t xml:space="preserve"> 17</w:t>
      </w:r>
      <w:r w:rsidRPr="00322559">
        <w:rPr>
          <w:rFonts w:cstheme="minorHAnsi"/>
          <w:bCs/>
        </w:rPr>
        <w:t>.</w:t>
      </w:r>
      <w:r w:rsidR="00057FBA" w:rsidRPr="00322559">
        <w:rPr>
          <w:rFonts w:cstheme="minorHAnsi"/>
          <w:bCs/>
        </w:rPr>
        <w:t xml:space="preserve"> </w:t>
      </w:r>
      <w:r w:rsidR="00234F4C" w:rsidRPr="00322559">
        <w:rPr>
          <w:rFonts w:cstheme="minorHAnsi"/>
          <w:bCs/>
        </w:rPr>
        <w:t>Členovia Ekonomickej sekcie sa dohodli, že zástupcovia audítorských spoločností budú prizývaní iba k niektorým bodom stretnutí a to iba po predchádzajúcom súhlase členov sekcie.</w:t>
      </w:r>
    </w:p>
    <w:p w14:paraId="738D3644" w14:textId="0B67B788" w:rsidR="00234F4C" w:rsidRPr="00322559" w:rsidRDefault="00234F4C" w:rsidP="00744709">
      <w:pPr>
        <w:pStyle w:val="Odsekzoznamu"/>
        <w:spacing w:after="0" w:line="240" w:lineRule="auto"/>
        <w:ind w:left="0"/>
        <w:jc w:val="both"/>
        <w:rPr>
          <w:rFonts w:cstheme="minorHAnsi"/>
          <w:bCs/>
        </w:rPr>
      </w:pPr>
    </w:p>
    <w:p w14:paraId="34996742" w14:textId="5FDA78AD" w:rsidR="00234F4C" w:rsidRPr="00322559" w:rsidRDefault="00234F4C" w:rsidP="00234F4C">
      <w:pPr>
        <w:pStyle w:val="Odsekzoznamu"/>
        <w:spacing w:after="0" w:line="240" w:lineRule="auto"/>
        <w:ind w:left="0"/>
        <w:jc w:val="both"/>
        <w:rPr>
          <w:rFonts w:cstheme="minorHAnsi"/>
          <w:b/>
          <w:highlight w:val="yellow"/>
        </w:rPr>
      </w:pPr>
      <w:r w:rsidRPr="00322559">
        <w:rPr>
          <w:rFonts w:cstheme="minorHAnsi"/>
          <w:b/>
          <w:highlight w:val="yellow"/>
        </w:rPr>
        <w:t>Úloha č.4</w:t>
      </w:r>
    </w:p>
    <w:p w14:paraId="54FD8DFB" w14:textId="72B25251" w:rsidR="003A6C17" w:rsidRPr="00322559" w:rsidRDefault="00234F4C" w:rsidP="00234F4C">
      <w:pPr>
        <w:pStyle w:val="Odsekzoznamu"/>
        <w:spacing w:after="0" w:line="240" w:lineRule="auto"/>
        <w:ind w:left="0"/>
        <w:jc w:val="both"/>
        <w:rPr>
          <w:rFonts w:cstheme="minorHAnsi"/>
          <w:b/>
          <w:highlight w:val="yellow"/>
        </w:rPr>
      </w:pPr>
      <w:r w:rsidRPr="00322559">
        <w:rPr>
          <w:rFonts w:cstheme="minorHAnsi"/>
          <w:b/>
          <w:highlight w:val="yellow"/>
        </w:rPr>
        <w:t xml:space="preserve">Členovia Ekonomickej sekcie pošlú do </w:t>
      </w:r>
      <w:r w:rsidR="003A6C17" w:rsidRPr="00322559">
        <w:rPr>
          <w:rFonts w:cstheme="minorHAnsi"/>
          <w:b/>
          <w:highlight w:val="yellow"/>
        </w:rPr>
        <w:t xml:space="preserve">27.4.2022 p. </w:t>
      </w:r>
      <w:proofErr w:type="spellStart"/>
      <w:r w:rsidR="003A6C17" w:rsidRPr="00322559">
        <w:rPr>
          <w:rFonts w:cstheme="minorHAnsi"/>
          <w:b/>
          <w:highlight w:val="yellow"/>
        </w:rPr>
        <w:t>Bachničkovi</w:t>
      </w:r>
      <w:proofErr w:type="spellEnd"/>
      <w:r w:rsidR="003A6C17" w:rsidRPr="00322559">
        <w:rPr>
          <w:rFonts w:cstheme="minorHAnsi"/>
          <w:b/>
          <w:highlight w:val="yellow"/>
        </w:rPr>
        <w:t xml:space="preserve"> kontaktné údaje (meno a mailovú adresu) zástupcov audítorskej spoločnosti, ktorí by mali byť prizývaní k </w:t>
      </w:r>
      <w:proofErr w:type="spellStart"/>
      <w:r w:rsidR="003A6C17" w:rsidRPr="00322559">
        <w:rPr>
          <w:rFonts w:cstheme="minorHAnsi"/>
          <w:b/>
          <w:highlight w:val="yellow"/>
        </w:rPr>
        <w:t>k</w:t>
      </w:r>
      <w:proofErr w:type="spellEnd"/>
      <w:r w:rsidR="003A6C17" w:rsidRPr="00322559">
        <w:rPr>
          <w:rFonts w:cstheme="minorHAnsi"/>
          <w:b/>
          <w:highlight w:val="yellow"/>
        </w:rPr>
        <w:t> vybraným bodom rokovaní sekcie, ak sa na tom členovia sekcie dohodnú.</w:t>
      </w:r>
    </w:p>
    <w:p w14:paraId="3E0CE96F" w14:textId="77777777" w:rsidR="003A6C17" w:rsidRPr="00322559" w:rsidRDefault="003A6C17" w:rsidP="00234F4C">
      <w:pPr>
        <w:pStyle w:val="Odsekzoznamu"/>
        <w:spacing w:after="0" w:line="240" w:lineRule="auto"/>
        <w:ind w:left="0"/>
        <w:jc w:val="both"/>
        <w:rPr>
          <w:rFonts w:cstheme="minorHAnsi"/>
          <w:b/>
          <w:highlight w:val="yellow"/>
        </w:rPr>
      </w:pPr>
    </w:p>
    <w:p w14:paraId="51C2B2DE" w14:textId="2E6DA4C5" w:rsidR="00553353" w:rsidRPr="00322559" w:rsidRDefault="00553353" w:rsidP="00744709">
      <w:pPr>
        <w:pStyle w:val="Odsekzoznamu"/>
        <w:spacing w:after="0" w:line="240" w:lineRule="auto"/>
        <w:ind w:left="0"/>
        <w:jc w:val="both"/>
        <w:rPr>
          <w:rFonts w:cstheme="minorHAnsi"/>
          <w:b/>
        </w:rPr>
      </w:pPr>
      <w:r w:rsidRPr="00322559">
        <w:rPr>
          <w:rFonts w:cstheme="minorHAnsi"/>
          <w:b/>
        </w:rPr>
        <w:t>K bodu 5c)</w:t>
      </w:r>
    </w:p>
    <w:p w14:paraId="5BBFDF61" w14:textId="3C9ADE13" w:rsidR="0098735A" w:rsidRPr="00322559" w:rsidRDefault="00553353" w:rsidP="00744709">
      <w:pPr>
        <w:pStyle w:val="Odsekzoznamu"/>
        <w:spacing w:after="0" w:line="240" w:lineRule="auto"/>
        <w:ind w:left="0"/>
        <w:jc w:val="both"/>
        <w:rPr>
          <w:rFonts w:cstheme="minorHAnsi"/>
          <w:bCs/>
        </w:rPr>
      </w:pPr>
      <w:r w:rsidRPr="00322559">
        <w:rPr>
          <w:rFonts w:cstheme="minorHAnsi"/>
          <w:bCs/>
        </w:rPr>
        <w:t xml:space="preserve">Od spoločnosti Allianz – Slovenská poisťovňa, </w:t>
      </w:r>
      <w:proofErr w:type="spellStart"/>
      <w:r w:rsidRPr="00322559">
        <w:rPr>
          <w:rFonts w:cstheme="minorHAnsi"/>
          <w:bCs/>
        </w:rPr>
        <w:t>a.s</w:t>
      </w:r>
      <w:proofErr w:type="spellEnd"/>
      <w:r w:rsidRPr="00322559">
        <w:rPr>
          <w:rFonts w:cstheme="minorHAnsi"/>
          <w:bCs/>
        </w:rPr>
        <w:t xml:space="preserve">. dostala SLASPO informáciu o vydaní </w:t>
      </w:r>
      <w:r w:rsidR="0098735A" w:rsidRPr="00322559">
        <w:rPr>
          <w:rFonts w:cstheme="minorHAnsi"/>
          <w:bCs/>
        </w:rPr>
        <w:t>Metodického usmernenie MV SR č. SVS-OAR1-2022/016340 k uchovávaniu a vyraďovaniu účtovných záznamov.</w:t>
      </w:r>
      <w:r w:rsidR="00D96E2D" w:rsidRPr="00322559">
        <w:rPr>
          <w:rFonts w:cstheme="minorHAnsi"/>
          <w:bCs/>
        </w:rPr>
        <w:t xml:space="preserve"> </w:t>
      </w:r>
      <w:proofErr w:type="spellStart"/>
      <w:r w:rsidR="00D96E2D" w:rsidRPr="00322559">
        <w:rPr>
          <w:rFonts w:cstheme="minorHAnsi"/>
          <w:bCs/>
        </w:rPr>
        <w:t>P.Janíček</w:t>
      </w:r>
      <w:proofErr w:type="spellEnd"/>
      <w:r w:rsidR="00D96E2D" w:rsidRPr="00322559">
        <w:rPr>
          <w:rFonts w:cstheme="minorHAnsi"/>
          <w:bCs/>
        </w:rPr>
        <w:t xml:space="preserve"> informoval o</w:t>
      </w:r>
      <w:r w:rsidR="00FB5112" w:rsidRPr="00322559">
        <w:rPr>
          <w:rFonts w:cstheme="minorHAnsi"/>
          <w:bCs/>
        </w:rPr>
        <w:t xml:space="preserve"> tomto </w:t>
      </w:r>
      <w:r w:rsidR="003A6C17" w:rsidRPr="00322559">
        <w:rPr>
          <w:rFonts w:cstheme="minorHAnsi"/>
          <w:bCs/>
        </w:rPr>
        <w:t>usmernení</w:t>
      </w:r>
      <w:r w:rsidR="00FB5112" w:rsidRPr="00322559">
        <w:rPr>
          <w:rFonts w:cstheme="minorHAnsi"/>
          <w:bCs/>
        </w:rPr>
        <w:t xml:space="preserve">, ktoré spolu s novelou zákona o účtovníctve </w:t>
      </w:r>
      <w:r w:rsidR="003A6C17" w:rsidRPr="00322559">
        <w:rPr>
          <w:rFonts w:cstheme="minorHAnsi"/>
          <w:bCs/>
        </w:rPr>
        <w:t xml:space="preserve"> </w:t>
      </w:r>
      <w:r w:rsidR="00FB5112" w:rsidRPr="00322559">
        <w:rPr>
          <w:rFonts w:cstheme="minorHAnsi"/>
          <w:bCs/>
        </w:rPr>
        <w:t>eliminuje potrebu uchová</w:t>
      </w:r>
      <w:r w:rsidR="0079432B" w:rsidRPr="00322559">
        <w:rPr>
          <w:rFonts w:cstheme="minorHAnsi"/>
          <w:bCs/>
        </w:rPr>
        <w:t>vania papierových dokladov.</w:t>
      </w:r>
    </w:p>
    <w:p w14:paraId="1FF04B1A" w14:textId="7F542FEF" w:rsidR="00945D15" w:rsidRPr="00322559" w:rsidRDefault="00553353" w:rsidP="00744709">
      <w:pPr>
        <w:pStyle w:val="Odsekzoznamu"/>
        <w:spacing w:after="0" w:line="240" w:lineRule="auto"/>
        <w:ind w:left="0"/>
        <w:jc w:val="both"/>
        <w:rPr>
          <w:rFonts w:cstheme="minorHAnsi"/>
          <w:bCs/>
        </w:rPr>
      </w:pPr>
      <w:r w:rsidRPr="00322559">
        <w:rPr>
          <w:rFonts w:cstheme="minorHAnsi"/>
          <w:bCs/>
        </w:rPr>
        <w:t xml:space="preserve"> </w:t>
      </w:r>
    </w:p>
    <w:sectPr w:rsidR="00945D15" w:rsidRPr="00322559" w:rsidSect="00631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334"/>
    <w:multiLevelType w:val="hybridMultilevel"/>
    <w:tmpl w:val="7ADA5A54"/>
    <w:lvl w:ilvl="0" w:tplc="7FAEC38A">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6DD07F3"/>
    <w:multiLevelType w:val="hybridMultilevel"/>
    <w:tmpl w:val="514684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B715FA"/>
    <w:multiLevelType w:val="hybridMultilevel"/>
    <w:tmpl w:val="E2A8CC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11076C"/>
    <w:multiLevelType w:val="hybridMultilevel"/>
    <w:tmpl w:val="CBB6C216"/>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596FCF"/>
    <w:multiLevelType w:val="hybridMultilevel"/>
    <w:tmpl w:val="6FB6F3A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FAC3FE5"/>
    <w:multiLevelType w:val="hybridMultilevel"/>
    <w:tmpl w:val="EEE804A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1C127A7"/>
    <w:multiLevelType w:val="hybridMultilevel"/>
    <w:tmpl w:val="EFECBD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86859"/>
    <w:multiLevelType w:val="hybridMultilevel"/>
    <w:tmpl w:val="E2A8CC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D662E4"/>
    <w:multiLevelType w:val="hybridMultilevel"/>
    <w:tmpl w:val="3188B924"/>
    <w:lvl w:ilvl="0" w:tplc="FFFFFFFF">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54A7C75"/>
    <w:multiLevelType w:val="hybridMultilevel"/>
    <w:tmpl w:val="D64CD82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47932885"/>
    <w:multiLevelType w:val="hybridMultilevel"/>
    <w:tmpl w:val="6E16D9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C982949"/>
    <w:multiLevelType w:val="hybridMultilevel"/>
    <w:tmpl w:val="088424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3314FAB"/>
    <w:multiLevelType w:val="hybridMultilevel"/>
    <w:tmpl w:val="02F4AD24"/>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366C4D"/>
    <w:multiLevelType w:val="hybridMultilevel"/>
    <w:tmpl w:val="40683E28"/>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9E2201"/>
    <w:multiLevelType w:val="hybridMultilevel"/>
    <w:tmpl w:val="8F3A4A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E51E29"/>
    <w:multiLevelType w:val="hybridMultilevel"/>
    <w:tmpl w:val="A31A97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0585056">
    <w:abstractNumId w:val="6"/>
  </w:num>
  <w:num w:numId="2" w16cid:durableId="128979113">
    <w:abstractNumId w:val="10"/>
  </w:num>
  <w:num w:numId="3" w16cid:durableId="252855788">
    <w:abstractNumId w:val="3"/>
  </w:num>
  <w:num w:numId="4" w16cid:durableId="409347762">
    <w:abstractNumId w:val="14"/>
  </w:num>
  <w:num w:numId="5" w16cid:durableId="5981530">
    <w:abstractNumId w:val="5"/>
  </w:num>
  <w:num w:numId="6" w16cid:durableId="1289430279">
    <w:abstractNumId w:val="11"/>
  </w:num>
  <w:num w:numId="7" w16cid:durableId="531502889">
    <w:abstractNumId w:val="0"/>
  </w:num>
  <w:num w:numId="8" w16cid:durableId="1898711102">
    <w:abstractNumId w:val="4"/>
  </w:num>
  <w:num w:numId="9" w16cid:durableId="1891837841">
    <w:abstractNumId w:val="1"/>
  </w:num>
  <w:num w:numId="10" w16cid:durableId="1179779625">
    <w:abstractNumId w:val="9"/>
  </w:num>
  <w:num w:numId="11" w16cid:durableId="1749499601">
    <w:abstractNumId w:val="7"/>
  </w:num>
  <w:num w:numId="12" w16cid:durableId="552347447">
    <w:abstractNumId w:val="8"/>
  </w:num>
  <w:num w:numId="13" w16cid:durableId="127096323">
    <w:abstractNumId w:val="12"/>
  </w:num>
  <w:num w:numId="14" w16cid:durableId="1457407387">
    <w:abstractNumId w:val="2"/>
  </w:num>
  <w:num w:numId="15" w16cid:durableId="1962303153">
    <w:abstractNumId w:val="15"/>
  </w:num>
  <w:num w:numId="16" w16cid:durableId="264582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D5"/>
    <w:rsid w:val="00000FC0"/>
    <w:rsid w:val="000150DE"/>
    <w:rsid w:val="00057FBA"/>
    <w:rsid w:val="000679BC"/>
    <w:rsid w:val="00070803"/>
    <w:rsid w:val="000933F9"/>
    <w:rsid w:val="000B788E"/>
    <w:rsid w:val="000C2517"/>
    <w:rsid w:val="000D605E"/>
    <w:rsid w:val="000E4AD7"/>
    <w:rsid w:val="000F0AC7"/>
    <w:rsid w:val="000F5893"/>
    <w:rsid w:val="00127DAD"/>
    <w:rsid w:val="00132662"/>
    <w:rsid w:val="001354A3"/>
    <w:rsid w:val="00152BCF"/>
    <w:rsid w:val="00164B67"/>
    <w:rsid w:val="00170588"/>
    <w:rsid w:val="00195E52"/>
    <w:rsid w:val="001A4A35"/>
    <w:rsid w:val="001A51BE"/>
    <w:rsid w:val="001C5014"/>
    <w:rsid w:val="001E3095"/>
    <w:rsid w:val="001F10BF"/>
    <w:rsid w:val="001F74A8"/>
    <w:rsid w:val="00203AAA"/>
    <w:rsid w:val="00206D36"/>
    <w:rsid w:val="00213E8D"/>
    <w:rsid w:val="00214759"/>
    <w:rsid w:val="00220AC7"/>
    <w:rsid w:val="0022332C"/>
    <w:rsid w:val="00226A56"/>
    <w:rsid w:val="00234F4C"/>
    <w:rsid w:val="00237B6B"/>
    <w:rsid w:val="00245519"/>
    <w:rsid w:val="00262158"/>
    <w:rsid w:val="002A76E7"/>
    <w:rsid w:val="002B0626"/>
    <w:rsid w:val="002B1828"/>
    <w:rsid w:val="002B6A85"/>
    <w:rsid w:val="002D0BC4"/>
    <w:rsid w:val="002F1B7E"/>
    <w:rsid w:val="00316779"/>
    <w:rsid w:val="00322559"/>
    <w:rsid w:val="00380752"/>
    <w:rsid w:val="00394DE8"/>
    <w:rsid w:val="00395460"/>
    <w:rsid w:val="003A4640"/>
    <w:rsid w:val="003A6C17"/>
    <w:rsid w:val="003B2519"/>
    <w:rsid w:val="003E3F23"/>
    <w:rsid w:val="003F0E26"/>
    <w:rsid w:val="003F1614"/>
    <w:rsid w:val="00403BB8"/>
    <w:rsid w:val="00422BA4"/>
    <w:rsid w:val="00434754"/>
    <w:rsid w:val="00443D2E"/>
    <w:rsid w:val="00445AC2"/>
    <w:rsid w:val="00492DF8"/>
    <w:rsid w:val="004A4207"/>
    <w:rsid w:val="004B5E1E"/>
    <w:rsid w:val="004B723F"/>
    <w:rsid w:val="004C56D4"/>
    <w:rsid w:val="004E1491"/>
    <w:rsid w:val="004E470E"/>
    <w:rsid w:val="0050721B"/>
    <w:rsid w:val="00524645"/>
    <w:rsid w:val="005420B2"/>
    <w:rsid w:val="00542EDC"/>
    <w:rsid w:val="00543535"/>
    <w:rsid w:val="00553353"/>
    <w:rsid w:val="00555392"/>
    <w:rsid w:val="00565F57"/>
    <w:rsid w:val="0057423A"/>
    <w:rsid w:val="005A0BA5"/>
    <w:rsid w:val="005A479F"/>
    <w:rsid w:val="005B4D60"/>
    <w:rsid w:val="005D0E7E"/>
    <w:rsid w:val="005E55DC"/>
    <w:rsid w:val="005F11AC"/>
    <w:rsid w:val="005F3C65"/>
    <w:rsid w:val="006050A2"/>
    <w:rsid w:val="00631F3A"/>
    <w:rsid w:val="006825B3"/>
    <w:rsid w:val="00682CC9"/>
    <w:rsid w:val="00683043"/>
    <w:rsid w:val="006830B5"/>
    <w:rsid w:val="00686F6D"/>
    <w:rsid w:val="006A02D3"/>
    <w:rsid w:val="00702918"/>
    <w:rsid w:val="007064D0"/>
    <w:rsid w:val="007207F3"/>
    <w:rsid w:val="007237CE"/>
    <w:rsid w:val="00741D33"/>
    <w:rsid w:val="00742AB1"/>
    <w:rsid w:val="00744709"/>
    <w:rsid w:val="00746EA6"/>
    <w:rsid w:val="00774CF2"/>
    <w:rsid w:val="00784D74"/>
    <w:rsid w:val="007924C3"/>
    <w:rsid w:val="0079432B"/>
    <w:rsid w:val="00797FC6"/>
    <w:rsid w:val="007A553D"/>
    <w:rsid w:val="007B4F04"/>
    <w:rsid w:val="007B671A"/>
    <w:rsid w:val="007D0D32"/>
    <w:rsid w:val="007F7F48"/>
    <w:rsid w:val="0081526C"/>
    <w:rsid w:val="00816F6B"/>
    <w:rsid w:val="00825232"/>
    <w:rsid w:val="00830B92"/>
    <w:rsid w:val="008353B4"/>
    <w:rsid w:val="008362E0"/>
    <w:rsid w:val="00846A22"/>
    <w:rsid w:val="00894DD3"/>
    <w:rsid w:val="008A4FD9"/>
    <w:rsid w:val="008B1A62"/>
    <w:rsid w:val="008D003E"/>
    <w:rsid w:val="008D11D0"/>
    <w:rsid w:val="008D77E8"/>
    <w:rsid w:val="008F4BFD"/>
    <w:rsid w:val="00913728"/>
    <w:rsid w:val="00913F71"/>
    <w:rsid w:val="00945D15"/>
    <w:rsid w:val="0098735A"/>
    <w:rsid w:val="0098772A"/>
    <w:rsid w:val="009908DF"/>
    <w:rsid w:val="009A21FA"/>
    <w:rsid w:val="009A2781"/>
    <w:rsid w:val="009B2396"/>
    <w:rsid w:val="009C53F6"/>
    <w:rsid w:val="009C5F2F"/>
    <w:rsid w:val="009D0DCE"/>
    <w:rsid w:val="00A002DF"/>
    <w:rsid w:val="00A27866"/>
    <w:rsid w:val="00A31AF3"/>
    <w:rsid w:val="00A448AE"/>
    <w:rsid w:val="00A62303"/>
    <w:rsid w:val="00A64FCB"/>
    <w:rsid w:val="00A74EAD"/>
    <w:rsid w:val="00A90492"/>
    <w:rsid w:val="00A91443"/>
    <w:rsid w:val="00A963BD"/>
    <w:rsid w:val="00AB31CD"/>
    <w:rsid w:val="00AC3A5B"/>
    <w:rsid w:val="00B15799"/>
    <w:rsid w:val="00B15B0B"/>
    <w:rsid w:val="00B51F01"/>
    <w:rsid w:val="00B72D98"/>
    <w:rsid w:val="00B82117"/>
    <w:rsid w:val="00B93AD0"/>
    <w:rsid w:val="00BA79B4"/>
    <w:rsid w:val="00BB4EEA"/>
    <w:rsid w:val="00BD1D31"/>
    <w:rsid w:val="00BE7EEB"/>
    <w:rsid w:val="00BF7B88"/>
    <w:rsid w:val="00C01A05"/>
    <w:rsid w:val="00C123F7"/>
    <w:rsid w:val="00C51A9E"/>
    <w:rsid w:val="00C6624C"/>
    <w:rsid w:val="00C71BBA"/>
    <w:rsid w:val="00C72EFB"/>
    <w:rsid w:val="00C75FBA"/>
    <w:rsid w:val="00C800CA"/>
    <w:rsid w:val="00C82125"/>
    <w:rsid w:val="00C82F70"/>
    <w:rsid w:val="00C93D55"/>
    <w:rsid w:val="00CA4503"/>
    <w:rsid w:val="00CB165A"/>
    <w:rsid w:val="00CC0C08"/>
    <w:rsid w:val="00CC24C2"/>
    <w:rsid w:val="00CC7203"/>
    <w:rsid w:val="00CD25F6"/>
    <w:rsid w:val="00CE0512"/>
    <w:rsid w:val="00D11BDD"/>
    <w:rsid w:val="00D157E9"/>
    <w:rsid w:val="00D325C5"/>
    <w:rsid w:val="00D36FE3"/>
    <w:rsid w:val="00D37F66"/>
    <w:rsid w:val="00D43685"/>
    <w:rsid w:val="00D57305"/>
    <w:rsid w:val="00D719C1"/>
    <w:rsid w:val="00D73116"/>
    <w:rsid w:val="00D739BE"/>
    <w:rsid w:val="00D84D83"/>
    <w:rsid w:val="00D937CD"/>
    <w:rsid w:val="00D95C2F"/>
    <w:rsid w:val="00D967CC"/>
    <w:rsid w:val="00D96E2D"/>
    <w:rsid w:val="00DA73EB"/>
    <w:rsid w:val="00DB1897"/>
    <w:rsid w:val="00DC2325"/>
    <w:rsid w:val="00DC2403"/>
    <w:rsid w:val="00DD2953"/>
    <w:rsid w:val="00DD6A00"/>
    <w:rsid w:val="00DF66B1"/>
    <w:rsid w:val="00E00880"/>
    <w:rsid w:val="00E069D5"/>
    <w:rsid w:val="00E30BCB"/>
    <w:rsid w:val="00E33A28"/>
    <w:rsid w:val="00E72C20"/>
    <w:rsid w:val="00E971CB"/>
    <w:rsid w:val="00ED2EC1"/>
    <w:rsid w:val="00EF0324"/>
    <w:rsid w:val="00F233EC"/>
    <w:rsid w:val="00F42739"/>
    <w:rsid w:val="00F4788F"/>
    <w:rsid w:val="00F57F1F"/>
    <w:rsid w:val="00F714E1"/>
    <w:rsid w:val="00F7205E"/>
    <w:rsid w:val="00F97507"/>
    <w:rsid w:val="00FA1F66"/>
    <w:rsid w:val="00FB5112"/>
    <w:rsid w:val="00FC1275"/>
    <w:rsid w:val="00FC53AF"/>
    <w:rsid w:val="00FC5A20"/>
    <w:rsid w:val="00FE04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25DA"/>
  <w15:docId w15:val="{ADCD653B-F87F-44C9-A364-12FEB913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1F3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C5A20"/>
    <w:pPr>
      <w:ind w:left="720"/>
      <w:contextualSpacing/>
    </w:pPr>
  </w:style>
  <w:style w:type="character" w:styleId="Vrazn">
    <w:name w:val="Strong"/>
    <w:basedOn w:val="Predvolenpsmoodseku"/>
    <w:uiPriority w:val="22"/>
    <w:qFormat/>
    <w:rsid w:val="00B72D98"/>
    <w:rPr>
      <w:b/>
      <w:bCs/>
    </w:rPr>
  </w:style>
  <w:style w:type="character" w:styleId="Hypertextovprepojenie">
    <w:name w:val="Hyperlink"/>
    <w:basedOn w:val="Predvolenpsmoodseku"/>
    <w:uiPriority w:val="99"/>
    <w:semiHidden/>
    <w:unhideWhenUsed/>
    <w:rsid w:val="008B1A62"/>
    <w:rPr>
      <w:color w:val="0563C1" w:themeColor="hyperlink"/>
      <w:u w:val="single"/>
    </w:rPr>
  </w:style>
  <w:style w:type="character" w:styleId="Odkaznakomentr">
    <w:name w:val="annotation reference"/>
    <w:basedOn w:val="Predvolenpsmoodseku"/>
    <w:uiPriority w:val="99"/>
    <w:semiHidden/>
    <w:unhideWhenUsed/>
    <w:rsid w:val="00DA73EB"/>
    <w:rPr>
      <w:sz w:val="16"/>
      <w:szCs w:val="16"/>
    </w:rPr>
  </w:style>
  <w:style w:type="paragraph" w:styleId="Textkomentra">
    <w:name w:val="annotation text"/>
    <w:basedOn w:val="Normlny"/>
    <w:link w:val="TextkomentraChar"/>
    <w:uiPriority w:val="99"/>
    <w:semiHidden/>
    <w:unhideWhenUsed/>
    <w:rsid w:val="00DA73EB"/>
    <w:pPr>
      <w:spacing w:line="240" w:lineRule="auto"/>
    </w:pPr>
    <w:rPr>
      <w:sz w:val="20"/>
      <w:szCs w:val="20"/>
    </w:rPr>
  </w:style>
  <w:style w:type="character" w:customStyle="1" w:styleId="TextkomentraChar">
    <w:name w:val="Text komentára Char"/>
    <w:basedOn w:val="Predvolenpsmoodseku"/>
    <w:link w:val="Textkomentra"/>
    <w:uiPriority w:val="99"/>
    <w:semiHidden/>
    <w:rsid w:val="00DA73EB"/>
    <w:rPr>
      <w:sz w:val="20"/>
      <w:szCs w:val="20"/>
    </w:rPr>
  </w:style>
  <w:style w:type="paragraph" w:styleId="Predmetkomentra">
    <w:name w:val="annotation subject"/>
    <w:basedOn w:val="Textkomentra"/>
    <w:next w:val="Textkomentra"/>
    <w:link w:val="PredmetkomentraChar"/>
    <w:uiPriority w:val="99"/>
    <w:semiHidden/>
    <w:unhideWhenUsed/>
    <w:rsid w:val="00DA73EB"/>
    <w:rPr>
      <w:b/>
      <w:bCs/>
    </w:rPr>
  </w:style>
  <w:style w:type="character" w:customStyle="1" w:styleId="PredmetkomentraChar">
    <w:name w:val="Predmet komentára Char"/>
    <w:basedOn w:val="TextkomentraChar"/>
    <w:link w:val="Predmetkomentra"/>
    <w:uiPriority w:val="99"/>
    <w:semiHidden/>
    <w:rsid w:val="00DA73EB"/>
    <w:rPr>
      <w:b/>
      <w:bCs/>
      <w:sz w:val="20"/>
      <w:szCs w:val="20"/>
    </w:rPr>
  </w:style>
  <w:style w:type="paragraph" w:styleId="Textbubliny">
    <w:name w:val="Balloon Text"/>
    <w:basedOn w:val="Normlny"/>
    <w:link w:val="TextbublinyChar"/>
    <w:uiPriority w:val="99"/>
    <w:semiHidden/>
    <w:unhideWhenUsed/>
    <w:rsid w:val="00DA73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7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9217">
      <w:bodyDiv w:val="1"/>
      <w:marLeft w:val="0"/>
      <w:marRight w:val="0"/>
      <w:marTop w:val="0"/>
      <w:marBottom w:val="0"/>
      <w:divBdr>
        <w:top w:val="none" w:sz="0" w:space="0" w:color="auto"/>
        <w:left w:val="none" w:sz="0" w:space="0" w:color="auto"/>
        <w:bottom w:val="none" w:sz="0" w:space="0" w:color="auto"/>
        <w:right w:val="none" w:sz="0" w:space="0" w:color="auto"/>
      </w:divBdr>
      <w:divsChild>
        <w:div w:id="1577322913">
          <w:marLeft w:val="0"/>
          <w:marRight w:val="0"/>
          <w:marTop w:val="0"/>
          <w:marBottom w:val="0"/>
          <w:divBdr>
            <w:top w:val="none" w:sz="0" w:space="0" w:color="auto"/>
            <w:left w:val="none" w:sz="0" w:space="0" w:color="auto"/>
            <w:bottom w:val="none" w:sz="0" w:space="0" w:color="auto"/>
            <w:right w:val="none" w:sz="0" w:space="0" w:color="auto"/>
          </w:divBdr>
          <w:divsChild>
            <w:div w:id="1236285500">
              <w:marLeft w:val="0"/>
              <w:marRight w:val="0"/>
              <w:marTop w:val="0"/>
              <w:marBottom w:val="0"/>
              <w:divBdr>
                <w:top w:val="none" w:sz="0" w:space="0" w:color="auto"/>
                <w:left w:val="none" w:sz="0" w:space="0" w:color="auto"/>
                <w:bottom w:val="none" w:sz="0" w:space="0" w:color="auto"/>
                <w:right w:val="none" w:sz="0" w:space="0" w:color="auto"/>
              </w:divBdr>
              <w:divsChild>
                <w:div w:id="249890715">
                  <w:marLeft w:val="0"/>
                  <w:marRight w:val="0"/>
                  <w:marTop w:val="0"/>
                  <w:marBottom w:val="0"/>
                  <w:divBdr>
                    <w:top w:val="none" w:sz="0" w:space="0" w:color="auto"/>
                    <w:left w:val="none" w:sz="0" w:space="0" w:color="auto"/>
                    <w:bottom w:val="none" w:sz="0" w:space="0" w:color="auto"/>
                    <w:right w:val="none" w:sz="0" w:space="0" w:color="auto"/>
                  </w:divBdr>
                  <w:divsChild>
                    <w:div w:id="1857038312">
                      <w:marLeft w:val="300"/>
                      <w:marRight w:val="0"/>
                      <w:marTop w:val="375"/>
                      <w:marBottom w:val="750"/>
                      <w:divBdr>
                        <w:top w:val="none" w:sz="0" w:space="0" w:color="auto"/>
                        <w:left w:val="none" w:sz="0" w:space="0" w:color="auto"/>
                        <w:bottom w:val="none" w:sz="0" w:space="0" w:color="auto"/>
                        <w:right w:val="none" w:sz="0" w:space="0" w:color="auto"/>
                      </w:divBdr>
                      <w:divsChild>
                        <w:div w:id="11569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9691">
      <w:bodyDiv w:val="1"/>
      <w:marLeft w:val="0"/>
      <w:marRight w:val="0"/>
      <w:marTop w:val="0"/>
      <w:marBottom w:val="0"/>
      <w:divBdr>
        <w:top w:val="none" w:sz="0" w:space="0" w:color="auto"/>
        <w:left w:val="none" w:sz="0" w:space="0" w:color="auto"/>
        <w:bottom w:val="none" w:sz="0" w:space="0" w:color="auto"/>
        <w:right w:val="none" w:sz="0" w:space="0" w:color="auto"/>
      </w:divBdr>
    </w:div>
    <w:div w:id="538903830">
      <w:bodyDiv w:val="1"/>
      <w:marLeft w:val="0"/>
      <w:marRight w:val="0"/>
      <w:marTop w:val="0"/>
      <w:marBottom w:val="0"/>
      <w:divBdr>
        <w:top w:val="none" w:sz="0" w:space="0" w:color="auto"/>
        <w:left w:val="none" w:sz="0" w:space="0" w:color="auto"/>
        <w:bottom w:val="none" w:sz="0" w:space="0" w:color="auto"/>
        <w:right w:val="none" w:sz="0" w:space="0" w:color="auto"/>
      </w:divBdr>
      <w:divsChild>
        <w:div w:id="1488084382">
          <w:marLeft w:val="0"/>
          <w:marRight w:val="0"/>
          <w:marTop w:val="0"/>
          <w:marBottom w:val="0"/>
          <w:divBdr>
            <w:top w:val="none" w:sz="0" w:space="0" w:color="auto"/>
            <w:left w:val="none" w:sz="0" w:space="0" w:color="auto"/>
            <w:bottom w:val="none" w:sz="0" w:space="0" w:color="auto"/>
            <w:right w:val="none" w:sz="0" w:space="0" w:color="auto"/>
          </w:divBdr>
          <w:divsChild>
            <w:div w:id="769357938">
              <w:marLeft w:val="0"/>
              <w:marRight w:val="0"/>
              <w:marTop w:val="0"/>
              <w:marBottom w:val="0"/>
              <w:divBdr>
                <w:top w:val="none" w:sz="0" w:space="0" w:color="auto"/>
                <w:left w:val="none" w:sz="0" w:space="0" w:color="auto"/>
                <w:bottom w:val="none" w:sz="0" w:space="0" w:color="auto"/>
                <w:right w:val="none" w:sz="0" w:space="0" w:color="auto"/>
              </w:divBdr>
              <w:divsChild>
                <w:div w:id="353729195">
                  <w:marLeft w:val="0"/>
                  <w:marRight w:val="0"/>
                  <w:marTop w:val="0"/>
                  <w:marBottom w:val="0"/>
                  <w:divBdr>
                    <w:top w:val="none" w:sz="0" w:space="0" w:color="auto"/>
                    <w:left w:val="none" w:sz="0" w:space="0" w:color="auto"/>
                    <w:bottom w:val="none" w:sz="0" w:space="0" w:color="auto"/>
                    <w:right w:val="none" w:sz="0" w:space="0" w:color="auto"/>
                  </w:divBdr>
                  <w:divsChild>
                    <w:div w:id="844440622">
                      <w:marLeft w:val="300"/>
                      <w:marRight w:val="0"/>
                      <w:marTop w:val="375"/>
                      <w:marBottom w:val="750"/>
                      <w:divBdr>
                        <w:top w:val="none" w:sz="0" w:space="0" w:color="auto"/>
                        <w:left w:val="none" w:sz="0" w:space="0" w:color="auto"/>
                        <w:bottom w:val="none" w:sz="0" w:space="0" w:color="auto"/>
                        <w:right w:val="none" w:sz="0" w:space="0" w:color="auto"/>
                      </w:divBdr>
                      <w:divsChild>
                        <w:div w:id="2789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633">
      <w:bodyDiv w:val="1"/>
      <w:marLeft w:val="0"/>
      <w:marRight w:val="0"/>
      <w:marTop w:val="0"/>
      <w:marBottom w:val="0"/>
      <w:divBdr>
        <w:top w:val="none" w:sz="0" w:space="0" w:color="auto"/>
        <w:left w:val="none" w:sz="0" w:space="0" w:color="auto"/>
        <w:bottom w:val="none" w:sz="0" w:space="0" w:color="auto"/>
        <w:right w:val="none" w:sz="0" w:space="0" w:color="auto"/>
      </w:divBdr>
    </w:div>
    <w:div w:id="1194925203">
      <w:bodyDiv w:val="1"/>
      <w:marLeft w:val="0"/>
      <w:marRight w:val="0"/>
      <w:marTop w:val="0"/>
      <w:marBottom w:val="0"/>
      <w:divBdr>
        <w:top w:val="none" w:sz="0" w:space="0" w:color="auto"/>
        <w:left w:val="none" w:sz="0" w:space="0" w:color="auto"/>
        <w:bottom w:val="none" w:sz="0" w:space="0" w:color="auto"/>
        <w:right w:val="none" w:sz="0" w:space="0" w:color="auto"/>
      </w:divBdr>
    </w:div>
    <w:div w:id="1324358079">
      <w:bodyDiv w:val="1"/>
      <w:marLeft w:val="0"/>
      <w:marRight w:val="0"/>
      <w:marTop w:val="0"/>
      <w:marBottom w:val="0"/>
      <w:divBdr>
        <w:top w:val="none" w:sz="0" w:space="0" w:color="auto"/>
        <w:left w:val="none" w:sz="0" w:space="0" w:color="auto"/>
        <w:bottom w:val="none" w:sz="0" w:space="0" w:color="auto"/>
        <w:right w:val="none" w:sz="0" w:space="0" w:color="auto"/>
      </w:divBdr>
    </w:div>
    <w:div w:id="1336614705">
      <w:bodyDiv w:val="1"/>
      <w:marLeft w:val="0"/>
      <w:marRight w:val="0"/>
      <w:marTop w:val="0"/>
      <w:marBottom w:val="0"/>
      <w:divBdr>
        <w:top w:val="none" w:sz="0" w:space="0" w:color="auto"/>
        <w:left w:val="none" w:sz="0" w:space="0" w:color="auto"/>
        <w:bottom w:val="none" w:sz="0" w:space="0" w:color="auto"/>
        <w:right w:val="none" w:sz="0" w:space="0" w:color="auto"/>
      </w:divBdr>
    </w:div>
    <w:div w:id="1964724510">
      <w:bodyDiv w:val="1"/>
      <w:marLeft w:val="0"/>
      <w:marRight w:val="0"/>
      <w:marTop w:val="0"/>
      <w:marBottom w:val="0"/>
      <w:divBdr>
        <w:top w:val="none" w:sz="0" w:space="0" w:color="auto"/>
        <w:left w:val="none" w:sz="0" w:space="0" w:color="auto"/>
        <w:bottom w:val="none" w:sz="0" w:space="0" w:color="auto"/>
        <w:right w:val="none" w:sz="0" w:space="0" w:color="auto"/>
      </w:divBdr>
    </w:div>
    <w:div w:id="2061972001">
      <w:bodyDiv w:val="1"/>
      <w:marLeft w:val="0"/>
      <w:marRight w:val="0"/>
      <w:marTop w:val="0"/>
      <w:marBottom w:val="0"/>
      <w:divBdr>
        <w:top w:val="none" w:sz="0" w:space="0" w:color="auto"/>
        <w:left w:val="none" w:sz="0" w:space="0" w:color="auto"/>
        <w:bottom w:val="none" w:sz="0" w:space="0" w:color="auto"/>
        <w:right w:val="none" w:sz="0" w:space="0" w:color="auto"/>
      </w:divBdr>
    </w:div>
    <w:div w:id="20741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hyperlink" Target="https://www.slaspo.sk/28119" TargetMode="Externa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package" Target="embeddings/Microsoft_Excel_Worksheet.xlsx"/><Relationship Id="rId11" Type="http://schemas.openxmlformats.org/officeDocument/2006/relationships/package" Target="embeddings/Microsoft_Excel_Worksheet2.xlsx"/><Relationship Id="rId5" Type="http://schemas.openxmlformats.org/officeDocument/2006/relationships/image" Target="media/image1.emf"/><Relationship Id="rId15" Type="http://schemas.openxmlformats.org/officeDocument/2006/relationships/hyperlink" Target="https://www.slaspo.sk/28403"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hyperlink" Target="https://www.slaspo.sk/2789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5</Pages>
  <Words>1881</Words>
  <Characters>10723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Bachníček Jozef</dc:creator>
  <cp:lastModifiedBy>jozef.bachnicek</cp:lastModifiedBy>
  <cp:revision>43</cp:revision>
  <dcterms:created xsi:type="dcterms:W3CDTF">2018-10-12T06:13:00Z</dcterms:created>
  <dcterms:modified xsi:type="dcterms:W3CDTF">2022-04-19T09:06:00Z</dcterms:modified>
</cp:coreProperties>
</file>