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DECB" w14:textId="04692919" w:rsidR="00A81CAC" w:rsidRDefault="00A81CAC" w:rsidP="00A81CAC">
      <w:pPr>
        <w:jc w:val="center"/>
        <w:rPr>
          <w:b/>
          <w:bCs/>
        </w:rPr>
      </w:pPr>
      <w:r w:rsidRPr="00A81CAC">
        <w:rPr>
          <w:b/>
          <w:bCs/>
        </w:rPr>
        <w:t xml:space="preserve">Zápis zo stretnutia </w:t>
      </w:r>
      <w:r>
        <w:rPr>
          <w:b/>
          <w:bCs/>
        </w:rPr>
        <w:t xml:space="preserve">zástupcov </w:t>
      </w:r>
      <w:r w:rsidRPr="00A81CAC">
        <w:rPr>
          <w:b/>
          <w:bCs/>
        </w:rPr>
        <w:t>MF SR, NBS a SLASPO na tému  IFRS 17 a</w:t>
      </w:r>
      <w:r>
        <w:rPr>
          <w:b/>
          <w:bCs/>
        </w:rPr>
        <w:t> </w:t>
      </w:r>
      <w:r w:rsidRPr="00A81CAC">
        <w:rPr>
          <w:b/>
          <w:bCs/>
        </w:rPr>
        <w:t>dane</w:t>
      </w:r>
    </w:p>
    <w:p w14:paraId="69E4CAA9" w14:textId="5EDF6826" w:rsidR="0024464B" w:rsidRDefault="0024464B">
      <w:r>
        <w:t xml:space="preserve">Termín: </w:t>
      </w:r>
      <w:r w:rsidR="00A81CAC">
        <w:t>1</w:t>
      </w:r>
      <w:r w:rsidR="00742C8E">
        <w:t>5</w:t>
      </w:r>
      <w:r>
        <w:t>.</w:t>
      </w:r>
      <w:r w:rsidR="00742C8E">
        <w:t>6</w:t>
      </w:r>
      <w:r>
        <w:t>.2021 o</w:t>
      </w:r>
      <w:r w:rsidR="00742C8E">
        <w:t> 13:00</w:t>
      </w:r>
    </w:p>
    <w:p w14:paraId="7CDEA588" w14:textId="77777777" w:rsidR="0024464B" w:rsidRDefault="0024464B">
      <w:r>
        <w:t xml:space="preserve">Pozvaní účastníci: </w:t>
      </w:r>
    </w:p>
    <w:p w14:paraId="682B4189" w14:textId="36F64985" w:rsidR="0024464B" w:rsidRDefault="00A81CAC" w:rsidP="00322AAE">
      <w:pPr>
        <w:spacing w:after="0"/>
      </w:pPr>
      <w:r>
        <w:t>MF SR –</w:t>
      </w:r>
      <w:r w:rsidR="0095489C">
        <w:t xml:space="preserve"> </w:t>
      </w:r>
      <w:r w:rsidR="00322AAE">
        <w:t xml:space="preserve">p. Vidová, p. </w:t>
      </w:r>
      <w:proofErr w:type="spellStart"/>
      <w:r w:rsidR="00322AAE">
        <w:t>Šalkovičová</w:t>
      </w:r>
      <w:proofErr w:type="spellEnd"/>
      <w:r w:rsidR="00322AAE">
        <w:t xml:space="preserve">, p. </w:t>
      </w:r>
      <w:proofErr w:type="spellStart"/>
      <w:r w:rsidR="00322AAE">
        <w:t>Horniaček</w:t>
      </w:r>
      <w:proofErr w:type="spellEnd"/>
    </w:p>
    <w:p w14:paraId="63904DCC" w14:textId="20BF675E" w:rsidR="00322AAE" w:rsidRDefault="00322AAE" w:rsidP="00322AAE">
      <w:pPr>
        <w:spacing w:after="0"/>
      </w:pPr>
      <w:r>
        <w:t xml:space="preserve">NBS – p. </w:t>
      </w:r>
      <w:proofErr w:type="spellStart"/>
      <w:r>
        <w:t>Gondová</w:t>
      </w:r>
      <w:proofErr w:type="spellEnd"/>
      <w:r>
        <w:t xml:space="preserve">, </w:t>
      </w:r>
      <w:proofErr w:type="spellStart"/>
      <w:r>
        <w:t>p.Rondošová</w:t>
      </w:r>
      <w:proofErr w:type="spellEnd"/>
      <w:r>
        <w:t>, p. Fedorčáková</w:t>
      </w:r>
    </w:p>
    <w:p w14:paraId="25E44745" w14:textId="77777777" w:rsidR="00322AAE" w:rsidRDefault="00322AAE" w:rsidP="00322AAE">
      <w:pPr>
        <w:spacing w:after="0"/>
      </w:pPr>
      <w:r>
        <w:t xml:space="preserve">SLASPO – p. </w:t>
      </w:r>
      <w:proofErr w:type="spellStart"/>
      <w:r>
        <w:t>Janíček</w:t>
      </w:r>
      <w:proofErr w:type="spellEnd"/>
      <w:r>
        <w:t xml:space="preserve">, p. Brunovská, p. </w:t>
      </w:r>
      <w:proofErr w:type="spellStart"/>
      <w:r>
        <w:t>Kirchner</w:t>
      </w:r>
      <w:proofErr w:type="spellEnd"/>
      <w:r>
        <w:t xml:space="preserve"> (Allianz-SP), </w:t>
      </w:r>
    </w:p>
    <w:p w14:paraId="69ED50CC" w14:textId="7C9FDCD5" w:rsidR="00322AAE" w:rsidRDefault="00322AAE" w:rsidP="00322AAE">
      <w:pPr>
        <w:spacing w:after="0"/>
        <w:ind w:left="708"/>
      </w:pPr>
      <w:r>
        <w:t xml:space="preserve">    </w:t>
      </w:r>
      <w:proofErr w:type="spellStart"/>
      <w:r>
        <w:t>p.Kľučovská</w:t>
      </w:r>
      <w:proofErr w:type="spellEnd"/>
      <w:r>
        <w:t xml:space="preserve">, p. </w:t>
      </w:r>
      <w:proofErr w:type="spellStart"/>
      <w:r>
        <w:t>Joštiaková</w:t>
      </w:r>
      <w:proofErr w:type="spellEnd"/>
      <w:r>
        <w:t xml:space="preserve"> (Generali)</w:t>
      </w:r>
    </w:p>
    <w:p w14:paraId="45641F6A" w14:textId="6FE99DF0" w:rsidR="00322AAE" w:rsidRDefault="00322AAE" w:rsidP="00322AAE">
      <w:pPr>
        <w:spacing w:after="0"/>
        <w:ind w:left="708"/>
      </w:pPr>
      <w:r>
        <w:t xml:space="preserve">    p. </w:t>
      </w:r>
      <w:proofErr w:type="spellStart"/>
      <w:r>
        <w:t>Bachniček</w:t>
      </w:r>
      <w:proofErr w:type="spellEnd"/>
    </w:p>
    <w:p w14:paraId="705CFB84" w14:textId="77499E1A" w:rsidR="00322AAE" w:rsidRDefault="00322AAE" w:rsidP="00322AAE">
      <w:pPr>
        <w:spacing w:after="0"/>
        <w:ind w:left="708"/>
      </w:pPr>
    </w:p>
    <w:p w14:paraId="5E434AD2" w14:textId="65E75AA7" w:rsidR="00DB6256" w:rsidRDefault="00DB6256" w:rsidP="00DB6256">
      <w:pPr>
        <w:pStyle w:val="Odsekzoznamu"/>
        <w:numPr>
          <w:ilvl w:val="0"/>
          <w:numId w:val="5"/>
        </w:numPr>
        <w:spacing w:after="0"/>
      </w:pPr>
      <w:r>
        <w:t xml:space="preserve">Vývoj IBNR v rokoch 2012-2020 </w:t>
      </w:r>
    </w:p>
    <w:p w14:paraId="778DA756" w14:textId="1C23BC07" w:rsidR="00DB6256" w:rsidRDefault="00DB6256" w:rsidP="00DB6256">
      <w:pPr>
        <w:pStyle w:val="Odsekzoznamu"/>
        <w:numPr>
          <w:ilvl w:val="0"/>
          <w:numId w:val="5"/>
        </w:numPr>
        <w:spacing w:after="0"/>
      </w:pPr>
      <w:r w:rsidRPr="00DB6256">
        <w:t>Dostupnosť údajov o dopade prechodu na IFRS 17 a IFRS9</w:t>
      </w:r>
    </w:p>
    <w:p w14:paraId="21F10727" w14:textId="15C8166C" w:rsidR="00DB6256" w:rsidRDefault="00DB6256" w:rsidP="00DB6256">
      <w:pPr>
        <w:pStyle w:val="Odsekzoznamu"/>
        <w:numPr>
          <w:ilvl w:val="0"/>
          <w:numId w:val="5"/>
        </w:numPr>
        <w:spacing w:after="0"/>
      </w:pPr>
      <w:r>
        <w:t>Prechod na IFRS 17 a IFRS 9 – vysvetlenie dopadov</w:t>
      </w:r>
    </w:p>
    <w:p w14:paraId="3810F371" w14:textId="77777777" w:rsidR="00DB6256" w:rsidRDefault="00DB6256" w:rsidP="00DB6256">
      <w:pPr>
        <w:spacing w:after="0"/>
      </w:pPr>
    </w:p>
    <w:p w14:paraId="302F83F0" w14:textId="4E98077D" w:rsidR="00742C8E" w:rsidRDefault="00742C8E" w:rsidP="00322AAE">
      <w:pPr>
        <w:spacing w:after="0"/>
      </w:pPr>
      <w:proofErr w:type="spellStart"/>
      <w:r>
        <w:t>P.Bachniček</w:t>
      </w:r>
      <w:proofErr w:type="spellEnd"/>
      <w:r>
        <w:t xml:space="preserve"> odprezentoval vývoj rezerv IBNR za členov SLASPO v rokoch 2012 – 2020 a odhad vplyvu na splatnú daň z príjmov, ak  by tvorba a rozpustenie IBNR boli daňovo uznávané náklady a výnosy. Na základe údajov od členov SLASPO reprezentujúcich necelých 96</w:t>
      </w:r>
      <w:r w:rsidRPr="001B2277">
        <w:t>% poistn</w:t>
      </w:r>
      <w:r>
        <w:t xml:space="preserve">ého trhu ukázal, že ak by boli rezervy IBNR daňovo uznané, dopad na splatnú daň z príjmov v jednotlivých rokoch by za pohyboval v jednotlivých rokoch v rozpätí cca </w:t>
      </w:r>
      <w:r w:rsidRPr="001B2277">
        <w:rPr>
          <w:rFonts w:cstheme="minorHAnsi"/>
        </w:rPr>
        <w:t>±</w:t>
      </w:r>
      <w:r w:rsidRPr="001B2277">
        <w:t xml:space="preserve"> </w:t>
      </w:r>
      <w:r>
        <w:t xml:space="preserve">3 mil. Eur. Výnimkou by bol iba rok 2020, kedy kvôli zásahu štátu v súvislosti s pandémiou bola odložená povinnosť CK vrátiť klientom peniaze za neuskutočnené zájazdy v roku 2020 do septembra 2021, </w:t>
      </w:r>
      <w:r w:rsidR="00DB6256">
        <w:t>pri čom tieto záväzky CK sú kryté poistením insolventnosti za rok 2020. Na základe informácií dostupných v čase zostavenia závierky niektoré poisťovne vyhodnotili situáciu tak, že bez ďalšej pomoci štátu by sa niektoré CK stali insolventné, a preto vytvorili k týmto prípadom rezervy IBNR.</w:t>
      </w:r>
    </w:p>
    <w:p w14:paraId="3964292B" w14:textId="528C1988" w:rsidR="00DB6256" w:rsidRDefault="00DB6256" w:rsidP="00322AAE">
      <w:pPr>
        <w:spacing w:after="0"/>
      </w:pPr>
    </w:p>
    <w:p w14:paraId="63BC581C" w14:textId="25BFCD27" w:rsidR="00DB6256" w:rsidRDefault="00DB6256" w:rsidP="00322AAE">
      <w:pPr>
        <w:spacing w:after="0"/>
      </w:pPr>
      <w:r>
        <w:t xml:space="preserve">P. </w:t>
      </w:r>
      <w:proofErr w:type="spellStart"/>
      <w:r>
        <w:t>Bachniček</w:t>
      </w:r>
      <w:proofErr w:type="spellEnd"/>
      <w:r>
        <w:t xml:space="preserve"> na základe podkladov od členov SLASPO informoval o tom, kedy bude možné predložiť odhady dopadov implementácie IFRS 17 a IFRS 9 aspoň za časť trhu.</w:t>
      </w:r>
      <w:r w:rsidR="00616FDA">
        <w:t xml:space="preserve"> Podľa vyjadrenia poisťovní by prvé odhady za približne polovicu trhu mohli byť dostupné koncom roka 2021, odhady  za všetky poisťovne, ktoré sú členmi SLASPO, by mali byť k dispozícii do konca 1. polroku 2022. Či a kedy budú dostupné odhady za pobočky poisťovní iných členských štátov (členov SLASPO) zatiaľ nie je známe.</w:t>
      </w:r>
    </w:p>
    <w:p w14:paraId="03D80FC6" w14:textId="12E1E0F2" w:rsidR="00DB6256" w:rsidRDefault="00DB6256" w:rsidP="00322AAE">
      <w:pPr>
        <w:spacing w:after="0"/>
      </w:pPr>
    </w:p>
    <w:p w14:paraId="7E7F585C" w14:textId="6C17C1C7" w:rsidR="00DB6256" w:rsidRDefault="00DB6256" w:rsidP="00322AAE">
      <w:pPr>
        <w:spacing w:after="0"/>
      </w:pPr>
      <w:r>
        <w:t>Prezentácia k prvým dvom bodom:</w:t>
      </w:r>
    </w:p>
    <w:p w14:paraId="6671F32A" w14:textId="36421174" w:rsidR="00DB6256" w:rsidRDefault="000F4E61" w:rsidP="00322AAE">
      <w:pPr>
        <w:spacing w:after="0"/>
      </w:pPr>
      <w:r>
        <w:object w:dxaOrig="1508" w:dyaOrig="982" w14:anchorId="1FA45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10" o:title=""/>
          </v:shape>
          <o:OLEObject Type="Embed" ProgID="PowerPoint.Show.12" ShapeID="_x0000_i1025" DrawAspect="Icon" ObjectID="_1685853179" r:id="rId11"/>
        </w:object>
      </w:r>
    </w:p>
    <w:p w14:paraId="6C5AD7E4" w14:textId="25DFEE83" w:rsidR="00DB6256" w:rsidRDefault="00DB6256" w:rsidP="00322AAE">
      <w:pPr>
        <w:spacing w:after="0"/>
      </w:pPr>
    </w:p>
    <w:p w14:paraId="1ACDE7B1" w14:textId="715EE895" w:rsidR="00DB6256" w:rsidRDefault="00DB6256" w:rsidP="00322AAE">
      <w:pPr>
        <w:spacing w:after="0"/>
      </w:pPr>
      <w:r>
        <w:t>Zástupcovia poisťovn</w:t>
      </w:r>
      <w:r w:rsidR="0043469E">
        <w:t xml:space="preserve">e </w:t>
      </w:r>
      <w:r>
        <w:t>Allianz- SP</w:t>
      </w:r>
      <w:r w:rsidR="00047BDC">
        <w:t xml:space="preserve"> vysvetlili  hlavné rozdiely, ktoré sa premietnu do vlastného imania pri prechode na IFRS 17 a IFRS 9 k 1.1.2023.</w:t>
      </w:r>
    </w:p>
    <w:p w14:paraId="1276D322" w14:textId="5BB9AFB1" w:rsidR="009170CC" w:rsidRDefault="006D35D7" w:rsidP="00322AAE">
      <w:pPr>
        <w:spacing w:after="0"/>
      </w:pPr>
      <w:proofErr w:type="spellStart"/>
      <w:r>
        <w:t>P.Janíček</w:t>
      </w:r>
      <w:proofErr w:type="spellEnd"/>
      <w:r>
        <w:t xml:space="preserve"> prezentoval </w:t>
      </w:r>
      <w:proofErr w:type="spellStart"/>
      <w:r>
        <w:t>rekoncili</w:t>
      </w:r>
      <w:r w:rsidR="00C23939">
        <w:t>á</w:t>
      </w:r>
      <w:r>
        <w:t>ciu</w:t>
      </w:r>
      <w:proofErr w:type="spellEnd"/>
      <w:r>
        <w:t xml:space="preserve"> vlastného imania(„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“) v štruktúre uvedenej </w:t>
      </w:r>
      <w:r w:rsidRPr="009170CC">
        <w:t>v </w:t>
      </w:r>
      <w:r w:rsidRPr="001B2277">
        <w:t>prílohe,</w:t>
      </w:r>
      <w:r w:rsidR="0043469E">
        <w:t xml:space="preserve"> </w:t>
      </w:r>
      <w:r>
        <w:t>ktorá obsahuje aj odkazy na súčasnú súvahu výkazu vybraných údajov z individuálnej závierky a súvahu, ktorá by mala byť súčasťou tohto výkazu po implementácii IFRS 17.</w:t>
      </w:r>
    </w:p>
    <w:bookmarkStart w:id="0" w:name="_MON_1685436873"/>
    <w:bookmarkEnd w:id="0"/>
    <w:p w14:paraId="7D960B57" w14:textId="280F69FB" w:rsidR="001B2277" w:rsidRDefault="001B2277" w:rsidP="00322AAE">
      <w:pPr>
        <w:spacing w:after="0"/>
      </w:pPr>
      <w:r>
        <w:object w:dxaOrig="1540" w:dyaOrig="996" w14:anchorId="72619CD8">
          <v:shape id="_x0000_i1026" type="#_x0000_t75" style="width:77.25pt;height:49.5pt" o:ole="">
            <v:imagedata r:id="rId12" o:title=""/>
          </v:shape>
          <o:OLEObject Type="Embed" ProgID="Word.Document.12" ShapeID="_x0000_i1026" DrawAspect="Icon" ObjectID="_1685853180" r:id="rId13">
            <o:FieldCodes>\s</o:FieldCodes>
          </o:OLEObject>
        </w:object>
      </w:r>
    </w:p>
    <w:p w14:paraId="509D3502" w14:textId="13666EEA" w:rsidR="009170CC" w:rsidRDefault="009170CC" w:rsidP="00322AAE">
      <w:pPr>
        <w:spacing w:after="0"/>
      </w:pPr>
    </w:p>
    <w:p w14:paraId="6000C22E" w14:textId="0420109F" w:rsidR="006D35D7" w:rsidRDefault="006D35D7" w:rsidP="00322AAE">
      <w:pPr>
        <w:spacing w:after="0"/>
      </w:pPr>
      <w:r>
        <w:lastRenderedPageBreak/>
        <w:t xml:space="preserve"> Podľa </w:t>
      </w:r>
      <w:proofErr w:type="spellStart"/>
      <w:r>
        <w:t>p.Janíčka</w:t>
      </w:r>
      <w:proofErr w:type="spellEnd"/>
      <w:r>
        <w:t xml:space="preserve">, zmeny v ocenení aktív v súvislosti IFRS 9 sú obdobné ako pri bankách, ktoré už tento štandard implementovali.  V ďalších riadkoch by sa ukázali zmeny vo vykazovaní časového rozlíšenia a technických rezerv. Novou položkou v účtovníctve bude CSM. Vyššie spomínané zmeny </w:t>
      </w:r>
      <w:r w:rsidR="00EB03CD">
        <w:t xml:space="preserve">môžu ovplyvniť </w:t>
      </w:r>
      <w:r>
        <w:t>aj odložené dane. Ďalšie zmeny pri prechode budú vykázané do OCI</w:t>
      </w:r>
      <w:r w:rsidR="005B5682">
        <w:t xml:space="preserve"> z toho dôvodu, že po implementovaní IFRS 17 a IFRS 9 bude cez OCI účtovaných viac položiek než v</w:t>
      </w:r>
      <w:r w:rsidR="00515A50">
        <w:t> </w:t>
      </w:r>
      <w:r w:rsidR="005B5682">
        <w:t>súčasnosti</w:t>
      </w:r>
      <w:r w:rsidR="00515A50">
        <w:t>.</w:t>
      </w:r>
    </w:p>
    <w:p w14:paraId="198899A7" w14:textId="695E0D59" w:rsidR="00EB03CD" w:rsidRDefault="0043469E" w:rsidP="00322AAE">
      <w:pPr>
        <w:spacing w:after="0"/>
      </w:pPr>
      <w:r>
        <w:t xml:space="preserve">P. </w:t>
      </w:r>
      <w:proofErr w:type="spellStart"/>
      <w:r>
        <w:t>Horniaček</w:t>
      </w:r>
      <w:proofErr w:type="spellEnd"/>
      <w:r>
        <w:t xml:space="preserve"> potvrdil, že prezentovaná tabuľka je vhodným základom na </w:t>
      </w:r>
      <w:r w:rsidR="00A67D3D">
        <w:t>zber podkladov od poisťovní</w:t>
      </w:r>
      <w:r>
        <w:t>, ale bude ju potrebné rozšíriť, a</w:t>
      </w:r>
      <w:r w:rsidR="006C4D6D">
        <w:t> niektoré z riadkov</w:t>
      </w:r>
      <w:r>
        <w:t xml:space="preserve"> </w:t>
      </w:r>
      <w:r w:rsidR="006C4D6D">
        <w:t xml:space="preserve">opisujúce  položky, ktoré budú pri prechode na IFRS 17 a IFRS 9 vykázané cez OCI, </w:t>
      </w:r>
      <w:r>
        <w:t>rozdeliť na tak</w:t>
      </w:r>
      <w:r w:rsidR="001B2277">
        <w:t xml:space="preserve"> </w:t>
      </w:r>
      <w:r>
        <w:t>,aby boli osobitne vykázané</w:t>
      </w:r>
      <w:r w:rsidR="006C4D6D">
        <w:t xml:space="preserve"> položky, ktoré</w:t>
      </w:r>
      <w:r w:rsidR="00EB03CD">
        <w:t xml:space="preserve"> </w:t>
      </w:r>
    </w:p>
    <w:p w14:paraId="1EAC03B3" w14:textId="77777777" w:rsidR="00EB03CD" w:rsidRDefault="00EB03CD" w:rsidP="00322AAE">
      <w:pPr>
        <w:spacing w:after="0"/>
      </w:pPr>
    </w:p>
    <w:p w14:paraId="7FE8D4C5" w14:textId="3A67A798" w:rsidR="00EB03CD" w:rsidRDefault="00EB03CD" w:rsidP="00EB03CD">
      <w:pPr>
        <w:pStyle w:val="Odsekzoznamu"/>
        <w:numPr>
          <w:ilvl w:val="0"/>
          <w:numId w:val="6"/>
        </w:numPr>
        <w:spacing w:after="0"/>
      </w:pPr>
      <w:r>
        <w:t>Boli tvorené cez hospodársky výsledok a</w:t>
      </w:r>
      <w:r w:rsidR="006C4D6D">
        <w:t xml:space="preserve"> </w:t>
      </w:r>
      <w:r w:rsidR="0043469E">
        <w:t xml:space="preserve"> v budúcnosti budú vykázané v hospodárskom výsledku</w:t>
      </w:r>
      <w:r w:rsidR="006C4D6D">
        <w:t xml:space="preserve">, </w:t>
      </w:r>
    </w:p>
    <w:p w14:paraId="75A04904" w14:textId="3AF8741B" w:rsidR="00EB03CD" w:rsidRDefault="00EB03CD" w:rsidP="00EB03CD">
      <w:pPr>
        <w:pStyle w:val="Odsekzoznamu"/>
        <w:numPr>
          <w:ilvl w:val="0"/>
          <w:numId w:val="6"/>
        </w:numPr>
        <w:spacing w:after="0"/>
      </w:pPr>
      <w:r>
        <w:t xml:space="preserve">Osobitne </w:t>
      </w:r>
      <w:r w:rsidR="0043469E">
        <w:t>tie</w:t>
      </w:r>
      <w:r w:rsidR="006C4D6D">
        <w:t xml:space="preserve"> položky</w:t>
      </w:r>
      <w:r w:rsidR="0043469E">
        <w:t xml:space="preserve">, ktoré </w:t>
      </w:r>
      <w:r>
        <w:t xml:space="preserve">boli tvorené cez hospodársky výsledok a </w:t>
      </w:r>
      <w:r w:rsidR="0043469E">
        <w:t>v budúcnosti cez hospodársky výsledok neprejdú.</w:t>
      </w:r>
      <w:r w:rsidR="006C4D6D">
        <w:t xml:space="preserve"> </w:t>
      </w:r>
    </w:p>
    <w:p w14:paraId="176BF42B" w14:textId="5832FAB4" w:rsidR="00EB03CD" w:rsidRDefault="00EB03CD" w:rsidP="00EB03CD">
      <w:pPr>
        <w:pStyle w:val="Odsekzoznamu"/>
        <w:numPr>
          <w:ilvl w:val="0"/>
          <w:numId w:val="6"/>
        </w:numPr>
        <w:spacing w:after="0"/>
      </w:pPr>
      <w:r>
        <w:t>Položky, ktoré boli tvorené v OCI a zostanú v</w:t>
      </w:r>
      <w:r w:rsidR="001B2277">
        <w:t> </w:t>
      </w:r>
      <w:r>
        <w:t>OCI</w:t>
      </w:r>
      <w:r w:rsidR="001B2277">
        <w:t>,</w:t>
      </w:r>
      <w:r>
        <w:t xml:space="preserve"> ale v budúcnosti (napr. pri predaji CP) budú súčasťou hospodárskeho výsledku</w:t>
      </w:r>
    </w:p>
    <w:p w14:paraId="56103FA1" w14:textId="36C8B065" w:rsidR="00EB03CD" w:rsidRDefault="00EB03CD" w:rsidP="00EB03CD">
      <w:pPr>
        <w:pStyle w:val="Odsekzoznamu"/>
        <w:numPr>
          <w:ilvl w:val="0"/>
          <w:numId w:val="6"/>
        </w:numPr>
        <w:spacing w:after="0"/>
      </w:pPr>
      <w:r>
        <w:t>Položky, ktoré boli tvorené v OCI a zostanú v</w:t>
      </w:r>
      <w:r w:rsidR="001B2277">
        <w:t> </w:t>
      </w:r>
      <w:r>
        <w:t>OCI</w:t>
      </w:r>
      <w:r w:rsidR="001B2277">
        <w:t>,</w:t>
      </w:r>
      <w:r>
        <w:t xml:space="preserve"> a nikdy nebudú súčasťou hospodárskeho výsledku</w:t>
      </w:r>
    </w:p>
    <w:p w14:paraId="6DC81A77" w14:textId="63F210A6" w:rsidR="00EB03CD" w:rsidRDefault="001B2277" w:rsidP="001B2277">
      <w:pPr>
        <w:spacing w:after="0"/>
      </w:pPr>
      <w:r>
        <w:t>Poznámka: Z doterajších analýz nie je jasné, či sa vyskytnú všetky 4 možnosti.</w:t>
      </w:r>
    </w:p>
    <w:p w14:paraId="58758F3D" w14:textId="77777777" w:rsidR="001B2277" w:rsidRDefault="001B2277" w:rsidP="001B2277">
      <w:pPr>
        <w:spacing w:after="0"/>
      </w:pPr>
    </w:p>
    <w:p w14:paraId="3A552C91" w14:textId="6AA7BCF5" w:rsidR="0043469E" w:rsidRDefault="006C4D6D" w:rsidP="00EB03CD">
      <w:pPr>
        <w:spacing w:after="0"/>
      </w:pPr>
      <w:r>
        <w:t>Samostatne bude treba doriešiť IBNR.</w:t>
      </w:r>
    </w:p>
    <w:p w14:paraId="4008F0ED" w14:textId="77777777" w:rsidR="00EB03CD" w:rsidRDefault="00EB03CD" w:rsidP="00EB03CD">
      <w:pPr>
        <w:spacing w:after="0"/>
      </w:pPr>
    </w:p>
    <w:p w14:paraId="7B0FC247" w14:textId="7E9A486B" w:rsidR="00DA08CD" w:rsidRDefault="0043469E" w:rsidP="00322AAE">
      <w:pPr>
        <w:spacing w:after="0"/>
      </w:pPr>
      <w:r>
        <w:t>Zástupcovia spoločnosti Allianz-SP</w:t>
      </w:r>
      <w:r w:rsidR="006C4D6D">
        <w:t xml:space="preserve"> pripravia v priebehu júla návrh rozšírenej </w:t>
      </w:r>
      <w:r>
        <w:t xml:space="preserve"> </w:t>
      </w:r>
      <w:r w:rsidR="006C4D6D">
        <w:t>tabuľky, ktorý prekonzultujú so zástupcami spoločnosti Generali. Následne bude návrh zaslaný na posúdenie p. </w:t>
      </w:r>
      <w:proofErr w:type="spellStart"/>
      <w:r w:rsidR="006C4D6D">
        <w:t>Horniačkovi</w:t>
      </w:r>
      <w:proofErr w:type="spellEnd"/>
      <w:r w:rsidR="006C4D6D">
        <w:t>.</w:t>
      </w:r>
      <w:r w:rsidR="00A67D3D">
        <w:t xml:space="preserve"> Po odsúhlasení dohodne SLASPO so svojimi členmi termíny, v ktorých budú schopné požadované údaje predložiť.</w:t>
      </w:r>
    </w:p>
    <w:p w14:paraId="620271A5" w14:textId="12CEC3ED" w:rsidR="00DA08CD" w:rsidRDefault="00DA08CD" w:rsidP="00322AAE">
      <w:pPr>
        <w:spacing w:after="0"/>
      </w:pPr>
    </w:p>
    <w:p w14:paraId="213F0DAD" w14:textId="7AEC9199" w:rsidR="00DA08CD" w:rsidRDefault="006C4D6D" w:rsidP="00322AAE">
      <w:pPr>
        <w:spacing w:after="0"/>
      </w:pPr>
      <w:r>
        <w:t xml:space="preserve">V rámci diskusie odznelo, </w:t>
      </w:r>
      <w:r w:rsidR="001B2277">
        <w:t>že nie</w:t>
      </w:r>
      <w:r>
        <w:t>ktoré časti súčasného zákona o dani z príjmov už čiastočne pokrývajú aj prechod na IFRS 17</w:t>
      </w:r>
      <w:r w:rsidR="00013AFB">
        <w:t xml:space="preserve"> Odkazy v súčasnom zákone o dani z príjmov na súčasný zákon o poisťovníctve (technické rezervy pre poisťovne) bude vhodné nahradiť odkazom na zákon o účtovníctve ( a teda implicitne na IFRS vrátane IFRS17). </w:t>
      </w:r>
      <w:r w:rsidR="001B2277">
        <w:t>Podrobnejšie to bude rozobrané na nasledujúcom stretnutí.</w:t>
      </w:r>
      <w:r w:rsidR="00013AFB">
        <w:t xml:space="preserve"> </w:t>
      </w:r>
    </w:p>
    <w:p w14:paraId="2C4B7374" w14:textId="6598FA70" w:rsidR="00C23939" w:rsidRDefault="00C23939" w:rsidP="00322AAE">
      <w:pPr>
        <w:spacing w:after="0"/>
      </w:pPr>
    </w:p>
    <w:p w14:paraId="38CC7799" w14:textId="61484101" w:rsidR="00C23939" w:rsidRDefault="00C23939" w:rsidP="00322AAE">
      <w:pPr>
        <w:spacing w:after="0"/>
      </w:pPr>
      <w:proofErr w:type="spellStart"/>
      <w:r>
        <w:t>P.Bachniček</w:t>
      </w:r>
      <w:proofErr w:type="spellEnd"/>
      <w:r>
        <w:t xml:space="preserve"> informoval, že  o závažných dôsledkoch, ktoré z implementácie IFRS 17 a IFRS 9 vyplývajú, SLASPO listom  informovala aj ministra financií. SLASPO v liste ocenila otvorenú komunikáciu, ktorú so SLASPO  k tejto téme vedú na odbornej úrovni zástupcovia MF SR a NBS.</w:t>
      </w:r>
    </w:p>
    <w:p w14:paraId="3FFC0C00" w14:textId="43652A60" w:rsidR="00A67D3D" w:rsidRDefault="00A67D3D" w:rsidP="00322AAE">
      <w:pPr>
        <w:spacing w:after="0"/>
      </w:pPr>
    </w:p>
    <w:p w14:paraId="1B177E91" w14:textId="7B8C51BC" w:rsidR="00A67D3D" w:rsidRDefault="00A67D3D" w:rsidP="00322AAE">
      <w:pPr>
        <w:spacing w:after="0"/>
      </w:pPr>
      <w:r>
        <w:t>Na ďalšom stretnutí, ktorého termín  sa operatívne dohodne (pravdepodobne v auguste),  by sa mal riešiť aj dopad prechodu na IFRS 17 a IFRS 9 na o</w:t>
      </w:r>
      <w:r w:rsidRPr="00A67D3D">
        <w:t>sobitný odvod z podnikania v regulovaných odvetviach</w:t>
      </w:r>
      <w:r w:rsidR="00EB03CD">
        <w:t xml:space="preserve"> a prípadné ďalšie témy (</w:t>
      </w:r>
      <w:proofErr w:type="spellStart"/>
      <w:r w:rsidR="00EB03CD">
        <w:t>onerous</w:t>
      </w:r>
      <w:proofErr w:type="spellEnd"/>
      <w:r w:rsidR="00EB03CD">
        <w:t xml:space="preserve"> </w:t>
      </w:r>
      <w:proofErr w:type="spellStart"/>
      <w:r w:rsidR="00EB03CD">
        <w:t>contracts</w:t>
      </w:r>
      <w:proofErr w:type="spellEnd"/>
      <w:r w:rsidR="00EB03CD">
        <w:t xml:space="preserve"> a pod.)</w:t>
      </w:r>
      <w:r w:rsidR="00C23939">
        <w:t>.</w:t>
      </w:r>
    </w:p>
    <w:p w14:paraId="5DF09B9D" w14:textId="728EC3CD" w:rsidR="00621607" w:rsidRDefault="00621607" w:rsidP="00322AAE">
      <w:pPr>
        <w:spacing w:after="0"/>
      </w:pPr>
    </w:p>
    <w:p w14:paraId="69FA93A5" w14:textId="1D3B5E0C" w:rsidR="00621607" w:rsidRDefault="00621607" w:rsidP="00322AAE">
      <w:pPr>
        <w:spacing w:after="0"/>
      </w:pPr>
    </w:p>
    <w:p w14:paraId="335E1B8A" w14:textId="77777777" w:rsidR="006D35D7" w:rsidRDefault="006D35D7" w:rsidP="00322AAE">
      <w:pPr>
        <w:spacing w:after="0"/>
      </w:pPr>
    </w:p>
    <w:p w14:paraId="04BDDF67" w14:textId="77777777" w:rsidR="00DB6256" w:rsidRPr="00742C8E" w:rsidRDefault="00DB6256" w:rsidP="00322AAE">
      <w:pPr>
        <w:spacing w:after="0"/>
      </w:pPr>
    </w:p>
    <w:p w14:paraId="61560065" w14:textId="77777777" w:rsidR="00742C8E" w:rsidRDefault="00742C8E" w:rsidP="00322AAE">
      <w:pPr>
        <w:spacing w:after="0"/>
      </w:pPr>
    </w:p>
    <w:p w14:paraId="7F249EB6" w14:textId="77777777" w:rsidR="008671DC" w:rsidRDefault="008671DC" w:rsidP="00322AAE">
      <w:pPr>
        <w:spacing w:after="0"/>
      </w:pPr>
    </w:p>
    <w:p w14:paraId="411DB6F2" w14:textId="40BF4292" w:rsidR="008671DC" w:rsidRPr="00322AAE" w:rsidRDefault="008671DC" w:rsidP="00322AAE">
      <w:pPr>
        <w:spacing w:after="0"/>
      </w:pPr>
    </w:p>
    <w:sectPr w:rsidR="008671DC" w:rsidRPr="00322AA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07AE" w14:textId="77777777" w:rsidR="00FC7729" w:rsidRDefault="00FC7729" w:rsidP="00CF2450">
      <w:pPr>
        <w:spacing w:after="0" w:line="240" w:lineRule="auto"/>
      </w:pPr>
      <w:r>
        <w:separator/>
      </w:r>
    </w:p>
  </w:endnote>
  <w:endnote w:type="continuationSeparator" w:id="0">
    <w:p w14:paraId="6253FADB" w14:textId="77777777" w:rsidR="00FC7729" w:rsidRDefault="00FC7729" w:rsidP="00C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C3E7" w14:textId="77777777" w:rsidR="00FC7729" w:rsidRDefault="00FC7729" w:rsidP="00CF2450">
      <w:pPr>
        <w:spacing w:after="0" w:line="240" w:lineRule="auto"/>
      </w:pPr>
      <w:r>
        <w:separator/>
      </w:r>
    </w:p>
  </w:footnote>
  <w:footnote w:type="continuationSeparator" w:id="0">
    <w:p w14:paraId="6DF6C2F1" w14:textId="77777777" w:rsidR="00FC7729" w:rsidRDefault="00FC7729" w:rsidP="00CF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BDD9" w14:textId="7135E1D5" w:rsidR="004E40FF" w:rsidRDefault="004E40F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25A2E3" wp14:editId="5338400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774422f82b553e823b3803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34380" w14:textId="580E45F1" w:rsidR="004E40FF" w:rsidRPr="004E40FF" w:rsidRDefault="004E40FF" w:rsidP="004E40F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A2E3" id="_x0000_t202" coordsize="21600,21600" o:spt="202" path="m,l,21600r21600,l21600,xe">
              <v:stroke joinstyle="miter"/>
              <v:path gradientshapeok="t" o:connecttype="rect"/>
            </v:shapetype>
            <v:shape id="MSIPCMf774422f82b553e823b38034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BOjr+cqwIAAEUFAAAOAAAAAAAAAAAA&#10;AAAAAC4CAABkcnMvZTJvRG9jLnhtbFBLAQItABQABgAIAAAAIQBLIgnm3AAAAAcBAAAPAAAAAAAA&#10;AAAAAAAAAAUFAABkcnMvZG93bnJldi54bWxQSwUGAAAAAAQABADzAAAADgYAAAAA&#10;" o:allowincell="f" filled="f" stroked="f" strokeweight=".5pt">
              <v:textbox inset=",0,,0">
                <w:txbxContent>
                  <w:p w14:paraId="71934380" w14:textId="580E45F1" w:rsidR="004E40FF" w:rsidRPr="004E40FF" w:rsidRDefault="004E40FF" w:rsidP="004E40F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B67"/>
    <w:multiLevelType w:val="hybridMultilevel"/>
    <w:tmpl w:val="F49CAD7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5EDA"/>
    <w:multiLevelType w:val="hybridMultilevel"/>
    <w:tmpl w:val="4F1EC8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937"/>
    <w:multiLevelType w:val="hybridMultilevel"/>
    <w:tmpl w:val="6862D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97957"/>
    <w:multiLevelType w:val="hybridMultilevel"/>
    <w:tmpl w:val="7C426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555AC"/>
    <w:multiLevelType w:val="hybridMultilevel"/>
    <w:tmpl w:val="F80A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D5260"/>
    <w:multiLevelType w:val="hybridMultilevel"/>
    <w:tmpl w:val="FAF66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6"/>
    <w:rsid w:val="00005B7D"/>
    <w:rsid w:val="00013AFB"/>
    <w:rsid w:val="00034F92"/>
    <w:rsid w:val="00047BDC"/>
    <w:rsid w:val="000F4E61"/>
    <w:rsid w:val="00137A0B"/>
    <w:rsid w:val="001B2277"/>
    <w:rsid w:val="001C1101"/>
    <w:rsid w:val="001C744E"/>
    <w:rsid w:val="00213D0F"/>
    <w:rsid w:val="002416B3"/>
    <w:rsid w:val="0024464B"/>
    <w:rsid w:val="002A63F8"/>
    <w:rsid w:val="002B2EBC"/>
    <w:rsid w:val="002B61C7"/>
    <w:rsid w:val="002B6CC3"/>
    <w:rsid w:val="00322AAE"/>
    <w:rsid w:val="003361C7"/>
    <w:rsid w:val="003A5BE8"/>
    <w:rsid w:val="003B3E31"/>
    <w:rsid w:val="003C2D93"/>
    <w:rsid w:val="0041106F"/>
    <w:rsid w:val="0043272A"/>
    <w:rsid w:val="0043469E"/>
    <w:rsid w:val="00445CE7"/>
    <w:rsid w:val="00480ECA"/>
    <w:rsid w:val="004D6E8F"/>
    <w:rsid w:val="004E40FF"/>
    <w:rsid w:val="00515A50"/>
    <w:rsid w:val="005879D7"/>
    <w:rsid w:val="005B5682"/>
    <w:rsid w:val="00616FDA"/>
    <w:rsid w:val="00621607"/>
    <w:rsid w:val="00626DB6"/>
    <w:rsid w:val="0064080A"/>
    <w:rsid w:val="00691C88"/>
    <w:rsid w:val="00695E2F"/>
    <w:rsid w:val="006C4D6D"/>
    <w:rsid w:val="006D35D7"/>
    <w:rsid w:val="00730163"/>
    <w:rsid w:val="00742C8E"/>
    <w:rsid w:val="007C6FE6"/>
    <w:rsid w:val="007D191B"/>
    <w:rsid w:val="007F4A99"/>
    <w:rsid w:val="008348AF"/>
    <w:rsid w:val="008671DC"/>
    <w:rsid w:val="0089076D"/>
    <w:rsid w:val="009170CC"/>
    <w:rsid w:val="0092555D"/>
    <w:rsid w:val="0095489C"/>
    <w:rsid w:val="00962633"/>
    <w:rsid w:val="009B4B07"/>
    <w:rsid w:val="00A352E7"/>
    <w:rsid w:val="00A52220"/>
    <w:rsid w:val="00A67D3D"/>
    <w:rsid w:val="00A73486"/>
    <w:rsid w:val="00A81CAC"/>
    <w:rsid w:val="00A82A63"/>
    <w:rsid w:val="00AE73D3"/>
    <w:rsid w:val="00B67415"/>
    <w:rsid w:val="00B8008A"/>
    <w:rsid w:val="00B83811"/>
    <w:rsid w:val="00B96684"/>
    <w:rsid w:val="00C16F25"/>
    <w:rsid w:val="00C23939"/>
    <w:rsid w:val="00C35B9D"/>
    <w:rsid w:val="00C8500C"/>
    <w:rsid w:val="00CB48DD"/>
    <w:rsid w:val="00CF2450"/>
    <w:rsid w:val="00D350B1"/>
    <w:rsid w:val="00D539BA"/>
    <w:rsid w:val="00D658A5"/>
    <w:rsid w:val="00DA08CD"/>
    <w:rsid w:val="00DB6256"/>
    <w:rsid w:val="00DE6855"/>
    <w:rsid w:val="00E14400"/>
    <w:rsid w:val="00E222CE"/>
    <w:rsid w:val="00E4045D"/>
    <w:rsid w:val="00E55961"/>
    <w:rsid w:val="00E614AF"/>
    <w:rsid w:val="00EA1DF6"/>
    <w:rsid w:val="00EB03CD"/>
    <w:rsid w:val="00F223AD"/>
    <w:rsid w:val="00F4132F"/>
    <w:rsid w:val="00F461C6"/>
    <w:rsid w:val="00F826F1"/>
    <w:rsid w:val="00F95465"/>
    <w:rsid w:val="00FC7729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1C09"/>
  <w15:chartTrackingRefBased/>
  <w15:docId w15:val="{7B25238B-47A9-43E8-8265-051EDE65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2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0FF"/>
  </w:style>
  <w:style w:type="paragraph" w:styleId="Pta">
    <w:name w:val="footer"/>
    <w:basedOn w:val="Normlny"/>
    <w:link w:val="PtaChar"/>
    <w:uiPriority w:val="99"/>
    <w:unhideWhenUsed/>
    <w:rsid w:val="004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0FF"/>
  </w:style>
  <w:style w:type="character" w:styleId="Odkaznakomentr">
    <w:name w:val="annotation reference"/>
    <w:basedOn w:val="Predvolenpsmoodseku"/>
    <w:uiPriority w:val="99"/>
    <w:semiHidden/>
    <w:unhideWhenUsed/>
    <w:rsid w:val="00EB03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03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03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03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03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PowerPoint_Presentation.pptx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5E5DBC4AAF94D8169BA23F2A55C9D" ma:contentTypeVersion="4" ma:contentTypeDescription="Create a new document." ma:contentTypeScope="" ma:versionID="6bb72a4436b726fb0c77a7c33ca6ab44">
  <xsd:schema xmlns:xsd="http://www.w3.org/2001/XMLSchema" xmlns:xs="http://www.w3.org/2001/XMLSchema" xmlns:p="http://schemas.microsoft.com/office/2006/metadata/properties" xmlns:ns3="65e9b679-cefe-4b27-a00b-ec5d183a89ee" targetNamespace="http://schemas.microsoft.com/office/2006/metadata/properties" ma:root="true" ma:fieldsID="043e45a0f216a9d8679a87d14e6e6684" ns3:_="">
    <xsd:import namespace="65e9b679-cefe-4b27-a00b-ec5d183a89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9b679-cefe-4b27-a00b-ec5d183a8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1984E-FE8B-4F6A-A806-E932EA59C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99970-3FD0-49A9-93FE-847034B2F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9b679-cefe-4b27-a00b-ec5d183a8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A30E4-C90C-424C-B1D8-2A15886893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7</cp:revision>
  <dcterms:created xsi:type="dcterms:W3CDTF">2021-06-17T07:26:00Z</dcterms:created>
  <dcterms:modified xsi:type="dcterms:W3CDTF">2021-06-22T05:47:00Z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1365443345</vt:i4>
  </property>
  <property fmtid="{D5CDD505-2E9C-101B-9397-08002B2CF9AE}" pid="3" name="_NewReviewCycle">
    <vt:lpwstr/>
  </property>
  <property fmtid="{D5CDD505-2E9C-101B-9397-08002B2CF9AE}" pid="4" name="_EmailSubject">
    <vt:lpwstr>IFRS 17 a dane</vt:lpwstr>
  </property>
  <property fmtid="{D5CDD505-2E9C-101B-9397-08002B2CF9AE}" pid="5" name="_AuthorEmail">
    <vt:lpwstr>Marek.Janicek@allianzsp.sk</vt:lpwstr>
  </property>
  <property fmtid="{D5CDD505-2E9C-101B-9397-08002B2CF9AE}" pid="6" name="_AuthorEmailDisplayName">
    <vt:lpwstr>Janíček Marek Ing.</vt:lpwstr>
  </property>
  <property fmtid="{D5CDD505-2E9C-101B-9397-08002B2CF9AE}" pid="7" name="ContentTypeId">
    <vt:lpwstr>0x0101005125E5DBC4AAF94D8169BA23F2A55C9D</vt:lpwstr>
  </property>
  <property fmtid="{D5CDD505-2E9C-101B-9397-08002B2CF9AE}" pid="8" name="MSIP_Label_863bc15e-e7bf-41c1-bdb3-03882d8a2e2c_Enabled">
    <vt:lpwstr>true</vt:lpwstr>
  </property>
  <property fmtid="{D5CDD505-2E9C-101B-9397-08002B2CF9AE}" pid="9" name="MSIP_Label_863bc15e-e7bf-41c1-bdb3-03882d8a2e2c_SetDate">
    <vt:lpwstr>2021-06-15T15:47:14Z</vt:lpwstr>
  </property>
  <property fmtid="{D5CDD505-2E9C-101B-9397-08002B2CF9AE}" pid="10" name="MSIP_Label_863bc15e-e7bf-41c1-bdb3-03882d8a2e2c_Method">
    <vt:lpwstr>Privileged</vt:lpwstr>
  </property>
  <property fmtid="{D5CDD505-2E9C-101B-9397-08002B2CF9AE}" pid="11" name="MSIP_Label_863bc15e-e7bf-41c1-bdb3-03882d8a2e2c_Name">
    <vt:lpwstr>863bc15e-e7bf-41c1-bdb3-03882d8a2e2c</vt:lpwstr>
  </property>
  <property fmtid="{D5CDD505-2E9C-101B-9397-08002B2CF9AE}" pid="12" name="MSIP_Label_863bc15e-e7bf-41c1-bdb3-03882d8a2e2c_SiteId">
    <vt:lpwstr>6e06e42d-6925-47c6-b9e7-9581c7ca302a</vt:lpwstr>
  </property>
  <property fmtid="{D5CDD505-2E9C-101B-9397-08002B2CF9AE}" pid="13" name="MSIP_Label_863bc15e-e7bf-41c1-bdb3-03882d8a2e2c_ActionId">
    <vt:lpwstr>400f0ae1-29e1-434c-9eff-257fa354c729</vt:lpwstr>
  </property>
  <property fmtid="{D5CDD505-2E9C-101B-9397-08002B2CF9AE}" pid="14" name="MSIP_Label_863bc15e-e7bf-41c1-bdb3-03882d8a2e2c_ContentBits">
    <vt:lpwstr>1</vt:lpwstr>
  </property>
  <property fmtid="{D5CDD505-2E9C-101B-9397-08002B2CF9AE}" pid="15" name="_PreviousAdHocReviewCycleID">
    <vt:i4>1672355631</vt:i4>
  </property>
  <property fmtid="{D5CDD505-2E9C-101B-9397-08002B2CF9AE}" pid="16" name="_ReviewingToolsShownOnce">
    <vt:lpwstr/>
  </property>
</Properties>
</file>