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E843" w14:textId="37BB1148" w:rsidR="003A47A7" w:rsidRDefault="003A47A7" w:rsidP="003A47A7">
      <w:pPr>
        <w:jc w:val="center"/>
        <w:rPr>
          <w:b/>
          <w:bCs/>
        </w:rPr>
      </w:pPr>
      <w:r>
        <w:rPr>
          <w:b/>
          <w:bCs/>
        </w:rPr>
        <w:t>Zápis z on-line stretnutia Ekonomickej sekcie a PS dane</w:t>
      </w:r>
    </w:p>
    <w:p w14:paraId="1E92BBB8" w14:textId="7E383D09" w:rsidR="003A47A7" w:rsidRDefault="003A47A7" w:rsidP="003A47A7">
      <w:pPr>
        <w:rPr>
          <w:b/>
          <w:bCs/>
        </w:rPr>
      </w:pPr>
    </w:p>
    <w:p w14:paraId="4E8A6F24" w14:textId="0026AD30" w:rsidR="003A47A7" w:rsidRDefault="003A47A7" w:rsidP="003A47A7">
      <w:pPr>
        <w:rPr>
          <w:b/>
          <w:bCs/>
        </w:rPr>
      </w:pPr>
      <w:r>
        <w:rPr>
          <w:b/>
          <w:bCs/>
        </w:rPr>
        <w:t>Dátum: 20.9.2022</w:t>
      </w:r>
    </w:p>
    <w:p w14:paraId="66CEA915" w14:textId="21396FA3" w:rsidR="003A47A7" w:rsidRDefault="003A47A7" w:rsidP="003A47A7">
      <w:pPr>
        <w:rPr>
          <w:b/>
          <w:bCs/>
        </w:rPr>
      </w:pPr>
    </w:p>
    <w:p w14:paraId="337C7C62" w14:textId="5452C7D1" w:rsidR="003A47A7" w:rsidRDefault="003A47A7" w:rsidP="003A47A7">
      <w:pPr>
        <w:rPr>
          <w:b/>
          <w:bCs/>
        </w:rPr>
      </w:pPr>
      <w:r>
        <w:rPr>
          <w:b/>
          <w:bCs/>
        </w:rPr>
        <w:t xml:space="preserve">Program: </w:t>
      </w:r>
    </w:p>
    <w:p w14:paraId="7EA69EF6" w14:textId="69EB4AC0" w:rsidR="003A47A7" w:rsidRPr="003A47A7" w:rsidRDefault="003A47A7" w:rsidP="00BC1D10">
      <w:pPr>
        <w:pStyle w:val="Odsekzoznamu"/>
        <w:numPr>
          <w:ilvl w:val="0"/>
          <w:numId w:val="3"/>
        </w:numPr>
      </w:pPr>
      <w:r>
        <w:t>Pohľadávky z poistných zmlúv</w:t>
      </w:r>
      <w:r w:rsidR="00853E10">
        <w:t xml:space="preserve"> (najmä pohľadávky z dlžného poistného)</w:t>
      </w:r>
      <w:r>
        <w:t xml:space="preserve">, ich odpisy </w:t>
      </w:r>
      <w:r w:rsidR="00471325">
        <w:t>a</w:t>
      </w:r>
      <w:r>
        <w:t> opravné položky k týmto pohľadávkam po 1.1.2023</w:t>
      </w:r>
      <w:r w:rsidR="00BC1D10">
        <w:t xml:space="preserve"> </w:t>
      </w:r>
      <w:r w:rsidR="00853E10">
        <w:t xml:space="preserve">- </w:t>
      </w:r>
      <w:r w:rsidR="00BC1D10">
        <w:t>po implementácii IFRS 17.</w:t>
      </w:r>
    </w:p>
    <w:p w14:paraId="17DC1627" w14:textId="77777777" w:rsidR="003A47A7" w:rsidRDefault="003A47A7" w:rsidP="003A47A7">
      <w:pPr>
        <w:rPr>
          <w:b/>
          <w:bCs/>
        </w:rPr>
      </w:pPr>
    </w:p>
    <w:p w14:paraId="5F21DAB7" w14:textId="77777777" w:rsidR="003A47A7" w:rsidRPr="003A47A7" w:rsidRDefault="003A47A7" w:rsidP="003A47A7">
      <w:pPr>
        <w:rPr>
          <w:b/>
          <w:bCs/>
        </w:rPr>
      </w:pPr>
    </w:p>
    <w:p w14:paraId="70440AD2" w14:textId="7DC0028D" w:rsidR="003A47A7" w:rsidRDefault="003A47A7" w:rsidP="003A47A7">
      <w:proofErr w:type="spellStart"/>
      <w:r>
        <w:t>P.Bachniček</w:t>
      </w:r>
      <w:proofErr w:type="spellEnd"/>
      <w:r>
        <w:t xml:space="preserve"> uviedol, že na stretnutí s MF SR 16.8.2022 sa v nadväznosti na doplnenie vety „Prijatím tejto úpravy v oblasti vykazovania záväzkov z poistných zmlúv, ostávajú ostatné ustanovenia zákona o dani z príjmov nedotknuté, napr. ustanovenia týkajúce sa opravných položiek k pohľadávkam, odpisu pohľadávok, úprav základu dane pri neuhradených záväzkoch a pod.“ do dôvodovej správy začalo diskutovať o pohľadávkach z poistných zmlúv a daňových aspektoch odpisov týchto pohľadávok a opravných položkách k týmto pohľadávkam.  Väčšina účastníkov tohto stretnutia však nebola na diskusiu na túto tému pripravená, pretože stretnutie sa malo venovať iba úprave Opatrenia  MF SR 12/2006. </w:t>
      </w:r>
      <w:r w:rsidR="00A567EF">
        <w:t xml:space="preserve">Po stretnutí p. </w:t>
      </w:r>
      <w:proofErr w:type="spellStart"/>
      <w:r w:rsidR="00A567EF">
        <w:t>B</w:t>
      </w:r>
      <w:r w:rsidR="009D6A8D">
        <w:t>a</w:t>
      </w:r>
      <w:r w:rsidR="00A567EF">
        <w:t>chniček</w:t>
      </w:r>
      <w:proofErr w:type="spellEnd"/>
      <w:r w:rsidR="00A567EF">
        <w:t xml:space="preserve"> </w:t>
      </w:r>
      <w:r>
        <w:t>na túto tému komunikoval s viacerými ľuďmi a v rámci tejto komunikácie odzneli v súvislosti pohľadávkami z poistných zmlúv (primárne sa to týkalo najmä pohľadávok za nezaplatené poistné) po 1.1.2023  aj tieto názory:</w:t>
      </w:r>
    </w:p>
    <w:p w14:paraId="7D600462" w14:textId="77777777" w:rsidR="003A47A7" w:rsidRDefault="003A47A7" w:rsidP="003A47A7"/>
    <w:p w14:paraId="67952B98" w14:textId="77777777" w:rsidR="003A47A7" w:rsidRDefault="003A47A7" w:rsidP="003A47A7">
      <w:pPr>
        <w:pStyle w:val="Odsekzoznamu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Pohľadávky za nezaplatené poistné nebudú v účtovníctve existovať, preto nemá zmysel sa baviť o daňových aspektoch odpisu týchto pohľadávok alebo o opravných položkách k týmto pohľadávkam.</w:t>
      </w:r>
    </w:p>
    <w:p w14:paraId="60B65A22" w14:textId="77777777" w:rsidR="003A47A7" w:rsidRDefault="003A47A7" w:rsidP="003A47A7">
      <w:pPr>
        <w:pStyle w:val="Odsekzoznamu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Pohľadávky za nezaplatené poistné budú vykazované v rámci riadku súvahy P.B.1.1. - PV FCF </w:t>
      </w:r>
      <w:proofErr w:type="spellStart"/>
      <w:r>
        <w:rPr>
          <w:rFonts w:eastAsia="Times New Roman"/>
        </w:rPr>
        <w:t>excluding</w:t>
      </w:r>
      <w:proofErr w:type="spellEnd"/>
      <w:r>
        <w:rPr>
          <w:rFonts w:eastAsia="Times New Roman"/>
        </w:rPr>
        <w:t xml:space="preserve"> LC - Súčasná hodnota budúcich peňažných tokov bez stratového komponentu, ale v podstate sa o týchto pohľadávkach bude účtovať súvahovo (na rozdiel od stavu do 31.12.2022, kedy bola pohľadávka zaúčtovaná oproti výnosu – predpísanému poistnému), preto zníženie ich hodnoty alebo ich „odpis“ nie je možné posudzovať za daňového hľadiska rovnako ako do 31.12.2022.</w:t>
      </w:r>
    </w:p>
    <w:p w14:paraId="4EACA41D" w14:textId="77777777" w:rsidR="003A47A7" w:rsidRDefault="003A47A7" w:rsidP="003A47A7">
      <w:pPr>
        <w:pStyle w:val="Odsekzoznamu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Pohľadávky za nezaplatené poistné budeme po 1.1.2023 evidovať rovnako ako doteraz a nebudeme mať preto ani problém so sledovaním daňovej </w:t>
      </w:r>
      <w:proofErr w:type="spellStart"/>
      <w:r>
        <w:rPr>
          <w:rFonts w:eastAsia="Times New Roman"/>
        </w:rPr>
        <w:t>uznateľnosti</w:t>
      </w:r>
      <w:proofErr w:type="spellEnd"/>
      <w:r>
        <w:rPr>
          <w:rFonts w:eastAsia="Times New Roman"/>
        </w:rPr>
        <w:t xml:space="preserve"> opravných položiek a odpisov pohľadávok.</w:t>
      </w:r>
    </w:p>
    <w:p w14:paraId="5020DD9A" w14:textId="77777777" w:rsidR="003A47A7" w:rsidRDefault="003A47A7" w:rsidP="003A47A7">
      <w:pPr>
        <w:pStyle w:val="Odsekzoznamu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Pohľadávky za nezaplatené poistné síce budeme po 1.1.2023 evidovať rovnako ako doteraz, ale hodnota pohľadávky, ktorá bude evidovaná v účtovníctve po 1.1.2023  nebude  rovná nominálnej hodnote pohľadávky mínus opravné položky, preto nebudeme vedieť vyčísliť opravné položky a následne ich deliť na daňovo uznané a daňovo neuznané. </w:t>
      </w:r>
    </w:p>
    <w:p w14:paraId="17E23A75" w14:textId="77777777" w:rsidR="003A47A7" w:rsidRDefault="003A47A7" w:rsidP="003A47A7">
      <w:pPr>
        <w:pStyle w:val="Odsekzoznamu"/>
      </w:pPr>
    </w:p>
    <w:p w14:paraId="01553A56" w14:textId="30AAA492" w:rsidR="003A47A7" w:rsidRDefault="00A567EF" w:rsidP="003A47A7">
      <w:pPr>
        <w:pStyle w:val="Odsekzoznamu"/>
        <w:ind w:left="0"/>
      </w:pPr>
      <w:r>
        <w:t>Vyjadrenie poisťovní:</w:t>
      </w:r>
    </w:p>
    <w:p w14:paraId="1D784930" w14:textId="77777777" w:rsidR="00A567EF" w:rsidRPr="00696E5D" w:rsidRDefault="00A567EF" w:rsidP="003A47A7">
      <w:pPr>
        <w:pStyle w:val="Odsekzoznamu"/>
        <w:ind w:left="0"/>
        <w:rPr>
          <w:b/>
          <w:bCs/>
        </w:rPr>
      </w:pPr>
    </w:p>
    <w:p w14:paraId="7D3806EC" w14:textId="6877B17F" w:rsidR="00A567EF" w:rsidRDefault="00A567EF" w:rsidP="00A567EF">
      <w:pPr>
        <w:pStyle w:val="Odsekzoznamu"/>
        <w:ind w:left="0"/>
        <w:rPr>
          <w:b/>
          <w:bCs/>
        </w:rPr>
      </w:pPr>
      <w:r w:rsidRPr="00696E5D">
        <w:rPr>
          <w:b/>
          <w:bCs/>
        </w:rPr>
        <w:t>Allianz - Slovenská poisťovňa, a. s</w:t>
      </w:r>
      <w:r w:rsidR="0099023D">
        <w:rPr>
          <w:b/>
          <w:bCs/>
        </w:rPr>
        <w:t xml:space="preserve"> (doplnené za ASP):</w:t>
      </w:r>
    </w:p>
    <w:p w14:paraId="24D82C91" w14:textId="7EAEE6DA" w:rsidR="007B07E7" w:rsidRDefault="00C47BBD" w:rsidP="00C47BBD">
      <w:r>
        <w:t>Pri účtovaní</w:t>
      </w:r>
      <w:r w:rsidR="00C75E98">
        <w:t xml:space="preserve"> opravných položiek a odpisov pohľadávok z dlžného poistného bud</w:t>
      </w:r>
      <w:r>
        <w:t>eme</w:t>
      </w:r>
      <w:r w:rsidR="00C75E98">
        <w:t xml:space="preserve"> </w:t>
      </w:r>
      <w:r>
        <w:t xml:space="preserve">technicky </w:t>
      </w:r>
      <w:r w:rsidR="00225658">
        <w:t xml:space="preserve">pokračovať ako pred </w:t>
      </w:r>
      <w:r w:rsidR="00EA6CE4">
        <w:t>1.1.2023</w:t>
      </w:r>
      <w:r>
        <w:t>,</w:t>
      </w:r>
      <w:r w:rsidR="004967C2">
        <w:t>keď</w:t>
      </w:r>
      <w:r w:rsidR="00467E8C">
        <w:t xml:space="preserve">že stále </w:t>
      </w:r>
      <w:r w:rsidR="00FA4F21">
        <w:t>používame</w:t>
      </w:r>
      <w:r w:rsidR="00467E8C">
        <w:t xml:space="preserve"> tzv. „</w:t>
      </w:r>
      <w:proofErr w:type="spellStart"/>
      <w:r w:rsidR="00467E8C">
        <w:t>due</w:t>
      </w:r>
      <w:proofErr w:type="spellEnd"/>
      <w:r w:rsidR="00467E8C">
        <w:t xml:space="preserve"> </w:t>
      </w:r>
      <w:proofErr w:type="spellStart"/>
      <w:r w:rsidR="00467E8C">
        <w:t>basis</w:t>
      </w:r>
      <w:proofErr w:type="spellEnd"/>
      <w:r w:rsidR="00467E8C">
        <w:t>“</w:t>
      </w:r>
      <w:r>
        <w:t xml:space="preserve"> </w:t>
      </w:r>
      <w:r w:rsidR="00FA4F21">
        <w:t xml:space="preserve">namiesto cash </w:t>
      </w:r>
      <w:proofErr w:type="spellStart"/>
      <w:r w:rsidR="00FA4F21">
        <w:t>basis</w:t>
      </w:r>
      <w:proofErr w:type="spellEnd"/>
      <w:r w:rsidR="00FA4F21">
        <w:t xml:space="preserve"> </w:t>
      </w:r>
      <w:r>
        <w:t>avšak pohľadávky z poistného</w:t>
      </w:r>
      <w:r w:rsidR="00BC1D10">
        <w:t xml:space="preserve"> </w:t>
      </w:r>
      <w:r>
        <w:t>ako aj ich zníženie z dôvodu tvorby opravných položiek resp. odpisov budú vo výkazoch súčasťou záväzkov, (</w:t>
      </w:r>
      <w:proofErr w:type="spellStart"/>
      <w:r>
        <w:t>t.j</w:t>
      </w:r>
      <w:proofErr w:type="spellEnd"/>
      <w:r>
        <w:t xml:space="preserve">. LRC PV FCF pri živote resp. LRC PAA pri </w:t>
      </w:r>
      <w:proofErr w:type="spellStart"/>
      <w:r>
        <w:t>neživote</w:t>
      </w:r>
      <w:proofErr w:type="spellEnd"/>
      <w:r>
        <w:t>) keďže priamo ovplyvňuje budúce vykázané peňažné toky. To</w:t>
      </w:r>
      <w:r w:rsidR="00891A3B">
        <w:t xml:space="preserve">, </w:t>
      </w:r>
      <w:r>
        <w:t>že účtovanie sa nemení je dané iba technikou účtovania ale z metodického hľadiska sú tieto položky (aj spomenuté nižšie) súčasťou záväzkov z poistných zmlúv</w:t>
      </w:r>
      <w:r w:rsidR="00D60100">
        <w:t xml:space="preserve"> a ovplyvňujú tak aj </w:t>
      </w:r>
      <w:proofErr w:type="spellStart"/>
      <w:r w:rsidR="000A4F9E">
        <w:t>aktuársky</w:t>
      </w:r>
      <w:proofErr w:type="spellEnd"/>
      <w:r w:rsidR="000A4F9E">
        <w:t xml:space="preserve"> </w:t>
      </w:r>
      <w:r w:rsidR="00D60100">
        <w:t xml:space="preserve">modelované </w:t>
      </w:r>
      <w:r w:rsidR="00FA4F21">
        <w:t>peňažné toky</w:t>
      </w:r>
      <w:r w:rsidR="000A4F9E">
        <w:t xml:space="preserve"> ktoré z tohto dôvodu </w:t>
      </w:r>
      <w:proofErr w:type="spellStart"/>
      <w:r w:rsidR="00CC6FFB">
        <w:t>nezaplatenosť</w:t>
      </w:r>
      <w:proofErr w:type="spellEnd"/>
      <w:r w:rsidR="00CC6FFB">
        <w:t xml:space="preserve"> pohľadávok</w:t>
      </w:r>
      <w:r w:rsidR="001B24C9">
        <w:t xml:space="preserve"> nezohľadňujú</w:t>
      </w:r>
      <w:r w:rsidR="00CC6FFB">
        <w:t xml:space="preserve"> (ASP p</w:t>
      </w:r>
      <w:r w:rsidR="00B15008">
        <w:t>rístup)</w:t>
      </w:r>
      <w:r>
        <w:t xml:space="preserve">, </w:t>
      </w:r>
      <w:r w:rsidRPr="00ED780C">
        <w:t xml:space="preserve">preto </w:t>
      </w:r>
      <w:r w:rsidR="00C36DEB" w:rsidRPr="00DB7448">
        <w:t xml:space="preserve">by </w:t>
      </w:r>
      <w:r w:rsidR="00E351FF">
        <w:t xml:space="preserve">sme uvítali aby </w:t>
      </w:r>
      <w:r w:rsidR="00B15008" w:rsidRPr="00ED780C">
        <w:t xml:space="preserve">ich tvorba a rozpustenie boli daňovo uznateľné tak ako </w:t>
      </w:r>
      <w:r w:rsidR="007D06DC" w:rsidRPr="0099023D">
        <w:t>je pri ostatných pohyboch</w:t>
      </w:r>
      <w:r w:rsidR="001B24C9">
        <w:t xml:space="preserve"> záväzkov</w:t>
      </w:r>
      <w:r w:rsidR="007D06DC" w:rsidRPr="00ED780C">
        <w:t xml:space="preserve"> z poistných zmlúv.</w:t>
      </w:r>
      <w:r w:rsidR="00C36DEB">
        <w:t xml:space="preserve"> </w:t>
      </w:r>
    </w:p>
    <w:p w14:paraId="18888A82" w14:textId="77777777" w:rsidR="00DB7448" w:rsidRDefault="00DB7448" w:rsidP="00C47BBD"/>
    <w:p w14:paraId="63C999AB" w14:textId="63A6FEC4" w:rsidR="00C47BBD" w:rsidRDefault="00C47BBD" w:rsidP="00C47BBD">
      <w:r>
        <w:t xml:space="preserve">Zároveň dodávame, že uvedené sa netýka iba pohľadávok za nezaplatene poistné ale aj </w:t>
      </w:r>
    </w:p>
    <w:p w14:paraId="35B556D0" w14:textId="35DBEE11" w:rsidR="00C47BBD" w:rsidRDefault="00C47BBD" w:rsidP="00C47BBD">
      <w:r>
        <w:t xml:space="preserve">-pohľadávok voči sprostredkovateľom </w:t>
      </w:r>
    </w:p>
    <w:p w14:paraId="4884164E" w14:textId="5148C10A" w:rsidR="00C47BBD" w:rsidRDefault="00C47BBD" w:rsidP="00C47BBD">
      <w:r>
        <w:lastRenderedPageBreak/>
        <w:t xml:space="preserve">-pohľadávok zo zaistenia, </w:t>
      </w:r>
    </w:p>
    <w:p w14:paraId="358BFC90" w14:textId="6F2285AE" w:rsidR="00C47BBD" w:rsidRDefault="00C47BBD" w:rsidP="00C47BBD">
      <w:r>
        <w:t>-záväzkom voči poisteným</w:t>
      </w:r>
    </w:p>
    <w:p w14:paraId="1DDAC51A" w14:textId="1A6F5761" w:rsidR="00C47BBD" w:rsidRDefault="00C47BBD" w:rsidP="00C47BBD">
      <w:r>
        <w:t xml:space="preserve">-záväzkom voči sprostredkovateľom </w:t>
      </w:r>
    </w:p>
    <w:p w14:paraId="1EE41DF7" w14:textId="3C77DEC2" w:rsidR="00C47BBD" w:rsidRDefault="00C47BBD" w:rsidP="00C47BBD">
      <w:r>
        <w:t xml:space="preserve">-záväzkom zo zaistenia </w:t>
      </w:r>
    </w:p>
    <w:p w14:paraId="6CFBDC69" w14:textId="77777777" w:rsidR="00011EE3" w:rsidRDefault="00011EE3" w:rsidP="00011EE3">
      <w:pPr>
        <w:rPr>
          <w:i/>
          <w:iCs/>
        </w:rPr>
      </w:pPr>
    </w:p>
    <w:p w14:paraId="72BD2A21" w14:textId="1543A32E" w:rsidR="00C47BBD" w:rsidRPr="00DB7448" w:rsidRDefault="00011EE3" w:rsidP="00DB7448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DB7448">
        <w:t>ktoré už taktiež nebudú vykázané zvlášť a v IFRS 17 neexistujú keďže sa viažu k poistným zmluvám</w:t>
      </w:r>
      <w:r>
        <w:rPr>
          <w:i/>
          <w:iCs/>
        </w:rPr>
        <w:t xml:space="preserve"> </w:t>
      </w:r>
      <w:r w:rsidR="00C47BBD">
        <w:t>ale budú súčasťou LRC (najmä pohľadávky) resp. LIC (najmä záväzky),a ktoré majú tiež momentálne osobitný daňový režim a na ktoré sa vzťahuje komentár v dôvodovej správe.</w:t>
      </w:r>
    </w:p>
    <w:p w14:paraId="25B5AB77" w14:textId="3248CFA1" w:rsidR="00BC1D10" w:rsidRDefault="00BC1D10" w:rsidP="00A567EF">
      <w:pPr>
        <w:pStyle w:val="Odsekzoznamu"/>
        <w:ind w:left="0"/>
      </w:pPr>
    </w:p>
    <w:p w14:paraId="207F6E40" w14:textId="14B9C34D" w:rsidR="00C47BBD" w:rsidRDefault="00C47BBD" w:rsidP="00C47BBD">
      <w:r>
        <w:t>Pri posudzovaní všetkých týchto položiek za rok 2023 budeme vychádzať podľa vtedy platnej daňovej legislatívy.</w:t>
      </w:r>
    </w:p>
    <w:p w14:paraId="2E5225C3" w14:textId="77777777" w:rsidR="00C47BBD" w:rsidRPr="007B07E7" w:rsidRDefault="00C47BBD" w:rsidP="00A567EF">
      <w:pPr>
        <w:pStyle w:val="Odsekzoznamu"/>
        <w:ind w:left="0"/>
      </w:pPr>
    </w:p>
    <w:p w14:paraId="696E9779" w14:textId="588FEC6F" w:rsidR="00A567EF" w:rsidRDefault="00A567EF" w:rsidP="00A567EF">
      <w:pPr>
        <w:pStyle w:val="Odsekzoznamu"/>
        <w:ind w:left="0"/>
        <w:rPr>
          <w:b/>
          <w:bCs/>
        </w:rPr>
      </w:pPr>
      <w:r w:rsidRPr="009D6A8D">
        <w:rPr>
          <w:b/>
          <w:bCs/>
        </w:rPr>
        <w:t xml:space="preserve">BNP </w:t>
      </w:r>
      <w:proofErr w:type="spellStart"/>
      <w:r w:rsidRPr="009D6A8D">
        <w:rPr>
          <w:b/>
          <w:bCs/>
        </w:rPr>
        <w:t>Paribas</w:t>
      </w:r>
      <w:proofErr w:type="spellEnd"/>
      <w:r w:rsidRPr="009D6A8D">
        <w:rPr>
          <w:b/>
          <w:bCs/>
        </w:rPr>
        <w:t xml:space="preserve"> </w:t>
      </w:r>
      <w:proofErr w:type="spellStart"/>
      <w:r w:rsidRPr="009D6A8D">
        <w:rPr>
          <w:b/>
          <w:bCs/>
        </w:rPr>
        <w:t>Cardif</w:t>
      </w:r>
      <w:proofErr w:type="spellEnd"/>
      <w:r w:rsidRPr="009D6A8D">
        <w:rPr>
          <w:b/>
          <w:bCs/>
        </w:rPr>
        <w:t xml:space="preserve"> Poisťovňa, a. s.</w:t>
      </w:r>
    </w:p>
    <w:p w14:paraId="31A92597" w14:textId="77777777" w:rsidR="005751E2" w:rsidRPr="00322ADF" w:rsidRDefault="005751E2" w:rsidP="005751E2">
      <w:pPr>
        <w:rPr>
          <w:lang w:val="cs-CZ"/>
        </w:rPr>
      </w:pPr>
      <w:r w:rsidRPr="00322ADF">
        <w:rPr>
          <w:lang w:val="cs-CZ"/>
        </w:rPr>
        <w:t>Vzhledem k tomu, že dle IFRS17 nebudeme vykazovat předepsané pojistné, jehož protistrana jsou pohledávky, ale budeme vykazovat přijaté pojistné, pak se domnívám, že nemohu vykazovat ani pohledávky.</w:t>
      </w:r>
    </w:p>
    <w:p w14:paraId="4715B4C8" w14:textId="77777777" w:rsidR="00DB7448" w:rsidRPr="00322ADF" w:rsidRDefault="005751E2" w:rsidP="00A567EF">
      <w:pPr>
        <w:pStyle w:val="Odsekzoznamu"/>
        <w:ind w:left="0"/>
        <w:rPr>
          <w:lang w:val="cs-CZ"/>
        </w:rPr>
      </w:pPr>
      <w:r w:rsidRPr="00322ADF">
        <w:rPr>
          <w:lang w:val="cs-CZ"/>
        </w:rPr>
        <w:t>Následně, pokud nevykazuji pohledávky (i když si je v systému eviduji), pak nemohu tvořit a vykazovat opravné položky k nevykazované položce</w:t>
      </w:r>
    </w:p>
    <w:p w14:paraId="77E22B22" w14:textId="77777777" w:rsidR="00DB7448" w:rsidRDefault="00DB7448" w:rsidP="00A567EF">
      <w:pPr>
        <w:pStyle w:val="Odsekzoznamu"/>
        <w:ind w:left="0"/>
        <w:rPr>
          <w:i/>
          <w:iCs/>
          <w:color w:val="1F497D"/>
          <w:lang w:val="cs-CZ"/>
        </w:rPr>
      </w:pPr>
    </w:p>
    <w:p w14:paraId="52B5F404" w14:textId="26C53DD7" w:rsidR="00A567EF" w:rsidRDefault="00A567EF" w:rsidP="00A567EF">
      <w:pPr>
        <w:pStyle w:val="Odsekzoznamu"/>
        <w:ind w:left="0"/>
        <w:rPr>
          <w:b/>
          <w:bCs/>
        </w:rPr>
      </w:pPr>
      <w:r w:rsidRPr="009D6A8D">
        <w:rPr>
          <w:b/>
          <w:bCs/>
        </w:rPr>
        <w:t>ČSOB Poisťovňa, a. s.</w:t>
      </w:r>
    </w:p>
    <w:p w14:paraId="2B593244" w14:textId="01C996AA" w:rsidR="00BC1D10" w:rsidRPr="007B07E7" w:rsidRDefault="00AB5CF4" w:rsidP="00EE4D73">
      <w:pPr>
        <w:pStyle w:val="Odsekzoznamu"/>
        <w:ind w:left="0"/>
      </w:pPr>
      <w:r>
        <w:t>Ú</w:t>
      </w:r>
      <w:proofErr w:type="spellStart"/>
      <w:r>
        <w:rPr>
          <w:lang w:val="en-US"/>
        </w:rPr>
        <w:t>plne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stotožňujeme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vyjadrením</w:t>
      </w:r>
      <w:proofErr w:type="spellEnd"/>
      <w:r>
        <w:rPr>
          <w:lang w:val="en-US"/>
        </w:rPr>
        <w:t xml:space="preserve"> Allianz – </w:t>
      </w:r>
      <w:proofErr w:type="spellStart"/>
      <w:r>
        <w:rPr>
          <w:lang w:val="en-US"/>
        </w:rPr>
        <w:t>Slovenská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poistovňa</w:t>
      </w:r>
      <w:proofErr w:type="spellEnd"/>
      <w:r>
        <w:rPr>
          <w:lang w:val="en-US"/>
        </w:rPr>
        <w:t>.</w:t>
      </w:r>
    </w:p>
    <w:p w14:paraId="4C7E3807" w14:textId="77777777" w:rsidR="00DB7448" w:rsidRDefault="00DB7448" w:rsidP="00A567EF">
      <w:pPr>
        <w:pStyle w:val="Odsekzoznamu"/>
        <w:ind w:left="0"/>
        <w:rPr>
          <w:b/>
          <w:bCs/>
        </w:rPr>
      </w:pPr>
    </w:p>
    <w:p w14:paraId="295F2F59" w14:textId="3A9DA2E0" w:rsidR="00A567EF" w:rsidRDefault="00A567EF" w:rsidP="00A567EF">
      <w:pPr>
        <w:pStyle w:val="Odsekzoznamu"/>
        <w:ind w:left="0"/>
        <w:rPr>
          <w:b/>
          <w:bCs/>
        </w:rPr>
      </w:pPr>
      <w:r w:rsidRPr="00476288">
        <w:rPr>
          <w:b/>
          <w:bCs/>
        </w:rPr>
        <w:t xml:space="preserve">Generali Poisťovňa, </w:t>
      </w:r>
      <w:proofErr w:type="spellStart"/>
      <w:r w:rsidRPr="00476288">
        <w:rPr>
          <w:b/>
          <w:bCs/>
        </w:rPr>
        <w:t>a.s</w:t>
      </w:r>
      <w:proofErr w:type="spellEnd"/>
      <w:r w:rsidRPr="00476288">
        <w:rPr>
          <w:b/>
          <w:bCs/>
        </w:rPr>
        <w:t xml:space="preserve">., pobočka poisťovne z iného členského štátu </w:t>
      </w:r>
    </w:p>
    <w:p w14:paraId="07360A76" w14:textId="6BEE5826" w:rsidR="006C3E5E" w:rsidRDefault="006C3E5E" w:rsidP="00A567EF">
      <w:pPr>
        <w:pStyle w:val="Odsekzoznamu"/>
        <w:ind w:left="0"/>
      </w:pPr>
      <w:r w:rsidRPr="006C3E5E">
        <w:t>Zvolili zjednodušenú cestu,</w:t>
      </w:r>
      <w:r>
        <w:t xml:space="preserve"> účtovanie viac menej ponechali rovnaké.</w:t>
      </w:r>
    </w:p>
    <w:p w14:paraId="2DBE829D" w14:textId="77777777" w:rsidR="006C3E5E" w:rsidRPr="006C3E5E" w:rsidRDefault="006C3E5E" w:rsidP="00A567EF">
      <w:pPr>
        <w:pStyle w:val="Odsekzoznamu"/>
        <w:ind w:left="0"/>
      </w:pPr>
    </w:p>
    <w:p w14:paraId="43A82068" w14:textId="1C934A24" w:rsidR="00A567EF" w:rsidRDefault="00A567EF" w:rsidP="00A567EF">
      <w:pPr>
        <w:pStyle w:val="Odsekzoznamu"/>
        <w:ind w:left="0"/>
        <w:rPr>
          <w:b/>
          <w:bCs/>
        </w:rPr>
      </w:pPr>
      <w:r w:rsidRPr="00476288">
        <w:rPr>
          <w:b/>
          <w:bCs/>
        </w:rPr>
        <w:t xml:space="preserve">Komunálna poisťovňa a. s., </w:t>
      </w:r>
      <w:proofErr w:type="spellStart"/>
      <w:r w:rsidRPr="00476288">
        <w:rPr>
          <w:b/>
          <w:bCs/>
        </w:rPr>
        <w:t>Vienna</w:t>
      </w:r>
      <w:proofErr w:type="spellEnd"/>
      <w:r w:rsidRPr="00476288">
        <w:rPr>
          <w:b/>
          <w:bCs/>
        </w:rPr>
        <w:t xml:space="preserve"> </w:t>
      </w:r>
      <w:proofErr w:type="spellStart"/>
      <w:r w:rsidRPr="00476288">
        <w:rPr>
          <w:b/>
          <w:bCs/>
        </w:rPr>
        <w:t>Insurance</w:t>
      </w:r>
      <w:proofErr w:type="spellEnd"/>
      <w:r w:rsidRPr="00476288">
        <w:rPr>
          <w:b/>
          <w:bCs/>
        </w:rPr>
        <w:t xml:space="preserve"> Group</w:t>
      </w:r>
    </w:p>
    <w:p w14:paraId="598FF814" w14:textId="58CFE600" w:rsidR="00E04BDA" w:rsidRDefault="00E04BDA" w:rsidP="00A567EF">
      <w:pPr>
        <w:pStyle w:val="Odsekzoznamu"/>
        <w:ind w:left="0"/>
      </w:pPr>
      <w:r>
        <w:t>Nemajú ešte definitívne doriešené z daňového hľadiska. Evidovať pohľadávky a opravné položky budú.</w:t>
      </w:r>
    </w:p>
    <w:p w14:paraId="3AB78237" w14:textId="77777777" w:rsidR="00BC1D10" w:rsidRPr="00E04BDA" w:rsidRDefault="00BC1D10" w:rsidP="00A567EF">
      <w:pPr>
        <w:pStyle w:val="Odsekzoznamu"/>
        <w:ind w:left="0"/>
      </w:pPr>
    </w:p>
    <w:p w14:paraId="23EFFCAA" w14:textId="770EE99D" w:rsidR="00A567EF" w:rsidRDefault="00A567EF" w:rsidP="00A567EF">
      <w:pPr>
        <w:pStyle w:val="Odsekzoznamu"/>
        <w:ind w:left="0"/>
        <w:rPr>
          <w:b/>
          <w:bCs/>
        </w:rPr>
      </w:pPr>
      <w:r w:rsidRPr="00476288">
        <w:rPr>
          <w:b/>
          <w:bCs/>
        </w:rPr>
        <w:t xml:space="preserve">KOOPERATIVA poisťovňa, a. s., </w:t>
      </w:r>
      <w:proofErr w:type="spellStart"/>
      <w:r w:rsidRPr="00476288">
        <w:rPr>
          <w:b/>
          <w:bCs/>
        </w:rPr>
        <w:t>Vienna</w:t>
      </w:r>
      <w:proofErr w:type="spellEnd"/>
      <w:r w:rsidRPr="00476288">
        <w:rPr>
          <w:b/>
          <w:bCs/>
        </w:rPr>
        <w:t xml:space="preserve"> </w:t>
      </w:r>
      <w:proofErr w:type="spellStart"/>
      <w:r w:rsidRPr="00476288">
        <w:rPr>
          <w:b/>
          <w:bCs/>
        </w:rPr>
        <w:t>Insurance</w:t>
      </w:r>
      <w:proofErr w:type="spellEnd"/>
      <w:r w:rsidRPr="00476288">
        <w:rPr>
          <w:b/>
          <w:bCs/>
        </w:rPr>
        <w:t xml:space="preserve"> Group</w:t>
      </w:r>
    </w:p>
    <w:p w14:paraId="0C595060" w14:textId="77777777" w:rsidR="00D10AE5" w:rsidRDefault="00D10AE5" w:rsidP="00D10AE5">
      <w:r>
        <w:t xml:space="preserve">Naša spoločnosť nebude počnúc 1.1.2023 účtovať opravné položky a odpisy pohľadávok k nezaplatenému poistnému v pravom slova zmysle na samostatné účty, avšak ich podrobná evidencia bude vedená aj naďalej (v prevádzkovom systéme), a to aj z dôvodu, že budú vstupovať v rámci nepriamej metódy do výpočtu záväzkov z poistných zmlúv (LRC), takisto pri PAA budú súčasťou očakávaného zaslúženého poistného, v živote sa do hospodárskeho výsledku dostanú prostredníctvom rozpúšťania CSM. Z uvedeného dôvodu by sme privítali, ak by ich tvorba a rozpustenie boli daňovo uznateľné, tak ako je to aj pri ostatných pohyboch záväzkov z poistných zmlúv, čo by samozrejme výrazne znížilo administratívnu náročnosť pri vyčíslovaní základu dane. Avšak z dôvodu opatrnosti treba brať na zreteľ aj možné „nedorozumenia“ pri aplikácii zákona o dani z príjmu zo strany daňových úradov, a to najmä to, že reálne sa dané pohľadávky budú aj naďalej právne vymáhať (pohľadávky budú fakticky existovať), čo v kombinácii s tým, že ich predpokladaný/skutočný odpis vstúpi do modelov výpočtu záväzkov z poistných zmlúv a bude tak nepriamo súčasťou základu dane, môže do určitej miery umožniť správcovi dane argumentáciu, že daňový subjekt tým pádom mal aplikovať ustanovenia zákona o dani z príjmu, ktoré riešia daňový režim týchto odpisov pohľadávok z poistenia, ako aj tvorby a rozpustenia </w:t>
      </w:r>
      <w:proofErr w:type="spellStart"/>
      <w:r>
        <w:t>opr</w:t>
      </w:r>
      <w:proofErr w:type="spellEnd"/>
      <w:r>
        <w:t>. položiek k týmto pohľadávkam (ak teda nebude jasné, že ich na tieto situácie nemusíme aplikovať...).</w:t>
      </w:r>
    </w:p>
    <w:p w14:paraId="065FB81E" w14:textId="77777777" w:rsidR="00BC1D10" w:rsidRDefault="00BC1D10" w:rsidP="00A567EF">
      <w:pPr>
        <w:pStyle w:val="Odsekzoznamu"/>
        <w:ind w:left="0"/>
      </w:pPr>
    </w:p>
    <w:p w14:paraId="48BCD927" w14:textId="7E7842F2" w:rsidR="00A567EF" w:rsidRDefault="00A567EF" w:rsidP="00A567EF">
      <w:pPr>
        <w:pStyle w:val="Odsekzoznamu"/>
        <w:ind w:left="0"/>
        <w:rPr>
          <w:b/>
          <w:bCs/>
        </w:rPr>
      </w:pPr>
      <w:r w:rsidRPr="00696E5D">
        <w:rPr>
          <w:b/>
          <w:bCs/>
        </w:rPr>
        <w:t>NN Životná poisťovňa, a. s.</w:t>
      </w:r>
    </w:p>
    <w:p w14:paraId="272188FF" w14:textId="77777777" w:rsidR="00B3735C" w:rsidRDefault="00B3735C" w:rsidP="00B3735C">
      <w:pPr>
        <w:rPr>
          <w:rFonts w:asciiTheme="minorHAnsi" w:hAnsiTheme="minorHAnsi" w:cstheme="minorBidi"/>
        </w:rPr>
      </w:pPr>
      <w:r>
        <w:t>Pri účtovaní záväzkov z poistných zmlúv v priebehu účtovného obdobia budeme, čo sa týka techniky účtovania, postupovať na základe tzv. „</w:t>
      </w:r>
      <w:proofErr w:type="spellStart"/>
      <w:r>
        <w:t>due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“, </w:t>
      </w:r>
      <w:proofErr w:type="spellStart"/>
      <w:r>
        <w:t>t.j</w:t>
      </w:r>
      <w:proofErr w:type="spellEnd"/>
      <w:r>
        <w:t xml:space="preserve">. rovnako ako pred 1.1.2023 budeme účtovať o  pohľadávkach z dlžného poistného a o opravných položkách k týmto pohľadávkam. Na konci účtovného obdobia však tieto položky nebudú (na rozdiel od postupu pred 1.1.2023) vykazované </w:t>
      </w:r>
      <w:r>
        <w:lastRenderedPageBreak/>
        <w:t>v účtovnej závierke ako pohľadávky resp. opravné položky, ale budú vstupovať do výpočtu záväzkov z poistných zmlúv a takto budú aj poisťovňou vykazované.</w:t>
      </w:r>
    </w:p>
    <w:p w14:paraId="4C915B41" w14:textId="77777777" w:rsidR="00B3735C" w:rsidRDefault="00B3735C" w:rsidP="00B3735C"/>
    <w:p w14:paraId="7F66A46D" w14:textId="77777777" w:rsidR="00B3735C" w:rsidRDefault="00B3735C" w:rsidP="00B3735C">
      <w:r>
        <w:t>Štandard IFRS 17, podľa ktorého majú poisťovne zo zákona postupovať, nerieši spôsob účtovania v priebehu účtovného obdobia, ale upravuje iba spôsob vykazovania jednotlivých položiek v účtovnej závierke. Technika účtovania, teda spôsob ako sa k požadovaným vykazovaným položkám poisťovňa dostane je teda na rozhodnutí samotnej poisťovne. S prihliadnutím na prístup uplatňovaní aj pri iných daňových otázkach – tzv. „</w:t>
      </w:r>
      <w:proofErr w:type="spellStart"/>
      <w:r>
        <w:t>subject</w:t>
      </w:r>
      <w:proofErr w:type="spellEnd"/>
      <w:r>
        <w:t xml:space="preserve"> over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>“, by podľa nás nemalo byť dôležité ako poisťovňa postupuje v priebehu účtovného obdobia, ale do úvahy by mal byť braný výlučne spôsob vykázania jednotlivých položiek na konci účtovného obdobia, a teda že poisťovňa nevykazuje jednak pohľadávky z dlžného poistného ani opravné položky k nim, nakoľko tieto sú súčasťou záväzkov z poistných zmlúv v zmysle štandardu IFRS 17.</w:t>
      </w:r>
    </w:p>
    <w:p w14:paraId="1FBEE54E" w14:textId="77777777" w:rsidR="00B3735C" w:rsidRDefault="00B3735C" w:rsidP="00B3735C"/>
    <w:p w14:paraId="796FB6FA" w14:textId="77777777" w:rsidR="00B3735C" w:rsidRDefault="00B3735C" w:rsidP="00B3735C">
      <w:r>
        <w:t xml:space="preserve">V prípade ak </w:t>
      </w:r>
      <w:proofErr w:type="spellStart"/>
      <w:r>
        <w:t>nezaplatenosť</w:t>
      </w:r>
      <w:proofErr w:type="spellEnd"/>
      <w:r>
        <w:t xml:space="preserve"> pohľadávok prevýši </w:t>
      </w:r>
      <w:proofErr w:type="spellStart"/>
      <w:r>
        <w:t>nezaplatenosť</w:t>
      </w:r>
      <w:proofErr w:type="spellEnd"/>
      <w:r>
        <w:t xml:space="preserve"> očakávanú pri modelovaní CSM, takáto odchýlka je v zmysle štandardu považovaná za „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adjustment</w:t>
      </w:r>
      <w:proofErr w:type="spellEnd"/>
      <w:r>
        <w:t>“ (odchýlka od modelu) a vykazovaná s vplyvom na P</w:t>
      </w:r>
      <w:r>
        <w:rPr>
          <w:lang/>
        </w:rPr>
        <w:t>&amp;L</w:t>
      </w:r>
      <w:r>
        <w:t xml:space="preserve"> (položka znižujúca P</w:t>
      </w:r>
      <w:r>
        <w:rPr>
          <w:lang w:val="en-US"/>
        </w:rPr>
        <w:t>&amp;L dan</w:t>
      </w:r>
      <w:proofErr w:type="spellStart"/>
      <w:r>
        <w:t>ého</w:t>
      </w:r>
      <w:proofErr w:type="spellEnd"/>
      <w:r>
        <w:t xml:space="preserve"> roka).  Po preštudovaní daňovej legislatívy, podľa nášho názoru nie je dôvod, prečo by tento náklad nemal byť považovaný za daňový náklad a to z nasledovných dôvodov:</w:t>
      </w:r>
    </w:p>
    <w:p w14:paraId="4DCB8643" w14:textId="77777777" w:rsidR="00B3735C" w:rsidRDefault="00B3735C" w:rsidP="00B3735C"/>
    <w:p w14:paraId="13EA927B" w14:textId="77777777" w:rsidR="00B3735C" w:rsidRDefault="00B3735C" w:rsidP="00B3735C">
      <w:r>
        <w:t>V zmysle § 17 /1c ZDP poisťovňa vychádza pri zisťovaní základu dane z výsledku hospodárenia vykázaného v zmysle medzinárodných účtovných štandardov upraveného podľa IFRS mostíka. Vypustením § 9 z IFRS mostíka nie je pochybnosť, že poisťovňa nemá pri vykazovaní poistných zmlúv povinnosť žiadnej úpravy výsledku hospodárenia a teda má povinnosť vychádzať z výsledku hospodárenia tak ako jej to ustanovuje štandard IFRS 17. ZDP následne definuje, ktoré náklady sú špecificky limitované daňovým zákonom resp. považované úplne za daňovo neuznané (a to predovšetkým v paragrafoch 19 a 20), pričom podľa nášho názoru náklad zodpovedajúci vykazovanému „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adjustment</w:t>
      </w:r>
      <w:proofErr w:type="spellEnd"/>
      <w:r>
        <w:t>“, teda odchýlka od použitého modelu/predpokladov nie je zákonom o dani z príjmov nijako limitovaný, resp. definovaný ako nedaňový náklad.</w:t>
      </w:r>
    </w:p>
    <w:p w14:paraId="29023FDE" w14:textId="77777777" w:rsidR="00B3735C" w:rsidRDefault="00B3735C" w:rsidP="00B3735C"/>
    <w:p w14:paraId="5658F08D" w14:textId="77777777" w:rsidR="00B3735C" w:rsidRDefault="00B3735C" w:rsidP="00B3735C">
      <w:r>
        <w:t xml:space="preserve">Vzhľadom k vyššie uvedenému by mal byť tento náklad podľa nášho názoru považovaný za daňovo uznateľný v plnej výške tak ako je vykázaný v zmysle štandardu IFRS 17. Máme za to, že uvedený postup je navyše aj v súlade s názorom MF SR, podľa ktorého by sa poistné zmluvy mali vykazovať v základe dane v súlade s účtovníctvom / štandardom IFRS 17. </w:t>
      </w:r>
    </w:p>
    <w:p w14:paraId="2D114750" w14:textId="77777777" w:rsidR="00B3735C" w:rsidRDefault="00B3735C" w:rsidP="00B3735C"/>
    <w:p w14:paraId="0AE985BB" w14:textId="77777777" w:rsidR="00B3735C" w:rsidRDefault="00B3735C" w:rsidP="00B3735C">
      <w:r>
        <w:t xml:space="preserve">Tu by sme radi poznamenali, že implementovanie štandardu IFRS 17 predstavuje obrovskú zmenu v účtovaní poisťovní, pričom vznikajú a budú vznikať takéto a obdobné otázky na správne implementovanie daňového postupu. Z tohto dôvodu sme od začiatku navrhovali priamo do zákona zakotviť, že súčasťou základu dane sú akékoľvek zmeny pohľadávok a záväzkov z poistných zmlúv účtované z vplyvom na výsledok hospodárenia v zmysle štandardu IFRS 17. Z hľadiska právnej istoty poisťovní, preto považujeme za veľmi </w:t>
      </w:r>
      <w:proofErr w:type="spellStart"/>
      <w:r>
        <w:t>neštastné</w:t>
      </w:r>
      <w:proofErr w:type="spellEnd"/>
      <w:r>
        <w:t xml:space="preserve">, že celá implementácia štandardu IFRS 17 je riešená iba spomenutým názorom MF SR uvedeným v dôvodovej správe k vypusteniu technických rezerv zo ZDP. </w:t>
      </w:r>
    </w:p>
    <w:p w14:paraId="3BBC1D38" w14:textId="77777777" w:rsidR="00B3735C" w:rsidRDefault="00B3735C" w:rsidP="00B3735C"/>
    <w:p w14:paraId="3AB9AF5B" w14:textId="77777777" w:rsidR="00B3735C" w:rsidRDefault="00B3735C" w:rsidP="00B3735C">
      <w:r>
        <w:t xml:space="preserve">Keďže sme sa aktívne zúčastňovali rokovaní s MF SR, sme si vedomí, že ministerstvo nebolo naklonené priamemu zakotveniu nami navrhovaného ustanovenia do zákona, hoci s ním v zásade súhlasilo a k samotnému zneniu výhrady nemalo. Na jednom z takýchto rokovaní dokonca bola prezentovaná vôľa potvrdiť správnosť nami navrhovaného ustanovenia/postupu aspoň písomným vyjadrením MF SR. Za účelom zvýšenia právnej istoty poistného sektora, preto navrhujeme aby SLASPO vyžiadalo od MF SR takéto písomné stanovisko. </w:t>
      </w:r>
    </w:p>
    <w:p w14:paraId="24B96933" w14:textId="77777777" w:rsidR="00BC1D10" w:rsidRDefault="00BC1D10" w:rsidP="00A567EF">
      <w:pPr>
        <w:pStyle w:val="Odsekzoznamu"/>
        <w:ind w:left="0"/>
      </w:pPr>
    </w:p>
    <w:p w14:paraId="04B2B34E" w14:textId="77777777" w:rsidR="00DB7448" w:rsidRDefault="00DB7448" w:rsidP="00A567EF">
      <w:pPr>
        <w:pStyle w:val="Odsekzoznamu"/>
        <w:ind w:left="0"/>
        <w:rPr>
          <w:b/>
          <w:bCs/>
        </w:rPr>
      </w:pPr>
    </w:p>
    <w:p w14:paraId="3D0FE0A8" w14:textId="77777777" w:rsidR="00DB7448" w:rsidRDefault="00DB7448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7B37E68" w14:textId="569569FD" w:rsidR="00A567EF" w:rsidRDefault="00A567EF" w:rsidP="00A567EF">
      <w:pPr>
        <w:pStyle w:val="Odsekzoznamu"/>
        <w:ind w:left="0"/>
        <w:rPr>
          <w:b/>
          <w:bCs/>
        </w:rPr>
      </w:pPr>
      <w:r w:rsidRPr="009D6A8D">
        <w:rPr>
          <w:b/>
          <w:bCs/>
        </w:rPr>
        <w:lastRenderedPageBreak/>
        <w:t xml:space="preserve">UNIQA </w:t>
      </w:r>
      <w:proofErr w:type="spellStart"/>
      <w:r w:rsidRPr="009D6A8D">
        <w:rPr>
          <w:b/>
          <w:bCs/>
        </w:rPr>
        <w:t>pojišťovna</w:t>
      </w:r>
      <w:proofErr w:type="spellEnd"/>
      <w:r w:rsidRPr="009D6A8D">
        <w:rPr>
          <w:b/>
          <w:bCs/>
        </w:rPr>
        <w:t xml:space="preserve">, </w:t>
      </w:r>
      <w:proofErr w:type="spellStart"/>
      <w:r w:rsidRPr="009D6A8D">
        <w:rPr>
          <w:b/>
          <w:bCs/>
        </w:rPr>
        <w:t>a.s</w:t>
      </w:r>
      <w:proofErr w:type="spellEnd"/>
      <w:r w:rsidRPr="009D6A8D">
        <w:rPr>
          <w:b/>
          <w:bCs/>
        </w:rPr>
        <w:t xml:space="preserve">., pobočka poisťovne z iného členského štátu </w:t>
      </w:r>
    </w:p>
    <w:p w14:paraId="187B4510" w14:textId="71335036" w:rsidR="00827FCD" w:rsidRDefault="00827FCD" w:rsidP="00A567EF">
      <w:pPr>
        <w:pStyle w:val="Odsekzoznamu"/>
        <w:ind w:left="0"/>
      </w:pPr>
      <w:r>
        <w:t>Podľa IFRS 17 sa nepracuje s predpísaným poistným a s tým spojenou pohľadávkou. Preto by opravná položka k takejto „pohľadávke“ nemala mať vplyv na hospodársky výsledok.</w:t>
      </w:r>
    </w:p>
    <w:p w14:paraId="6F58F27B" w14:textId="77777777" w:rsidR="00BC1D10" w:rsidRPr="00827FCD" w:rsidRDefault="00BC1D10" w:rsidP="00A567EF">
      <w:pPr>
        <w:pStyle w:val="Odsekzoznamu"/>
        <w:ind w:left="0"/>
      </w:pPr>
    </w:p>
    <w:p w14:paraId="2C053027" w14:textId="1510AFC5" w:rsidR="00A567EF" w:rsidRDefault="00A567EF" w:rsidP="00A567EF">
      <w:pPr>
        <w:pStyle w:val="Odsekzoznamu"/>
        <w:ind w:left="0"/>
        <w:rPr>
          <w:b/>
          <w:bCs/>
        </w:rPr>
      </w:pPr>
      <w:proofErr w:type="spellStart"/>
      <w:r w:rsidRPr="00696E5D">
        <w:rPr>
          <w:b/>
          <w:bCs/>
        </w:rPr>
        <w:t>Wüstenrot</w:t>
      </w:r>
      <w:proofErr w:type="spellEnd"/>
      <w:r w:rsidRPr="00696E5D">
        <w:rPr>
          <w:b/>
          <w:bCs/>
        </w:rPr>
        <w:t xml:space="preserve"> poisťovňa, a. s.</w:t>
      </w:r>
    </w:p>
    <w:p w14:paraId="3C33DC14" w14:textId="425B39DE" w:rsidR="00E04BDA" w:rsidRDefault="00E04BDA" w:rsidP="00A567EF">
      <w:pPr>
        <w:pStyle w:val="Odsekzoznamu"/>
        <w:ind w:left="0"/>
      </w:pPr>
      <w:r w:rsidRPr="00015C24">
        <w:t xml:space="preserve">Zatiaľ to nemajú </w:t>
      </w:r>
      <w:r w:rsidR="00015C24" w:rsidRPr="00015C24">
        <w:t>doriešené</w:t>
      </w:r>
      <w:r w:rsidR="00015C24">
        <w:t>, predbežne sa prikláňajú k stanovisku 1.</w:t>
      </w:r>
    </w:p>
    <w:p w14:paraId="40C7C3C1" w14:textId="77777777" w:rsidR="00BC1D10" w:rsidRPr="00015C24" w:rsidRDefault="00BC1D10" w:rsidP="00A567EF">
      <w:pPr>
        <w:pStyle w:val="Odsekzoznamu"/>
        <w:ind w:left="0"/>
      </w:pPr>
    </w:p>
    <w:p w14:paraId="7A779F48" w14:textId="2FCD701F" w:rsidR="00A567EF" w:rsidRDefault="00A567EF" w:rsidP="00A567EF">
      <w:pPr>
        <w:pStyle w:val="Odsekzoznamu"/>
        <w:ind w:left="0"/>
        <w:rPr>
          <w:b/>
          <w:bCs/>
        </w:rPr>
      </w:pPr>
      <w:proofErr w:type="spellStart"/>
      <w:r w:rsidRPr="00476288">
        <w:rPr>
          <w:b/>
          <w:bCs/>
        </w:rPr>
        <w:t>Youplus</w:t>
      </w:r>
      <w:proofErr w:type="spellEnd"/>
      <w:r w:rsidRPr="00476288">
        <w:rPr>
          <w:b/>
          <w:bCs/>
        </w:rPr>
        <w:t xml:space="preserve"> </w:t>
      </w:r>
      <w:proofErr w:type="spellStart"/>
      <w:r w:rsidRPr="00476288">
        <w:rPr>
          <w:b/>
          <w:bCs/>
        </w:rPr>
        <w:t>Insurance</w:t>
      </w:r>
      <w:proofErr w:type="spellEnd"/>
      <w:r w:rsidRPr="00476288">
        <w:rPr>
          <w:b/>
          <w:bCs/>
        </w:rPr>
        <w:t xml:space="preserve"> International AG, pobočka poisťovne z iného členského štátu</w:t>
      </w:r>
    </w:p>
    <w:p w14:paraId="77531A6B" w14:textId="579B2D20" w:rsidR="001577CC" w:rsidRPr="001577CC" w:rsidRDefault="001577CC" w:rsidP="00A567EF">
      <w:pPr>
        <w:pStyle w:val="Odsekzoznamu"/>
        <w:ind w:left="0"/>
      </w:pPr>
      <w:r>
        <w:t>Domnievajú sa, že podľa IFRS 17 by nemali existovať pohľadávky z poistného, preto prikláňajú k</w:t>
      </w:r>
      <w:r w:rsidR="00BC1D10">
        <w:t xml:space="preserve"> názoru </w:t>
      </w:r>
      <w:r>
        <w:t>1.</w:t>
      </w:r>
    </w:p>
    <w:p w14:paraId="4F091408" w14:textId="7F740FD8" w:rsidR="004E7F99" w:rsidRDefault="004E7F99"/>
    <w:p w14:paraId="70F80E9E" w14:textId="77712D6E" w:rsidR="00BC1D10" w:rsidRDefault="00BC1D10" w:rsidP="00BC1D10">
      <w:pPr>
        <w:pStyle w:val="Odsekzoznamu"/>
        <w:ind w:left="0"/>
      </w:pPr>
      <w:r>
        <w:t xml:space="preserve">Zástupcovia z </w:t>
      </w:r>
      <w:proofErr w:type="spellStart"/>
      <w:r>
        <w:t>Groupama</w:t>
      </w:r>
      <w:proofErr w:type="spellEnd"/>
      <w:r>
        <w:t xml:space="preserve"> poisťovňa, a. s., pobočka poisťovne z iného členského štátu,  </w:t>
      </w:r>
      <w:proofErr w:type="spellStart"/>
      <w:r>
        <w:t>MetLife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d. a. c., pobočka poisťovne z iného členského štátu, </w:t>
      </w:r>
      <w:proofErr w:type="spellStart"/>
      <w:r>
        <w:t>Union</w:t>
      </w:r>
      <w:proofErr w:type="spellEnd"/>
      <w:r>
        <w:t xml:space="preserve"> poisťovňa, a. s. sa na stretnutí nezúčastnili.</w:t>
      </w:r>
    </w:p>
    <w:p w14:paraId="4F5C55CA" w14:textId="7755B7AF" w:rsidR="00BC1D10" w:rsidRDefault="00BC1D10" w:rsidP="00BC1D10">
      <w:pPr>
        <w:pStyle w:val="Odsekzoznamu"/>
        <w:ind w:left="0"/>
      </w:pPr>
    </w:p>
    <w:p w14:paraId="2866C9A1" w14:textId="2453FFB3" w:rsidR="00BC1D10" w:rsidRDefault="00BC1D10" w:rsidP="00BC1D10">
      <w:pPr>
        <w:pStyle w:val="Odsekzoznamu"/>
        <w:ind w:left="0"/>
      </w:pPr>
    </w:p>
    <w:p w14:paraId="2290CF20" w14:textId="73C9B89A" w:rsidR="00BC1D10" w:rsidRDefault="00D52D88">
      <w:r>
        <w:t>V rámci diskusie odznelo</w:t>
      </w:r>
      <w:r w:rsidR="00C20281">
        <w:t xml:space="preserve"> (pod „pohľadávkou“ v ďalšom texte chápeme dlžné poistné)</w:t>
      </w:r>
      <w:r>
        <w:t>:</w:t>
      </w:r>
    </w:p>
    <w:p w14:paraId="1E0E724F" w14:textId="2B440CE7" w:rsidR="00D52D88" w:rsidRDefault="00D52D88"/>
    <w:p w14:paraId="6CAFC957" w14:textId="7A22E74B" w:rsidR="00D52D88" w:rsidRPr="00625E7E" w:rsidRDefault="00D52D88" w:rsidP="0021798E">
      <w:pPr>
        <w:pStyle w:val="Odsekzoznamu"/>
        <w:numPr>
          <w:ilvl w:val="0"/>
          <w:numId w:val="3"/>
        </w:numPr>
      </w:pPr>
      <w:r>
        <w:t xml:space="preserve">Minimálne pre model PAA bude u viacerých poisťovní spôsob vyčíslenia </w:t>
      </w:r>
      <w:r w:rsidR="00853E10">
        <w:rPr>
          <w:rFonts w:eastAsia="Times New Roman"/>
        </w:rPr>
        <w:t xml:space="preserve">PV FCF vychádzať </w:t>
      </w:r>
      <w:r w:rsidR="00C20281">
        <w:rPr>
          <w:rFonts w:eastAsia="Times New Roman"/>
        </w:rPr>
        <w:t xml:space="preserve">z účtovných postupov používaných aj do 31.12.2022 - </w:t>
      </w:r>
      <w:r w:rsidR="00853E10">
        <w:rPr>
          <w:rFonts w:eastAsia="Times New Roman"/>
        </w:rPr>
        <w:t>z rozdielu nominálnej hodnoty „pohľadávky“ a „ opravnej položky“.</w:t>
      </w:r>
      <w:r w:rsidR="00F06A73">
        <w:rPr>
          <w:rFonts w:eastAsia="Times New Roman"/>
        </w:rPr>
        <w:t xml:space="preserve"> Nie je však jednotný názor, či takýto spôsob vyčíslenia PV FCF sa dá považovať za zaúčtovanie pohľadávky a opravnej položky s príslušnými dôsledkami vyplývajúci</w:t>
      </w:r>
      <w:r w:rsidR="00625E7E">
        <w:rPr>
          <w:rFonts w:eastAsia="Times New Roman"/>
        </w:rPr>
        <w:t>mi</w:t>
      </w:r>
      <w:r w:rsidR="00F06A73">
        <w:rPr>
          <w:rFonts w:eastAsia="Times New Roman"/>
        </w:rPr>
        <w:t xml:space="preserve"> so zákona o dani z</w:t>
      </w:r>
      <w:r w:rsidR="004761A5">
        <w:rPr>
          <w:rFonts w:eastAsia="Times New Roman"/>
        </w:rPr>
        <w:t> </w:t>
      </w:r>
      <w:r w:rsidR="00F06A73">
        <w:rPr>
          <w:rFonts w:eastAsia="Times New Roman"/>
        </w:rPr>
        <w:t>príjmov</w:t>
      </w:r>
      <w:r w:rsidR="004761A5">
        <w:rPr>
          <w:rFonts w:eastAsia="Times New Roman"/>
        </w:rPr>
        <w:t xml:space="preserve"> alebo či ide </w:t>
      </w:r>
      <w:r w:rsidR="00625E7E">
        <w:rPr>
          <w:rFonts w:eastAsia="Times New Roman"/>
        </w:rPr>
        <w:t xml:space="preserve">iba o </w:t>
      </w:r>
      <w:r w:rsidR="004761A5">
        <w:rPr>
          <w:rFonts w:eastAsia="Times New Roman"/>
        </w:rPr>
        <w:t>zaúčtovanie záväzku z poistných zmlúv, ktorého precenenie v súlade s IFRS 17 by malo byť daňovo uznané.</w:t>
      </w:r>
      <w:r w:rsidR="00625E7E">
        <w:rPr>
          <w:rFonts w:eastAsia="Times New Roman"/>
        </w:rPr>
        <w:t xml:space="preserve"> </w:t>
      </w:r>
    </w:p>
    <w:p w14:paraId="575BF5F6" w14:textId="54528D38" w:rsidR="00625E7E" w:rsidRPr="000E3B72" w:rsidRDefault="00625E7E" w:rsidP="00625E7E">
      <w:pPr>
        <w:pStyle w:val="Odsekzoznamu"/>
      </w:pPr>
    </w:p>
    <w:p w14:paraId="4CE5BE4D" w14:textId="292CB453" w:rsidR="00853E10" w:rsidRPr="00A127C5" w:rsidRDefault="00C20281" w:rsidP="0021798E">
      <w:pPr>
        <w:pStyle w:val="Odsekzoznamu"/>
        <w:numPr>
          <w:ilvl w:val="0"/>
          <w:numId w:val="3"/>
        </w:numPr>
      </w:pPr>
      <w:r>
        <w:rPr>
          <w:rFonts w:eastAsia="Times New Roman"/>
        </w:rPr>
        <w:t xml:space="preserve">Ak bude </w:t>
      </w:r>
      <w:r w:rsidR="00853E10">
        <w:rPr>
          <w:rFonts w:eastAsia="Times New Roman"/>
        </w:rPr>
        <w:t xml:space="preserve"> „opravn</w:t>
      </w:r>
      <w:r>
        <w:rPr>
          <w:rFonts w:eastAsia="Times New Roman"/>
        </w:rPr>
        <w:t>á</w:t>
      </w:r>
      <w:r w:rsidR="00853E10">
        <w:rPr>
          <w:rFonts w:eastAsia="Times New Roman"/>
        </w:rPr>
        <w:t xml:space="preserve"> položk</w:t>
      </w:r>
      <w:r>
        <w:rPr>
          <w:rFonts w:eastAsia="Times New Roman"/>
        </w:rPr>
        <w:t>a</w:t>
      </w:r>
      <w:r w:rsidR="00853E10">
        <w:rPr>
          <w:rFonts w:eastAsia="Times New Roman"/>
        </w:rPr>
        <w:t xml:space="preserve">“ </w:t>
      </w:r>
      <w:r>
        <w:rPr>
          <w:rFonts w:eastAsia="Times New Roman"/>
        </w:rPr>
        <w:t>k „pohľadávke“</w:t>
      </w:r>
      <w:r w:rsidR="00853E10">
        <w:rPr>
          <w:rFonts w:eastAsia="Times New Roman"/>
        </w:rPr>
        <w:t xml:space="preserve"> </w:t>
      </w:r>
      <w:r>
        <w:rPr>
          <w:rFonts w:eastAsia="Times New Roman"/>
        </w:rPr>
        <w:t xml:space="preserve">účtovaná </w:t>
      </w:r>
      <w:r w:rsidR="00853E10">
        <w:rPr>
          <w:rFonts w:eastAsia="Times New Roman"/>
        </w:rPr>
        <w:t>oproti nákladom</w:t>
      </w:r>
      <w:r>
        <w:rPr>
          <w:rFonts w:eastAsia="Times New Roman"/>
        </w:rPr>
        <w:t>,</w:t>
      </w:r>
      <w:r w:rsidR="00853E10">
        <w:rPr>
          <w:rFonts w:eastAsia="Times New Roman"/>
        </w:rPr>
        <w:t xml:space="preserve"> môže byť</w:t>
      </w:r>
      <w:r>
        <w:rPr>
          <w:rFonts w:eastAsia="Times New Roman"/>
        </w:rPr>
        <w:t xml:space="preserve"> z hľadiska daňovej </w:t>
      </w:r>
      <w:proofErr w:type="spellStart"/>
      <w:r>
        <w:rPr>
          <w:rFonts w:eastAsia="Times New Roman"/>
        </w:rPr>
        <w:t>uznateľnosti</w:t>
      </w:r>
      <w:proofErr w:type="spellEnd"/>
      <w:r>
        <w:rPr>
          <w:rFonts w:eastAsia="Times New Roman"/>
        </w:rPr>
        <w:t xml:space="preserve"> tohto nákladu </w:t>
      </w:r>
      <w:r w:rsidR="00853E10">
        <w:rPr>
          <w:rFonts w:eastAsia="Times New Roman"/>
        </w:rPr>
        <w:t xml:space="preserve"> problematické preukázanie skutočnosti, </w:t>
      </w:r>
      <w:r>
        <w:rPr>
          <w:rFonts w:eastAsia="Times New Roman"/>
        </w:rPr>
        <w:t xml:space="preserve">či už bol </w:t>
      </w:r>
      <w:r w:rsidR="00346DA8">
        <w:rPr>
          <w:rFonts w:eastAsia="Times New Roman"/>
        </w:rPr>
        <w:t xml:space="preserve">predtým </w:t>
      </w:r>
      <w:r>
        <w:rPr>
          <w:rFonts w:eastAsia="Times New Roman"/>
        </w:rPr>
        <w:t>vykázaný výnos súvisiaci s touto „pohľadávkou“</w:t>
      </w:r>
      <w:r w:rsidR="000E3B72">
        <w:rPr>
          <w:rFonts w:eastAsia="Times New Roman"/>
        </w:rPr>
        <w:t>.</w:t>
      </w:r>
    </w:p>
    <w:p w14:paraId="32B28AF9" w14:textId="77777777" w:rsidR="00A127C5" w:rsidRDefault="00A127C5" w:rsidP="00A127C5">
      <w:pPr>
        <w:pStyle w:val="Odsekzoznamu"/>
      </w:pPr>
    </w:p>
    <w:p w14:paraId="10AA218F" w14:textId="69D612F5" w:rsidR="00A127C5" w:rsidRDefault="00A127C5" w:rsidP="00A127C5">
      <w:pPr>
        <w:pStyle w:val="Odsekzoznamu"/>
        <w:ind w:left="0"/>
      </w:pPr>
    </w:p>
    <w:p w14:paraId="54A2410E" w14:textId="21357CE4" w:rsidR="00A127C5" w:rsidRDefault="00A127C5" w:rsidP="00A127C5">
      <w:pPr>
        <w:pStyle w:val="Odsekzoznamu"/>
        <w:ind w:left="0"/>
      </w:pPr>
      <w:r>
        <w:t>Vzhľadom na nejednotný</w:t>
      </w:r>
      <w:r w:rsidR="00346DA8">
        <w:t xml:space="preserve"> názor na to, či sa po 1.1.2023 bude účtovať </w:t>
      </w:r>
      <w:r w:rsidR="00314A94">
        <w:t xml:space="preserve">aj </w:t>
      </w:r>
      <w:r w:rsidR="00346DA8">
        <w:t xml:space="preserve">o pohľadávkach z nezaplateného poistného a opravných položkám k nim, alebo iba </w:t>
      </w:r>
      <w:r w:rsidR="00C152AC">
        <w:t xml:space="preserve">o </w:t>
      </w:r>
      <w:r w:rsidR="00346DA8">
        <w:t>záväzkoch z poistných zmlúv</w:t>
      </w:r>
      <w:r w:rsidR="009A0567">
        <w:t>,</w:t>
      </w:r>
      <w:r w:rsidR="00346DA8">
        <w:t xml:space="preserve"> na ktorých vyčíslenie </w:t>
      </w:r>
      <w:r w:rsidR="009A0567">
        <w:t xml:space="preserve">sa použijú aj informácie o nezaplatenom poistnom a predpokladoch o jeho úhrade,  požiadal p. </w:t>
      </w:r>
      <w:proofErr w:type="spellStart"/>
      <w:r w:rsidR="009A0567">
        <w:t>Bachniček</w:t>
      </w:r>
      <w:proofErr w:type="spellEnd"/>
      <w:r w:rsidR="009A0567">
        <w:t xml:space="preserve"> členov SLASPO,  aby sa pokúsili naformulovať</w:t>
      </w:r>
      <w:r w:rsidR="00314A94">
        <w:t xml:space="preserve"> vyjadrenie</w:t>
      </w:r>
      <w:r w:rsidR="009A0567">
        <w:t xml:space="preserve">, prečo by sa na </w:t>
      </w:r>
      <w:r w:rsidR="00314A94">
        <w:t>dlžné poistné po 1.1.2023 nemali aplikovať ustanovenia zákona o dani z príjmov týkajúce sa pohľadávok a opravných položiek. Pokiaľ sa podarí nájsť zdôvodnenie, s ktorým budú všetci členovia SLASPO súhlasiť</w:t>
      </w:r>
      <w:r w:rsidR="00387981">
        <w:t>, bude tento názor prezentovaný zástupcom MF SR.</w:t>
      </w:r>
    </w:p>
    <w:p w14:paraId="3FB82E26" w14:textId="5B872EF5" w:rsidR="00625E7E" w:rsidRPr="00C20281" w:rsidRDefault="00625E7E" w:rsidP="00625E7E">
      <w:pPr>
        <w:pStyle w:val="Odsekzoznamu"/>
      </w:pPr>
    </w:p>
    <w:sectPr w:rsidR="00625E7E" w:rsidRPr="00C202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1B882" w14:textId="77777777" w:rsidR="00F230AB" w:rsidRDefault="00F230AB" w:rsidP="004476B4">
      <w:r>
        <w:separator/>
      </w:r>
    </w:p>
  </w:endnote>
  <w:endnote w:type="continuationSeparator" w:id="0">
    <w:p w14:paraId="28E910F9" w14:textId="77777777" w:rsidR="00F230AB" w:rsidRDefault="00F230AB" w:rsidP="0044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236D" w14:textId="77777777" w:rsidR="00F230AB" w:rsidRDefault="00F230AB" w:rsidP="004476B4">
      <w:r>
        <w:separator/>
      </w:r>
    </w:p>
  </w:footnote>
  <w:footnote w:type="continuationSeparator" w:id="0">
    <w:p w14:paraId="5B4FFEDC" w14:textId="77777777" w:rsidR="00F230AB" w:rsidRDefault="00F230AB" w:rsidP="0044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2361" w14:textId="3571A28F" w:rsidR="004476B4" w:rsidRDefault="004476B4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7607A3" wp14:editId="2451F02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912f42a2ad80ef10e8b2d2a7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588EE8" w14:textId="31294035" w:rsidR="004476B4" w:rsidRPr="004476B4" w:rsidRDefault="004476B4" w:rsidP="004476B4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607A3" id="_x0000_t202" coordsize="21600,21600" o:spt="202" path="m,l,21600r21600,l21600,xe">
              <v:stroke joinstyle="miter"/>
              <v:path gradientshapeok="t" o:connecttype="rect"/>
            </v:shapetype>
            <v:shape id="MSIPCM912f42a2ad80ef10e8b2d2a7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60588EE8" w14:textId="31294035" w:rsidR="004476B4" w:rsidRPr="004476B4" w:rsidRDefault="004476B4" w:rsidP="004476B4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7491"/>
    <w:multiLevelType w:val="hybridMultilevel"/>
    <w:tmpl w:val="071402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ED"/>
    <w:multiLevelType w:val="hybridMultilevel"/>
    <w:tmpl w:val="4BD48B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1403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37381520">
    <w:abstractNumId w:val="1"/>
  </w:num>
  <w:num w:numId="3" w16cid:durableId="63984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A7"/>
    <w:rsid w:val="00011EE3"/>
    <w:rsid w:val="00015C24"/>
    <w:rsid w:val="00077870"/>
    <w:rsid w:val="000A4F9E"/>
    <w:rsid w:val="000C205B"/>
    <w:rsid w:val="000E3B72"/>
    <w:rsid w:val="001577CC"/>
    <w:rsid w:val="001A2FAF"/>
    <w:rsid w:val="001B24C9"/>
    <w:rsid w:val="001F31DD"/>
    <w:rsid w:val="00225658"/>
    <w:rsid w:val="002E61F2"/>
    <w:rsid w:val="00314A94"/>
    <w:rsid w:val="00322ADF"/>
    <w:rsid w:val="00346DA8"/>
    <w:rsid w:val="00366E1F"/>
    <w:rsid w:val="00387981"/>
    <w:rsid w:val="003A47A7"/>
    <w:rsid w:val="004476B4"/>
    <w:rsid w:val="00467E8C"/>
    <w:rsid w:val="00471325"/>
    <w:rsid w:val="004761A5"/>
    <w:rsid w:val="00476288"/>
    <w:rsid w:val="004967C2"/>
    <w:rsid w:val="004E7F99"/>
    <w:rsid w:val="0056511A"/>
    <w:rsid w:val="005751E2"/>
    <w:rsid w:val="00625E7E"/>
    <w:rsid w:val="00696E5D"/>
    <w:rsid w:val="006C3E5E"/>
    <w:rsid w:val="007B07E7"/>
    <w:rsid w:val="007D06DC"/>
    <w:rsid w:val="00812C46"/>
    <w:rsid w:val="00827FCD"/>
    <w:rsid w:val="00853E10"/>
    <w:rsid w:val="00891A3B"/>
    <w:rsid w:val="008E766F"/>
    <w:rsid w:val="0099023D"/>
    <w:rsid w:val="009A0567"/>
    <w:rsid w:val="009D6A8D"/>
    <w:rsid w:val="00A127C5"/>
    <w:rsid w:val="00A567EF"/>
    <w:rsid w:val="00AB5CF4"/>
    <w:rsid w:val="00B15008"/>
    <w:rsid w:val="00B3735C"/>
    <w:rsid w:val="00BC1D10"/>
    <w:rsid w:val="00C152AC"/>
    <w:rsid w:val="00C20281"/>
    <w:rsid w:val="00C234E9"/>
    <w:rsid w:val="00C36DEB"/>
    <w:rsid w:val="00C47BBD"/>
    <w:rsid w:val="00C75E98"/>
    <w:rsid w:val="00CC6FFB"/>
    <w:rsid w:val="00D10AE5"/>
    <w:rsid w:val="00D27F4E"/>
    <w:rsid w:val="00D52D88"/>
    <w:rsid w:val="00D60100"/>
    <w:rsid w:val="00DB7448"/>
    <w:rsid w:val="00E04BDA"/>
    <w:rsid w:val="00E351FF"/>
    <w:rsid w:val="00E7166D"/>
    <w:rsid w:val="00EA6CE4"/>
    <w:rsid w:val="00ED780C"/>
    <w:rsid w:val="00EE4D73"/>
    <w:rsid w:val="00F06A73"/>
    <w:rsid w:val="00F230AB"/>
    <w:rsid w:val="00FA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8CFCE"/>
  <w15:chartTrackingRefBased/>
  <w15:docId w15:val="{F6C9AEC6-365E-4730-A439-55E56442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47A7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47A7"/>
    <w:pPr>
      <w:ind w:left="720"/>
    </w:pPr>
  </w:style>
  <w:style w:type="paragraph" w:styleId="Revzia">
    <w:name w:val="Revision"/>
    <w:hidden/>
    <w:uiPriority w:val="99"/>
    <w:semiHidden/>
    <w:rsid w:val="00471325"/>
    <w:pPr>
      <w:spacing w:after="0" w:line="240" w:lineRule="auto"/>
    </w:pPr>
    <w:rPr>
      <w:rFonts w:ascii="Calibri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4476B4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76B4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4476B4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4476B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jozef.bachnicek</dc:creator>
  <cp:keywords/>
  <dc:description/>
  <cp:lastModifiedBy>jozef.bachnicek</cp:lastModifiedBy>
  <cp:revision>4</cp:revision>
  <dcterms:created xsi:type="dcterms:W3CDTF">2022-10-03T05:42:00Z</dcterms:created>
  <dcterms:modified xsi:type="dcterms:W3CDTF">2022-10-03T05:46:00Z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302176299</vt:i4>
  </property>
  <property fmtid="{D5CDD505-2E9C-101B-9397-08002B2CF9AE}" pid="3" name="_NewReviewCycle">
    <vt:lpwstr/>
  </property>
  <property fmtid="{D5CDD505-2E9C-101B-9397-08002B2CF9AE}" pid="4" name="_EmailSubject">
    <vt:lpwstr>návrh zápisu zo stretnutia Ekonomickej sekcie a PS dane</vt:lpwstr>
  </property>
  <property fmtid="{D5CDD505-2E9C-101B-9397-08002B2CF9AE}" pid="5" name="_AuthorEmail">
    <vt:lpwstr>Marek.Janicek@allianz.sk</vt:lpwstr>
  </property>
  <property fmtid="{D5CDD505-2E9C-101B-9397-08002B2CF9AE}" pid="6" name="_AuthorEmailDisplayName">
    <vt:lpwstr>Janíček Marek Ing.</vt:lpwstr>
  </property>
  <property fmtid="{D5CDD505-2E9C-101B-9397-08002B2CF9AE}" pid="7" name="MSIP_Label_863bc15e-e7bf-41c1-bdb3-03882d8a2e2c_Enabled">
    <vt:lpwstr>true</vt:lpwstr>
  </property>
  <property fmtid="{D5CDD505-2E9C-101B-9397-08002B2CF9AE}" pid="8" name="MSIP_Label_863bc15e-e7bf-41c1-bdb3-03882d8a2e2c_SetDate">
    <vt:lpwstr>2022-09-21T08:14:03Z</vt:lpwstr>
  </property>
  <property fmtid="{D5CDD505-2E9C-101B-9397-08002B2CF9AE}" pid="9" name="MSIP_Label_863bc15e-e7bf-41c1-bdb3-03882d8a2e2c_Method">
    <vt:lpwstr>Privileged</vt:lpwstr>
  </property>
  <property fmtid="{D5CDD505-2E9C-101B-9397-08002B2CF9AE}" pid="10" name="MSIP_Label_863bc15e-e7bf-41c1-bdb3-03882d8a2e2c_Name">
    <vt:lpwstr>863bc15e-e7bf-41c1-bdb3-03882d8a2e2c</vt:lpwstr>
  </property>
  <property fmtid="{D5CDD505-2E9C-101B-9397-08002B2CF9AE}" pid="11" name="MSIP_Label_863bc15e-e7bf-41c1-bdb3-03882d8a2e2c_SiteId">
    <vt:lpwstr>6e06e42d-6925-47c6-b9e7-9581c7ca302a</vt:lpwstr>
  </property>
  <property fmtid="{D5CDD505-2E9C-101B-9397-08002B2CF9AE}" pid="12" name="MSIP_Label_863bc15e-e7bf-41c1-bdb3-03882d8a2e2c_ActionId">
    <vt:lpwstr>2e1df15f-1e24-4203-81d2-bce34bbf5a76</vt:lpwstr>
  </property>
  <property fmtid="{D5CDD505-2E9C-101B-9397-08002B2CF9AE}" pid="13" name="MSIP_Label_863bc15e-e7bf-41c1-bdb3-03882d8a2e2c_ContentBits">
    <vt:lpwstr>1</vt:lpwstr>
  </property>
  <property fmtid="{D5CDD505-2E9C-101B-9397-08002B2CF9AE}" pid="14" name="_PreviousAdHocReviewCycleID">
    <vt:i4>-1112205958</vt:i4>
  </property>
  <property fmtid="{D5CDD505-2E9C-101B-9397-08002B2CF9AE}" pid="15" name="_ReviewingToolsShownOnce">
    <vt:lpwstr/>
  </property>
</Properties>
</file>