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93B20" w14:textId="6ADBC0E0" w:rsidR="0016089A" w:rsidRPr="003A760E" w:rsidRDefault="005E3D0C" w:rsidP="00350952">
      <w:pPr>
        <w:rPr>
          <w:b/>
          <w:color w:val="1F497D" w:themeColor="text2"/>
        </w:rPr>
      </w:pPr>
      <w:r>
        <w:rPr>
          <w:color w:val="1F497D" w:themeColor="text2"/>
        </w:rPr>
        <w:t>Background</w:t>
      </w:r>
    </w:p>
    <w:p w14:paraId="1CDF07B9" w14:textId="742C868A" w:rsidR="00AB311A" w:rsidRDefault="00AB311A" w:rsidP="006A1A8D">
      <w:pPr>
        <w:spacing w:before="120" w:line="276" w:lineRule="auto"/>
        <w:rPr>
          <w:sz w:val="17"/>
          <w:szCs w:val="17"/>
        </w:rPr>
      </w:pPr>
      <w:r w:rsidRPr="00AB311A">
        <w:rPr>
          <w:sz w:val="17"/>
          <w:szCs w:val="17"/>
        </w:rPr>
        <w:t xml:space="preserve">On 20 November, the European Commission (EC) presented </w:t>
      </w:r>
      <w:hyperlink r:id="rId11" w:history="1">
        <w:r w:rsidRPr="00324673">
          <w:rPr>
            <w:rStyle w:val="Hypertextovprepojenie"/>
            <w:sz w:val="17"/>
            <w:szCs w:val="17"/>
          </w:rPr>
          <w:t>proposals for a set of amendments to the Sustainable Finance Disclosure Regulation</w:t>
        </w:r>
      </w:hyperlink>
      <w:r w:rsidRPr="00AB311A">
        <w:rPr>
          <w:sz w:val="17"/>
          <w:szCs w:val="17"/>
        </w:rPr>
        <w:t xml:space="preserve"> (SFDR). The changes proposed by the EC are aimed at addressing current shortcomings, making the rules simpler, more efficient, and better aligned with market realities. They are also aimed at facilitating an increased participation of retail investors in EU capital markets, in line with the objectives of the Savings and Investments Union (SIU) and helping boost the flow of funds towards sustainable objectives.</w:t>
      </w:r>
      <w:r w:rsidR="007A6880">
        <w:rPr>
          <w:sz w:val="17"/>
          <w:szCs w:val="17"/>
        </w:rPr>
        <w:t xml:space="preserve"> Questions and answers on the SFDR can also be found </w:t>
      </w:r>
      <w:hyperlink r:id="rId12" w:history="1">
        <w:r w:rsidR="007A6880" w:rsidRPr="006E162D">
          <w:rPr>
            <w:rStyle w:val="Hypertextovprepojenie"/>
            <w:sz w:val="17"/>
            <w:szCs w:val="17"/>
          </w:rPr>
          <w:t>here</w:t>
        </w:r>
      </w:hyperlink>
      <w:r w:rsidR="007A6880">
        <w:rPr>
          <w:sz w:val="17"/>
          <w:szCs w:val="17"/>
        </w:rPr>
        <w:t xml:space="preserve">, as well as an impact assessment report </w:t>
      </w:r>
      <w:hyperlink r:id="rId13" w:history="1">
        <w:r w:rsidR="007A6880" w:rsidRPr="006E162D">
          <w:rPr>
            <w:rStyle w:val="Hypertextovprepojenie"/>
            <w:sz w:val="17"/>
            <w:szCs w:val="17"/>
          </w:rPr>
          <w:t>here</w:t>
        </w:r>
      </w:hyperlink>
      <w:r w:rsidR="007A6880">
        <w:rPr>
          <w:sz w:val="17"/>
          <w:szCs w:val="17"/>
        </w:rPr>
        <w:t>.</w:t>
      </w:r>
    </w:p>
    <w:p w14:paraId="4E4ED84B" w14:textId="27D79160" w:rsidR="00D75A78" w:rsidRDefault="00C77E5C" w:rsidP="002606C7">
      <w:pPr>
        <w:spacing w:before="120" w:line="276" w:lineRule="auto"/>
        <w:rPr>
          <w:sz w:val="17"/>
          <w:szCs w:val="17"/>
        </w:rPr>
      </w:pPr>
      <w:r>
        <w:rPr>
          <w:sz w:val="17"/>
          <w:szCs w:val="17"/>
        </w:rPr>
        <w:t>As a reminder, o</w:t>
      </w:r>
      <w:r w:rsidR="002A48E3" w:rsidRPr="002A48E3">
        <w:rPr>
          <w:sz w:val="17"/>
          <w:szCs w:val="17"/>
        </w:rPr>
        <w:t>n 25 September, the secretariat shared Insurance Europe’s key recommendations</w:t>
      </w:r>
      <w:r w:rsidR="002A48E3">
        <w:rPr>
          <w:sz w:val="17"/>
          <w:szCs w:val="17"/>
        </w:rPr>
        <w:t xml:space="preserve"> </w:t>
      </w:r>
      <w:r w:rsidR="002A48E3">
        <w:rPr>
          <w:iCs/>
          <w:sz w:val="17"/>
          <w:szCs w:val="17"/>
        </w:rPr>
        <w:t>(</w:t>
      </w:r>
      <w:hyperlink r:id="rId14" w:history="1">
        <w:r w:rsidR="002A48E3" w:rsidRPr="005422D4">
          <w:rPr>
            <w:rStyle w:val="Hypertextovprepojenie"/>
            <w:iCs/>
            <w:sz w:val="17"/>
            <w:szCs w:val="17"/>
          </w:rPr>
          <w:t>here</w:t>
        </w:r>
      </w:hyperlink>
      <w:r w:rsidR="002A48E3">
        <w:rPr>
          <w:iCs/>
          <w:sz w:val="17"/>
          <w:szCs w:val="17"/>
        </w:rPr>
        <w:t>)</w:t>
      </w:r>
      <w:r w:rsidR="002A48E3" w:rsidRPr="002A48E3">
        <w:rPr>
          <w:sz w:val="17"/>
          <w:szCs w:val="17"/>
        </w:rPr>
        <w:t xml:space="preserve"> for the review with Hélène Bussières, Head of the Asset Management Unit (FISMA.C.4) at the European Commission. </w:t>
      </w:r>
    </w:p>
    <w:p w14:paraId="56C7ADA7" w14:textId="03D67F86" w:rsidR="00FF75BC" w:rsidRDefault="00FF75BC" w:rsidP="00A04D26">
      <w:pPr>
        <w:spacing w:before="120" w:line="276" w:lineRule="auto"/>
        <w:rPr>
          <w:sz w:val="17"/>
          <w:szCs w:val="17"/>
        </w:rPr>
      </w:pPr>
      <w:r>
        <w:rPr>
          <w:sz w:val="17"/>
          <w:szCs w:val="17"/>
        </w:rPr>
        <w:t>Following a first round of feedback and the excha</w:t>
      </w:r>
      <w:r w:rsidR="00576380">
        <w:rPr>
          <w:sz w:val="17"/>
          <w:szCs w:val="17"/>
        </w:rPr>
        <w:t>nge held during the 1 December Crisfin WG meeting, the secretariat has updated Insurance Europe’s assessment of the SFDR.</w:t>
      </w:r>
    </w:p>
    <w:p w14:paraId="451485EF" w14:textId="27283783" w:rsidR="00C11581" w:rsidRDefault="00C11581" w:rsidP="00A04D26">
      <w:pPr>
        <w:spacing w:before="120" w:line="276" w:lineRule="auto"/>
        <w:rPr>
          <w:sz w:val="17"/>
          <w:szCs w:val="17"/>
        </w:rPr>
      </w:pPr>
      <w:r w:rsidRPr="009D4FBB">
        <w:rPr>
          <w:b/>
          <w:bCs/>
          <w:sz w:val="17"/>
          <w:szCs w:val="17"/>
        </w:rPr>
        <w:t xml:space="preserve">Members are invited to submit </w:t>
      </w:r>
      <w:r w:rsidR="00074AC5" w:rsidRPr="009D4FBB">
        <w:rPr>
          <w:b/>
          <w:bCs/>
          <w:sz w:val="17"/>
          <w:szCs w:val="17"/>
        </w:rPr>
        <w:t>their</w:t>
      </w:r>
      <w:r w:rsidRPr="009D4FBB">
        <w:rPr>
          <w:b/>
          <w:bCs/>
          <w:sz w:val="17"/>
          <w:szCs w:val="17"/>
        </w:rPr>
        <w:t xml:space="preserve"> comments and additional input by</w:t>
      </w:r>
      <w:r w:rsidRPr="009D4FBB">
        <w:rPr>
          <w:sz w:val="17"/>
          <w:szCs w:val="17"/>
        </w:rPr>
        <w:t xml:space="preserve"> </w:t>
      </w:r>
      <w:r w:rsidR="0061351B" w:rsidRPr="009D4FBB">
        <w:rPr>
          <w:b/>
          <w:bCs/>
          <w:sz w:val="17"/>
          <w:szCs w:val="17"/>
        </w:rPr>
        <w:t>Thursday 11</w:t>
      </w:r>
      <w:r w:rsidRPr="009D4FBB">
        <w:rPr>
          <w:b/>
          <w:bCs/>
          <w:sz w:val="17"/>
          <w:szCs w:val="17"/>
        </w:rPr>
        <w:t xml:space="preserve"> </w:t>
      </w:r>
      <w:r w:rsidR="0087544C" w:rsidRPr="009D4FBB">
        <w:rPr>
          <w:b/>
          <w:bCs/>
          <w:sz w:val="17"/>
          <w:szCs w:val="17"/>
        </w:rPr>
        <w:t>December</w:t>
      </w:r>
      <w:r w:rsidRPr="009D4FBB">
        <w:rPr>
          <w:b/>
          <w:bCs/>
          <w:sz w:val="17"/>
          <w:szCs w:val="17"/>
        </w:rPr>
        <w:t xml:space="preserve"> </w:t>
      </w:r>
      <w:r w:rsidR="0087544C" w:rsidRPr="009D4FBB">
        <w:rPr>
          <w:b/>
          <w:bCs/>
          <w:sz w:val="17"/>
          <w:szCs w:val="17"/>
        </w:rPr>
        <w:t>COB</w:t>
      </w:r>
      <w:r w:rsidRPr="009D4FBB">
        <w:rPr>
          <w:sz w:val="17"/>
          <w:szCs w:val="17"/>
        </w:rPr>
        <w:t xml:space="preserve">. </w:t>
      </w:r>
    </w:p>
    <w:p w14:paraId="6740D5C3" w14:textId="77777777" w:rsidR="00C77E5C" w:rsidRDefault="00C77E5C" w:rsidP="00C77E5C">
      <w:pPr>
        <w:rPr>
          <w:color w:val="1F497D" w:themeColor="text2"/>
        </w:rPr>
      </w:pPr>
    </w:p>
    <w:p w14:paraId="08082030" w14:textId="66AF1EE3" w:rsidR="00C77E5C" w:rsidRPr="00C77E5C" w:rsidRDefault="00A04D26" w:rsidP="00C77E5C">
      <w:pPr>
        <w:rPr>
          <w:color w:val="1F497D" w:themeColor="text2"/>
        </w:rPr>
      </w:pPr>
      <w:r w:rsidRPr="00C77E5C">
        <w:rPr>
          <w:color w:val="1F497D" w:themeColor="text2"/>
        </w:rPr>
        <w:t>Next steps</w:t>
      </w:r>
    </w:p>
    <w:p w14:paraId="1CF9E088" w14:textId="3A4DCB97" w:rsidR="00564174" w:rsidRDefault="00541451" w:rsidP="00F24322">
      <w:pPr>
        <w:spacing w:before="120" w:line="276" w:lineRule="auto"/>
        <w:rPr>
          <w:sz w:val="17"/>
          <w:szCs w:val="17"/>
        </w:rPr>
      </w:pPr>
      <w:r w:rsidRPr="007E0B95">
        <w:rPr>
          <w:sz w:val="17"/>
          <w:szCs w:val="17"/>
        </w:rPr>
        <w:t xml:space="preserve">Members are invited to join the </w:t>
      </w:r>
      <w:r w:rsidRPr="007E0B95">
        <w:rPr>
          <w:b/>
          <w:bCs/>
          <w:sz w:val="17"/>
          <w:szCs w:val="17"/>
        </w:rPr>
        <w:t xml:space="preserve">dedicated call on </w:t>
      </w:r>
      <w:r w:rsidR="002A7929" w:rsidRPr="007E0B95">
        <w:rPr>
          <w:b/>
          <w:bCs/>
          <w:sz w:val="17"/>
          <w:szCs w:val="17"/>
        </w:rPr>
        <w:t>11 December</w:t>
      </w:r>
      <w:r w:rsidRPr="007E0B95">
        <w:rPr>
          <w:b/>
          <w:bCs/>
          <w:sz w:val="17"/>
          <w:szCs w:val="17"/>
        </w:rPr>
        <w:t xml:space="preserve"> at </w:t>
      </w:r>
      <w:r w:rsidR="002A7929" w:rsidRPr="007E0B95">
        <w:rPr>
          <w:b/>
          <w:bCs/>
          <w:sz w:val="17"/>
          <w:szCs w:val="17"/>
        </w:rPr>
        <w:t>11:00</w:t>
      </w:r>
      <w:r w:rsidR="0051202D" w:rsidRPr="007E0B95">
        <w:rPr>
          <w:b/>
          <w:bCs/>
          <w:sz w:val="17"/>
          <w:szCs w:val="17"/>
        </w:rPr>
        <w:t xml:space="preserve"> CET</w:t>
      </w:r>
      <w:r w:rsidRPr="007E0B95">
        <w:rPr>
          <w:sz w:val="17"/>
          <w:szCs w:val="17"/>
        </w:rPr>
        <w:t xml:space="preserve"> to address the remaining points in the SFDR assessment. </w:t>
      </w:r>
    </w:p>
    <w:p w14:paraId="720F099D" w14:textId="47EE532E" w:rsidR="000977C7" w:rsidRDefault="00541451" w:rsidP="00F24322">
      <w:pPr>
        <w:spacing w:before="120" w:line="276" w:lineRule="auto"/>
        <w:rPr>
          <w:sz w:val="17"/>
          <w:szCs w:val="17"/>
        </w:rPr>
      </w:pPr>
      <w:r w:rsidRPr="00564174">
        <w:rPr>
          <w:sz w:val="17"/>
          <w:szCs w:val="17"/>
        </w:rPr>
        <w:t xml:space="preserve">Following the discussion, the </w:t>
      </w:r>
      <w:r w:rsidR="00564174" w:rsidRPr="00564174">
        <w:rPr>
          <w:sz w:val="17"/>
          <w:szCs w:val="17"/>
        </w:rPr>
        <w:t>s</w:t>
      </w:r>
      <w:r w:rsidRPr="00564174">
        <w:rPr>
          <w:sz w:val="17"/>
          <w:szCs w:val="17"/>
        </w:rPr>
        <w:t xml:space="preserve">ecretariat will circulate </w:t>
      </w:r>
      <w:r w:rsidR="00564174" w:rsidRPr="00564174">
        <w:rPr>
          <w:sz w:val="17"/>
          <w:szCs w:val="17"/>
        </w:rPr>
        <w:t>a</w:t>
      </w:r>
      <w:r w:rsidRPr="00564174">
        <w:rPr>
          <w:sz w:val="17"/>
          <w:szCs w:val="17"/>
        </w:rPr>
        <w:t xml:space="preserve"> final version for feedback and aims to begin outreach to key stakeholders before the Christmas break</w:t>
      </w:r>
      <w:r w:rsidR="00737F6E" w:rsidRPr="00564174">
        <w:rPr>
          <w:sz w:val="17"/>
          <w:szCs w:val="17"/>
        </w:rPr>
        <w:t>.</w:t>
      </w:r>
    </w:p>
    <w:p w14:paraId="72E8342C" w14:textId="77777777" w:rsidR="00F24322" w:rsidRPr="00F24322" w:rsidRDefault="00F24322" w:rsidP="00F24322">
      <w:pPr>
        <w:spacing w:line="276" w:lineRule="auto"/>
        <w:rPr>
          <w:sz w:val="17"/>
          <w:szCs w:val="17"/>
        </w:rPr>
      </w:pPr>
    </w:p>
    <w:p w14:paraId="2B83C0AA" w14:textId="77777777" w:rsidR="000A4A3C" w:rsidRDefault="000A4A3C">
      <w:pPr>
        <w:spacing w:after="200" w:line="276" w:lineRule="auto"/>
        <w:jc w:val="left"/>
        <w:rPr>
          <w:color w:val="1F497D" w:themeColor="text2"/>
        </w:rPr>
      </w:pPr>
      <w:r>
        <w:rPr>
          <w:color w:val="1F497D" w:themeColor="text2"/>
        </w:rPr>
        <w:br w:type="page"/>
      </w:r>
    </w:p>
    <w:p w14:paraId="2DF7EBD7" w14:textId="522FEAC1" w:rsidR="0082143D" w:rsidRDefault="00940E53" w:rsidP="003D072A">
      <w:pPr>
        <w:spacing w:before="200"/>
        <w:rPr>
          <w:color w:val="1F497D" w:themeColor="text2"/>
        </w:rPr>
      </w:pPr>
      <w:r>
        <w:rPr>
          <w:color w:val="1F497D" w:themeColor="text2"/>
        </w:rPr>
        <w:lastRenderedPageBreak/>
        <w:t xml:space="preserve">Insurance Europe’s </w:t>
      </w:r>
      <w:r w:rsidR="00D8773C">
        <w:rPr>
          <w:color w:val="1F497D" w:themeColor="text2"/>
        </w:rPr>
        <w:t xml:space="preserve">draft </w:t>
      </w:r>
      <w:r w:rsidR="00F47CDD">
        <w:rPr>
          <w:color w:val="1F497D" w:themeColor="text2"/>
        </w:rPr>
        <w:t>assessment</w:t>
      </w:r>
    </w:p>
    <w:p w14:paraId="05530724" w14:textId="5A5E7B9C" w:rsidR="00A41850" w:rsidRPr="00A41850" w:rsidRDefault="00A41850" w:rsidP="00F837E5">
      <w:pPr>
        <w:pStyle w:val="IEStandardHeading"/>
        <w:spacing w:before="120"/>
        <w:rPr>
          <w:b/>
          <w:bCs/>
        </w:rPr>
      </w:pPr>
      <w:r>
        <w:rPr>
          <w:b/>
          <w:bCs/>
        </w:rPr>
        <w:t>General comments on the SFDR</w:t>
      </w:r>
      <w:r w:rsidR="00F837E5">
        <w:rPr>
          <w:b/>
          <w:bCs/>
        </w:rPr>
        <w:t xml:space="preserve"> review</w:t>
      </w:r>
    </w:p>
    <w:p w14:paraId="79AF732B" w14:textId="409FA790" w:rsidR="0049071E" w:rsidRDefault="00BB3BD9" w:rsidP="006A1A8D">
      <w:pPr>
        <w:spacing w:before="120" w:line="276" w:lineRule="auto"/>
        <w:rPr>
          <w:sz w:val="17"/>
          <w:szCs w:val="17"/>
        </w:rPr>
      </w:pPr>
      <w:r w:rsidRPr="00BB3BD9">
        <w:rPr>
          <w:sz w:val="17"/>
          <w:szCs w:val="17"/>
        </w:rPr>
        <w:t>Insurance Europe broadly supports the European Commission’s initiative to review the Sustainable Finance Disclosure Regulation (SFDR) and welcomes the overall direction of the proposed amendments. Alignment with Omnibus I, the European Sustainability Reporting Standards (ESRS), and necessary updates to MiFID and IDD remains essential</w:t>
      </w:r>
      <w:r w:rsidR="009100F5" w:rsidRPr="009100F5">
        <w:rPr>
          <w:sz w:val="17"/>
          <w:szCs w:val="17"/>
        </w:rPr>
        <w:t>.</w:t>
      </w:r>
      <w:r w:rsidR="00CD7D87">
        <w:rPr>
          <w:sz w:val="17"/>
          <w:szCs w:val="17"/>
        </w:rPr>
        <w:t xml:space="preserve"> </w:t>
      </w:r>
      <w:r>
        <w:rPr>
          <w:sz w:val="17"/>
          <w:szCs w:val="17"/>
        </w:rPr>
        <w:t xml:space="preserve"> </w:t>
      </w:r>
    </w:p>
    <w:p w14:paraId="6F5AA215" w14:textId="6E4151C2" w:rsidR="007B5F89" w:rsidRDefault="007978A2" w:rsidP="006A1A8D">
      <w:pPr>
        <w:spacing w:before="120" w:line="276" w:lineRule="auto"/>
        <w:rPr>
          <w:sz w:val="17"/>
          <w:szCs w:val="17"/>
        </w:rPr>
      </w:pPr>
      <w:r w:rsidRPr="007978A2">
        <w:rPr>
          <w:sz w:val="17"/>
          <w:szCs w:val="17"/>
        </w:rPr>
        <w:t>The proposal includes several positive elements, such as</w:t>
      </w:r>
      <w:r w:rsidR="007B5F89" w:rsidRPr="007B5F89">
        <w:rPr>
          <w:sz w:val="17"/>
          <w:szCs w:val="17"/>
        </w:rPr>
        <w:t>:</w:t>
      </w:r>
    </w:p>
    <w:p w14:paraId="3EC0D162" w14:textId="2E7DEFAC" w:rsidR="00E13B3F" w:rsidRDefault="00E13B3F" w:rsidP="000977C7">
      <w:pPr>
        <w:pStyle w:val="IEBullet-Level1"/>
        <w:spacing w:before="120"/>
        <w:ind w:left="714" w:hanging="357"/>
      </w:pPr>
      <w:r w:rsidRPr="00E13B3F">
        <w:t>Removal of entity</w:t>
      </w:r>
      <w:r w:rsidRPr="00E13B3F">
        <w:rPr>
          <w:rFonts w:ascii="Cambria Math" w:hAnsi="Cambria Math" w:cs="Cambria Math"/>
        </w:rPr>
        <w:t>‑</w:t>
      </w:r>
      <w:r w:rsidRPr="00E13B3F">
        <w:t>level disclosure requirements.</w:t>
      </w:r>
    </w:p>
    <w:p w14:paraId="6FF81317" w14:textId="0E815B27" w:rsidR="00BF6873" w:rsidRPr="00E13B3F" w:rsidRDefault="00BF6873" w:rsidP="00BF6873">
      <w:pPr>
        <w:pStyle w:val="IEBullet-Level1"/>
      </w:pPr>
      <w:r w:rsidRPr="00E13B3F">
        <w:t>A simpler</w:t>
      </w:r>
      <w:r w:rsidR="008944DF">
        <w:t xml:space="preserve"> </w:t>
      </w:r>
      <w:r w:rsidRPr="00E13B3F">
        <w:t>disclosure framework, limited to two pages.</w:t>
      </w:r>
    </w:p>
    <w:p w14:paraId="1A36B270" w14:textId="50D5B0D7" w:rsidR="00E13B3F" w:rsidRPr="00E13B3F" w:rsidRDefault="008944DF" w:rsidP="00E13B3F">
      <w:pPr>
        <w:pStyle w:val="IEBullet-Level1"/>
      </w:pPr>
      <w:r w:rsidRPr="008944DF">
        <w:t xml:space="preserve">Deletion of the obligation to develop </w:t>
      </w:r>
      <w:r w:rsidR="00073E9B">
        <w:t xml:space="preserve">regulatory technical standards (RTS) </w:t>
      </w:r>
      <w:r w:rsidRPr="008944DF">
        <w:t>for the “do no significant harm” principle</w:t>
      </w:r>
      <w:r w:rsidR="00E13B3F" w:rsidRPr="00E13B3F">
        <w:t>.</w:t>
      </w:r>
    </w:p>
    <w:p w14:paraId="1E0D9713" w14:textId="244FAAEA" w:rsidR="00E13B3F" w:rsidRPr="00E13B3F" w:rsidRDefault="00E13B3F" w:rsidP="00E13B3F">
      <w:pPr>
        <w:pStyle w:val="IEBullet-Level1"/>
      </w:pPr>
      <w:r w:rsidRPr="00E13B3F">
        <w:t>No delegation of power to ESMA for Level 2 measures.</w:t>
      </w:r>
    </w:p>
    <w:p w14:paraId="1540C7F2" w14:textId="53AC59DC" w:rsidR="00C71179" w:rsidRPr="00C71179" w:rsidRDefault="00E13B3F" w:rsidP="00C71179">
      <w:pPr>
        <w:pStyle w:val="IEBullet-Level1"/>
      </w:pPr>
      <w:r w:rsidRPr="00E13B3F">
        <w:t>New product categories with clearer naming, enhancing usability and investor comprehension.</w:t>
      </w:r>
    </w:p>
    <w:p w14:paraId="34E848C0" w14:textId="7F22705F" w:rsidR="00EF576F" w:rsidRDefault="00073E9B" w:rsidP="008F0F7F">
      <w:pPr>
        <w:spacing w:before="120" w:line="276" w:lineRule="auto"/>
        <w:rPr>
          <w:sz w:val="17"/>
          <w:szCs w:val="17"/>
        </w:rPr>
      </w:pPr>
      <w:r>
        <w:rPr>
          <w:sz w:val="17"/>
          <w:szCs w:val="17"/>
        </w:rPr>
        <w:t>However, t</w:t>
      </w:r>
      <w:r w:rsidR="00EF576F" w:rsidRPr="00EF576F">
        <w:rPr>
          <w:sz w:val="17"/>
          <w:szCs w:val="17"/>
        </w:rPr>
        <w:t xml:space="preserve">o ensure legal certainty and avoid premature compliance obligations, Insurance Europe calls on the European Commission to </w:t>
      </w:r>
      <w:r w:rsidR="00EF576F" w:rsidRPr="00073E9B">
        <w:rPr>
          <w:b/>
          <w:bCs/>
          <w:sz w:val="17"/>
          <w:szCs w:val="17"/>
        </w:rPr>
        <w:t>delay enforcement of the revised SFDR disclosure requirements until Level 2 RTS are adopted</w:t>
      </w:r>
      <w:r w:rsidR="00EF576F" w:rsidRPr="00EF576F">
        <w:rPr>
          <w:sz w:val="17"/>
          <w:szCs w:val="17"/>
        </w:rPr>
        <w:t>. The 18-month implementation period should begin only after Level 2 adoption, as firms cannot make the necessary technical adaptations or re-label existing products without detailed RTS guidance. Transitional provisions for IBIPs, pension products, pension schemes, and PEPPs should apply no earlier than 1 October 2027 to ensure stability and sufficient time for compliance under the revised regime</w:t>
      </w:r>
    </w:p>
    <w:p w14:paraId="3ED1170D" w14:textId="77777777" w:rsidR="0040384D" w:rsidRDefault="0040384D" w:rsidP="008F0F7F">
      <w:pPr>
        <w:spacing w:before="120" w:line="276" w:lineRule="auto"/>
        <w:rPr>
          <w:sz w:val="17"/>
          <w:szCs w:val="17"/>
        </w:rPr>
      </w:pPr>
    </w:p>
    <w:p w14:paraId="1D25842D" w14:textId="2832C6AA" w:rsidR="00153E91" w:rsidRPr="00153E91" w:rsidRDefault="00153E91" w:rsidP="0040384D">
      <w:pPr>
        <w:pStyle w:val="IEStandardHeading"/>
        <w:rPr>
          <w:b/>
          <w:bCs/>
        </w:rPr>
      </w:pPr>
      <w:r w:rsidRPr="00153E91">
        <w:rPr>
          <w:b/>
          <w:bCs/>
        </w:rPr>
        <w:t>Product categorisation</w:t>
      </w:r>
    </w:p>
    <w:p w14:paraId="3510698D" w14:textId="54DB1704" w:rsidR="00153E91" w:rsidRDefault="002E04F6" w:rsidP="00153E91">
      <w:pPr>
        <w:pStyle w:val="IEBullet-Level1"/>
        <w:numPr>
          <w:ilvl w:val="0"/>
          <w:numId w:val="0"/>
        </w:numPr>
        <w:spacing w:before="120"/>
      </w:pPr>
      <w:r w:rsidRPr="002E04F6">
        <w:t>The proposed 70% investment threshold appears too high for insurance-based products, which must meet long-term liabilities and policyholder guarantees. To ensure stability, insurers maintain diversified portfolios with significant allocations to low-risk assets such as sovereign bonds and high-quality fixed income. This structure limits their ability to concentrate investments in qualifying assets, making the threshold particularly challenging</w:t>
      </w:r>
      <w:r w:rsidR="00906B8B" w:rsidRPr="00906B8B">
        <w:t>.</w:t>
      </w:r>
    </w:p>
    <w:p w14:paraId="664DAC50" w14:textId="77777777" w:rsidR="00402627" w:rsidRDefault="00402627" w:rsidP="00402627">
      <w:pPr>
        <w:pStyle w:val="IEBullet-Level1"/>
        <w:spacing w:before="120"/>
        <w:ind w:left="714" w:hanging="357"/>
      </w:pPr>
      <w:r>
        <w:rPr>
          <w:b/>
        </w:rPr>
        <w:t>PAI disclosures at the product</w:t>
      </w:r>
      <w:r w:rsidRPr="00431A99">
        <w:rPr>
          <w:b/>
          <w:bCs/>
        </w:rPr>
        <w:t>-</w:t>
      </w:r>
      <w:r w:rsidRPr="00A755CA">
        <w:rPr>
          <w:b/>
          <w:bCs/>
        </w:rPr>
        <w:t>level</w:t>
      </w:r>
      <w:r>
        <w:t xml:space="preserve">: </w:t>
      </w:r>
    </w:p>
    <w:p w14:paraId="4CD85DB1" w14:textId="1EA67798" w:rsidR="00402627" w:rsidRDefault="00402627" w:rsidP="00225954">
      <w:pPr>
        <w:pStyle w:val="IEBullet-Level2"/>
      </w:pPr>
      <w:r w:rsidRPr="002B67F8">
        <w:t xml:space="preserve">Recital 15 </w:t>
      </w:r>
      <w:r w:rsidR="00120FC9" w:rsidRPr="00120FC9">
        <w:t>proposes replacing the current “consideration” of PAI indicators with a new approach based on exclusions and disclosure of adverse impacts. However, it is unclear whether this applies only at entity level or also at product level—and if so, for which categories (sustainable, transition, or all products).</w:t>
      </w:r>
    </w:p>
    <w:p w14:paraId="238F26F8" w14:textId="194D33E0" w:rsidR="00402627" w:rsidRDefault="00402627" w:rsidP="00225954">
      <w:pPr>
        <w:pStyle w:val="IEBullet-Level2"/>
      </w:pPr>
      <w:r w:rsidRPr="00867564">
        <w:t xml:space="preserve">Recital 18 </w:t>
      </w:r>
      <w:r w:rsidR="00120FC9" w:rsidRPr="00120FC9">
        <w:t>states that indicators should build on Annex I of the current Delegated Regulation but allows flexibility, including alternative indicators or qualitative explanations. This creates uncertainty about whether existing mandatory indicators remain relevant or become voluntary.</w:t>
      </w:r>
      <w:r w:rsidR="00120FC9">
        <w:t xml:space="preserve"> </w:t>
      </w:r>
      <w:r w:rsidR="00120FC9" w:rsidRPr="00120FC9">
        <w:t xml:space="preserve">It also requires products to “identify and disclose” PAIs and actions </w:t>
      </w:r>
      <w:r w:rsidR="00240F96" w:rsidRPr="00120FC9">
        <w:t>taken but</w:t>
      </w:r>
      <w:r w:rsidR="00120FC9" w:rsidRPr="00120FC9">
        <w:t xml:space="preserve"> does not clarify whether this is mandatory for all products or only for Articles 7 and 9, nor whether disclosure must be quantitative or can be qualitative.</w:t>
      </w:r>
    </w:p>
    <w:p w14:paraId="7CD855E1" w14:textId="59D18167" w:rsidR="0040384D" w:rsidRDefault="00402627" w:rsidP="00F11B5F">
      <w:pPr>
        <w:pStyle w:val="IEBullet-Level2"/>
      </w:pPr>
      <w:r w:rsidRPr="00EA31B8">
        <w:t xml:space="preserve">Finally, </w:t>
      </w:r>
      <w:r w:rsidR="00240F96" w:rsidRPr="00240F96">
        <w:t>the phrase “may choose to comply in full or in part” (Articles 7 &amp; 9) introduces ambiguity: does partial compliance mean fewer indicators, qualitative-only disclosure, or something else? How comparability will be ensured under such broad flexibility is also unclear</w:t>
      </w:r>
      <w:r w:rsidR="0064502B">
        <w:t>.</w:t>
      </w:r>
    </w:p>
    <w:p w14:paraId="760E5402" w14:textId="2A13C722" w:rsidR="00F11B5F" w:rsidRPr="002E04F6" w:rsidRDefault="00F11B5F" w:rsidP="00480271">
      <w:pPr>
        <w:pStyle w:val="IEBullet-Level1"/>
        <w:spacing w:before="120"/>
        <w:ind w:left="714" w:hanging="357"/>
      </w:pPr>
      <w:r w:rsidRPr="00B135B2">
        <w:rPr>
          <w:b/>
          <w:bCs/>
        </w:rPr>
        <w:t>Reclassification of products</w:t>
      </w:r>
      <w:r w:rsidRPr="00661C4D">
        <w:t xml:space="preserve">: </w:t>
      </w:r>
      <w:r>
        <w:t>N</w:t>
      </w:r>
      <w:r w:rsidRPr="002B29B5">
        <w:t>ew categories may force many existing sustainable products to lose their label and become “non-categorised,” creating communication challenges and undermining investor confidence. Clear</w:t>
      </w:r>
      <w:r w:rsidR="000366FC">
        <w:t xml:space="preserve"> and comprehensive</w:t>
      </w:r>
      <w:r w:rsidRPr="002B29B5">
        <w:t xml:space="preserve"> </w:t>
      </w:r>
      <w:r w:rsidRPr="00B135B2">
        <w:rPr>
          <w:b/>
          <w:bCs/>
        </w:rPr>
        <w:t>grandfathering</w:t>
      </w:r>
      <w:r w:rsidRPr="002B29B5">
        <w:t xml:space="preserve"> provisions and a minimum</w:t>
      </w:r>
      <w:r w:rsidR="00480271">
        <w:t xml:space="preserve"> </w:t>
      </w:r>
      <w:r w:rsidR="00480271" w:rsidRPr="00480271">
        <w:t xml:space="preserve">three-year </w:t>
      </w:r>
      <w:r w:rsidR="00480271" w:rsidRPr="000366FC">
        <w:rPr>
          <w:b/>
          <w:bCs/>
        </w:rPr>
        <w:t>transition period</w:t>
      </w:r>
      <w:r w:rsidR="00480271" w:rsidRPr="00480271">
        <w:t xml:space="preserve"> are essential to avoid sudden reclassification of existing contracts.</w:t>
      </w:r>
    </w:p>
    <w:p w14:paraId="1EB9C385" w14:textId="77777777" w:rsidR="00F11B5F" w:rsidRDefault="00F11B5F" w:rsidP="00F11B5F">
      <w:pPr>
        <w:pStyle w:val="IEBullet-Level1"/>
        <w:spacing w:before="120"/>
        <w:ind w:left="714" w:hanging="357"/>
      </w:pPr>
      <w:r>
        <w:rPr>
          <w:b/>
        </w:rPr>
        <w:t>Professional investors</w:t>
      </w:r>
      <w:r w:rsidRPr="00FE554B">
        <w:t>:</w:t>
      </w:r>
      <w:r>
        <w:t xml:space="preserve"> </w:t>
      </w:r>
      <w:r w:rsidRPr="00E56A92">
        <w:t>We regret that the exemptions introduced in the leaked draft of the SFDR were not retained in the final legislative proposal and call for their reintroductio</w:t>
      </w:r>
      <w:r>
        <w:t xml:space="preserve">n. </w:t>
      </w:r>
    </w:p>
    <w:p w14:paraId="578E8348" w14:textId="77777777" w:rsidR="00F11B5F" w:rsidRPr="007548B6" w:rsidRDefault="00F11B5F" w:rsidP="00F11B5F">
      <w:pPr>
        <w:pStyle w:val="IEBullet-Level1"/>
        <w:spacing w:before="120"/>
        <w:ind w:left="714" w:hanging="357"/>
      </w:pPr>
      <w:r>
        <w:rPr>
          <w:b/>
        </w:rPr>
        <w:t>Taxonomy</w:t>
      </w:r>
      <w:r w:rsidRPr="001037F5">
        <w:t>:</w:t>
      </w:r>
      <w:r>
        <w:t xml:space="preserve"> </w:t>
      </w:r>
      <w:r w:rsidRPr="004114D8">
        <w:t xml:space="preserve">We regret that the </w:t>
      </w:r>
      <w:r w:rsidRPr="00DE7F77">
        <w:t xml:space="preserve">deletion of Articles 5 to 7 of the Taxonomy Regulation, as proposed in the leaked SFDR draft, was not retained in the final legislative proposal. These articles require financial </w:t>
      </w:r>
      <w:r w:rsidRPr="00DE7F77">
        <w:lastRenderedPageBreak/>
        <w:t xml:space="preserve">market participants to disclose the extent to which their products are aligned with the EU Taxonomy’s environmental objectives. In our view, these provisions are not suitable as a basis for consumer information and should be </w:t>
      </w:r>
      <w:r>
        <w:t>removed from the SFDR</w:t>
      </w:r>
      <w:r w:rsidRPr="00B6391A">
        <w:t>.</w:t>
      </w:r>
    </w:p>
    <w:p w14:paraId="39F9180B" w14:textId="76A3E157" w:rsidR="00F11B5F" w:rsidRDefault="00F11B5F" w:rsidP="00F837E5">
      <w:pPr>
        <w:pStyle w:val="IEBullet-Level1"/>
        <w:spacing w:before="120"/>
        <w:ind w:left="714" w:hanging="357"/>
      </w:pPr>
      <w:r w:rsidRPr="00551A5D">
        <w:rPr>
          <w:b/>
          <w:bCs/>
        </w:rPr>
        <w:t xml:space="preserve">PRIIPs </w:t>
      </w:r>
      <w:r>
        <w:rPr>
          <w:b/>
          <w:bCs/>
        </w:rPr>
        <w:t>r</w:t>
      </w:r>
      <w:r w:rsidRPr="00551A5D">
        <w:rPr>
          <w:b/>
          <w:bCs/>
        </w:rPr>
        <w:t xml:space="preserve">egulation </w:t>
      </w:r>
      <w:r>
        <w:rPr>
          <w:b/>
          <w:bCs/>
        </w:rPr>
        <w:t>a</w:t>
      </w:r>
      <w:r w:rsidRPr="00551A5D">
        <w:rPr>
          <w:b/>
          <w:bCs/>
        </w:rPr>
        <w:t>mendments</w:t>
      </w:r>
      <w:r w:rsidRPr="00551A5D">
        <w:t xml:space="preserve">: The </w:t>
      </w:r>
      <w:r w:rsidRPr="00474936">
        <w:t xml:space="preserve">proposed requirement for Key Information Documents (KIDs) to include the product category, sustainability objective, and indicators </w:t>
      </w:r>
      <w:r w:rsidRPr="00776898">
        <w:t>adds complexity with limited added value</w:t>
      </w:r>
      <w:r w:rsidRPr="00474936">
        <w:t xml:space="preserve">. </w:t>
      </w:r>
      <w:r w:rsidRPr="00FA5EB2">
        <w:t>We recommend applying the “one-in-one-out” principle: if additional ESG information is introduced, other sections should be shortened or removed to keep KIDs concise and user-friendly. Regulatory alignment between SFDR and PRIIPs is essential to avoid duplication and ensure clear, comparable information for investors</w:t>
      </w:r>
      <w:r w:rsidRPr="00515A26">
        <w:t>.</w:t>
      </w:r>
    </w:p>
    <w:p w14:paraId="661606C3" w14:textId="77777777" w:rsidR="00F11B5F" w:rsidRDefault="00F11B5F" w:rsidP="00153E91">
      <w:pPr>
        <w:pStyle w:val="IEBullet-Level1"/>
        <w:numPr>
          <w:ilvl w:val="0"/>
          <w:numId w:val="0"/>
        </w:numPr>
        <w:spacing w:before="120"/>
      </w:pPr>
    </w:p>
    <w:p w14:paraId="13E630BE" w14:textId="0084EE41" w:rsidR="0040384D" w:rsidRPr="0040384D" w:rsidRDefault="0040384D" w:rsidP="0040384D">
      <w:pPr>
        <w:pStyle w:val="IEStandardHeading"/>
        <w:rPr>
          <w:b/>
          <w:bCs/>
        </w:rPr>
      </w:pPr>
      <w:r>
        <w:rPr>
          <w:b/>
          <w:bCs/>
        </w:rPr>
        <w:t>Insurance-specific considerations</w:t>
      </w:r>
    </w:p>
    <w:p w14:paraId="36DE41C6" w14:textId="7722967F" w:rsidR="00D8773C" w:rsidRDefault="00D8773C" w:rsidP="00CB0289">
      <w:pPr>
        <w:pStyle w:val="IEBullet-Level1"/>
        <w:spacing w:before="120"/>
        <w:ind w:left="714" w:hanging="357"/>
      </w:pPr>
      <w:r w:rsidRPr="0001755A">
        <w:rPr>
          <w:b/>
        </w:rPr>
        <w:t>Multi</w:t>
      </w:r>
      <w:r w:rsidRPr="0001755A">
        <w:rPr>
          <w:b/>
        </w:rPr>
        <w:noBreakHyphen/>
        <w:t>Option Products (MOPs)</w:t>
      </w:r>
      <w:r w:rsidRPr="0001755A">
        <w:t xml:space="preserve">: </w:t>
      </w:r>
      <w:r w:rsidR="00A126EA" w:rsidRPr="00A126EA">
        <w:t>We welcome clarification in Article 9a allowing sustainability-related claims for combined products under certain conditions</w:t>
      </w:r>
      <w:r w:rsidR="00765918" w:rsidRPr="00765918">
        <w:t xml:space="preserve">. However, </w:t>
      </w:r>
      <w:r w:rsidR="009918FE" w:rsidRPr="009918FE">
        <w:t>several critical issues remain</w:t>
      </w:r>
      <w:r w:rsidR="009918FE">
        <w:t>:</w:t>
      </w:r>
    </w:p>
    <w:p w14:paraId="7FFD3B8C" w14:textId="4CCC2F39" w:rsidR="009005BC" w:rsidRDefault="00A87101" w:rsidP="00225954">
      <w:pPr>
        <w:pStyle w:val="IEBullet-Level2"/>
        <w:ind w:left="1077" w:hanging="357"/>
      </w:pPr>
      <w:r w:rsidRPr="00781420">
        <w:rPr>
          <w:b/>
          <w:bCs/>
        </w:rPr>
        <w:t>Scope</w:t>
      </w:r>
      <w:r>
        <w:t xml:space="preserve">: </w:t>
      </w:r>
      <w:r w:rsidRPr="00A87101">
        <w:t xml:space="preserve">It </w:t>
      </w:r>
      <w:r w:rsidR="00AA1A90" w:rsidRPr="00AA1A90">
        <w:t>must be explicitly confirmed that MOPs fall within the scope of Article 9a</w:t>
      </w:r>
      <w:r w:rsidR="00AA1A90">
        <w:t>.</w:t>
      </w:r>
    </w:p>
    <w:p w14:paraId="24568DBC" w14:textId="77777777" w:rsidR="00896969" w:rsidRDefault="00A047AC" w:rsidP="00A047AC">
      <w:pPr>
        <w:pStyle w:val="IEBullet-Level2"/>
      </w:pPr>
      <w:r w:rsidRPr="00A755CA">
        <w:rPr>
          <w:b/>
          <w:bCs/>
        </w:rPr>
        <w:t>Classification</w:t>
      </w:r>
      <w:r w:rsidR="001F102F">
        <w:rPr>
          <w:b/>
          <w:bCs/>
        </w:rPr>
        <w:t xml:space="preserve"> challenges</w:t>
      </w:r>
      <w:r>
        <w:t xml:space="preserve">: </w:t>
      </w:r>
    </w:p>
    <w:p w14:paraId="5F04AAF2" w14:textId="4047FA35" w:rsidR="00A047AC" w:rsidRDefault="001F102F" w:rsidP="00225954">
      <w:pPr>
        <w:pStyle w:val="IEBullet-Level3"/>
      </w:pPr>
      <w:r w:rsidRPr="001F102F">
        <w:t>Categorising MOPs as “non-categorised” is misleading when they invest exclusively in categorised options. For example, a MOP allocating 40% to Article 7, 30% to Article 8, and 30% to Article 9 cannot be labelled as sustainable, transition or ESG product under the revised SFDR.</w:t>
      </w:r>
      <w:r>
        <w:t xml:space="preserve"> </w:t>
      </w:r>
    </w:p>
    <w:p w14:paraId="5FC3BA67" w14:textId="21D9EC51" w:rsidR="00896969" w:rsidRDefault="00896969" w:rsidP="00225954">
      <w:pPr>
        <w:pStyle w:val="IEBullet-Level3"/>
      </w:pPr>
      <w:r w:rsidRPr="00896969">
        <w:t>Since MOPs allow investor choice among multiple options, classification should apply at the option level, not the overall product level.</w:t>
      </w:r>
      <w:r>
        <w:t xml:space="preserve"> </w:t>
      </w:r>
    </w:p>
    <w:p w14:paraId="0E514829" w14:textId="76817B51" w:rsidR="006A73AF" w:rsidRPr="00A047AC" w:rsidRDefault="00A126EA" w:rsidP="00A755CA">
      <w:pPr>
        <w:pStyle w:val="IEBullet-Level3"/>
      </w:pPr>
      <w:r w:rsidRPr="00A126EA">
        <w:t>Reporting relative shares is challenging as holdings vary by investor allocation</w:t>
      </w:r>
      <w:r w:rsidR="006A73AF" w:rsidRPr="006A73AF">
        <w:t>.</w:t>
      </w:r>
      <w:r w:rsidR="006A73AF">
        <w:t xml:space="preserve"> </w:t>
      </w:r>
    </w:p>
    <w:p w14:paraId="72522667" w14:textId="53D5D001" w:rsidR="005F7EB3" w:rsidRPr="005F7EB3" w:rsidRDefault="007C0D7C" w:rsidP="00A755CA">
      <w:pPr>
        <w:pStyle w:val="IEBullet-Level2"/>
        <w:spacing w:before="120"/>
        <w:ind w:left="1077" w:hanging="357"/>
      </w:pPr>
      <w:r w:rsidRPr="00781420">
        <w:rPr>
          <w:b/>
          <w:bCs/>
        </w:rPr>
        <w:t>Investment threshold</w:t>
      </w:r>
      <w:r w:rsidR="00547DD7">
        <w:rPr>
          <w:b/>
          <w:bCs/>
        </w:rPr>
        <w:t xml:space="preserve"> for MOPs</w:t>
      </w:r>
      <w:r>
        <w:t xml:space="preserve">: </w:t>
      </w:r>
      <w:r w:rsidR="007C774A" w:rsidRPr="007C774A">
        <w:t>Market fluctuations can affect asset prices without any action by the fund manager, temporarily moving the product outside the threshold. Compliance should therefore be assessed over a calendar year, allowing the benchmark to fall below the threshold for up to six months without losing classification</w:t>
      </w:r>
      <w:r w:rsidR="005F7EB3" w:rsidRPr="005F7EB3">
        <w:t>.</w:t>
      </w:r>
    </w:p>
    <w:p w14:paraId="3FE54CBE" w14:textId="72D4CB76" w:rsidR="008654BB" w:rsidRPr="008654BB" w:rsidRDefault="002071B1" w:rsidP="00A126EA">
      <w:pPr>
        <w:pStyle w:val="IEBullet-Level2"/>
        <w:ind w:left="1077" w:hanging="357"/>
      </w:pPr>
      <w:r w:rsidRPr="00781420">
        <w:rPr>
          <w:b/>
          <w:bCs/>
        </w:rPr>
        <w:t>Disclosure requirements</w:t>
      </w:r>
      <w:r>
        <w:t xml:space="preserve">: </w:t>
      </w:r>
      <w:r w:rsidR="007D5A7A" w:rsidRPr="007D5A7A">
        <w:t>Insurers should be allowed to use hyperlinks for pre-contractual and annual disclosures, directing investors to underlying option information</w:t>
      </w:r>
      <w:r w:rsidR="008654BB" w:rsidRPr="008654BB">
        <w:t>. This needs Level 1 clarification.</w:t>
      </w:r>
    </w:p>
    <w:p w14:paraId="5BBBF8D7" w14:textId="2A4C6911" w:rsidR="00BD3B13" w:rsidRDefault="008654BB" w:rsidP="00A126EA">
      <w:pPr>
        <w:pStyle w:val="IEBullet-Level2"/>
        <w:ind w:left="1077" w:hanging="357"/>
      </w:pPr>
      <w:r w:rsidRPr="00781420">
        <w:rPr>
          <w:b/>
          <w:bCs/>
        </w:rPr>
        <w:t>National example</w:t>
      </w:r>
      <w:r>
        <w:t xml:space="preserve">: </w:t>
      </w:r>
      <w:r w:rsidR="006B50AA" w:rsidRPr="006B50AA">
        <w:t>Swedish MOPs often offer an extensive—and sometimes virtually unlimited—range of underlying options across diverse asset classes. While some options fit the proposed categories, others combine investments from different categories, making classification complex and changeable as customers adjust allocations. This creates a real risk that products currently classified as Article 8 or 9 will be forced into a non-categorised status. Given that MOPs represent a major share of Swedish pensions and insurance savings, such declassification would misrepresent their sustainability profile and undermine investor confidence</w:t>
      </w:r>
      <w:r w:rsidR="00781420" w:rsidRPr="00781420">
        <w:t>.</w:t>
      </w:r>
    </w:p>
    <w:p w14:paraId="05EFCFDE" w14:textId="1791E581" w:rsidR="0040384D" w:rsidRPr="0040384D" w:rsidRDefault="0040384D" w:rsidP="0040384D">
      <w:pPr>
        <w:pStyle w:val="IEBullet-Level1"/>
        <w:spacing w:before="120"/>
        <w:ind w:left="714" w:hanging="357"/>
      </w:pPr>
      <w:r>
        <w:rPr>
          <w:b/>
          <w:bCs/>
        </w:rPr>
        <w:t>Treatment of sovereign bonds</w:t>
      </w:r>
      <w:r w:rsidRPr="00242B77">
        <w:t>:</w:t>
      </w:r>
      <w:r>
        <w:t xml:space="preserve"> The</w:t>
      </w:r>
      <w:r w:rsidRPr="00F848A4">
        <w:t xml:space="preserve"> framework should ensure that insurers are not penalised for holding a substantial share of sovereign bonds. If sovereign exposures are excluded from the numerator for threshold calculation, they should also be excluded from the denominator. Otherwise, meeting the 70% threshold will be extremely difficult for traditional life insurance products</w:t>
      </w:r>
      <w:r>
        <w:t>.</w:t>
      </w:r>
    </w:p>
    <w:p w14:paraId="36E1FA97" w14:textId="409CDAF2" w:rsidR="00103CE1" w:rsidRPr="00F11B5F" w:rsidRDefault="00103CE1" w:rsidP="00F11B5F">
      <w:pPr>
        <w:pStyle w:val="IEBullet-Level1"/>
        <w:numPr>
          <w:ilvl w:val="0"/>
          <w:numId w:val="0"/>
        </w:numPr>
        <w:spacing w:before="120"/>
        <w:ind w:left="714"/>
      </w:pPr>
      <w:r w:rsidRPr="00F11B5F">
        <w:rPr>
          <w:color w:val="1F497D" w:themeColor="text2"/>
        </w:rPr>
        <w:br w:type="page"/>
      </w:r>
    </w:p>
    <w:p w14:paraId="41A8DB97" w14:textId="7D83730F" w:rsidR="005E3D0C" w:rsidRDefault="005E3D0C" w:rsidP="003D072A">
      <w:pPr>
        <w:spacing w:before="200" w:line="276" w:lineRule="auto"/>
        <w:rPr>
          <w:iCs/>
          <w:sz w:val="17"/>
          <w:szCs w:val="17"/>
        </w:rPr>
      </w:pPr>
      <w:r w:rsidRPr="003A760E">
        <w:rPr>
          <w:color w:val="1F497D" w:themeColor="text2"/>
        </w:rPr>
        <w:lastRenderedPageBreak/>
        <w:t>Summary</w:t>
      </w:r>
      <w:r w:rsidR="00191E6D">
        <w:rPr>
          <w:color w:val="1F497D" w:themeColor="text2"/>
        </w:rPr>
        <w:t xml:space="preserve"> of the proposal</w:t>
      </w:r>
    </w:p>
    <w:p w14:paraId="28BE11B1" w14:textId="0BFCA3F5" w:rsidR="006C2FB4" w:rsidRDefault="00C13C68" w:rsidP="006C2FB4">
      <w:pPr>
        <w:spacing w:before="120" w:line="276" w:lineRule="auto"/>
        <w:rPr>
          <w:iCs/>
          <w:sz w:val="17"/>
          <w:szCs w:val="17"/>
        </w:rPr>
      </w:pPr>
      <w:r w:rsidRPr="00C13C68">
        <w:rPr>
          <w:iCs/>
          <w:sz w:val="17"/>
          <w:szCs w:val="17"/>
        </w:rPr>
        <w:t>In its introductory remarks, the Commission commits to ensuring coherence between the SFDR review and the forthcoming Omnibus I package, while also aligning with ESMA guidelines on fund names. The review further incorporates the Commission’s guidance on the defence sector, supporting improved access to finance for this industry</w:t>
      </w:r>
      <w:r w:rsidR="006C2FB4" w:rsidRPr="006C2FB4">
        <w:rPr>
          <w:iCs/>
          <w:sz w:val="17"/>
          <w:szCs w:val="17"/>
        </w:rPr>
        <w:t>.</w:t>
      </w:r>
    </w:p>
    <w:p w14:paraId="2A07983C" w14:textId="42CF9729" w:rsidR="00EA1C3E" w:rsidRDefault="00EA1C3E" w:rsidP="00EA1C3E">
      <w:pPr>
        <w:spacing w:before="120" w:line="276" w:lineRule="auto"/>
        <w:jc w:val="left"/>
        <w:rPr>
          <w:b/>
          <w:bCs/>
          <w:iCs/>
          <w:sz w:val="17"/>
          <w:szCs w:val="17"/>
        </w:rPr>
      </w:pPr>
      <w:r w:rsidRPr="00EA1C3E">
        <w:rPr>
          <w:b/>
          <w:bCs/>
          <w:iCs/>
          <w:sz w:val="17"/>
          <w:szCs w:val="17"/>
        </w:rPr>
        <w:t>Sovereign bonds</w:t>
      </w:r>
      <w:r>
        <w:rPr>
          <w:iCs/>
          <w:sz w:val="17"/>
          <w:szCs w:val="17"/>
        </w:rPr>
        <w:t xml:space="preserve"> </w:t>
      </w:r>
      <w:r w:rsidR="00BD3E4E">
        <w:rPr>
          <w:iCs/>
          <w:sz w:val="17"/>
          <w:szCs w:val="17"/>
        </w:rPr>
        <w:t xml:space="preserve">(Recital </w:t>
      </w:r>
      <w:r w:rsidR="00C50308">
        <w:rPr>
          <w:iCs/>
          <w:sz w:val="17"/>
          <w:szCs w:val="17"/>
        </w:rPr>
        <w:t>22</w:t>
      </w:r>
      <w:r w:rsidR="00BD3E4E">
        <w:rPr>
          <w:iCs/>
          <w:sz w:val="17"/>
          <w:szCs w:val="17"/>
        </w:rPr>
        <w:t>)</w:t>
      </w:r>
      <w:r>
        <w:rPr>
          <w:iCs/>
          <w:sz w:val="17"/>
          <w:szCs w:val="17"/>
        </w:rPr>
        <w:t>:</w:t>
      </w:r>
      <w:r w:rsidR="00BD3E4E">
        <w:rPr>
          <w:iCs/>
          <w:sz w:val="17"/>
          <w:szCs w:val="17"/>
        </w:rPr>
        <w:t xml:space="preserve"> </w:t>
      </w:r>
    </w:p>
    <w:p w14:paraId="0068047A" w14:textId="7F6901B0" w:rsidR="00EA1C3E" w:rsidRDefault="008F42CE" w:rsidP="00EA1C3E">
      <w:pPr>
        <w:pStyle w:val="IEBullet-Level1"/>
        <w:spacing w:before="120"/>
        <w:ind w:left="714" w:hanging="357"/>
      </w:pPr>
      <w:r w:rsidRPr="008F42CE">
        <w:t>General sovereign, sub</w:t>
      </w:r>
      <w:r w:rsidRPr="008F42CE">
        <w:noBreakHyphen/>
        <w:t xml:space="preserve">sovereign, and supranational debt without clear sustainability metrics will </w:t>
      </w:r>
      <w:r w:rsidRPr="008F42CE">
        <w:rPr>
          <w:b/>
          <w:bCs/>
        </w:rPr>
        <w:t>not count</w:t>
      </w:r>
      <w:r w:rsidRPr="008F42CE">
        <w:t xml:space="preserve"> toward the numerator for </w:t>
      </w:r>
      <w:r w:rsidRPr="008F42CE">
        <w:rPr>
          <w:b/>
          <w:bCs/>
        </w:rPr>
        <w:t>sustainable or transition categories</w:t>
      </w:r>
      <w:r w:rsidR="00EA1C3E" w:rsidRPr="00F2709D">
        <w:t xml:space="preserve">. </w:t>
      </w:r>
    </w:p>
    <w:p w14:paraId="71431251" w14:textId="378631F8" w:rsidR="00AB67B1" w:rsidRDefault="00AB67B1" w:rsidP="00AB67B1">
      <w:pPr>
        <w:pStyle w:val="IEBullet-Level2"/>
      </w:pPr>
      <w:r>
        <w:t>Such debt can still be held in portfolios and included in the denominator.</w:t>
      </w:r>
    </w:p>
    <w:p w14:paraId="09DF9FB1" w14:textId="62279F58" w:rsidR="00AB67B1" w:rsidRDefault="00AB67B1" w:rsidP="00AB67B1">
      <w:pPr>
        <w:pStyle w:val="IEBullet-Level2"/>
      </w:pPr>
      <w:r w:rsidRPr="00AB67B1">
        <w:rPr>
          <w:b/>
          <w:bCs/>
        </w:rPr>
        <w:t>For ESG basics products</w:t>
      </w:r>
      <w:r>
        <w:t xml:space="preserve">, these debt instruments </w:t>
      </w:r>
      <w:r w:rsidRPr="00AB67B1">
        <w:rPr>
          <w:b/>
          <w:bCs/>
        </w:rPr>
        <w:t>may be included in the numerator</w:t>
      </w:r>
      <w:r>
        <w:t xml:space="preserve"> using appropriate methodologies.</w:t>
      </w:r>
    </w:p>
    <w:p w14:paraId="44055968" w14:textId="51FC2C3A" w:rsidR="00AB67B1" w:rsidRDefault="00AB67B1" w:rsidP="00AB67B1">
      <w:pPr>
        <w:pStyle w:val="IEBullet-Level2"/>
      </w:pPr>
      <w:r>
        <w:t>Where the use of proceeds is transparent, directed to sustainability objectives, and not linked to excluded activities, sovereign debt can be included in the numerator of all categories.</w:t>
      </w:r>
    </w:p>
    <w:p w14:paraId="6DE0C4AF" w14:textId="1C2E7356" w:rsidR="00AB67B1" w:rsidRDefault="00AB67B1" w:rsidP="00AB67B1">
      <w:pPr>
        <w:pStyle w:val="IEBullet-Level2"/>
      </w:pPr>
      <w:r>
        <w:t>Exclusions under SFDR apply to companies, not sovereigns, so sovereign debt remains eligible for the denominator.</w:t>
      </w:r>
    </w:p>
    <w:p w14:paraId="31806528" w14:textId="7C613C1C" w:rsidR="00EA1C3E" w:rsidRDefault="00AB67B1" w:rsidP="00AB67B1">
      <w:pPr>
        <w:pStyle w:val="IEBullet-Level2"/>
      </w:pPr>
      <w:r>
        <w:t>Financial market participants must ensure consistency with product objectives and investor expectations, with safeguards against greenwashing risks.</w:t>
      </w:r>
    </w:p>
    <w:p w14:paraId="7F290794" w14:textId="77777777" w:rsidR="00AB67B1" w:rsidRPr="00AB67B1" w:rsidRDefault="00AB67B1" w:rsidP="00AB67B1">
      <w:pPr>
        <w:pStyle w:val="IEBullet-Level3"/>
        <w:numPr>
          <w:ilvl w:val="0"/>
          <w:numId w:val="0"/>
        </w:numPr>
        <w:ind w:left="1776" w:hanging="360"/>
      </w:pPr>
    </w:p>
    <w:p w14:paraId="6BB02E58" w14:textId="142B2F0E" w:rsidR="001E4858" w:rsidRDefault="001E4858" w:rsidP="006C2FB4">
      <w:pPr>
        <w:spacing w:before="120" w:after="120" w:line="276" w:lineRule="auto"/>
        <w:rPr>
          <w:iCs/>
          <w:sz w:val="17"/>
          <w:szCs w:val="17"/>
        </w:rPr>
      </w:pPr>
      <w:r>
        <w:rPr>
          <w:iCs/>
          <w:sz w:val="17"/>
          <w:szCs w:val="17"/>
        </w:rPr>
        <w:t>Key amendments:</w:t>
      </w:r>
    </w:p>
    <w:p w14:paraId="0DFC087B" w14:textId="7B67E04B" w:rsidR="00122DB5" w:rsidRPr="0078513E" w:rsidRDefault="00122DB5" w:rsidP="006C2FB4">
      <w:pPr>
        <w:pStyle w:val="IEBullet-Level1"/>
        <w:spacing w:before="120"/>
        <w:ind w:left="714" w:hanging="357"/>
      </w:pPr>
      <w:r w:rsidRPr="00122DB5">
        <w:rPr>
          <w:b/>
        </w:rPr>
        <w:t>Remov</w:t>
      </w:r>
      <w:r w:rsidR="005C2CA4">
        <w:rPr>
          <w:b/>
        </w:rPr>
        <w:t xml:space="preserve">al of </w:t>
      </w:r>
      <w:r w:rsidR="005C2CA4" w:rsidRPr="005C2CA4">
        <w:rPr>
          <w:b/>
        </w:rPr>
        <w:t>entity</w:t>
      </w:r>
      <w:r w:rsidR="005C2CA4" w:rsidRPr="005C2CA4">
        <w:rPr>
          <w:b/>
        </w:rPr>
        <w:noBreakHyphen/>
        <w:t>level disclosure requirements</w:t>
      </w:r>
      <w:r w:rsidR="005655D8">
        <w:rPr>
          <w:b/>
        </w:rPr>
        <w:t xml:space="preserve"> </w:t>
      </w:r>
      <w:r w:rsidR="005655D8" w:rsidRPr="005655D8">
        <w:rPr>
          <w:bCs/>
        </w:rPr>
        <w:t>regarding principal adverse impacts</w:t>
      </w:r>
      <w:r w:rsidR="005655D8">
        <w:rPr>
          <w:bCs/>
        </w:rPr>
        <w:t xml:space="preserve">, </w:t>
      </w:r>
      <w:r w:rsidR="005655D8" w:rsidRPr="005655D8">
        <w:rPr>
          <w:bCs/>
        </w:rPr>
        <w:t>removing any duplication between the SFDR and CSRD</w:t>
      </w:r>
      <w:r w:rsidRPr="00122DB5">
        <w:rPr>
          <w:bCs/>
        </w:rPr>
        <w:t>.</w:t>
      </w:r>
    </w:p>
    <w:p w14:paraId="7DACDC3F" w14:textId="2909853A" w:rsidR="0078513E" w:rsidRDefault="0078513E" w:rsidP="0078513E">
      <w:pPr>
        <w:pStyle w:val="IEBullet-Level1"/>
      </w:pPr>
      <w:r w:rsidRPr="0078513E">
        <w:rPr>
          <w:b/>
        </w:rPr>
        <w:t>Significant reduction of product-level disclosures</w:t>
      </w:r>
      <w:r w:rsidRPr="0078513E">
        <w:t>: templates are shortened and simplified, with fewer topics covered.</w:t>
      </w:r>
    </w:p>
    <w:p w14:paraId="6CD56625" w14:textId="53672D5F" w:rsidR="00EF56E8" w:rsidRPr="00AE51BF" w:rsidRDefault="00EF56E8" w:rsidP="00EF56E8">
      <w:pPr>
        <w:pStyle w:val="IEBullet-Level1"/>
      </w:pPr>
      <w:r w:rsidRPr="00AE51BF">
        <w:rPr>
          <w:b/>
          <w:bCs/>
        </w:rPr>
        <w:t>Recital 14</w:t>
      </w:r>
      <w:r w:rsidRPr="00AE51BF">
        <w:t xml:space="preserve">:  Products may require time to reach the 70% sustainability investment threshold, particularly in the case of alternative or private assets, but </w:t>
      </w:r>
      <w:r w:rsidRPr="00AE51BF">
        <w:rPr>
          <w:b/>
          <w:bCs/>
        </w:rPr>
        <w:t>must achieve it by the end of the phase</w:t>
      </w:r>
      <w:r w:rsidRPr="00AE51BF">
        <w:rPr>
          <w:b/>
          <w:bCs/>
        </w:rPr>
        <w:noBreakHyphen/>
        <w:t>in period specified in pre</w:t>
      </w:r>
      <w:r w:rsidRPr="00AE51BF">
        <w:rPr>
          <w:b/>
          <w:bCs/>
        </w:rPr>
        <w:noBreakHyphen/>
        <w:t>contractual documents</w:t>
      </w:r>
      <w:r w:rsidRPr="00AE51BF">
        <w:t xml:space="preserve">. A </w:t>
      </w:r>
      <w:r w:rsidRPr="00AE51BF">
        <w:rPr>
          <w:b/>
          <w:bCs/>
        </w:rPr>
        <w:t>voluntary list of indicators will be developed</w:t>
      </w:r>
      <w:r w:rsidRPr="00AE51BF">
        <w:t xml:space="preserve">, building on Annex I of </w:t>
      </w:r>
      <w:r w:rsidR="005D76B0" w:rsidRPr="00AE51BF">
        <w:t>the</w:t>
      </w:r>
      <w:r w:rsidRPr="00AE51BF">
        <w:t xml:space="preserve"> SFDR and </w:t>
      </w:r>
      <w:r w:rsidR="005D76B0" w:rsidRPr="00AE51BF">
        <w:t xml:space="preserve">the </w:t>
      </w:r>
      <w:r w:rsidRPr="00AE51BF">
        <w:t>CSRD, to ensure continuity with current practices and enhance comparability across the market.</w:t>
      </w:r>
    </w:p>
    <w:p w14:paraId="6A6547A3" w14:textId="6522C907" w:rsidR="00F745AC" w:rsidRPr="00AE51BF" w:rsidRDefault="00077EF8" w:rsidP="000A6000">
      <w:pPr>
        <w:pStyle w:val="IEBullet-Level1"/>
      </w:pPr>
      <w:r w:rsidRPr="00AE51BF">
        <w:rPr>
          <w:b/>
          <w:bCs/>
        </w:rPr>
        <w:t>New</w:t>
      </w:r>
      <w:r w:rsidR="00727660" w:rsidRPr="00AE51BF">
        <w:t xml:space="preserve"> </w:t>
      </w:r>
      <w:r w:rsidR="00727660" w:rsidRPr="00AE51BF">
        <w:rPr>
          <w:b/>
          <w:bCs/>
        </w:rPr>
        <w:t>definitions</w:t>
      </w:r>
      <w:r w:rsidR="00727660" w:rsidRPr="00AE51BF">
        <w:t xml:space="preserve"> of </w:t>
      </w:r>
      <w:r w:rsidR="00727660" w:rsidRPr="00AE51BF">
        <w:rPr>
          <w:i/>
          <w:iCs/>
        </w:rPr>
        <w:t>sustainability</w:t>
      </w:r>
      <w:r w:rsidR="00727660" w:rsidRPr="00AE51BF">
        <w:rPr>
          <w:i/>
          <w:iCs/>
        </w:rPr>
        <w:noBreakHyphen/>
        <w:t>related financial products</w:t>
      </w:r>
      <w:r w:rsidR="00727660" w:rsidRPr="00AE51BF">
        <w:t xml:space="preserve"> </w:t>
      </w:r>
      <w:r w:rsidR="00060439" w:rsidRPr="00AE51BF">
        <w:t>(Articles 7, 8 and 9)</w:t>
      </w:r>
      <w:r w:rsidR="00AA4E98" w:rsidRPr="00AE51BF">
        <w:t>,</w:t>
      </w:r>
      <w:r w:rsidR="00060439" w:rsidRPr="00AE51BF">
        <w:t xml:space="preserve"> </w:t>
      </w:r>
      <w:r w:rsidR="00727660" w:rsidRPr="00AE51BF">
        <w:rPr>
          <w:i/>
          <w:iCs/>
        </w:rPr>
        <w:t>sustainability</w:t>
      </w:r>
      <w:r w:rsidR="00727660" w:rsidRPr="00AE51BF">
        <w:rPr>
          <w:i/>
          <w:iCs/>
        </w:rPr>
        <w:noBreakHyphen/>
        <w:t xml:space="preserve">related financial products with </w:t>
      </w:r>
      <w:r w:rsidR="00727660" w:rsidRPr="00AE51BF">
        <w:rPr>
          <w:b/>
          <w:bCs/>
          <w:i/>
          <w:iCs/>
        </w:rPr>
        <w:t>impact</w:t>
      </w:r>
      <w:r w:rsidR="00727660" w:rsidRPr="00AE51BF">
        <w:t xml:space="preserve">, </w:t>
      </w:r>
      <w:r w:rsidR="00C32CB2" w:rsidRPr="00AE51BF">
        <w:rPr>
          <w:i/>
          <w:iCs/>
        </w:rPr>
        <w:t>public sector bodies</w:t>
      </w:r>
      <w:r w:rsidR="00C32CB2" w:rsidRPr="00AE51BF">
        <w:t xml:space="preserve">, and </w:t>
      </w:r>
      <w:r w:rsidR="00C32CB2" w:rsidRPr="00AE51BF">
        <w:rPr>
          <w:i/>
          <w:iCs/>
        </w:rPr>
        <w:t>environmental objectives</w:t>
      </w:r>
      <w:r w:rsidR="00014D21" w:rsidRPr="00AE51BF">
        <w:t xml:space="preserve">, the latter being </w:t>
      </w:r>
      <w:r w:rsidR="0024667D" w:rsidRPr="00AE51BF">
        <w:t>aligned with those set out in the EU Taxonomy</w:t>
      </w:r>
      <w:r w:rsidR="00C32CB2" w:rsidRPr="00AE51BF">
        <w:t>.</w:t>
      </w:r>
    </w:p>
    <w:p w14:paraId="560B2703" w14:textId="0CE32244" w:rsidR="00544EE4" w:rsidRPr="00544EE4" w:rsidRDefault="00544EE4" w:rsidP="00544EE4">
      <w:pPr>
        <w:pStyle w:val="IEBullet-Level1"/>
      </w:pPr>
      <w:r w:rsidRPr="00517A26">
        <w:rPr>
          <w:b/>
          <w:bCs/>
        </w:rPr>
        <w:t>Voluntary product disclosures</w:t>
      </w:r>
      <w:r w:rsidRPr="00517A26">
        <w:t xml:space="preserve"> – permitted beyond the three categories, provided the information is: </w:t>
      </w:r>
      <w:r w:rsidR="008A3CB4" w:rsidRPr="008A3CB4">
        <w:t>(a) secondary, neutral, and limited to less than 10% of the investment strategy presentation in pre</w:t>
      </w:r>
      <w:r w:rsidR="008A3CB4" w:rsidRPr="008A3CB4">
        <w:rPr>
          <w:rFonts w:ascii="Cambria Math" w:hAnsi="Cambria Math" w:cs="Cambria Math"/>
        </w:rPr>
        <w:t>‑</w:t>
      </w:r>
      <w:r w:rsidR="008A3CB4" w:rsidRPr="008A3CB4">
        <w:t>contractual disclosures; (b) not included in PRIIPs KIDs or UCITS KIIDs; (c) not presented as a sustainability claim that would place the product in one of the three categories</w:t>
      </w:r>
      <w:r w:rsidRPr="00517A26">
        <w:t>.</w:t>
      </w:r>
      <w:r>
        <w:t xml:space="preserve"> </w:t>
      </w:r>
      <w:r w:rsidR="00086B7B" w:rsidRPr="00086B7B">
        <w:t>If used, an annual description of how sustainability factors are considered must also be included in periodic reports.</w:t>
      </w:r>
    </w:p>
    <w:p w14:paraId="5F71C40E" w14:textId="44D12117" w:rsidR="00022B7A" w:rsidRPr="003D7A01" w:rsidRDefault="00022B7A" w:rsidP="003D7A01">
      <w:pPr>
        <w:pStyle w:val="IEBullet-Level1"/>
      </w:pPr>
      <w:r w:rsidRPr="00022B7A">
        <w:rPr>
          <w:b/>
          <w:bCs/>
        </w:rPr>
        <w:t>Introduction of three product categories</w:t>
      </w:r>
      <w:r>
        <w:t>:</w:t>
      </w:r>
      <w:r w:rsidR="003D7A01">
        <w:t xml:space="preserve"> </w:t>
      </w:r>
      <w:r w:rsidR="003D7A01" w:rsidRPr="003D7A01">
        <w:t>Each category is defined by two criteria: (1) exclusions of incompatible industries/activities, and (2) a minimum 70% portfolio alignment with the strategy claimed.</w:t>
      </w:r>
    </w:p>
    <w:p w14:paraId="6EFDA94F" w14:textId="6FF7FDA4" w:rsidR="00EF56E8" w:rsidRDefault="00EF56E8" w:rsidP="00EF56E8">
      <w:pPr>
        <w:pStyle w:val="IEBullet-Level2"/>
      </w:pPr>
      <w:r>
        <w:t>Transition (Art. 7): products investing in companies/projects on a credible transition path or contributing to improvements.</w:t>
      </w:r>
    </w:p>
    <w:p w14:paraId="67B6808F" w14:textId="42556331" w:rsidR="00396E79" w:rsidRDefault="00396E79" w:rsidP="00396E79">
      <w:pPr>
        <w:pStyle w:val="IEBullet-Level2"/>
        <w:rPr>
          <w:rFonts w:ascii="Courier New" w:hAnsi="Courier New"/>
        </w:rPr>
      </w:pPr>
      <w:r>
        <w:t>ESG basics (Art. 8): products integrating ESG approaches but not meeting the criteria of the other two categories.</w:t>
      </w:r>
    </w:p>
    <w:p w14:paraId="2A7B4460" w14:textId="52D3065C" w:rsidR="00022B7A" w:rsidRDefault="00022B7A" w:rsidP="00022B7A">
      <w:pPr>
        <w:pStyle w:val="IEBullet-Level2"/>
      </w:pPr>
      <w:r>
        <w:t>Sustainable</w:t>
      </w:r>
      <w:r w:rsidR="00396E79">
        <w:t xml:space="preserve"> (Art. 9)</w:t>
      </w:r>
      <w:r>
        <w:t>: products contributing to sustainability goals (climate, environment, social) and meeting high standards.</w:t>
      </w:r>
    </w:p>
    <w:p w14:paraId="760D66BA" w14:textId="644923A2" w:rsidR="00F052A7" w:rsidRDefault="00D0642F" w:rsidP="00F052A7">
      <w:pPr>
        <w:pStyle w:val="IEBullet-Level1"/>
      </w:pPr>
      <w:r>
        <w:rPr>
          <w:b/>
          <w:bCs/>
        </w:rPr>
        <w:t>Article 9a</w:t>
      </w:r>
      <w:r w:rsidR="00BA66A4">
        <w:t xml:space="preserve"> </w:t>
      </w:r>
      <w:r w:rsidR="00F052A7">
        <w:t xml:space="preserve">sets out rules for financial products that claim to combine sustainability-related products. Such products can qualify under Articles 7, 8, or 9 if at least 70% of their investments consist of categorised products or other investments meeting the requirements of those Articles, and if they comply with the relevant exclusions. For this assessment, financial market participants may rely on disclosures from the underlying products. </w:t>
      </w:r>
      <w:r w:rsidR="00F052A7" w:rsidRPr="00F052A7">
        <w:t xml:space="preserve">For products that are </w:t>
      </w:r>
      <w:r w:rsidR="00F052A7" w:rsidRPr="00F052A7">
        <w:rPr>
          <w:b/>
          <w:bCs/>
        </w:rPr>
        <w:t>not categorised</w:t>
      </w:r>
      <w:r w:rsidR="00F052A7" w:rsidRPr="00F052A7">
        <w:t xml:space="preserve"> but invest in or are composed of </w:t>
      </w:r>
      <w:r w:rsidR="00F052A7" w:rsidRPr="00F052A7">
        <w:lastRenderedPageBreak/>
        <w:t xml:space="preserve">two or more underlying products under Articles 7–9, disclosures must include the composition and relative share of those underlying products, the share not covered by these categories, and the objectives, strategies, and exclusions applicable to that remaining share. </w:t>
      </w:r>
    </w:p>
    <w:p w14:paraId="04C21735" w14:textId="5D576327" w:rsidR="009B2237" w:rsidRDefault="009B2237" w:rsidP="000A6000">
      <w:pPr>
        <w:pStyle w:val="IEBullet-Level1"/>
      </w:pPr>
      <w:r w:rsidRPr="009B2237">
        <w:rPr>
          <w:b/>
          <w:bCs/>
        </w:rPr>
        <w:t>European Single Access Point (ESAP):</w:t>
      </w:r>
      <w:r w:rsidRPr="009B2237">
        <w:t xml:space="preserve"> From </w:t>
      </w:r>
      <w:r w:rsidR="00C0331F">
        <w:t xml:space="preserve">[18 </w:t>
      </w:r>
      <w:r w:rsidR="00C0331F" w:rsidRPr="00C0331F">
        <w:t>months after the date of application of this Regulation]</w:t>
      </w:r>
      <w:r w:rsidRPr="009B2237">
        <w:t>, financial market participants must submit sustainability information disclosed under Articles 3 and 10 to designated collection bodies for publication via ESAP.</w:t>
      </w:r>
      <w:r>
        <w:t xml:space="preserve"> </w:t>
      </w:r>
      <w:r w:rsidR="004F6CBF">
        <w:t xml:space="preserve"> </w:t>
      </w:r>
    </w:p>
    <w:p w14:paraId="62D01944" w14:textId="016DC8D0" w:rsidR="00657B0B" w:rsidRDefault="006A1A8D" w:rsidP="00EA1C3E">
      <w:pPr>
        <w:pStyle w:val="IEBullet-Level1"/>
      </w:pPr>
      <w:r w:rsidRPr="006A1A8D">
        <w:rPr>
          <w:b/>
          <w:bCs/>
        </w:rPr>
        <w:t>Transitional provisions:</w:t>
      </w:r>
      <w:r w:rsidRPr="006A1A8D">
        <w:t xml:space="preserve"> </w:t>
      </w:r>
      <w:r w:rsidR="00C11807">
        <w:t>FMPs</w:t>
      </w:r>
      <w:r w:rsidR="00C11807" w:rsidRPr="00C11807">
        <w:t xml:space="preserve"> shall begin applying this Regulation </w:t>
      </w:r>
      <w:r w:rsidR="00C11807" w:rsidRPr="00C11807">
        <w:rPr>
          <w:b/>
          <w:bCs/>
        </w:rPr>
        <w:t>12 months after</w:t>
      </w:r>
      <w:r w:rsidR="00C11807" w:rsidRPr="00C11807">
        <w:t xml:space="preserve"> its date of application with respect to </w:t>
      </w:r>
      <w:r w:rsidR="00C11807" w:rsidRPr="00C11807">
        <w:rPr>
          <w:b/>
          <w:bCs/>
        </w:rPr>
        <w:t>IBIPs, pension products, pension schemes, and PEPPs</w:t>
      </w:r>
      <w:r w:rsidR="00C11807" w:rsidRPr="00C11807">
        <w:t>. As these products are not subject to the ESMA guidelines on fund names, additional time is required to implement the new underlying criteria—particularly the exclusions.</w:t>
      </w:r>
    </w:p>
    <w:p w14:paraId="6D54148C" w14:textId="77777777" w:rsidR="0017675B" w:rsidRDefault="0017675B" w:rsidP="00122DB5">
      <w:pPr>
        <w:spacing w:before="120" w:after="200" w:line="276" w:lineRule="auto"/>
        <w:rPr>
          <w:color w:val="1F497D" w:themeColor="text2"/>
        </w:rPr>
        <w:sectPr w:rsidR="0017675B" w:rsidSect="0016089A">
          <w:headerReference w:type="default" r:id="rId15"/>
          <w:footerReference w:type="default" r:id="rId16"/>
          <w:headerReference w:type="first" r:id="rId17"/>
          <w:footerReference w:type="first" r:id="rId18"/>
          <w:pgSz w:w="11907" w:h="16839" w:code="9"/>
          <w:pgMar w:top="2410" w:right="907" w:bottom="1253" w:left="1418" w:header="709" w:footer="129" w:gutter="0"/>
          <w:cols w:space="708"/>
          <w:titlePg/>
          <w:docGrid w:linePitch="360"/>
        </w:sectPr>
      </w:pPr>
    </w:p>
    <w:p w14:paraId="0BE7C3F6" w14:textId="4DBA523F" w:rsidR="00122DB5" w:rsidRDefault="00122DB5" w:rsidP="00122DB5">
      <w:pPr>
        <w:spacing w:before="120" w:after="200" w:line="276" w:lineRule="auto"/>
        <w:rPr>
          <w:iCs/>
          <w:sz w:val="17"/>
          <w:szCs w:val="17"/>
        </w:rPr>
      </w:pPr>
      <w:r>
        <w:rPr>
          <w:color w:val="1F497D" w:themeColor="text2"/>
        </w:rPr>
        <w:lastRenderedPageBreak/>
        <w:t>Detailed assessment</w:t>
      </w:r>
    </w:p>
    <w:tbl>
      <w:tblPr>
        <w:tblStyle w:val="Mriekatabuky"/>
        <w:tblW w:w="16161" w:type="dxa"/>
        <w:tblInd w:w="-998" w:type="dxa"/>
        <w:tblLayout w:type="fixed"/>
        <w:tblLook w:val="04A0" w:firstRow="1" w:lastRow="0" w:firstColumn="1" w:lastColumn="0" w:noHBand="0" w:noVBand="1"/>
      </w:tblPr>
      <w:tblGrid>
        <w:gridCol w:w="2342"/>
        <w:gridCol w:w="11267"/>
        <w:gridCol w:w="2552"/>
      </w:tblGrid>
      <w:tr w:rsidR="00C72E3B" w14:paraId="4951CFB5" w14:textId="77777777" w:rsidTr="0082044F">
        <w:tc>
          <w:tcPr>
            <w:tcW w:w="2342" w:type="dxa"/>
            <w:shd w:val="clear" w:color="auto" w:fill="C6D9F1" w:themeFill="text2" w:themeFillTint="33"/>
            <w:vAlign w:val="center"/>
          </w:tcPr>
          <w:p w14:paraId="2827C7DC" w14:textId="58CB9A70" w:rsidR="00C72E3B" w:rsidRDefault="005256C9" w:rsidP="00C72E3B">
            <w:pPr>
              <w:spacing w:before="120" w:line="276" w:lineRule="auto"/>
              <w:jc w:val="center"/>
              <w:rPr>
                <w:iCs/>
                <w:sz w:val="17"/>
                <w:szCs w:val="17"/>
              </w:rPr>
            </w:pPr>
            <w:r>
              <w:rPr>
                <w:iCs/>
                <w:sz w:val="17"/>
                <w:szCs w:val="17"/>
              </w:rPr>
              <w:t>Provisions</w:t>
            </w:r>
          </w:p>
        </w:tc>
        <w:tc>
          <w:tcPr>
            <w:tcW w:w="11267" w:type="dxa"/>
            <w:shd w:val="clear" w:color="auto" w:fill="C6D9F1" w:themeFill="text2" w:themeFillTint="33"/>
            <w:vAlign w:val="center"/>
          </w:tcPr>
          <w:p w14:paraId="192B114D" w14:textId="0445C448" w:rsidR="00C72E3B" w:rsidRDefault="00903996" w:rsidP="00C72E3B">
            <w:pPr>
              <w:spacing w:before="120" w:line="276" w:lineRule="auto"/>
              <w:jc w:val="center"/>
              <w:rPr>
                <w:iCs/>
                <w:sz w:val="17"/>
                <w:szCs w:val="17"/>
              </w:rPr>
            </w:pPr>
            <w:r>
              <w:rPr>
                <w:iCs/>
                <w:sz w:val="17"/>
                <w:szCs w:val="17"/>
              </w:rPr>
              <w:t>Description</w:t>
            </w:r>
          </w:p>
        </w:tc>
        <w:tc>
          <w:tcPr>
            <w:tcW w:w="2552" w:type="dxa"/>
            <w:shd w:val="clear" w:color="auto" w:fill="C6D9F1" w:themeFill="text2" w:themeFillTint="33"/>
            <w:vAlign w:val="center"/>
          </w:tcPr>
          <w:p w14:paraId="24436A4D" w14:textId="18349973" w:rsidR="00C72E3B" w:rsidRDefault="00631A3E" w:rsidP="00C72E3B">
            <w:pPr>
              <w:spacing w:before="120" w:line="276" w:lineRule="auto"/>
              <w:jc w:val="center"/>
              <w:rPr>
                <w:iCs/>
                <w:sz w:val="17"/>
                <w:szCs w:val="17"/>
              </w:rPr>
            </w:pPr>
            <w:r>
              <w:rPr>
                <w:iCs/>
                <w:sz w:val="17"/>
                <w:szCs w:val="17"/>
              </w:rPr>
              <w:t xml:space="preserve">Preliminary </w:t>
            </w:r>
            <w:r w:rsidR="00903996">
              <w:rPr>
                <w:iCs/>
                <w:sz w:val="17"/>
                <w:szCs w:val="17"/>
              </w:rPr>
              <w:t>Assessment</w:t>
            </w:r>
          </w:p>
        </w:tc>
      </w:tr>
      <w:tr w:rsidR="00B204A4" w14:paraId="7C9C6E86" w14:textId="77777777" w:rsidTr="00FC332C">
        <w:tc>
          <w:tcPr>
            <w:tcW w:w="2342" w:type="dxa"/>
            <w:vAlign w:val="center"/>
          </w:tcPr>
          <w:p w14:paraId="3A208CE5" w14:textId="4DF4B780" w:rsidR="00B204A4" w:rsidRPr="00FC332C" w:rsidRDefault="000F10CE" w:rsidP="00460DAB">
            <w:pPr>
              <w:spacing w:before="120" w:line="276" w:lineRule="auto"/>
              <w:jc w:val="left"/>
              <w:rPr>
                <w:iCs/>
                <w:sz w:val="17"/>
                <w:szCs w:val="17"/>
                <w:highlight w:val="green"/>
              </w:rPr>
            </w:pPr>
            <w:r w:rsidRPr="000F10CE">
              <w:rPr>
                <w:iCs/>
                <w:sz w:val="17"/>
                <w:szCs w:val="17"/>
              </w:rPr>
              <w:t>70% Sustainability Investment Threshold</w:t>
            </w:r>
          </w:p>
        </w:tc>
        <w:tc>
          <w:tcPr>
            <w:tcW w:w="11267" w:type="dxa"/>
            <w:vAlign w:val="center"/>
          </w:tcPr>
          <w:p w14:paraId="1C515ACF" w14:textId="6E0731E4" w:rsidR="00B204A4" w:rsidRDefault="006849BD" w:rsidP="004B3E6D">
            <w:pPr>
              <w:pStyle w:val="IEBullet-Level1"/>
              <w:numPr>
                <w:ilvl w:val="0"/>
                <w:numId w:val="0"/>
              </w:numPr>
              <w:rPr>
                <w:iCs/>
                <w:szCs w:val="17"/>
              </w:rPr>
            </w:pPr>
            <w:r w:rsidRPr="000F10CE">
              <w:rPr>
                <w:iCs/>
                <w:szCs w:val="17"/>
              </w:rPr>
              <w:t>Recital 14 (p.2</w:t>
            </w:r>
            <w:r w:rsidR="00D13A4A">
              <w:rPr>
                <w:iCs/>
                <w:szCs w:val="17"/>
              </w:rPr>
              <w:t>1</w:t>
            </w:r>
            <w:r w:rsidRPr="000F10CE">
              <w:rPr>
                <w:iCs/>
                <w:szCs w:val="17"/>
              </w:rPr>
              <w:t>)</w:t>
            </w:r>
            <w:r w:rsidR="008032DF">
              <w:rPr>
                <w:iCs/>
                <w:szCs w:val="17"/>
              </w:rPr>
              <w:t xml:space="preserve"> introduces that:</w:t>
            </w:r>
          </w:p>
          <w:p w14:paraId="728CB679" w14:textId="7AD67F0F" w:rsidR="008032DF" w:rsidRDefault="008032DF" w:rsidP="008032DF">
            <w:pPr>
              <w:pStyle w:val="IEBullet-Level1"/>
            </w:pPr>
            <w:r>
              <w:t>Financial products must invest at least 70% in line with their sustainability claim, with the remaining 30% allowed for diversification, hedging, or liquidity, provided it does not contradict the claim.</w:t>
            </w:r>
          </w:p>
          <w:p w14:paraId="30E29B18" w14:textId="19AC4504" w:rsidR="008032DF" w:rsidRDefault="008032DF" w:rsidP="008032DF">
            <w:pPr>
              <w:pStyle w:val="IEBullet-Level1"/>
            </w:pPr>
            <w:r>
              <w:t>The threshold is stricter than ESMA’s 50% and 80% rules, raising ambition while aligning with international labels and allowing phase</w:t>
            </w:r>
            <w:r>
              <w:rPr>
                <w:rFonts w:ascii="Cambria Math" w:hAnsi="Cambria Math" w:cs="Cambria Math"/>
              </w:rPr>
              <w:t>‑</w:t>
            </w:r>
            <w:r>
              <w:t>in periods for full implementation.</w:t>
            </w:r>
          </w:p>
          <w:p w14:paraId="0064B7E5" w14:textId="77777777" w:rsidR="008032DF" w:rsidRDefault="008032DF" w:rsidP="008032DF">
            <w:pPr>
              <w:pStyle w:val="IEBullet-Level1"/>
            </w:pPr>
            <w:r>
              <w:t>Specific approaches per category should be identified, but not limited to a closed list, to encourage innovation and use of robust sustainability standards.</w:t>
            </w:r>
          </w:p>
          <w:p w14:paraId="0DCA0409" w14:textId="2DEBAE2E" w:rsidR="008032DF" w:rsidRPr="008032DF" w:rsidRDefault="00B30F1F" w:rsidP="008032DF">
            <w:pPr>
              <w:pStyle w:val="IEBullet-Level1"/>
            </w:pPr>
            <w:r>
              <w:t>To</w:t>
            </w:r>
            <w:r w:rsidR="008032DF">
              <w:t xml:space="preserve"> support </w:t>
            </w:r>
            <w:r w:rsidR="00873106">
              <w:t>c</w:t>
            </w:r>
            <w:r w:rsidR="00873106" w:rsidRPr="00873106">
              <w:t xml:space="preserve">onsistency, a </w:t>
            </w:r>
            <w:r w:rsidR="00873106" w:rsidRPr="00873106">
              <w:rPr>
                <w:b/>
                <w:bCs/>
              </w:rPr>
              <w:t>voluntary list of indicators will be developed</w:t>
            </w:r>
            <w:r w:rsidR="00873106" w:rsidRPr="00873106">
              <w:t>, building on the</w:t>
            </w:r>
            <w:r w:rsidR="00873106">
              <w:t xml:space="preserve"> </w:t>
            </w:r>
            <w:r w:rsidR="008032DF">
              <w:t>SFDR and CSRD/ESRS</w:t>
            </w:r>
            <w:r w:rsidR="00873106">
              <w:t>.</w:t>
            </w:r>
          </w:p>
        </w:tc>
        <w:tc>
          <w:tcPr>
            <w:tcW w:w="2552" w:type="dxa"/>
            <w:vAlign w:val="center"/>
          </w:tcPr>
          <w:p w14:paraId="1A0994C1" w14:textId="32E6D316" w:rsidR="00B204A4" w:rsidRDefault="00B204A4" w:rsidP="00460DAB">
            <w:pPr>
              <w:spacing w:before="120" w:line="276" w:lineRule="auto"/>
              <w:jc w:val="center"/>
              <w:rPr>
                <w:iCs/>
                <w:sz w:val="17"/>
                <w:szCs w:val="17"/>
              </w:rPr>
            </w:pPr>
            <w:r>
              <w:rPr>
                <w:iCs/>
                <w:sz w:val="17"/>
                <w:szCs w:val="17"/>
              </w:rPr>
              <w:t xml:space="preserve">To be </w:t>
            </w:r>
            <w:r w:rsidRPr="00B204A4">
              <w:rPr>
                <w:iCs/>
                <w:sz w:val="17"/>
                <w:szCs w:val="17"/>
              </w:rPr>
              <w:t>discussed</w:t>
            </w:r>
            <w:r>
              <w:rPr>
                <w:iCs/>
                <w:sz w:val="17"/>
                <w:szCs w:val="17"/>
              </w:rPr>
              <w:t xml:space="preserve"> further</w:t>
            </w:r>
          </w:p>
        </w:tc>
      </w:tr>
      <w:tr w:rsidR="004B3E6D" w14:paraId="701886BB" w14:textId="77777777" w:rsidTr="00907EE9">
        <w:tc>
          <w:tcPr>
            <w:tcW w:w="2342" w:type="dxa"/>
            <w:vAlign w:val="center"/>
          </w:tcPr>
          <w:p w14:paraId="107924DF" w14:textId="7C95B94A" w:rsidR="004B3E6D" w:rsidRDefault="004B3E6D" w:rsidP="00460DAB">
            <w:pPr>
              <w:spacing w:before="120" w:line="276" w:lineRule="auto"/>
              <w:jc w:val="left"/>
              <w:rPr>
                <w:iCs/>
                <w:sz w:val="17"/>
                <w:szCs w:val="17"/>
              </w:rPr>
            </w:pPr>
            <w:r w:rsidRPr="00C50308">
              <w:rPr>
                <w:iCs/>
                <w:sz w:val="17"/>
                <w:szCs w:val="17"/>
              </w:rPr>
              <w:t xml:space="preserve">Sovereign bonds </w:t>
            </w:r>
          </w:p>
        </w:tc>
        <w:tc>
          <w:tcPr>
            <w:tcW w:w="11267" w:type="dxa"/>
            <w:vAlign w:val="center"/>
          </w:tcPr>
          <w:p w14:paraId="2C26C524" w14:textId="39BCF3B3" w:rsidR="00C50308" w:rsidRDefault="00D13A4A" w:rsidP="00C50308">
            <w:pPr>
              <w:pStyle w:val="IEBullet-Level1"/>
              <w:numPr>
                <w:ilvl w:val="0"/>
                <w:numId w:val="0"/>
              </w:numPr>
              <w:spacing w:before="120"/>
            </w:pPr>
            <w:r w:rsidRPr="00C50308">
              <w:rPr>
                <w:iCs/>
                <w:szCs w:val="17"/>
              </w:rPr>
              <w:t>Recital 22</w:t>
            </w:r>
            <w:r>
              <w:rPr>
                <w:iCs/>
                <w:szCs w:val="17"/>
              </w:rPr>
              <w:t>, p.26 introduces that g</w:t>
            </w:r>
            <w:r w:rsidR="00C50308" w:rsidRPr="008F42CE">
              <w:t>eneral sovereign, sub</w:t>
            </w:r>
            <w:r w:rsidR="00C50308" w:rsidRPr="008F42CE">
              <w:noBreakHyphen/>
              <w:t xml:space="preserve">sovereign, and supranational debt without clear sustainability metrics will </w:t>
            </w:r>
            <w:r w:rsidR="00C50308" w:rsidRPr="008F42CE">
              <w:rPr>
                <w:b/>
                <w:bCs/>
              </w:rPr>
              <w:t>not count</w:t>
            </w:r>
            <w:r w:rsidR="00C50308" w:rsidRPr="008F42CE">
              <w:t xml:space="preserve"> toward the numerator for </w:t>
            </w:r>
            <w:r w:rsidR="00C50308" w:rsidRPr="008F42CE">
              <w:rPr>
                <w:b/>
                <w:bCs/>
              </w:rPr>
              <w:t>sustainable or transition categories</w:t>
            </w:r>
            <w:r w:rsidR="00C50308" w:rsidRPr="00F2709D">
              <w:t xml:space="preserve">. </w:t>
            </w:r>
          </w:p>
          <w:p w14:paraId="6665BB3C" w14:textId="77777777" w:rsidR="00C50308" w:rsidRDefault="00C50308" w:rsidP="00C50308">
            <w:pPr>
              <w:pStyle w:val="IEBullet-Level1"/>
            </w:pPr>
            <w:r>
              <w:t>Such debt can still be held in portfolios and included in the denominator.</w:t>
            </w:r>
          </w:p>
          <w:p w14:paraId="67CCDFBC" w14:textId="77777777" w:rsidR="00C50308" w:rsidRDefault="00C50308" w:rsidP="00C50308">
            <w:pPr>
              <w:pStyle w:val="IEBullet-Level1"/>
            </w:pPr>
            <w:r w:rsidRPr="00AB67B1">
              <w:rPr>
                <w:b/>
                <w:bCs/>
              </w:rPr>
              <w:t>For ESG basics products</w:t>
            </w:r>
            <w:r>
              <w:t xml:space="preserve">, these debt instruments </w:t>
            </w:r>
            <w:r w:rsidRPr="00AB67B1">
              <w:rPr>
                <w:b/>
                <w:bCs/>
              </w:rPr>
              <w:t>may be included in the numerator</w:t>
            </w:r>
            <w:r>
              <w:t xml:space="preserve"> using appropriate methodologies.</w:t>
            </w:r>
          </w:p>
          <w:p w14:paraId="39B02190" w14:textId="77777777" w:rsidR="00C50308" w:rsidRDefault="00C50308" w:rsidP="00C50308">
            <w:pPr>
              <w:pStyle w:val="IEBullet-Level1"/>
            </w:pPr>
            <w:r>
              <w:t>Where the use of proceeds is transparent, directed to sustainability objectives, and not linked to excluded activities, sovereign debt can be included in the numerator of all categories.</w:t>
            </w:r>
          </w:p>
          <w:p w14:paraId="35046B3A" w14:textId="77777777" w:rsidR="00C50308" w:rsidRDefault="00C50308" w:rsidP="00C50308">
            <w:pPr>
              <w:pStyle w:val="IEBullet-Level1"/>
            </w:pPr>
            <w:r>
              <w:t>Exclusions under SFDR apply to companies, not sovereigns, so sovereign debt remains eligible for the denominator.</w:t>
            </w:r>
          </w:p>
          <w:p w14:paraId="12884C0B" w14:textId="3BEEE45C" w:rsidR="00C50308" w:rsidRPr="00D925A3" w:rsidRDefault="00C50308" w:rsidP="0068557F">
            <w:pPr>
              <w:pStyle w:val="IEBullet-Level1"/>
            </w:pPr>
            <w:r>
              <w:t>Financial market participants must ensure consistency with product objectives and investor expectations, with safeguards against greenwashing risks.</w:t>
            </w:r>
          </w:p>
        </w:tc>
        <w:tc>
          <w:tcPr>
            <w:tcW w:w="2552" w:type="dxa"/>
            <w:shd w:val="clear" w:color="auto" w:fill="FBD4B4" w:themeFill="accent6" w:themeFillTint="66"/>
            <w:vAlign w:val="center"/>
          </w:tcPr>
          <w:p w14:paraId="11D9EAFC" w14:textId="5D687018" w:rsidR="004B3E6D" w:rsidRDefault="00CE118C" w:rsidP="00460DAB">
            <w:pPr>
              <w:spacing w:before="120" w:line="276" w:lineRule="auto"/>
              <w:jc w:val="center"/>
              <w:rPr>
                <w:iCs/>
                <w:sz w:val="17"/>
                <w:szCs w:val="17"/>
              </w:rPr>
            </w:pPr>
            <w:r>
              <w:rPr>
                <w:iCs/>
                <w:sz w:val="17"/>
                <w:szCs w:val="17"/>
              </w:rPr>
              <w:t>S</w:t>
            </w:r>
            <w:r w:rsidR="00121F1C" w:rsidRPr="00121F1C">
              <w:rPr>
                <w:iCs/>
                <w:sz w:val="17"/>
                <w:szCs w:val="17"/>
              </w:rPr>
              <w:t>till neglects the stabilising role of sovereign bonds in insurance portfolios and lacks clear methodologies for integration</w:t>
            </w:r>
            <w:r w:rsidR="000D067D">
              <w:rPr>
                <w:iCs/>
                <w:sz w:val="17"/>
                <w:szCs w:val="17"/>
              </w:rPr>
              <w:t xml:space="preserve">. </w:t>
            </w:r>
          </w:p>
        </w:tc>
      </w:tr>
      <w:tr w:rsidR="00460DAB" w14:paraId="150047A4" w14:textId="77777777" w:rsidTr="0082044F">
        <w:tc>
          <w:tcPr>
            <w:tcW w:w="2342" w:type="dxa"/>
            <w:vAlign w:val="center"/>
          </w:tcPr>
          <w:p w14:paraId="787B5D2A" w14:textId="0F76DE6C" w:rsidR="00460DAB" w:rsidRDefault="00B60795" w:rsidP="00460DAB">
            <w:pPr>
              <w:spacing w:before="120" w:line="276" w:lineRule="auto"/>
              <w:jc w:val="left"/>
              <w:rPr>
                <w:iCs/>
                <w:sz w:val="17"/>
                <w:szCs w:val="17"/>
              </w:rPr>
            </w:pPr>
            <w:r>
              <w:rPr>
                <w:iCs/>
                <w:sz w:val="17"/>
                <w:szCs w:val="17"/>
              </w:rPr>
              <w:t>Updated d</w:t>
            </w:r>
            <w:r w:rsidR="00460DAB" w:rsidRPr="006A6C32">
              <w:rPr>
                <w:iCs/>
                <w:sz w:val="17"/>
                <w:szCs w:val="17"/>
              </w:rPr>
              <w:t>efinitions (Article 2</w:t>
            </w:r>
            <w:r w:rsidR="000B4167">
              <w:rPr>
                <w:iCs/>
                <w:sz w:val="17"/>
                <w:szCs w:val="17"/>
              </w:rPr>
              <w:t>, p.</w:t>
            </w:r>
            <w:r w:rsidR="00306D92">
              <w:rPr>
                <w:iCs/>
                <w:sz w:val="17"/>
                <w:szCs w:val="17"/>
              </w:rPr>
              <w:t>3</w:t>
            </w:r>
            <w:r w:rsidR="00D24B52">
              <w:rPr>
                <w:iCs/>
                <w:sz w:val="17"/>
                <w:szCs w:val="17"/>
              </w:rPr>
              <w:t>0</w:t>
            </w:r>
            <w:r>
              <w:rPr>
                <w:iCs/>
                <w:sz w:val="17"/>
                <w:szCs w:val="17"/>
              </w:rPr>
              <w:t>-</w:t>
            </w:r>
            <w:r w:rsidR="00306D92">
              <w:rPr>
                <w:iCs/>
                <w:sz w:val="17"/>
                <w:szCs w:val="17"/>
              </w:rPr>
              <w:t>3</w:t>
            </w:r>
            <w:r w:rsidR="00D24B52">
              <w:rPr>
                <w:iCs/>
                <w:sz w:val="17"/>
                <w:szCs w:val="17"/>
              </w:rPr>
              <w:t>1</w:t>
            </w:r>
            <w:r w:rsidR="00460DAB" w:rsidRPr="006A6C32">
              <w:rPr>
                <w:iCs/>
                <w:sz w:val="17"/>
                <w:szCs w:val="17"/>
              </w:rPr>
              <w:t>).</w:t>
            </w:r>
          </w:p>
        </w:tc>
        <w:tc>
          <w:tcPr>
            <w:tcW w:w="11267" w:type="dxa"/>
            <w:vAlign w:val="center"/>
          </w:tcPr>
          <w:p w14:paraId="64305047" w14:textId="7A50F7A7" w:rsidR="00460DAB" w:rsidRDefault="000B4167" w:rsidP="00460DAB">
            <w:pPr>
              <w:spacing w:before="120" w:line="276" w:lineRule="auto"/>
              <w:jc w:val="left"/>
              <w:rPr>
                <w:iCs/>
                <w:sz w:val="17"/>
                <w:szCs w:val="17"/>
              </w:rPr>
            </w:pPr>
            <w:r>
              <w:rPr>
                <w:iCs/>
                <w:sz w:val="17"/>
                <w:szCs w:val="17"/>
              </w:rPr>
              <w:t>‘</w:t>
            </w:r>
            <w:r w:rsidR="001740AF" w:rsidRPr="001740AF">
              <w:rPr>
                <w:b/>
                <w:bCs/>
                <w:i/>
                <w:sz w:val="17"/>
                <w:szCs w:val="17"/>
              </w:rPr>
              <w:t>S</w:t>
            </w:r>
            <w:r w:rsidRPr="001740AF">
              <w:rPr>
                <w:b/>
                <w:bCs/>
                <w:i/>
                <w:sz w:val="17"/>
                <w:szCs w:val="17"/>
              </w:rPr>
              <w:t>ustainability-related financial product</w:t>
            </w:r>
            <w:r w:rsidRPr="000B4167">
              <w:rPr>
                <w:iCs/>
                <w:sz w:val="17"/>
                <w:szCs w:val="17"/>
              </w:rPr>
              <w:t>’ means a financial product that is categorised in accordance with Article 7, 8 or 9</w:t>
            </w:r>
          </w:p>
          <w:p w14:paraId="24FC38C9" w14:textId="701FE5A1" w:rsidR="001740AF" w:rsidRDefault="001740AF" w:rsidP="00460DAB">
            <w:pPr>
              <w:spacing w:before="120" w:line="276" w:lineRule="auto"/>
              <w:jc w:val="left"/>
              <w:rPr>
                <w:iCs/>
                <w:sz w:val="17"/>
                <w:szCs w:val="17"/>
              </w:rPr>
            </w:pPr>
            <w:r w:rsidRPr="001740AF">
              <w:rPr>
                <w:iCs/>
                <w:sz w:val="17"/>
                <w:szCs w:val="17"/>
              </w:rPr>
              <w:t>‘</w:t>
            </w:r>
            <w:r w:rsidRPr="001740AF">
              <w:rPr>
                <w:b/>
                <w:bCs/>
                <w:i/>
                <w:sz w:val="17"/>
                <w:szCs w:val="17"/>
              </w:rPr>
              <w:t>Sustainability-related financial product with impact</w:t>
            </w:r>
            <w:r w:rsidRPr="001740AF">
              <w:rPr>
                <w:iCs/>
                <w:sz w:val="17"/>
                <w:szCs w:val="17"/>
              </w:rPr>
              <w:t>’ means a financial</w:t>
            </w:r>
            <w:r w:rsidR="00B60795">
              <w:rPr>
                <w:iCs/>
                <w:sz w:val="17"/>
                <w:szCs w:val="17"/>
              </w:rPr>
              <w:t xml:space="preserve"> </w:t>
            </w:r>
            <w:r w:rsidR="00B60795" w:rsidRPr="00B60795">
              <w:rPr>
                <w:iCs/>
                <w:sz w:val="17"/>
                <w:szCs w:val="17"/>
              </w:rPr>
              <w:t>product categorised in accordance with Article 7 or 9 that has as its objective the generation of a pre-defined, positive and measurable social or environmental impact, and with investments directed towards undertakings, economic activities, or other assets which provide solutions to address specific social or environmental challenges</w:t>
            </w:r>
            <w:r w:rsidR="005B39C0">
              <w:rPr>
                <w:iCs/>
                <w:sz w:val="17"/>
                <w:szCs w:val="17"/>
              </w:rPr>
              <w:t>.</w:t>
            </w:r>
          </w:p>
          <w:p w14:paraId="2FB20C12" w14:textId="68EBA708" w:rsidR="00B60795" w:rsidRDefault="00B60795" w:rsidP="00460DAB">
            <w:pPr>
              <w:spacing w:before="120" w:line="276" w:lineRule="auto"/>
              <w:jc w:val="left"/>
              <w:rPr>
                <w:iCs/>
                <w:sz w:val="17"/>
                <w:szCs w:val="17"/>
              </w:rPr>
            </w:pPr>
            <w:r w:rsidRPr="00B60795">
              <w:rPr>
                <w:b/>
                <w:bCs/>
                <w:i/>
                <w:sz w:val="17"/>
                <w:szCs w:val="17"/>
              </w:rPr>
              <w:t>'Public sector entities’</w:t>
            </w:r>
            <w:r w:rsidRPr="00B60795">
              <w:rPr>
                <w:iCs/>
                <w:sz w:val="17"/>
                <w:szCs w:val="17"/>
              </w:rPr>
              <w:t xml:space="preserve"> means central governments or central banks, regional governments or local authorities, multilateral development banks, and international organisations.’</w:t>
            </w:r>
          </w:p>
        </w:tc>
        <w:tc>
          <w:tcPr>
            <w:tcW w:w="2552" w:type="dxa"/>
            <w:vAlign w:val="center"/>
          </w:tcPr>
          <w:p w14:paraId="5C85D319" w14:textId="1BDC34D9" w:rsidR="00460DAB" w:rsidRDefault="000F30C2" w:rsidP="00460DAB">
            <w:pPr>
              <w:spacing w:before="120" w:line="276" w:lineRule="auto"/>
              <w:jc w:val="center"/>
              <w:rPr>
                <w:iCs/>
                <w:sz w:val="17"/>
                <w:szCs w:val="17"/>
              </w:rPr>
            </w:pPr>
            <w:r>
              <w:rPr>
                <w:sz w:val="17"/>
                <w:szCs w:val="17"/>
              </w:rPr>
              <w:t>The EC is expected to adopt Delegated Acts</w:t>
            </w:r>
            <w:r w:rsidR="00265FD2">
              <w:rPr>
                <w:sz w:val="17"/>
                <w:szCs w:val="17"/>
              </w:rPr>
              <w:t xml:space="preserve"> clarifying definitions</w:t>
            </w:r>
            <w:r w:rsidR="00C50F2D">
              <w:rPr>
                <w:sz w:val="17"/>
                <w:szCs w:val="17"/>
              </w:rPr>
              <w:t xml:space="preserve">: the secretariat will </w:t>
            </w:r>
            <w:r w:rsidR="00BD283D">
              <w:rPr>
                <w:sz w:val="17"/>
                <w:szCs w:val="17"/>
              </w:rPr>
              <w:t>monitor developments and keep members updated</w:t>
            </w:r>
          </w:p>
        </w:tc>
      </w:tr>
      <w:tr w:rsidR="00460DAB" w14:paraId="1D771961" w14:textId="77777777" w:rsidTr="0082044F">
        <w:tc>
          <w:tcPr>
            <w:tcW w:w="2342" w:type="dxa"/>
            <w:vAlign w:val="center"/>
          </w:tcPr>
          <w:p w14:paraId="46C92516" w14:textId="47A2F1D2" w:rsidR="00460DAB" w:rsidRDefault="009F050F" w:rsidP="00460DAB">
            <w:pPr>
              <w:spacing w:before="120" w:line="276" w:lineRule="auto"/>
              <w:jc w:val="left"/>
              <w:rPr>
                <w:iCs/>
                <w:sz w:val="17"/>
                <w:szCs w:val="17"/>
              </w:rPr>
            </w:pPr>
            <w:r>
              <w:rPr>
                <w:iCs/>
                <w:sz w:val="17"/>
                <w:szCs w:val="17"/>
              </w:rPr>
              <w:t>RTS on the DNSH (</w:t>
            </w:r>
            <w:r w:rsidRPr="006A6C32">
              <w:rPr>
                <w:iCs/>
                <w:sz w:val="17"/>
                <w:szCs w:val="17"/>
              </w:rPr>
              <w:t>Article 2a</w:t>
            </w:r>
            <w:r>
              <w:rPr>
                <w:iCs/>
                <w:sz w:val="17"/>
                <w:szCs w:val="17"/>
              </w:rPr>
              <w:t>, p.</w:t>
            </w:r>
            <w:r w:rsidR="00306D92">
              <w:rPr>
                <w:iCs/>
                <w:sz w:val="17"/>
                <w:szCs w:val="17"/>
              </w:rPr>
              <w:t>3</w:t>
            </w:r>
            <w:r w:rsidR="00D24B52">
              <w:rPr>
                <w:iCs/>
                <w:sz w:val="17"/>
                <w:szCs w:val="17"/>
              </w:rPr>
              <w:t>0</w:t>
            </w:r>
            <w:r>
              <w:rPr>
                <w:iCs/>
                <w:sz w:val="17"/>
                <w:szCs w:val="17"/>
              </w:rPr>
              <w:t>)</w:t>
            </w:r>
          </w:p>
        </w:tc>
        <w:tc>
          <w:tcPr>
            <w:tcW w:w="11267" w:type="dxa"/>
            <w:vAlign w:val="center"/>
          </w:tcPr>
          <w:p w14:paraId="2DA093E9" w14:textId="50C603A8" w:rsidR="00460DAB" w:rsidRDefault="00280F33" w:rsidP="00460DAB">
            <w:pPr>
              <w:spacing w:before="120" w:line="276" w:lineRule="auto"/>
              <w:jc w:val="left"/>
              <w:rPr>
                <w:iCs/>
                <w:sz w:val="17"/>
                <w:szCs w:val="17"/>
              </w:rPr>
            </w:pPr>
            <w:r w:rsidRPr="006A6C32">
              <w:rPr>
                <w:iCs/>
                <w:sz w:val="17"/>
                <w:szCs w:val="17"/>
              </w:rPr>
              <w:t>Deletion of Article 2a SFDR on the empowerment for ESAs to develop regulatory technical standards</w:t>
            </w:r>
            <w:r w:rsidR="00577913">
              <w:rPr>
                <w:iCs/>
                <w:sz w:val="17"/>
                <w:szCs w:val="17"/>
              </w:rPr>
              <w:t xml:space="preserve"> (RTS)</w:t>
            </w:r>
            <w:r w:rsidRPr="006A6C32">
              <w:rPr>
                <w:iCs/>
                <w:sz w:val="17"/>
                <w:szCs w:val="17"/>
              </w:rPr>
              <w:t xml:space="preserve"> regarding the principle of do no significant harm</w:t>
            </w:r>
            <w:r w:rsidR="00577913">
              <w:rPr>
                <w:iCs/>
                <w:sz w:val="17"/>
                <w:szCs w:val="17"/>
              </w:rPr>
              <w:t xml:space="preserve"> (DNSH)</w:t>
            </w:r>
            <w:r w:rsidRPr="006A6C32">
              <w:rPr>
                <w:iCs/>
                <w:sz w:val="17"/>
                <w:szCs w:val="17"/>
              </w:rPr>
              <w:t>.</w:t>
            </w:r>
          </w:p>
        </w:tc>
        <w:tc>
          <w:tcPr>
            <w:tcW w:w="2552" w:type="dxa"/>
            <w:shd w:val="clear" w:color="auto" w:fill="D6E3BC" w:themeFill="accent3" w:themeFillTint="66"/>
            <w:vAlign w:val="center"/>
          </w:tcPr>
          <w:p w14:paraId="04572019" w14:textId="53427AD3" w:rsidR="00460DAB" w:rsidRDefault="00A96A4A" w:rsidP="00460DAB">
            <w:pPr>
              <w:spacing w:before="120" w:line="276" w:lineRule="auto"/>
              <w:jc w:val="center"/>
              <w:rPr>
                <w:iCs/>
                <w:sz w:val="17"/>
                <w:szCs w:val="17"/>
              </w:rPr>
            </w:pPr>
            <w:r>
              <w:rPr>
                <w:iCs/>
                <w:sz w:val="17"/>
                <w:szCs w:val="17"/>
              </w:rPr>
              <w:t>Positive</w:t>
            </w:r>
          </w:p>
        </w:tc>
      </w:tr>
      <w:tr w:rsidR="004B3E6D" w14:paraId="499931DA" w14:textId="77777777" w:rsidTr="0082044F">
        <w:tc>
          <w:tcPr>
            <w:tcW w:w="2342" w:type="dxa"/>
            <w:vAlign w:val="center"/>
          </w:tcPr>
          <w:p w14:paraId="3EC4EFE1" w14:textId="1C48E893" w:rsidR="00460DAB" w:rsidRDefault="00460DAB" w:rsidP="00460DAB">
            <w:pPr>
              <w:spacing w:before="120" w:line="276" w:lineRule="auto"/>
              <w:jc w:val="left"/>
              <w:rPr>
                <w:iCs/>
                <w:sz w:val="17"/>
                <w:szCs w:val="17"/>
              </w:rPr>
            </w:pPr>
            <w:r w:rsidRPr="00460DAB">
              <w:rPr>
                <w:iCs/>
                <w:sz w:val="17"/>
                <w:szCs w:val="17"/>
              </w:rPr>
              <w:t>Deletion of entity-level disclosure requirements</w:t>
            </w:r>
          </w:p>
        </w:tc>
        <w:tc>
          <w:tcPr>
            <w:tcW w:w="11267" w:type="dxa"/>
            <w:vAlign w:val="center"/>
          </w:tcPr>
          <w:p w14:paraId="24335658" w14:textId="3D43D6E8" w:rsidR="00460DAB" w:rsidRDefault="00AC310A" w:rsidP="00460DAB">
            <w:pPr>
              <w:spacing w:before="120" w:line="276" w:lineRule="auto"/>
              <w:jc w:val="left"/>
              <w:rPr>
                <w:iCs/>
                <w:sz w:val="17"/>
                <w:szCs w:val="17"/>
              </w:rPr>
            </w:pPr>
            <w:r>
              <w:rPr>
                <w:iCs/>
                <w:sz w:val="17"/>
                <w:szCs w:val="17"/>
              </w:rPr>
              <w:t>Articles 4 and 5 are removed entirely</w:t>
            </w:r>
            <w:r w:rsidR="006133F7">
              <w:rPr>
                <w:iCs/>
                <w:sz w:val="17"/>
                <w:szCs w:val="17"/>
              </w:rPr>
              <w:t>, thus removing t</w:t>
            </w:r>
            <w:r w:rsidR="006133F7" w:rsidRPr="006133F7">
              <w:rPr>
                <w:iCs/>
                <w:sz w:val="17"/>
                <w:szCs w:val="17"/>
              </w:rPr>
              <w:t xml:space="preserve">ransparency </w:t>
            </w:r>
            <w:r w:rsidR="004208AF">
              <w:rPr>
                <w:iCs/>
                <w:sz w:val="17"/>
                <w:szCs w:val="17"/>
              </w:rPr>
              <w:t xml:space="preserve">requirement </w:t>
            </w:r>
            <w:r w:rsidR="006133F7" w:rsidRPr="006133F7">
              <w:rPr>
                <w:iCs/>
                <w:sz w:val="17"/>
                <w:szCs w:val="17"/>
              </w:rPr>
              <w:t>of adverse sustainability impacts at entity level</w:t>
            </w:r>
            <w:r w:rsidR="00C05C5E">
              <w:rPr>
                <w:iCs/>
                <w:sz w:val="17"/>
                <w:szCs w:val="17"/>
              </w:rPr>
              <w:t xml:space="preserve"> and of </w:t>
            </w:r>
            <w:r w:rsidR="00C05C5E" w:rsidRPr="00C05C5E">
              <w:rPr>
                <w:iCs/>
                <w:sz w:val="17"/>
                <w:szCs w:val="17"/>
              </w:rPr>
              <w:t>remuneration policies in relation to the integration of sustainability risks</w:t>
            </w:r>
            <w:r w:rsidR="00212753">
              <w:rPr>
                <w:iCs/>
                <w:sz w:val="17"/>
                <w:szCs w:val="17"/>
              </w:rPr>
              <w:t>.</w:t>
            </w:r>
          </w:p>
        </w:tc>
        <w:tc>
          <w:tcPr>
            <w:tcW w:w="2552" w:type="dxa"/>
            <w:shd w:val="clear" w:color="auto" w:fill="D6E3BC" w:themeFill="accent3" w:themeFillTint="66"/>
            <w:vAlign w:val="center"/>
          </w:tcPr>
          <w:p w14:paraId="60842C02" w14:textId="023DDA76" w:rsidR="00460DAB" w:rsidRDefault="00A96A4A" w:rsidP="00460DAB">
            <w:pPr>
              <w:spacing w:before="120" w:line="276" w:lineRule="auto"/>
              <w:jc w:val="center"/>
              <w:rPr>
                <w:iCs/>
                <w:sz w:val="17"/>
                <w:szCs w:val="17"/>
              </w:rPr>
            </w:pPr>
            <w:r>
              <w:rPr>
                <w:iCs/>
                <w:sz w:val="17"/>
                <w:szCs w:val="17"/>
              </w:rPr>
              <w:t>Positive</w:t>
            </w:r>
          </w:p>
        </w:tc>
      </w:tr>
      <w:tr w:rsidR="00460DAB" w14:paraId="27045989" w14:textId="77777777" w:rsidTr="00A755CA">
        <w:tc>
          <w:tcPr>
            <w:tcW w:w="2342" w:type="dxa"/>
            <w:vAlign w:val="center"/>
          </w:tcPr>
          <w:p w14:paraId="1A4C78D4" w14:textId="7844DDE6" w:rsidR="00460DAB" w:rsidRPr="00460DAB" w:rsidRDefault="004276D0" w:rsidP="00460DAB">
            <w:pPr>
              <w:spacing w:before="120" w:line="276" w:lineRule="auto"/>
              <w:jc w:val="left"/>
              <w:rPr>
                <w:iCs/>
                <w:sz w:val="17"/>
                <w:szCs w:val="17"/>
              </w:rPr>
            </w:pPr>
            <w:r>
              <w:rPr>
                <w:iCs/>
                <w:sz w:val="17"/>
                <w:szCs w:val="17"/>
              </w:rPr>
              <w:lastRenderedPageBreak/>
              <w:t>NEW</w:t>
            </w:r>
            <w:r w:rsidR="00212753">
              <w:rPr>
                <w:iCs/>
                <w:sz w:val="17"/>
                <w:szCs w:val="17"/>
              </w:rPr>
              <w:t xml:space="preserve"> </w:t>
            </w:r>
            <w:r w:rsidR="009D1179">
              <w:rPr>
                <w:iCs/>
                <w:sz w:val="17"/>
                <w:szCs w:val="17"/>
              </w:rPr>
              <w:t xml:space="preserve">voluntary </w:t>
            </w:r>
            <w:r w:rsidR="00B46D58" w:rsidRPr="00B46D58">
              <w:rPr>
                <w:iCs/>
                <w:sz w:val="17"/>
                <w:szCs w:val="17"/>
              </w:rPr>
              <w:t xml:space="preserve">sustainability </w:t>
            </w:r>
            <w:r>
              <w:rPr>
                <w:iCs/>
                <w:sz w:val="17"/>
                <w:szCs w:val="17"/>
              </w:rPr>
              <w:t>references</w:t>
            </w:r>
            <w:r w:rsidR="00B46D58" w:rsidRPr="00B46D58">
              <w:rPr>
                <w:iCs/>
                <w:sz w:val="17"/>
                <w:szCs w:val="17"/>
              </w:rPr>
              <w:t xml:space="preserve"> in pre</w:t>
            </w:r>
            <w:r w:rsidR="00B46D58">
              <w:rPr>
                <w:iCs/>
                <w:sz w:val="17"/>
                <w:szCs w:val="17"/>
              </w:rPr>
              <w:t>-</w:t>
            </w:r>
            <w:r w:rsidR="00B46D58" w:rsidRPr="00B46D58">
              <w:rPr>
                <w:iCs/>
                <w:sz w:val="17"/>
                <w:szCs w:val="17"/>
              </w:rPr>
              <w:t xml:space="preserve">contractual </w:t>
            </w:r>
            <w:r>
              <w:rPr>
                <w:iCs/>
                <w:sz w:val="17"/>
                <w:szCs w:val="17"/>
              </w:rPr>
              <w:t>disclosures</w:t>
            </w:r>
            <w:r w:rsidR="00127878">
              <w:rPr>
                <w:iCs/>
                <w:sz w:val="17"/>
                <w:szCs w:val="17"/>
              </w:rPr>
              <w:t xml:space="preserve"> for non-sustaina</w:t>
            </w:r>
            <w:r w:rsidR="009E71F9">
              <w:rPr>
                <w:iCs/>
                <w:sz w:val="17"/>
                <w:szCs w:val="17"/>
              </w:rPr>
              <w:t>ble</w:t>
            </w:r>
            <w:r w:rsidR="00127878">
              <w:rPr>
                <w:iCs/>
                <w:sz w:val="17"/>
                <w:szCs w:val="17"/>
              </w:rPr>
              <w:t xml:space="preserve"> products</w:t>
            </w:r>
            <w:r w:rsidR="003319E0">
              <w:rPr>
                <w:iCs/>
                <w:sz w:val="17"/>
                <w:szCs w:val="17"/>
              </w:rPr>
              <w:t xml:space="preserve"> (Article 6a p.</w:t>
            </w:r>
            <w:r w:rsidR="00FB3CD6">
              <w:rPr>
                <w:iCs/>
                <w:sz w:val="17"/>
                <w:szCs w:val="17"/>
              </w:rPr>
              <w:t>3</w:t>
            </w:r>
            <w:r w:rsidR="00A27B1A">
              <w:rPr>
                <w:iCs/>
                <w:sz w:val="17"/>
                <w:szCs w:val="17"/>
              </w:rPr>
              <w:t>2</w:t>
            </w:r>
            <w:r w:rsidR="003319E0">
              <w:rPr>
                <w:iCs/>
                <w:sz w:val="17"/>
                <w:szCs w:val="17"/>
              </w:rPr>
              <w:t>)</w:t>
            </w:r>
          </w:p>
        </w:tc>
        <w:tc>
          <w:tcPr>
            <w:tcW w:w="11267" w:type="dxa"/>
            <w:vAlign w:val="center"/>
          </w:tcPr>
          <w:p w14:paraId="1F19DC6C" w14:textId="77777777" w:rsidR="002F17D4" w:rsidRPr="002F17D4" w:rsidRDefault="002F17D4" w:rsidP="002F17D4">
            <w:pPr>
              <w:spacing w:before="120" w:line="276" w:lineRule="auto"/>
              <w:jc w:val="left"/>
              <w:rPr>
                <w:sz w:val="17"/>
                <w:szCs w:val="17"/>
              </w:rPr>
            </w:pPr>
            <w:r w:rsidRPr="002F17D4">
              <w:rPr>
                <w:sz w:val="17"/>
                <w:szCs w:val="17"/>
              </w:rPr>
              <w:t>Financial market participants may include information on sustainability factors in the pre</w:t>
            </w:r>
            <w:r w:rsidRPr="002F17D4">
              <w:rPr>
                <w:sz w:val="17"/>
                <w:szCs w:val="17"/>
              </w:rPr>
              <w:noBreakHyphen/>
              <w:t>contractual documentation of financial products that are not classified under Articles 7, 8, or 9, provided that such references:</w:t>
            </w:r>
          </w:p>
          <w:p w14:paraId="3E29D35B" w14:textId="77777777" w:rsidR="002F17D4" w:rsidRPr="002F17D4" w:rsidRDefault="002F17D4" w:rsidP="002F17D4">
            <w:pPr>
              <w:pStyle w:val="IEBullet-Level1"/>
            </w:pPr>
            <w:r w:rsidRPr="002F17D4">
              <w:t>Remain secondary, neutral, and limited in scope (not more than 10% of the investment strategy presentation).</w:t>
            </w:r>
          </w:p>
          <w:p w14:paraId="659E25C5" w14:textId="77777777" w:rsidR="002F17D4" w:rsidRPr="002F17D4" w:rsidRDefault="002F17D4" w:rsidP="002F17D4">
            <w:pPr>
              <w:pStyle w:val="IEBullet-Level1"/>
            </w:pPr>
            <w:r w:rsidRPr="002F17D4">
              <w:t>Are not used in product names or marketing, do not dominate disclosures, do not appear in the KIID/KID, and do not constitute sustainability claims under Articles 7–9.</w:t>
            </w:r>
          </w:p>
          <w:p w14:paraId="7F1BDCFD" w14:textId="77777777" w:rsidR="002F17D4" w:rsidRPr="002F17D4" w:rsidRDefault="002F17D4" w:rsidP="002F17D4">
            <w:pPr>
              <w:pStyle w:val="IEBullet-Level1"/>
            </w:pPr>
            <w:r w:rsidRPr="002F17D4">
              <w:t>Must be disclosed in line with Article 6(3).</w:t>
            </w:r>
          </w:p>
          <w:p w14:paraId="02C42121" w14:textId="3E8F1602" w:rsidR="002F17D4" w:rsidRPr="002F17D4" w:rsidRDefault="002F17D4" w:rsidP="002F17D4">
            <w:pPr>
              <w:pStyle w:val="IEBullet-Level1"/>
            </w:pPr>
            <w:r w:rsidRPr="002F17D4">
              <w:t>Additionally, an annual description of how sustainability factors are considered must be included in periodic reports, disclosed in line with Article 11(2).</w:t>
            </w:r>
          </w:p>
        </w:tc>
        <w:tc>
          <w:tcPr>
            <w:tcW w:w="2552" w:type="dxa"/>
            <w:shd w:val="clear" w:color="auto" w:fill="F2F2F2" w:themeFill="background1" w:themeFillShade="F2"/>
            <w:vAlign w:val="center"/>
          </w:tcPr>
          <w:p w14:paraId="3937A6BC" w14:textId="02D970E8" w:rsidR="00460DAB" w:rsidRPr="00C6261A" w:rsidRDefault="00494090" w:rsidP="00460DAB">
            <w:pPr>
              <w:spacing w:before="120" w:line="276" w:lineRule="auto"/>
              <w:jc w:val="center"/>
              <w:rPr>
                <w:sz w:val="17"/>
                <w:szCs w:val="17"/>
              </w:rPr>
            </w:pPr>
            <w:r>
              <w:rPr>
                <w:iCs/>
                <w:sz w:val="17"/>
                <w:szCs w:val="17"/>
              </w:rPr>
              <w:t xml:space="preserve">To be discussed depending on </w:t>
            </w:r>
            <w:r w:rsidR="00D97887">
              <w:rPr>
                <w:iCs/>
                <w:sz w:val="17"/>
                <w:szCs w:val="17"/>
              </w:rPr>
              <w:t>the extent to which insurance products can enter categories of Art. 7-9</w:t>
            </w:r>
          </w:p>
        </w:tc>
      </w:tr>
      <w:tr w:rsidR="00CE23E3" w14:paraId="460CF329" w14:textId="77777777" w:rsidTr="00F15842">
        <w:tc>
          <w:tcPr>
            <w:tcW w:w="2342" w:type="dxa"/>
            <w:vMerge w:val="restart"/>
            <w:vAlign w:val="center"/>
          </w:tcPr>
          <w:p w14:paraId="6857D516" w14:textId="5BEAD177" w:rsidR="00CE23E3" w:rsidRPr="00460DAB" w:rsidRDefault="00CE23E3" w:rsidP="00460DAB">
            <w:pPr>
              <w:spacing w:before="120" w:line="276" w:lineRule="auto"/>
              <w:jc w:val="left"/>
              <w:rPr>
                <w:iCs/>
                <w:sz w:val="17"/>
                <w:szCs w:val="17"/>
              </w:rPr>
            </w:pPr>
            <w:r w:rsidRPr="006F1C5D">
              <w:rPr>
                <w:iCs/>
                <w:sz w:val="17"/>
                <w:szCs w:val="17"/>
              </w:rPr>
              <w:t xml:space="preserve">Creation of categories for financial products with </w:t>
            </w:r>
            <w:r w:rsidRPr="004F7AD1">
              <w:rPr>
                <w:b/>
                <w:bCs/>
                <w:iCs/>
                <w:sz w:val="17"/>
                <w:szCs w:val="17"/>
              </w:rPr>
              <w:t>transition</w:t>
            </w:r>
            <w:r w:rsidRPr="006F1C5D">
              <w:rPr>
                <w:iCs/>
                <w:sz w:val="17"/>
                <w:szCs w:val="17"/>
              </w:rPr>
              <w:t xml:space="preserve"> (Article 7), </w:t>
            </w:r>
            <w:r w:rsidR="00600EB3" w:rsidRPr="004F7AD1">
              <w:rPr>
                <w:b/>
                <w:bCs/>
                <w:iCs/>
                <w:sz w:val="17"/>
                <w:szCs w:val="17"/>
              </w:rPr>
              <w:t>other ESG</w:t>
            </w:r>
            <w:r w:rsidR="00600EB3" w:rsidRPr="006F1C5D">
              <w:rPr>
                <w:iCs/>
                <w:sz w:val="17"/>
                <w:szCs w:val="17"/>
              </w:rPr>
              <w:t xml:space="preserve"> </w:t>
            </w:r>
            <w:r w:rsidRPr="006F1C5D">
              <w:rPr>
                <w:iCs/>
                <w:sz w:val="17"/>
                <w:szCs w:val="17"/>
              </w:rPr>
              <w:t xml:space="preserve">(Article 8), or </w:t>
            </w:r>
            <w:r w:rsidR="00600EB3" w:rsidRPr="004F7AD1">
              <w:rPr>
                <w:b/>
                <w:bCs/>
                <w:iCs/>
                <w:sz w:val="17"/>
                <w:szCs w:val="17"/>
              </w:rPr>
              <w:t>sustainable</w:t>
            </w:r>
            <w:r w:rsidR="00600EB3" w:rsidRPr="006F1C5D">
              <w:rPr>
                <w:iCs/>
                <w:sz w:val="17"/>
                <w:szCs w:val="17"/>
              </w:rPr>
              <w:t xml:space="preserve"> </w:t>
            </w:r>
            <w:r w:rsidRPr="006F1C5D">
              <w:rPr>
                <w:iCs/>
                <w:sz w:val="17"/>
                <w:szCs w:val="17"/>
              </w:rPr>
              <w:t>features (Article 9)</w:t>
            </w:r>
          </w:p>
        </w:tc>
        <w:tc>
          <w:tcPr>
            <w:tcW w:w="11267" w:type="dxa"/>
            <w:vAlign w:val="center"/>
          </w:tcPr>
          <w:p w14:paraId="5C55F821" w14:textId="30D0B2D7" w:rsidR="00497B47" w:rsidRDefault="00497B47" w:rsidP="00497B47">
            <w:pPr>
              <w:spacing w:before="120" w:line="276" w:lineRule="auto"/>
              <w:jc w:val="left"/>
              <w:rPr>
                <w:iCs/>
                <w:sz w:val="17"/>
                <w:szCs w:val="17"/>
              </w:rPr>
            </w:pPr>
            <w:r>
              <w:rPr>
                <w:iCs/>
                <w:sz w:val="17"/>
                <w:szCs w:val="17"/>
              </w:rPr>
              <w:t>Conditions to meet the Article 7 (p.</w:t>
            </w:r>
            <w:r w:rsidR="00086B7B">
              <w:rPr>
                <w:iCs/>
                <w:sz w:val="17"/>
                <w:szCs w:val="17"/>
              </w:rPr>
              <w:t>3</w:t>
            </w:r>
            <w:r w:rsidR="00A27B1A">
              <w:rPr>
                <w:iCs/>
                <w:sz w:val="17"/>
                <w:szCs w:val="17"/>
              </w:rPr>
              <w:t>2</w:t>
            </w:r>
            <w:r>
              <w:rPr>
                <w:iCs/>
                <w:sz w:val="17"/>
                <w:szCs w:val="17"/>
              </w:rPr>
              <w:t>) ‘transition’ category</w:t>
            </w:r>
          </w:p>
          <w:p w14:paraId="2F1B81B5" w14:textId="6C60C25C" w:rsidR="00810C1C" w:rsidRDefault="00392B5C" w:rsidP="00392B5C">
            <w:pPr>
              <w:pStyle w:val="IEBullet-Level1"/>
            </w:pPr>
            <w:r w:rsidRPr="003B13B7">
              <w:rPr>
                <w:b/>
                <w:bCs/>
              </w:rPr>
              <w:t>70% threshold</w:t>
            </w:r>
            <w:r>
              <w:t xml:space="preserve"> linked to the proportion of investments to meet a clear and measurable </w:t>
            </w:r>
            <w:r w:rsidRPr="00B7467B">
              <w:rPr>
                <w:b/>
              </w:rPr>
              <w:t>transition objective</w:t>
            </w:r>
            <w:r w:rsidR="002D5122">
              <w:t xml:space="preserve"> </w:t>
            </w:r>
          </w:p>
          <w:p w14:paraId="17EBCBDE" w14:textId="386C9DF6" w:rsidR="00392B5C" w:rsidRDefault="00CF21FD" w:rsidP="006E2C25">
            <w:pPr>
              <w:pStyle w:val="IEBullet-Level1"/>
            </w:pPr>
            <w:r w:rsidRPr="00CF21FD">
              <w:t>This condition is considered met for financial products that invest at least 15% of their portfolio in economic activities that qualify as environmentally sustainable under the EU Taxonomy Regulation</w:t>
            </w:r>
            <w:r w:rsidR="00075AE7" w:rsidRPr="00075AE7">
              <w:t>.</w:t>
            </w:r>
          </w:p>
          <w:p w14:paraId="259D1856" w14:textId="34F044E2" w:rsidR="00981110" w:rsidRDefault="000C4329" w:rsidP="006E2C25">
            <w:pPr>
              <w:pStyle w:val="IEBullet-Level1"/>
            </w:pPr>
            <w:r>
              <w:t>Included are investments</w:t>
            </w:r>
            <w:r w:rsidR="00981110">
              <w:t>:</w:t>
            </w:r>
          </w:p>
          <w:p w14:paraId="76FA0D6A" w14:textId="7BA3ACDD" w:rsidR="00077F51" w:rsidRPr="00077F51" w:rsidRDefault="00696A93" w:rsidP="00C448C6">
            <w:pPr>
              <w:pStyle w:val="IEBullet-Level2"/>
              <w:numPr>
                <w:ilvl w:val="0"/>
                <w:numId w:val="15"/>
              </w:numPr>
            </w:pPr>
            <w:r>
              <w:t>In p</w:t>
            </w:r>
            <w:r w:rsidR="00077F51" w:rsidRPr="00077F51">
              <w:t>ortfolios that follow or are managed in line with official EU climate benchmarks</w:t>
            </w:r>
            <w:r w:rsidR="00981110">
              <w:t xml:space="preserve"> (CTB or PAB)</w:t>
            </w:r>
            <w:r w:rsidR="00E367B1">
              <w:t>.</w:t>
            </w:r>
          </w:p>
          <w:p w14:paraId="71E19111" w14:textId="63332522" w:rsidR="00077F51" w:rsidRPr="00077F51" w:rsidRDefault="00696A93" w:rsidP="00C448C6">
            <w:pPr>
              <w:pStyle w:val="IEBullet-Level2"/>
              <w:numPr>
                <w:ilvl w:val="0"/>
                <w:numId w:val="15"/>
              </w:numPr>
            </w:pPr>
            <w:r>
              <w:t>In e</w:t>
            </w:r>
            <w:r w:rsidR="00077F51" w:rsidRPr="00077F51">
              <w:t>conomic activities that meet the EU Taxonomy criteria. This includes:</w:t>
            </w:r>
          </w:p>
          <w:p w14:paraId="7587393A" w14:textId="77777777" w:rsidR="00077F51" w:rsidRPr="00077F51" w:rsidRDefault="00077F51" w:rsidP="00C448C6">
            <w:pPr>
              <w:pStyle w:val="IEBullet-Level3"/>
              <w:numPr>
                <w:ilvl w:val="0"/>
                <w:numId w:val="17"/>
              </w:numPr>
            </w:pPr>
            <w:r w:rsidRPr="00077F51">
              <w:t>Activities that are transitional, meaning they help move towards environmental goals even if they’re not fully sustainable yet (as defined in Article 10(2) of the EU Taxonomy Regulation).</w:t>
            </w:r>
          </w:p>
          <w:p w14:paraId="5FAB503E" w14:textId="338A3507" w:rsidR="00077F51" w:rsidRPr="00077F51" w:rsidRDefault="00077F51" w:rsidP="00C448C6">
            <w:pPr>
              <w:pStyle w:val="IEBullet-Level3"/>
              <w:numPr>
                <w:ilvl w:val="0"/>
                <w:numId w:val="17"/>
              </w:numPr>
            </w:pPr>
            <w:r w:rsidRPr="00077F51">
              <w:t xml:space="preserve">Activities that are eligible under the taxonomy but not yet fully aligned, </w:t>
            </w:r>
            <w:r w:rsidR="00E534F1" w:rsidRPr="00077F51">
              <w:t>if</w:t>
            </w:r>
            <w:r w:rsidRPr="00077F51">
              <w:t xml:space="preserve"> they are expected to become aligned within 5 years (or 10 years in exceptional cases).</w:t>
            </w:r>
          </w:p>
          <w:p w14:paraId="4A324333" w14:textId="15695F2B" w:rsidR="00077F51" w:rsidRPr="00077F51" w:rsidRDefault="00696A93" w:rsidP="00C448C6">
            <w:pPr>
              <w:pStyle w:val="IEBullet-Level2"/>
              <w:numPr>
                <w:ilvl w:val="0"/>
                <w:numId w:val="15"/>
              </w:numPr>
            </w:pPr>
            <w:r>
              <w:t>In c</w:t>
            </w:r>
            <w:r w:rsidR="00077F51" w:rsidRPr="00077F51">
              <w:t>ompanies or activities that have a credible plan to improve at least one sustainability factor, with efforts appropriate to the size of the company.</w:t>
            </w:r>
          </w:p>
          <w:p w14:paraId="0548CBDB" w14:textId="136F554F" w:rsidR="00077F51" w:rsidRPr="00077F51" w:rsidRDefault="00696A93" w:rsidP="00C448C6">
            <w:pPr>
              <w:pStyle w:val="IEBullet-Level2"/>
              <w:numPr>
                <w:ilvl w:val="0"/>
                <w:numId w:val="15"/>
              </w:numPr>
            </w:pPr>
            <w:r>
              <w:t>In c</w:t>
            </w:r>
            <w:r w:rsidR="00077F51" w:rsidRPr="00077F51">
              <w:t>ompanies or activities that have set credible, science-based sustainability targets, backed by transparent and trustworthy information.</w:t>
            </w:r>
          </w:p>
          <w:p w14:paraId="54C1393E" w14:textId="03473CBC" w:rsidR="00077F51" w:rsidRPr="00077F51" w:rsidRDefault="000C4329" w:rsidP="00C448C6">
            <w:pPr>
              <w:pStyle w:val="IEBullet-Level2"/>
              <w:numPr>
                <w:ilvl w:val="0"/>
                <w:numId w:val="15"/>
              </w:numPr>
            </w:pPr>
            <w:r>
              <w:t>P</w:t>
            </w:r>
            <w:r w:rsidR="00077F51" w:rsidRPr="00077F51">
              <w:t>art of a clear engagement strategy, with milestones and follow-up actions if progress isn’t made.</w:t>
            </w:r>
          </w:p>
          <w:p w14:paraId="13BDF191" w14:textId="4CAE579C" w:rsidR="00077F51" w:rsidRPr="00077F51" w:rsidRDefault="00696A93" w:rsidP="00C448C6">
            <w:pPr>
              <w:pStyle w:val="IEBullet-Level2"/>
              <w:numPr>
                <w:ilvl w:val="0"/>
                <w:numId w:val="15"/>
              </w:numPr>
            </w:pPr>
            <w:r>
              <w:t>T</w:t>
            </w:r>
            <w:r w:rsidR="00077F51" w:rsidRPr="00077F51">
              <w:t xml:space="preserve">hat meet the criteria </w:t>
            </w:r>
            <w:r w:rsidR="002B16A0">
              <w:t xml:space="preserve">for investments </w:t>
            </w:r>
            <w:r w:rsidR="00077F51" w:rsidRPr="00077F51">
              <w:t>of Article 9</w:t>
            </w:r>
            <w:r w:rsidR="00ED79AE">
              <w:t xml:space="preserve"> </w:t>
            </w:r>
            <w:r w:rsidR="00077F51" w:rsidRPr="00077F51">
              <w:t>(</w:t>
            </w:r>
            <w:r w:rsidR="002B16A0" w:rsidRPr="002B16A0">
              <w:t>sustainability-related objective</w:t>
            </w:r>
            <w:r w:rsidR="00077F51" w:rsidRPr="00077F51">
              <w:t>) of the</w:t>
            </w:r>
            <w:r w:rsidR="002B16A0">
              <w:rPr>
                <w:i/>
              </w:rPr>
              <w:t xml:space="preserve"> </w:t>
            </w:r>
            <w:r w:rsidR="002B16A0">
              <w:t>SFDR</w:t>
            </w:r>
            <w:r w:rsidR="00077F51" w:rsidRPr="00077F51">
              <w:t>.</w:t>
            </w:r>
          </w:p>
          <w:p w14:paraId="78E90CAE" w14:textId="1F04BFE9" w:rsidR="00077F51" w:rsidRPr="00077F51" w:rsidRDefault="00696A93" w:rsidP="00C448C6">
            <w:pPr>
              <w:pStyle w:val="IEBullet-Level2"/>
              <w:numPr>
                <w:ilvl w:val="0"/>
                <w:numId w:val="15"/>
              </w:numPr>
            </w:pPr>
            <w:r>
              <w:t>A</w:t>
            </w:r>
            <w:r w:rsidR="00077F51" w:rsidRPr="00077F51">
              <w:t xml:space="preserve">ligned with a defined transition target, based on the </w:t>
            </w:r>
            <w:r w:rsidR="00FB49AD">
              <w:t>70% threshold</w:t>
            </w:r>
            <w:r w:rsidR="00D21621">
              <w:t xml:space="preserve"> </w:t>
            </w:r>
            <w:r w:rsidR="00077F51" w:rsidRPr="00077F51">
              <w:t>mentioned in paragraph 1(a).</w:t>
            </w:r>
          </w:p>
          <w:p w14:paraId="1F987A94" w14:textId="15039D99" w:rsidR="00077F51" w:rsidRPr="00077F51" w:rsidRDefault="00696A93" w:rsidP="00C448C6">
            <w:pPr>
              <w:pStyle w:val="IEBullet-Level2"/>
              <w:numPr>
                <w:ilvl w:val="0"/>
                <w:numId w:val="15"/>
              </w:numPr>
            </w:pPr>
            <w:r>
              <w:t>T</w:t>
            </w:r>
            <w:r w:rsidR="00077F51" w:rsidRPr="00077F51">
              <w:t>hat support the transition of companies, activities, or assets toward sustainabilit</w:t>
            </w:r>
            <w:r w:rsidR="00D21621">
              <w:t>y</w:t>
            </w:r>
            <w:r w:rsidR="00077F51" w:rsidRPr="00077F51">
              <w:t>.</w:t>
            </w:r>
          </w:p>
          <w:p w14:paraId="0FB7920C" w14:textId="626A32D2" w:rsidR="00BE454F" w:rsidRDefault="00B45D04" w:rsidP="0026761D">
            <w:pPr>
              <w:pStyle w:val="IEBullet-Level1"/>
            </w:pPr>
            <w:r w:rsidRPr="003B13B7">
              <w:rPr>
                <w:b/>
                <w:bCs/>
              </w:rPr>
              <w:t xml:space="preserve">Exclusion </w:t>
            </w:r>
            <w:r w:rsidR="00F15170" w:rsidRPr="003B13B7">
              <w:rPr>
                <w:b/>
                <w:bCs/>
              </w:rPr>
              <w:t>criteria</w:t>
            </w:r>
            <w:r w:rsidR="00BE454F">
              <w:t xml:space="preserve">: </w:t>
            </w:r>
            <w:r w:rsidR="00A2146D" w:rsidRPr="00A2146D">
              <w:t>Investments in companies engaged in coal, oil, or gas exploration, extraction, distribution, refining, or power generation are excluded</w:t>
            </w:r>
            <w:r w:rsidR="007F06EC">
              <w:t>.</w:t>
            </w:r>
            <w:r w:rsidR="004B4DC6">
              <w:t xml:space="preserve"> </w:t>
            </w:r>
            <w:r w:rsidR="004B4DC6" w:rsidRPr="004B4DC6">
              <w:t>General sovereign, sub</w:t>
            </w:r>
            <w:r w:rsidR="004B4DC6" w:rsidRPr="004B4DC6">
              <w:rPr>
                <w:rFonts w:ascii="Cambria Math" w:hAnsi="Cambria Math" w:cs="Cambria Math"/>
              </w:rPr>
              <w:t>‑</w:t>
            </w:r>
            <w:r w:rsidR="004B4DC6" w:rsidRPr="004B4DC6">
              <w:t>sovereign, and supranational debt without clear sustainability metrics is excluded from the numerator but remains eligible for the denominator.</w:t>
            </w:r>
          </w:p>
          <w:p w14:paraId="0C96A4F5" w14:textId="42481E83" w:rsidR="000B3E03" w:rsidRDefault="00BE454F" w:rsidP="00B01487">
            <w:pPr>
              <w:pStyle w:val="IEBullet-Level1"/>
            </w:pPr>
            <w:r w:rsidRPr="003B13B7">
              <w:rPr>
                <w:b/>
                <w:bCs/>
              </w:rPr>
              <w:t>Exceptions</w:t>
            </w:r>
            <w:r>
              <w:t>:</w:t>
            </w:r>
            <w:r w:rsidR="003B13B7">
              <w:t xml:space="preserve"> </w:t>
            </w:r>
            <w:r w:rsidR="00B01487" w:rsidRPr="00B01487">
              <w:t>Use of proceeds instruments issued by companies or public sector entities, provided the bond proceeds finance activities other than those excluded, and the issuer itself is not otherwise excluded</w:t>
            </w:r>
            <w:r w:rsidR="003B13B7" w:rsidRPr="003B13B7">
              <w:t>.</w:t>
            </w:r>
          </w:p>
        </w:tc>
        <w:tc>
          <w:tcPr>
            <w:tcW w:w="2552" w:type="dxa"/>
            <w:shd w:val="clear" w:color="auto" w:fill="FBD4B4" w:themeFill="accent6" w:themeFillTint="66"/>
            <w:vAlign w:val="center"/>
          </w:tcPr>
          <w:p w14:paraId="0A42F711" w14:textId="5B6A362B" w:rsidR="00CE23E3" w:rsidRDefault="00BD176A" w:rsidP="00460DAB">
            <w:pPr>
              <w:spacing w:before="120" w:line="276" w:lineRule="auto"/>
              <w:jc w:val="center"/>
              <w:rPr>
                <w:iCs/>
                <w:sz w:val="17"/>
                <w:szCs w:val="17"/>
              </w:rPr>
            </w:pPr>
            <w:r w:rsidRPr="00BD176A">
              <w:rPr>
                <w:iCs/>
                <w:sz w:val="17"/>
                <w:szCs w:val="17"/>
              </w:rPr>
              <w:t xml:space="preserve">The </w:t>
            </w:r>
            <w:r w:rsidRPr="00BC721C">
              <w:rPr>
                <w:b/>
                <w:bCs/>
                <w:iCs/>
                <w:sz w:val="17"/>
                <w:szCs w:val="17"/>
              </w:rPr>
              <w:t>70% threshold is nearly as restrictive as in the sustainability category and risks excluding most transitional strategies</w:t>
            </w:r>
            <w:r w:rsidRPr="00BD176A">
              <w:rPr>
                <w:iCs/>
                <w:sz w:val="17"/>
                <w:szCs w:val="17"/>
              </w:rPr>
              <w:t xml:space="preserve">. </w:t>
            </w:r>
            <w:r w:rsidRPr="009B0FCA">
              <w:rPr>
                <w:iCs/>
                <w:sz w:val="17"/>
                <w:szCs w:val="17"/>
              </w:rPr>
              <w:t xml:space="preserve">The alternative 15% taxonomy alignment route is also impractical, for the same reason as </w:t>
            </w:r>
            <w:r w:rsidR="00447BCA" w:rsidRPr="009B0FCA">
              <w:rPr>
                <w:iCs/>
                <w:sz w:val="17"/>
                <w:szCs w:val="17"/>
              </w:rPr>
              <w:t>detailed</w:t>
            </w:r>
            <w:r w:rsidRPr="009B0FCA">
              <w:rPr>
                <w:iCs/>
                <w:sz w:val="17"/>
                <w:szCs w:val="17"/>
              </w:rPr>
              <w:t xml:space="preserve"> under the sustainability category</w:t>
            </w:r>
            <w:r w:rsidR="00447BCA" w:rsidRPr="009B0FCA">
              <w:rPr>
                <w:iCs/>
                <w:sz w:val="17"/>
                <w:szCs w:val="17"/>
              </w:rPr>
              <w:t xml:space="preserve"> assessment</w:t>
            </w:r>
            <w:r w:rsidRPr="009B0FCA">
              <w:rPr>
                <w:iCs/>
                <w:sz w:val="17"/>
                <w:szCs w:val="17"/>
              </w:rPr>
              <w:t>.</w:t>
            </w:r>
            <w:r w:rsidRPr="00BD176A">
              <w:rPr>
                <w:iCs/>
                <w:sz w:val="17"/>
                <w:szCs w:val="17"/>
              </w:rPr>
              <w:t xml:space="preserve"> Additionally, the Taxonomy currently rewards activities that are already “green” rather than recognising transition investments.</w:t>
            </w:r>
          </w:p>
        </w:tc>
      </w:tr>
      <w:tr w:rsidR="00CE23E3" w14:paraId="75182C6E" w14:textId="77777777" w:rsidTr="00F15842">
        <w:tc>
          <w:tcPr>
            <w:tcW w:w="2342" w:type="dxa"/>
            <w:vMerge/>
            <w:vAlign w:val="center"/>
          </w:tcPr>
          <w:p w14:paraId="5F1328E6" w14:textId="77777777" w:rsidR="00CE23E3" w:rsidRPr="006F1C5D" w:rsidRDefault="00CE23E3" w:rsidP="00460DAB">
            <w:pPr>
              <w:spacing w:before="120" w:line="276" w:lineRule="auto"/>
              <w:jc w:val="left"/>
              <w:rPr>
                <w:iCs/>
                <w:sz w:val="17"/>
                <w:szCs w:val="17"/>
              </w:rPr>
            </w:pPr>
          </w:p>
        </w:tc>
        <w:tc>
          <w:tcPr>
            <w:tcW w:w="11267" w:type="dxa"/>
            <w:vAlign w:val="center"/>
          </w:tcPr>
          <w:p w14:paraId="58E6654D" w14:textId="5F7EAE8B" w:rsidR="00497B47" w:rsidRDefault="00497B47" w:rsidP="00497B47">
            <w:pPr>
              <w:spacing w:before="120" w:line="276" w:lineRule="auto"/>
              <w:jc w:val="left"/>
              <w:rPr>
                <w:iCs/>
                <w:sz w:val="17"/>
                <w:szCs w:val="17"/>
              </w:rPr>
            </w:pPr>
            <w:r>
              <w:rPr>
                <w:iCs/>
                <w:sz w:val="17"/>
                <w:szCs w:val="17"/>
              </w:rPr>
              <w:t>Conditions to meet the Article 8 (p.</w:t>
            </w:r>
            <w:r w:rsidR="00086B7B">
              <w:rPr>
                <w:iCs/>
                <w:sz w:val="17"/>
                <w:szCs w:val="17"/>
              </w:rPr>
              <w:t>3</w:t>
            </w:r>
            <w:r w:rsidR="00A27B1A">
              <w:rPr>
                <w:iCs/>
                <w:sz w:val="17"/>
                <w:szCs w:val="17"/>
              </w:rPr>
              <w:t>5</w:t>
            </w:r>
            <w:r>
              <w:rPr>
                <w:iCs/>
                <w:sz w:val="17"/>
                <w:szCs w:val="17"/>
              </w:rPr>
              <w:t xml:space="preserve">) </w:t>
            </w:r>
            <w:r w:rsidR="00AB6F17">
              <w:rPr>
                <w:iCs/>
                <w:sz w:val="17"/>
                <w:szCs w:val="17"/>
              </w:rPr>
              <w:t>‘</w:t>
            </w:r>
            <w:r w:rsidR="001F3C21">
              <w:rPr>
                <w:iCs/>
                <w:sz w:val="17"/>
                <w:szCs w:val="17"/>
              </w:rPr>
              <w:t>ESG</w:t>
            </w:r>
            <w:r w:rsidR="00475C2D">
              <w:rPr>
                <w:iCs/>
                <w:sz w:val="17"/>
                <w:szCs w:val="17"/>
              </w:rPr>
              <w:t xml:space="preserve"> basics’</w:t>
            </w:r>
            <w:r w:rsidR="00AB6F17">
              <w:rPr>
                <w:iCs/>
                <w:sz w:val="17"/>
                <w:szCs w:val="17"/>
              </w:rPr>
              <w:t xml:space="preserve"> </w:t>
            </w:r>
            <w:r>
              <w:rPr>
                <w:iCs/>
                <w:sz w:val="17"/>
                <w:szCs w:val="17"/>
              </w:rPr>
              <w:t>category</w:t>
            </w:r>
            <w:r w:rsidR="00912518">
              <w:rPr>
                <w:iCs/>
                <w:sz w:val="17"/>
                <w:szCs w:val="17"/>
              </w:rPr>
              <w:t>:</w:t>
            </w:r>
          </w:p>
          <w:p w14:paraId="0D70C362" w14:textId="6C3F7AB1" w:rsidR="00497B47" w:rsidRDefault="00E931DA" w:rsidP="007606C3">
            <w:pPr>
              <w:pStyle w:val="IEBullet-Level1"/>
            </w:pPr>
            <w:r w:rsidRPr="0031371C">
              <w:rPr>
                <w:b/>
                <w:bCs/>
              </w:rPr>
              <w:t>70% threshold</w:t>
            </w:r>
            <w:r w:rsidRPr="00E931DA">
              <w:t xml:space="preserve"> linked to the proportion of investment</w:t>
            </w:r>
            <w:r w:rsidR="00FC332C">
              <w:t>s</w:t>
            </w:r>
            <w:r w:rsidRPr="00E931DA">
              <w:t xml:space="preserve"> </w:t>
            </w:r>
            <w:r w:rsidRPr="0031371C">
              <w:rPr>
                <w:b/>
                <w:bCs/>
              </w:rPr>
              <w:t>integrating the sustainability factors</w:t>
            </w:r>
            <w:r w:rsidR="0031371C" w:rsidRPr="0031371C">
              <w:rPr>
                <w:b/>
                <w:bCs/>
              </w:rPr>
              <w:t xml:space="preserve"> </w:t>
            </w:r>
            <w:r w:rsidR="0031371C" w:rsidRPr="0031371C">
              <w:t xml:space="preserve">in </w:t>
            </w:r>
            <w:r w:rsidR="00C620A9" w:rsidRPr="00C620A9">
              <w:t>line with sustainability factors, measured using appropriate sustainability</w:t>
            </w:r>
            <w:r w:rsidR="00C620A9" w:rsidRPr="00C620A9">
              <w:noBreakHyphen/>
              <w:t>related indicators</w:t>
            </w:r>
            <w:r w:rsidR="007D6B9B">
              <w:t>.</w:t>
            </w:r>
          </w:p>
          <w:p w14:paraId="2E250896" w14:textId="763D6D19" w:rsidR="007D6B9B" w:rsidRDefault="007D6B9B" w:rsidP="007D6B9B">
            <w:pPr>
              <w:pStyle w:val="IEBullet-Level1"/>
            </w:pPr>
            <w:r>
              <w:t>Included are investments:</w:t>
            </w:r>
          </w:p>
          <w:p w14:paraId="2D917CF4" w14:textId="06E6AFF9" w:rsidR="007D6B9B" w:rsidRPr="007D6B9B" w:rsidRDefault="007D6B9B" w:rsidP="00C448C6">
            <w:pPr>
              <w:pStyle w:val="IEBullet-Level2"/>
              <w:numPr>
                <w:ilvl w:val="0"/>
                <w:numId w:val="14"/>
              </w:numPr>
            </w:pPr>
            <w:r>
              <w:t>W</w:t>
            </w:r>
            <w:r w:rsidRPr="007D6B9B">
              <w:t xml:space="preserve">ith a strong ESG rating, as defined by the ESG rating activities Regulation </w:t>
            </w:r>
            <w:r w:rsidR="00884542">
              <w:t>(</w:t>
            </w:r>
            <w:r w:rsidRPr="007D6B9B">
              <w:t xml:space="preserve">(EU) 2024/3005), </w:t>
            </w:r>
            <w:r w:rsidR="004E6386">
              <w:t xml:space="preserve">that </w:t>
            </w:r>
            <w:r w:rsidR="004E6386" w:rsidRPr="004E6386">
              <w:t>outperforms the average rating of the investment universe or the reference benchmark</w:t>
            </w:r>
            <w:r w:rsidRPr="007D6B9B">
              <w:t>.</w:t>
            </w:r>
          </w:p>
          <w:p w14:paraId="41735D14" w14:textId="5BFBB4FA" w:rsidR="007D6B9B" w:rsidRPr="007D6B9B" w:rsidRDefault="007D6B9B" w:rsidP="00C448C6">
            <w:pPr>
              <w:pStyle w:val="IEBullet-Level2"/>
              <w:numPr>
                <w:ilvl w:val="0"/>
                <w:numId w:val="14"/>
              </w:numPr>
            </w:pPr>
            <w:r>
              <w:t>That</w:t>
            </w:r>
            <w:r w:rsidRPr="007D6B9B">
              <w:t xml:space="preserve"> outperform the market average or benchmark on a specific sustainability indicator—such as emissions, energy efficiency, or social impact.</w:t>
            </w:r>
          </w:p>
          <w:p w14:paraId="01C6AA33" w14:textId="46AC02FA" w:rsidR="007D6B9B" w:rsidRPr="007D6B9B" w:rsidRDefault="007D6B9B" w:rsidP="00C448C6">
            <w:pPr>
              <w:pStyle w:val="IEBullet-Level2"/>
              <w:numPr>
                <w:ilvl w:val="0"/>
                <w:numId w:val="14"/>
              </w:numPr>
            </w:pPr>
            <w:r>
              <w:t>In</w:t>
            </w:r>
            <w:r w:rsidRPr="007D6B9B">
              <w:t xml:space="preserve"> companies or activities with a proven history of strong sustainability practices, performance, or results.</w:t>
            </w:r>
          </w:p>
          <w:p w14:paraId="3D7C2984" w14:textId="2265186B" w:rsidR="007D6B9B" w:rsidRPr="007D6B9B" w:rsidRDefault="00F85FE5" w:rsidP="00C448C6">
            <w:pPr>
              <w:pStyle w:val="IEBullet-Level2"/>
              <w:numPr>
                <w:ilvl w:val="0"/>
                <w:numId w:val="14"/>
              </w:numPr>
            </w:pPr>
            <w:r w:rsidRPr="00F85FE5">
              <w:t>A combination of investments pursuant to Article 7(2) or Article 9(2) together with the above</w:t>
            </w:r>
            <w:r w:rsidR="007D6B9B" w:rsidRPr="007D6B9B">
              <w:t>.</w:t>
            </w:r>
          </w:p>
          <w:p w14:paraId="5F516F44" w14:textId="35D3A6E1" w:rsidR="007D6B9B" w:rsidRPr="007D6B9B" w:rsidRDefault="007D6B9B" w:rsidP="00C448C6">
            <w:pPr>
              <w:pStyle w:val="IEBullet-Level2"/>
              <w:numPr>
                <w:ilvl w:val="0"/>
                <w:numId w:val="14"/>
              </w:numPr>
            </w:pPr>
            <w:r>
              <w:t>That</w:t>
            </w:r>
            <w:r w:rsidRPr="007D6B9B">
              <w:t xml:space="preserve"> actively integrate sustainability factors beyond just managing risks, </w:t>
            </w:r>
            <w:r w:rsidR="00E62159" w:rsidRPr="007D6B9B">
              <w:t>if</w:t>
            </w:r>
            <w:r w:rsidRPr="007D6B9B">
              <w:t xml:space="preserve"> the reasoning is clearly explained.</w:t>
            </w:r>
          </w:p>
          <w:p w14:paraId="531BE4A9" w14:textId="34AD97FA" w:rsidR="00E931DA" w:rsidRDefault="00E931DA" w:rsidP="005A4910">
            <w:pPr>
              <w:pStyle w:val="IEBullet-Level1"/>
            </w:pPr>
            <w:r w:rsidRPr="003B13B7">
              <w:rPr>
                <w:b/>
                <w:bCs/>
              </w:rPr>
              <w:t>Exclusion criteria</w:t>
            </w:r>
            <w:r w:rsidR="00CC1A24">
              <w:rPr>
                <w:b/>
                <w:bCs/>
              </w:rPr>
              <w:t xml:space="preserve"> and exceptions</w:t>
            </w:r>
            <w:r>
              <w:t>:</w:t>
            </w:r>
            <w:r w:rsidR="00CC1A24">
              <w:t xml:space="preserve"> </w:t>
            </w:r>
            <w:r w:rsidR="00AA04E1" w:rsidRPr="00A2146D">
              <w:t xml:space="preserve">Investments in companies engaged in </w:t>
            </w:r>
            <w:r w:rsidR="005A4910">
              <w:t>hard coal and lignite mining, oil shale mining, peat extraction and electricity generation from fossil fuels</w:t>
            </w:r>
            <w:r w:rsidR="005A4910" w:rsidRPr="00A2146D">
              <w:t xml:space="preserve"> are excluded</w:t>
            </w:r>
            <w:r w:rsidR="00203F79">
              <w:t>.</w:t>
            </w:r>
          </w:p>
          <w:p w14:paraId="7D14EF32" w14:textId="0A13CE50" w:rsidR="00825FB6" w:rsidRDefault="00D56745" w:rsidP="00CB3F65">
            <w:pPr>
              <w:pStyle w:val="IEBullet-Level1"/>
              <w:ind w:left="714" w:hanging="357"/>
            </w:pPr>
            <w:r>
              <w:rPr>
                <w:b/>
                <w:bCs/>
              </w:rPr>
              <w:t>Exceptions</w:t>
            </w:r>
            <w:r w:rsidRPr="00D56745">
              <w:t>:</w:t>
            </w:r>
            <w:r>
              <w:t xml:space="preserve"> </w:t>
            </w:r>
            <w:r w:rsidR="007F05BA" w:rsidRPr="007F05BA">
              <w:t>Use of proceeds instruments issued by companies, provided the bond proceeds finance activities other than those excluded, and the issuer itself is not otherwise excluded</w:t>
            </w:r>
            <w:r w:rsidR="007F05BA">
              <w:t>.</w:t>
            </w:r>
          </w:p>
        </w:tc>
        <w:tc>
          <w:tcPr>
            <w:tcW w:w="2552" w:type="dxa"/>
            <w:shd w:val="clear" w:color="auto" w:fill="FBD4B4" w:themeFill="accent6" w:themeFillTint="66"/>
            <w:vAlign w:val="center"/>
          </w:tcPr>
          <w:p w14:paraId="272943BB" w14:textId="1487AC87" w:rsidR="00E365B9" w:rsidRDefault="00034944" w:rsidP="0080258F">
            <w:pPr>
              <w:spacing w:before="120" w:line="276" w:lineRule="auto"/>
              <w:jc w:val="center"/>
              <w:rPr>
                <w:iCs/>
                <w:sz w:val="17"/>
                <w:szCs w:val="17"/>
              </w:rPr>
            </w:pPr>
            <w:r w:rsidRPr="00034944">
              <w:rPr>
                <w:iCs/>
                <w:sz w:val="17"/>
                <w:szCs w:val="17"/>
              </w:rPr>
              <w:t xml:space="preserve">The </w:t>
            </w:r>
            <w:r w:rsidRPr="009C2A63">
              <w:rPr>
                <w:b/>
                <w:bCs/>
                <w:iCs/>
                <w:sz w:val="17"/>
                <w:szCs w:val="17"/>
              </w:rPr>
              <w:t>“S” dimension</w:t>
            </w:r>
            <w:r w:rsidRPr="00034944">
              <w:rPr>
                <w:iCs/>
                <w:sz w:val="17"/>
                <w:szCs w:val="17"/>
              </w:rPr>
              <w:t xml:space="preserve"> does not appear to be reinforced in the criteria, which leaves a gap compared to the environmental focus. In addition, certain </w:t>
            </w:r>
            <w:r w:rsidRPr="009C2A63">
              <w:rPr>
                <w:b/>
                <w:bCs/>
                <w:iCs/>
                <w:sz w:val="17"/>
                <w:szCs w:val="17"/>
              </w:rPr>
              <w:t xml:space="preserve">CTB exclusions </w:t>
            </w:r>
            <w:r w:rsidRPr="00034944">
              <w:rPr>
                <w:iCs/>
                <w:sz w:val="17"/>
                <w:szCs w:val="17"/>
              </w:rPr>
              <w:t xml:space="preserve">seem excessive for this category. </w:t>
            </w:r>
          </w:p>
        </w:tc>
      </w:tr>
      <w:tr w:rsidR="00CE23E3" w14:paraId="16F92EAB" w14:textId="77777777" w:rsidTr="00F15842">
        <w:tc>
          <w:tcPr>
            <w:tcW w:w="2342" w:type="dxa"/>
            <w:vMerge/>
            <w:vAlign w:val="center"/>
          </w:tcPr>
          <w:p w14:paraId="302E9793" w14:textId="77777777" w:rsidR="00CE23E3" w:rsidRPr="006F1C5D" w:rsidRDefault="00CE23E3" w:rsidP="00460DAB">
            <w:pPr>
              <w:spacing w:before="120" w:line="276" w:lineRule="auto"/>
              <w:jc w:val="left"/>
              <w:rPr>
                <w:iCs/>
                <w:sz w:val="17"/>
                <w:szCs w:val="17"/>
              </w:rPr>
            </w:pPr>
          </w:p>
        </w:tc>
        <w:tc>
          <w:tcPr>
            <w:tcW w:w="11267" w:type="dxa"/>
            <w:vAlign w:val="center"/>
          </w:tcPr>
          <w:p w14:paraId="58A15D7E" w14:textId="4A94D7B7" w:rsidR="00497B47" w:rsidRDefault="00497B47" w:rsidP="00497B47">
            <w:pPr>
              <w:spacing w:before="120" w:line="276" w:lineRule="auto"/>
              <w:jc w:val="left"/>
              <w:rPr>
                <w:iCs/>
                <w:sz w:val="17"/>
                <w:szCs w:val="17"/>
              </w:rPr>
            </w:pPr>
            <w:r>
              <w:rPr>
                <w:iCs/>
                <w:sz w:val="17"/>
                <w:szCs w:val="17"/>
              </w:rPr>
              <w:t>Conditions to meet the Article 9 (p.3</w:t>
            </w:r>
            <w:r w:rsidR="00A27B1A">
              <w:rPr>
                <w:iCs/>
                <w:sz w:val="17"/>
                <w:szCs w:val="17"/>
              </w:rPr>
              <w:t>7</w:t>
            </w:r>
            <w:r>
              <w:rPr>
                <w:iCs/>
                <w:sz w:val="17"/>
                <w:szCs w:val="17"/>
              </w:rPr>
              <w:t xml:space="preserve">) </w:t>
            </w:r>
            <w:r w:rsidR="00AB6F17">
              <w:rPr>
                <w:iCs/>
                <w:sz w:val="17"/>
                <w:szCs w:val="17"/>
              </w:rPr>
              <w:t>‘</w:t>
            </w:r>
            <w:r w:rsidR="001F3C21">
              <w:rPr>
                <w:iCs/>
                <w:sz w:val="17"/>
                <w:szCs w:val="17"/>
              </w:rPr>
              <w:t>Sustainability’</w:t>
            </w:r>
            <w:r w:rsidR="00912518">
              <w:rPr>
                <w:iCs/>
                <w:sz w:val="17"/>
                <w:szCs w:val="17"/>
              </w:rPr>
              <w:t>:</w:t>
            </w:r>
          </w:p>
          <w:p w14:paraId="0E75801F" w14:textId="4AB2A726" w:rsidR="004F3245" w:rsidRDefault="004F3245" w:rsidP="004F3245">
            <w:pPr>
              <w:pStyle w:val="IEBullet-Level1"/>
            </w:pPr>
            <w:r w:rsidRPr="00E931DA">
              <w:rPr>
                <w:b/>
                <w:bCs/>
              </w:rPr>
              <w:t>70% threshold</w:t>
            </w:r>
            <w:r w:rsidRPr="00E931DA">
              <w:t xml:space="preserve"> linked to</w:t>
            </w:r>
            <w:r w:rsidR="006021BE">
              <w:t xml:space="preserve"> </w:t>
            </w:r>
            <w:r w:rsidR="006021BE" w:rsidRPr="006021BE">
              <w:t xml:space="preserve">the proportion of investments to meet </w:t>
            </w:r>
            <w:r w:rsidR="00994FB7" w:rsidRPr="00994FB7">
              <w:t>clear and measurable sustainability objectives (environmental and/or social), measured using appropriate sustainability</w:t>
            </w:r>
            <w:r w:rsidR="00994FB7" w:rsidRPr="00994FB7">
              <w:noBreakHyphen/>
              <w:t>related indicators</w:t>
            </w:r>
            <w:r w:rsidR="00994FB7">
              <w:t>.</w:t>
            </w:r>
          </w:p>
          <w:p w14:paraId="10419B4A" w14:textId="26F878D4" w:rsidR="00B34F54" w:rsidRDefault="00CF21FD" w:rsidP="006E2C25">
            <w:pPr>
              <w:pStyle w:val="IEBullet-Level1"/>
            </w:pPr>
            <w:r w:rsidRPr="00CF21FD">
              <w:t>Condition is considered met for products with ≥15% taxonomy</w:t>
            </w:r>
            <w:r w:rsidRPr="00CF21FD">
              <w:noBreakHyphen/>
              <w:t>aligned investments or those replicating/managed in reference to an EU Paris</w:t>
            </w:r>
            <w:r w:rsidRPr="00CF21FD">
              <w:noBreakHyphen/>
              <w:t>aligned benchmark</w:t>
            </w:r>
            <w:r w:rsidR="00B34F54" w:rsidRPr="00075AE7">
              <w:t>.</w:t>
            </w:r>
          </w:p>
          <w:p w14:paraId="05FED038" w14:textId="0A0A69F6" w:rsidR="00C448C6" w:rsidRDefault="00C448C6" w:rsidP="00C448C6">
            <w:pPr>
              <w:pStyle w:val="IEBullet-Level1"/>
            </w:pPr>
            <w:r>
              <w:t>Included are investments:</w:t>
            </w:r>
          </w:p>
          <w:p w14:paraId="21AB28D7" w14:textId="4ECAC0C8" w:rsidR="00C448C6" w:rsidRPr="00C448C6" w:rsidRDefault="00C448C6" w:rsidP="00C448C6">
            <w:pPr>
              <w:pStyle w:val="IEBullet-Level2"/>
              <w:numPr>
                <w:ilvl w:val="0"/>
                <w:numId w:val="13"/>
              </w:numPr>
            </w:pPr>
            <w:r>
              <w:t xml:space="preserve">In </w:t>
            </w:r>
            <w:r w:rsidRPr="00C448C6">
              <w:t xml:space="preserve">portfolios that follow or are managed in line with the </w:t>
            </w:r>
            <w:r w:rsidRPr="00C448C6">
              <w:rPr>
                <w:i/>
              </w:rPr>
              <w:t>EU Paris-Aligned Benchmark</w:t>
            </w:r>
            <w:r w:rsidRPr="00C448C6">
              <w:t>.</w:t>
            </w:r>
          </w:p>
          <w:p w14:paraId="3E4A893C" w14:textId="5D3CC250" w:rsidR="00C448C6" w:rsidRPr="00C448C6" w:rsidRDefault="00C448C6" w:rsidP="00C448C6">
            <w:pPr>
              <w:pStyle w:val="IEBullet-Level2"/>
              <w:numPr>
                <w:ilvl w:val="0"/>
                <w:numId w:val="13"/>
              </w:numPr>
            </w:pPr>
            <w:r>
              <w:t>In</w:t>
            </w:r>
            <w:r w:rsidRPr="00C448C6">
              <w:t xml:space="preserve"> economic activities that meet the EU Taxonomy criteria for environmental sustainability.</w:t>
            </w:r>
          </w:p>
          <w:p w14:paraId="4C7FA76D" w14:textId="42992F80" w:rsidR="00C448C6" w:rsidRPr="00C448C6" w:rsidRDefault="00C448C6" w:rsidP="00C448C6">
            <w:pPr>
              <w:pStyle w:val="IEBullet-Level2"/>
              <w:numPr>
                <w:ilvl w:val="0"/>
                <w:numId w:val="13"/>
              </w:numPr>
            </w:pPr>
            <w:r>
              <w:t>In</w:t>
            </w:r>
            <w:r w:rsidRPr="00C448C6">
              <w:t xml:space="preserve"> financial instruments issued under </w:t>
            </w:r>
            <w:r w:rsidR="00D3130D">
              <w:t xml:space="preserve">The EU Green Bonds </w:t>
            </w:r>
            <w:r w:rsidRPr="00C448C6">
              <w:t>Regulation</w:t>
            </w:r>
            <w:r w:rsidRPr="00C448C6">
              <w:rPr>
                <w:i/>
              </w:rPr>
              <w:t xml:space="preserve"> </w:t>
            </w:r>
            <w:r w:rsidRPr="00C448C6">
              <w:t>(EU) 2023/2631.</w:t>
            </w:r>
          </w:p>
          <w:p w14:paraId="5846D843" w14:textId="7EB2D278" w:rsidR="00C448C6" w:rsidRPr="00C448C6" w:rsidRDefault="00D3130D" w:rsidP="00C448C6">
            <w:pPr>
              <w:pStyle w:val="IEBullet-Level2"/>
              <w:numPr>
                <w:ilvl w:val="0"/>
                <w:numId w:val="13"/>
              </w:numPr>
            </w:pPr>
            <w:r>
              <w:t>(Co-)</w:t>
            </w:r>
            <w:r w:rsidR="00C448C6" w:rsidRPr="00C448C6">
              <w:t>investments in EU-backed bonds or funds that have ESG objectives and are supported by the EU budget.</w:t>
            </w:r>
          </w:p>
          <w:p w14:paraId="30E3701C" w14:textId="0DD9F290" w:rsidR="00C448C6" w:rsidRPr="00C448C6" w:rsidRDefault="00C448C6" w:rsidP="00C448C6">
            <w:pPr>
              <w:pStyle w:val="IEBullet-Level2"/>
              <w:numPr>
                <w:ilvl w:val="0"/>
                <w:numId w:val="13"/>
              </w:numPr>
            </w:pPr>
            <w:r>
              <w:t xml:space="preserve">In </w:t>
            </w:r>
            <w:r w:rsidRPr="00C448C6">
              <w:t xml:space="preserve">similar assets to those listed in points (a) to (c), </w:t>
            </w:r>
            <w:r w:rsidR="00D3130D">
              <w:t>explaining</w:t>
            </w:r>
            <w:r w:rsidRPr="00C448C6">
              <w:t xml:space="preserve"> that they meet high sustainability standards.</w:t>
            </w:r>
          </w:p>
          <w:p w14:paraId="62E86331" w14:textId="04A89C73" w:rsidR="00551256" w:rsidRDefault="00551256" w:rsidP="00C448C6">
            <w:pPr>
              <w:pStyle w:val="IEBullet-Level2"/>
              <w:numPr>
                <w:ilvl w:val="0"/>
                <w:numId w:val="13"/>
              </w:numPr>
            </w:pPr>
            <w:r w:rsidRPr="00551256">
              <w:t>Investments in European social entrepreneurship funds (EuSEF) under Regulation (EU) No 346/2013.</w:t>
            </w:r>
          </w:p>
          <w:p w14:paraId="59B41635" w14:textId="116821E1" w:rsidR="00C448C6" w:rsidRPr="00C448C6" w:rsidRDefault="00C448C6" w:rsidP="00C448C6">
            <w:pPr>
              <w:pStyle w:val="IEBullet-Level2"/>
              <w:numPr>
                <w:ilvl w:val="0"/>
                <w:numId w:val="13"/>
              </w:numPr>
            </w:pPr>
            <w:r>
              <w:t>In</w:t>
            </w:r>
            <w:r w:rsidRPr="00C448C6">
              <w:t xml:space="preserve"> sustainable companies, activities, or assets—or those that help advance sustainability—provided the justification is clearly included in the required disclosures.</w:t>
            </w:r>
          </w:p>
          <w:p w14:paraId="75249893" w14:textId="56DC11AC" w:rsidR="00D13EFC" w:rsidRDefault="00E62839" w:rsidP="00D13EFC">
            <w:pPr>
              <w:pStyle w:val="IEBullet-Level1"/>
            </w:pPr>
            <w:r>
              <w:rPr>
                <w:b/>
                <w:bCs/>
              </w:rPr>
              <w:t>Exclusion criteria</w:t>
            </w:r>
            <w:r w:rsidR="00E10621" w:rsidRPr="00E10621">
              <w:t>: same as</w:t>
            </w:r>
            <w:r w:rsidR="00E10621">
              <w:t xml:space="preserve"> </w:t>
            </w:r>
            <w:r w:rsidR="00235248">
              <w:t xml:space="preserve">for Article 7 </w:t>
            </w:r>
            <w:r w:rsidR="00762E55">
              <w:t>but</w:t>
            </w:r>
            <w:r w:rsidR="00D13EFC">
              <w:t xml:space="preserve"> additionally excluding </w:t>
            </w:r>
            <w:r w:rsidR="00D13EFC" w:rsidRPr="00D13EFC">
              <w:t xml:space="preserve">investments in </w:t>
            </w:r>
            <w:r w:rsidR="002B64F5" w:rsidRPr="002B64F5">
              <w:t>and companies developing new coal/lignite/oil/gas projects or lacking credible phase</w:t>
            </w:r>
            <w:r w:rsidR="002B64F5" w:rsidRPr="002B64F5">
              <w:noBreakHyphen/>
              <w:t>out plans for coal/lignite power generation</w:t>
            </w:r>
            <w:r w:rsidR="002B3799" w:rsidRPr="002B3799">
              <w:t>.</w:t>
            </w:r>
          </w:p>
          <w:p w14:paraId="0679C0F7" w14:textId="3EFD2EBB" w:rsidR="00497B47" w:rsidRPr="00B34F54" w:rsidRDefault="00D17CAE" w:rsidP="00CB3F65">
            <w:pPr>
              <w:pStyle w:val="IEBullet-Level1"/>
            </w:pPr>
            <w:r>
              <w:rPr>
                <w:b/>
                <w:bCs/>
              </w:rPr>
              <w:lastRenderedPageBreak/>
              <w:t>Exceptions</w:t>
            </w:r>
            <w:r>
              <w:t xml:space="preserve">: </w:t>
            </w:r>
            <w:r w:rsidR="00605D64" w:rsidRPr="00605D64">
              <w:t>Use of proceeds instruments issued by companies or public sector entities, provided the bond proceeds finance activities other than those excluded, and the issuer itself is not otherwise excluded</w:t>
            </w:r>
            <w:r w:rsidR="008A6710" w:rsidRPr="003B13B7">
              <w:t>.</w:t>
            </w:r>
            <w:r w:rsidR="008A6710">
              <w:t xml:space="preserve"> </w:t>
            </w:r>
          </w:p>
        </w:tc>
        <w:tc>
          <w:tcPr>
            <w:tcW w:w="2552" w:type="dxa"/>
            <w:shd w:val="clear" w:color="auto" w:fill="FBD4B4" w:themeFill="accent6" w:themeFillTint="66"/>
            <w:vAlign w:val="center"/>
          </w:tcPr>
          <w:p w14:paraId="07EC800D" w14:textId="4F2603C6" w:rsidR="00CE23E3" w:rsidRDefault="00196EA1" w:rsidP="00A421B2">
            <w:pPr>
              <w:spacing w:before="120" w:line="276" w:lineRule="auto"/>
              <w:jc w:val="center"/>
              <w:rPr>
                <w:iCs/>
                <w:sz w:val="17"/>
                <w:szCs w:val="17"/>
              </w:rPr>
            </w:pPr>
            <w:r w:rsidRPr="00196EA1">
              <w:rPr>
                <w:iCs/>
                <w:sz w:val="17"/>
                <w:szCs w:val="17"/>
              </w:rPr>
              <w:lastRenderedPageBreak/>
              <w:t xml:space="preserve">The </w:t>
            </w:r>
            <w:r w:rsidRPr="00A421B2">
              <w:rPr>
                <w:b/>
                <w:bCs/>
                <w:iCs/>
                <w:sz w:val="17"/>
                <w:szCs w:val="17"/>
              </w:rPr>
              <w:t>70% threshold is overly rigid</w:t>
            </w:r>
            <w:r w:rsidRPr="00196EA1">
              <w:rPr>
                <w:iCs/>
                <w:sz w:val="17"/>
                <w:szCs w:val="17"/>
              </w:rPr>
              <w:t xml:space="preserve"> for diversified insurance portfolios and misaligned with general accounts </w:t>
            </w:r>
            <w:r w:rsidRPr="009B0FCA">
              <w:rPr>
                <w:iCs/>
                <w:sz w:val="17"/>
                <w:szCs w:val="17"/>
              </w:rPr>
              <w:t>and MOP</w:t>
            </w:r>
            <w:r w:rsidR="00A421B2" w:rsidRPr="009B0FCA">
              <w:rPr>
                <w:iCs/>
                <w:sz w:val="17"/>
                <w:szCs w:val="17"/>
              </w:rPr>
              <w:t>s</w:t>
            </w:r>
            <w:r w:rsidRPr="009B0FCA">
              <w:rPr>
                <w:iCs/>
                <w:sz w:val="17"/>
                <w:szCs w:val="17"/>
              </w:rPr>
              <w:t xml:space="preserve"> structures. The </w:t>
            </w:r>
            <w:r w:rsidRPr="009B0FCA">
              <w:rPr>
                <w:b/>
                <w:bCs/>
                <w:iCs/>
                <w:sz w:val="17"/>
                <w:szCs w:val="17"/>
              </w:rPr>
              <w:t>alternative 15% compliance route is also impractical</w:t>
            </w:r>
            <w:r w:rsidRPr="009B0FCA">
              <w:rPr>
                <w:iCs/>
                <w:sz w:val="17"/>
                <w:szCs w:val="17"/>
              </w:rPr>
              <w:t xml:space="preserve">: Investment KPI values rarely exceed 10%. </w:t>
            </w:r>
          </w:p>
        </w:tc>
      </w:tr>
      <w:tr w:rsidR="00460DAB" w14:paraId="615B9129" w14:textId="77777777" w:rsidTr="00A91707">
        <w:tc>
          <w:tcPr>
            <w:tcW w:w="2342" w:type="dxa"/>
            <w:vAlign w:val="center"/>
          </w:tcPr>
          <w:p w14:paraId="4354E102" w14:textId="55A3A853" w:rsidR="00460DAB" w:rsidRPr="00460DAB" w:rsidRDefault="00CC0F1C" w:rsidP="00460DAB">
            <w:pPr>
              <w:spacing w:before="120" w:line="276" w:lineRule="auto"/>
              <w:jc w:val="left"/>
              <w:rPr>
                <w:iCs/>
                <w:sz w:val="17"/>
                <w:szCs w:val="17"/>
              </w:rPr>
            </w:pPr>
            <w:r>
              <w:rPr>
                <w:iCs/>
                <w:sz w:val="17"/>
                <w:szCs w:val="17"/>
              </w:rPr>
              <w:t>NEW</w:t>
            </w:r>
            <w:r w:rsidR="006F1C5D" w:rsidRPr="006F1C5D">
              <w:rPr>
                <w:iCs/>
                <w:sz w:val="17"/>
                <w:szCs w:val="17"/>
              </w:rPr>
              <w:t xml:space="preserve"> Article on financial products combining categorised products</w:t>
            </w:r>
          </w:p>
        </w:tc>
        <w:tc>
          <w:tcPr>
            <w:tcW w:w="11267" w:type="dxa"/>
            <w:vAlign w:val="center"/>
          </w:tcPr>
          <w:p w14:paraId="409E9502" w14:textId="4BFE8C3F" w:rsidR="00084441" w:rsidRPr="00084441" w:rsidRDefault="00CC0F1C" w:rsidP="00084441">
            <w:pPr>
              <w:spacing w:before="120" w:line="276" w:lineRule="auto"/>
              <w:jc w:val="left"/>
              <w:rPr>
                <w:sz w:val="17"/>
                <w:szCs w:val="17"/>
              </w:rPr>
            </w:pPr>
            <w:r>
              <w:rPr>
                <w:iCs/>
                <w:sz w:val="17"/>
                <w:szCs w:val="17"/>
              </w:rPr>
              <w:t>Article 9a (p.</w:t>
            </w:r>
            <w:r w:rsidR="00A94DD1">
              <w:rPr>
                <w:iCs/>
                <w:sz w:val="17"/>
                <w:szCs w:val="17"/>
              </w:rPr>
              <w:t>4</w:t>
            </w:r>
            <w:r w:rsidR="00A27B1A">
              <w:rPr>
                <w:iCs/>
                <w:sz w:val="17"/>
                <w:szCs w:val="17"/>
              </w:rPr>
              <w:t>0</w:t>
            </w:r>
            <w:r>
              <w:rPr>
                <w:iCs/>
                <w:sz w:val="17"/>
                <w:szCs w:val="17"/>
              </w:rPr>
              <w:t xml:space="preserve">) </w:t>
            </w:r>
            <w:r w:rsidR="00084441" w:rsidRPr="00084441">
              <w:rPr>
                <w:sz w:val="17"/>
                <w:szCs w:val="17"/>
              </w:rPr>
              <w:t>allows financial products that claim to combine categorised sustainability products (Articles 7, 8, or 9) to be deemed compliant if:</w:t>
            </w:r>
          </w:p>
          <w:p w14:paraId="1EC73356" w14:textId="77777777" w:rsidR="00084441" w:rsidRPr="00084441" w:rsidRDefault="00084441" w:rsidP="00084441">
            <w:pPr>
              <w:pStyle w:val="IEBullet-Level1"/>
            </w:pPr>
            <w:r w:rsidRPr="00084441">
              <w:t xml:space="preserve">They meet the </w:t>
            </w:r>
            <w:r w:rsidRPr="00084441">
              <w:rPr>
                <w:b/>
              </w:rPr>
              <w:t>70% investment threshold</w:t>
            </w:r>
            <w:r w:rsidRPr="00084441">
              <w:t xml:space="preserve"> via categorised products or other investments meeting Articles 7–9.</w:t>
            </w:r>
          </w:p>
          <w:p w14:paraId="5B093A44" w14:textId="77777777" w:rsidR="00084441" w:rsidRPr="00084441" w:rsidRDefault="00084441" w:rsidP="00084441">
            <w:pPr>
              <w:pStyle w:val="IEBullet-Level1"/>
            </w:pPr>
            <w:r w:rsidRPr="00084441">
              <w:t xml:space="preserve">They comply with the </w:t>
            </w:r>
            <w:r w:rsidRPr="00084441">
              <w:rPr>
                <w:b/>
              </w:rPr>
              <w:t>exclusions</w:t>
            </w:r>
            <w:r w:rsidRPr="00084441">
              <w:t xml:space="preserve"> in those Articles.</w:t>
            </w:r>
          </w:p>
          <w:p w14:paraId="0C0D1C3F" w14:textId="77777777" w:rsidR="00084441" w:rsidRPr="00084441" w:rsidRDefault="00084441" w:rsidP="00084441">
            <w:pPr>
              <w:pStyle w:val="IEBullet-Level1"/>
            </w:pPr>
            <w:r w:rsidRPr="00084441">
              <w:t>FMPs may rely on disclosures of the underlying categorised products to assess eligibility.</w:t>
            </w:r>
          </w:p>
          <w:p w14:paraId="6E0152AF" w14:textId="77777777" w:rsidR="00084441" w:rsidRPr="00084441" w:rsidRDefault="00084441" w:rsidP="00084441">
            <w:pPr>
              <w:spacing w:before="120" w:line="276" w:lineRule="auto"/>
              <w:jc w:val="left"/>
              <w:rPr>
                <w:sz w:val="17"/>
                <w:szCs w:val="17"/>
              </w:rPr>
            </w:pPr>
            <w:r w:rsidRPr="00084441">
              <w:rPr>
                <w:sz w:val="17"/>
                <w:szCs w:val="17"/>
              </w:rPr>
              <w:t xml:space="preserve">For </w:t>
            </w:r>
            <w:r w:rsidRPr="00084441">
              <w:rPr>
                <w:b/>
                <w:sz w:val="17"/>
                <w:szCs w:val="17"/>
              </w:rPr>
              <w:t>non</w:t>
            </w:r>
            <w:r w:rsidRPr="00084441">
              <w:rPr>
                <w:b/>
                <w:sz w:val="17"/>
                <w:szCs w:val="17"/>
              </w:rPr>
              <w:noBreakHyphen/>
              <w:t>categorised products</w:t>
            </w:r>
            <w:r w:rsidRPr="00084441">
              <w:rPr>
                <w:sz w:val="17"/>
                <w:szCs w:val="17"/>
              </w:rPr>
              <w:t xml:space="preserve"> that invest in or are exposed to underlying categorised products, disclosures under Article 6(3) must cover:</w:t>
            </w:r>
          </w:p>
          <w:p w14:paraId="43CDED73" w14:textId="77777777" w:rsidR="00084441" w:rsidRPr="00084441" w:rsidRDefault="00084441" w:rsidP="00084441">
            <w:pPr>
              <w:pStyle w:val="IEBullet-Level1"/>
            </w:pPr>
            <w:r w:rsidRPr="00084441">
              <w:t>The composition (relative share of underlying categorised products).</w:t>
            </w:r>
          </w:p>
          <w:p w14:paraId="4E1B2194" w14:textId="77777777" w:rsidR="00084441" w:rsidRPr="00084441" w:rsidRDefault="00084441" w:rsidP="00084441">
            <w:pPr>
              <w:pStyle w:val="IEBullet-Level1"/>
            </w:pPr>
            <w:r w:rsidRPr="00084441">
              <w:t>The share not covered.</w:t>
            </w:r>
          </w:p>
          <w:p w14:paraId="01E40B94" w14:textId="77777777" w:rsidR="00084441" w:rsidRPr="00084441" w:rsidRDefault="00084441" w:rsidP="00084441">
            <w:pPr>
              <w:pStyle w:val="IEBullet-Level1"/>
            </w:pPr>
            <w:r w:rsidRPr="00084441">
              <w:t>The objectives, strategy, and exclusions for that non</w:t>
            </w:r>
            <w:r w:rsidRPr="00084441">
              <w:noBreakHyphen/>
              <w:t>categorised share.</w:t>
            </w:r>
          </w:p>
          <w:p w14:paraId="249CD3F5" w14:textId="77777777" w:rsidR="00084441" w:rsidRPr="00084441" w:rsidRDefault="00084441" w:rsidP="00084441">
            <w:pPr>
              <w:pStyle w:val="IEBullet-Level1"/>
            </w:pPr>
            <w:r w:rsidRPr="00084441">
              <w:t>FMPs may rely on disclosures under Articles 7(3), 8(3), and 9(3).</w:t>
            </w:r>
          </w:p>
          <w:p w14:paraId="2A48ECDC" w14:textId="5FD0E440" w:rsidR="00164F29" w:rsidRPr="00084441" w:rsidRDefault="00084441" w:rsidP="00164F29">
            <w:pPr>
              <w:spacing w:before="120" w:line="276" w:lineRule="auto"/>
              <w:jc w:val="left"/>
              <w:rPr>
                <w:sz w:val="17"/>
                <w:szCs w:val="17"/>
              </w:rPr>
            </w:pPr>
            <w:r w:rsidRPr="00084441">
              <w:rPr>
                <w:sz w:val="17"/>
                <w:szCs w:val="17"/>
              </w:rPr>
              <w:t>Where portfolio management services are provided by authorised entities under EU financial directives (UCITS, Solvency II, AIFMD, CRD, MiFID II, IORP II), FMPs may rely on the information provided by those managers.</w:t>
            </w:r>
          </w:p>
        </w:tc>
        <w:tc>
          <w:tcPr>
            <w:tcW w:w="2552" w:type="dxa"/>
            <w:shd w:val="clear" w:color="auto" w:fill="FBD4B4" w:themeFill="accent6" w:themeFillTint="66"/>
            <w:vAlign w:val="center"/>
          </w:tcPr>
          <w:p w14:paraId="4AB37350" w14:textId="776E5F85" w:rsidR="00460DAB" w:rsidRDefault="002343EF" w:rsidP="00460DAB">
            <w:pPr>
              <w:spacing w:before="120" w:line="276" w:lineRule="auto"/>
              <w:jc w:val="center"/>
              <w:rPr>
                <w:iCs/>
                <w:sz w:val="17"/>
                <w:szCs w:val="17"/>
              </w:rPr>
            </w:pPr>
            <w:r w:rsidRPr="002343EF">
              <w:rPr>
                <w:iCs/>
                <w:sz w:val="17"/>
                <w:szCs w:val="17"/>
              </w:rPr>
              <w:t>The term “</w:t>
            </w:r>
            <w:r w:rsidR="00B11BD4">
              <w:rPr>
                <w:iCs/>
                <w:sz w:val="17"/>
                <w:szCs w:val="17"/>
              </w:rPr>
              <w:t>relative share</w:t>
            </w:r>
            <w:r w:rsidRPr="002343EF">
              <w:rPr>
                <w:iCs/>
                <w:sz w:val="17"/>
                <w:szCs w:val="17"/>
              </w:rPr>
              <w:t>”</w:t>
            </w:r>
            <w:r w:rsidR="00B11BD4">
              <w:rPr>
                <w:iCs/>
                <w:sz w:val="17"/>
                <w:szCs w:val="17"/>
              </w:rPr>
              <w:t xml:space="preserve"> might be problematic when applied to MOPs</w:t>
            </w:r>
            <w:r w:rsidRPr="002343EF">
              <w:rPr>
                <w:iCs/>
                <w:sz w:val="17"/>
                <w:szCs w:val="17"/>
              </w:rPr>
              <w:t>.</w:t>
            </w:r>
          </w:p>
        </w:tc>
      </w:tr>
      <w:tr w:rsidR="00460DAB" w14:paraId="74B691DC" w14:textId="77777777" w:rsidTr="0082044F">
        <w:tc>
          <w:tcPr>
            <w:tcW w:w="2342" w:type="dxa"/>
            <w:shd w:val="clear" w:color="auto" w:fill="F2F2F2" w:themeFill="background1" w:themeFillShade="F2"/>
            <w:vAlign w:val="center"/>
          </w:tcPr>
          <w:p w14:paraId="6A39248F" w14:textId="21325DD4" w:rsidR="00460DAB" w:rsidRPr="00460DAB" w:rsidRDefault="00012E7C" w:rsidP="00460DAB">
            <w:pPr>
              <w:spacing w:before="120" w:line="276" w:lineRule="auto"/>
              <w:jc w:val="left"/>
              <w:rPr>
                <w:iCs/>
                <w:sz w:val="17"/>
                <w:szCs w:val="17"/>
              </w:rPr>
            </w:pPr>
            <w:r>
              <w:rPr>
                <w:iCs/>
                <w:sz w:val="17"/>
                <w:szCs w:val="17"/>
              </w:rPr>
              <w:t>Website disclosures</w:t>
            </w:r>
          </w:p>
        </w:tc>
        <w:tc>
          <w:tcPr>
            <w:tcW w:w="11267" w:type="dxa"/>
            <w:shd w:val="clear" w:color="auto" w:fill="F2F2F2" w:themeFill="background1" w:themeFillShade="F2"/>
            <w:vAlign w:val="center"/>
          </w:tcPr>
          <w:p w14:paraId="2D3C70C5" w14:textId="2F759B3D" w:rsidR="00460DAB" w:rsidRDefault="00012E7C" w:rsidP="00460DAB">
            <w:pPr>
              <w:spacing w:before="120" w:line="276" w:lineRule="auto"/>
              <w:jc w:val="left"/>
              <w:rPr>
                <w:iCs/>
                <w:sz w:val="17"/>
                <w:szCs w:val="17"/>
              </w:rPr>
            </w:pPr>
            <w:r w:rsidRPr="006F1C5D">
              <w:rPr>
                <w:iCs/>
                <w:sz w:val="17"/>
                <w:szCs w:val="17"/>
              </w:rPr>
              <w:t>Amendment of Article 10</w:t>
            </w:r>
            <w:r>
              <w:rPr>
                <w:iCs/>
                <w:sz w:val="17"/>
                <w:szCs w:val="17"/>
              </w:rPr>
              <w:t xml:space="preserve"> (p.</w:t>
            </w:r>
            <w:r w:rsidR="00191E6F">
              <w:rPr>
                <w:iCs/>
                <w:sz w:val="17"/>
                <w:szCs w:val="17"/>
              </w:rPr>
              <w:t>4</w:t>
            </w:r>
            <w:r w:rsidR="00AC41DD">
              <w:rPr>
                <w:iCs/>
                <w:sz w:val="17"/>
                <w:szCs w:val="17"/>
              </w:rPr>
              <w:t>0</w:t>
            </w:r>
            <w:r>
              <w:rPr>
                <w:iCs/>
                <w:sz w:val="17"/>
                <w:szCs w:val="17"/>
              </w:rPr>
              <w:t>)</w:t>
            </w:r>
            <w:r w:rsidRPr="006F1C5D">
              <w:rPr>
                <w:iCs/>
                <w:sz w:val="17"/>
                <w:szCs w:val="17"/>
              </w:rPr>
              <w:t xml:space="preserve"> on website disclosures, </w:t>
            </w:r>
            <w:r w:rsidR="004423B2" w:rsidRPr="006F1C5D">
              <w:rPr>
                <w:iCs/>
                <w:sz w:val="17"/>
                <w:szCs w:val="17"/>
              </w:rPr>
              <w:t>because of</w:t>
            </w:r>
            <w:r w:rsidRPr="006F1C5D">
              <w:rPr>
                <w:iCs/>
                <w:sz w:val="17"/>
                <w:szCs w:val="17"/>
              </w:rPr>
              <w:t xml:space="preserve"> </w:t>
            </w:r>
            <w:r w:rsidR="009A705D">
              <w:rPr>
                <w:iCs/>
                <w:sz w:val="17"/>
                <w:szCs w:val="17"/>
              </w:rPr>
              <w:t xml:space="preserve">the </w:t>
            </w:r>
            <w:r w:rsidR="004C3738">
              <w:rPr>
                <w:iCs/>
                <w:sz w:val="17"/>
                <w:szCs w:val="17"/>
              </w:rPr>
              <w:t>creation of new categories</w:t>
            </w:r>
            <w:r>
              <w:rPr>
                <w:iCs/>
                <w:sz w:val="17"/>
                <w:szCs w:val="17"/>
              </w:rPr>
              <w:t>.</w:t>
            </w:r>
          </w:p>
        </w:tc>
        <w:tc>
          <w:tcPr>
            <w:tcW w:w="2552" w:type="dxa"/>
            <w:shd w:val="clear" w:color="auto" w:fill="F2F2F2" w:themeFill="background1" w:themeFillShade="F2"/>
            <w:vAlign w:val="center"/>
          </w:tcPr>
          <w:p w14:paraId="02BF01D9" w14:textId="47C5505C" w:rsidR="00460DAB" w:rsidRDefault="00460DAB" w:rsidP="00460DAB">
            <w:pPr>
              <w:spacing w:before="120" w:line="276" w:lineRule="auto"/>
              <w:jc w:val="center"/>
              <w:rPr>
                <w:iCs/>
                <w:sz w:val="17"/>
                <w:szCs w:val="17"/>
              </w:rPr>
            </w:pPr>
          </w:p>
        </w:tc>
      </w:tr>
      <w:tr w:rsidR="00460DAB" w14:paraId="32369ABE" w14:textId="77777777" w:rsidTr="0082044F">
        <w:tc>
          <w:tcPr>
            <w:tcW w:w="2342" w:type="dxa"/>
            <w:shd w:val="clear" w:color="auto" w:fill="F2F2F2" w:themeFill="background1" w:themeFillShade="F2"/>
            <w:vAlign w:val="center"/>
          </w:tcPr>
          <w:p w14:paraId="357F21B0" w14:textId="3671725B" w:rsidR="00460DAB" w:rsidRPr="00460DAB" w:rsidRDefault="005E6EE1" w:rsidP="00460DAB">
            <w:pPr>
              <w:spacing w:before="120" w:line="276" w:lineRule="auto"/>
              <w:jc w:val="left"/>
              <w:rPr>
                <w:iCs/>
                <w:sz w:val="17"/>
                <w:szCs w:val="17"/>
              </w:rPr>
            </w:pPr>
            <w:r>
              <w:rPr>
                <w:iCs/>
                <w:sz w:val="17"/>
                <w:szCs w:val="17"/>
              </w:rPr>
              <w:t>Review of disclosures</w:t>
            </w:r>
          </w:p>
        </w:tc>
        <w:tc>
          <w:tcPr>
            <w:tcW w:w="11267" w:type="dxa"/>
            <w:shd w:val="clear" w:color="auto" w:fill="F2F2F2" w:themeFill="background1" w:themeFillShade="F2"/>
            <w:vAlign w:val="center"/>
          </w:tcPr>
          <w:p w14:paraId="693C2B63" w14:textId="040F137F" w:rsidR="00460DAB" w:rsidRDefault="005E6EE1" w:rsidP="00460DAB">
            <w:pPr>
              <w:spacing w:before="120" w:line="276" w:lineRule="auto"/>
              <w:jc w:val="left"/>
              <w:rPr>
                <w:iCs/>
                <w:sz w:val="17"/>
                <w:szCs w:val="17"/>
              </w:rPr>
            </w:pPr>
            <w:r w:rsidRPr="008E28A0">
              <w:rPr>
                <w:iCs/>
                <w:sz w:val="17"/>
                <w:szCs w:val="17"/>
              </w:rPr>
              <w:t>Change to Article 12</w:t>
            </w:r>
            <w:r>
              <w:rPr>
                <w:iCs/>
                <w:sz w:val="17"/>
                <w:szCs w:val="17"/>
              </w:rPr>
              <w:t xml:space="preserve"> (p.</w:t>
            </w:r>
            <w:r w:rsidR="00191E6F">
              <w:rPr>
                <w:iCs/>
                <w:sz w:val="17"/>
                <w:szCs w:val="17"/>
              </w:rPr>
              <w:t>4</w:t>
            </w:r>
            <w:r w:rsidR="00D17987">
              <w:rPr>
                <w:iCs/>
                <w:sz w:val="17"/>
                <w:szCs w:val="17"/>
              </w:rPr>
              <w:t>1</w:t>
            </w:r>
            <w:r>
              <w:rPr>
                <w:iCs/>
                <w:sz w:val="17"/>
                <w:szCs w:val="17"/>
              </w:rPr>
              <w:t xml:space="preserve">) </w:t>
            </w:r>
            <w:r w:rsidRPr="008E28A0">
              <w:rPr>
                <w:iCs/>
                <w:sz w:val="17"/>
                <w:szCs w:val="17"/>
              </w:rPr>
              <w:t>to remove financial advisers</w:t>
            </w:r>
          </w:p>
        </w:tc>
        <w:tc>
          <w:tcPr>
            <w:tcW w:w="2552" w:type="dxa"/>
            <w:shd w:val="clear" w:color="auto" w:fill="F2F2F2" w:themeFill="background1" w:themeFillShade="F2"/>
            <w:vAlign w:val="center"/>
          </w:tcPr>
          <w:p w14:paraId="4459559F" w14:textId="77777777" w:rsidR="00460DAB" w:rsidRDefault="00460DAB" w:rsidP="00460DAB">
            <w:pPr>
              <w:spacing w:before="120" w:line="276" w:lineRule="auto"/>
              <w:jc w:val="center"/>
              <w:rPr>
                <w:iCs/>
                <w:sz w:val="17"/>
                <w:szCs w:val="17"/>
              </w:rPr>
            </w:pPr>
          </w:p>
        </w:tc>
      </w:tr>
      <w:tr w:rsidR="00460DAB" w14:paraId="4BF7AAF3" w14:textId="77777777" w:rsidTr="00BF5B18">
        <w:tc>
          <w:tcPr>
            <w:tcW w:w="2342" w:type="dxa"/>
            <w:vAlign w:val="center"/>
          </w:tcPr>
          <w:p w14:paraId="5449DA12" w14:textId="117C46D6" w:rsidR="00460DAB" w:rsidRPr="00460DAB" w:rsidRDefault="00A86C5A" w:rsidP="00460DAB">
            <w:pPr>
              <w:spacing w:before="120" w:line="276" w:lineRule="auto"/>
              <w:jc w:val="left"/>
              <w:rPr>
                <w:iCs/>
                <w:sz w:val="17"/>
                <w:szCs w:val="17"/>
              </w:rPr>
            </w:pPr>
            <w:r>
              <w:rPr>
                <w:iCs/>
                <w:sz w:val="17"/>
                <w:szCs w:val="17"/>
              </w:rPr>
              <w:t>NEW</w:t>
            </w:r>
            <w:r w:rsidR="008E28A0" w:rsidRPr="008E28A0">
              <w:rPr>
                <w:iCs/>
                <w:sz w:val="17"/>
                <w:szCs w:val="17"/>
              </w:rPr>
              <w:t xml:space="preserve"> Article on the use of data and estimates</w:t>
            </w:r>
          </w:p>
        </w:tc>
        <w:tc>
          <w:tcPr>
            <w:tcW w:w="11267" w:type="dxa"/>
            <w:vAlign w:val="center"/>
          </w:tcPr>
          <w:p w14:paraId="41DF6E7E" w14:textId="29E56BBA" w:rsidR="00460DAB" w:rsidRDefault="00A86C5A" w:rsidP="00CD43C7">
            <w:pPr>
              <w:spacing w:before="120" w:line="276" w:lineRule="auto"/>
              <w:jc w:val="left"/>
              <w:rPr>
                <w:iCs/>
                <w:sz w:val="17"/>
                <w:szCs w:val="17"/>
              </w:rPr>
            </w:pPr>
            <w:r>
              <w:rPr>
                <w:iCs/>
                <w:sz w:val="17"/>
                <w:szCs w:val="17"/>
              </w:rPr>
              <w:t>Article 12a (p.</w:t>
            </w:r>
            <w:r w:rsidR="003F2E83">
              <w:rPr>
                <w:iCs/>
                <w:sz w:val="17"/>
                <w:szCs w:val="17"/>
              </w:rPr>
              <w:t>4</w:t>
            </w:r>
            <w:r w:rsidR="00D17987">
              <w:rPr>
                <w:iCs/>
                <w:sz w:val="17"/>
                <w:szCs w:val="17"/>
              </w:rPr>
              <w:t>1</w:t>
            </w:r>
            <w:r>
              <w:rPr>
                <w:iCs/>
                <w:sz w:val="17"/>
                <w:szCs w:val="17"/>
              </w:rPr>
              <w:t>) on data and estimates requires FMPs to</w:t>
            </w:r>
            <w:r w:rsidR="00CD43C7">
              <w:rPr>
                <w:iCs/>
                <w:sz w:val="17"/>
                <w:szCs w:val="17"/>
              </w:rPr>
              <w:t>:</w:t>
            </w:r>
          </w:p>
          <w:p w14:paraId="6900E501" w14:textId="5F044511" w:rsidR="00161BD3" w:rsidRDefault="00161BD3" w:rsidP="00CD43C7">
            <w:pPr>
              <w:pStyle w:val="IEBullet-Level1"/>
            </w:pPr>
            <w:r w:rsidRPr="00161BD3">
              <w:t>Use external data providers (other than open</w:t>
            </w:r>
            <w:r w:rsidRPr="00161BD3">
              <w:rPr>
                <w:rFonts w:ascii="Cambria Math" w:hAnsi="Cambria Math" w:cs="Cambria Math"/>
              </w:rPr>
              <w:t>‑</w:t>
            </w:r>
            <w:r w:rsidRPr="00161BD3">
              <w:t>source/public research) under formalised, documented arrangements, and apply formalised, documented methodologies for internally generated estimates.</w:t>
            </w:r>
          </w:p>
          <w:p w14:paraId="6E3F48CE" w14:textId="77777777" w:rsidR="00366AF5" w:rsidRPr="000258C2" w:rsidRDefault="00366AF5" w:rsidP="00CD43C7">
            <w:pPr>
              <w:pStyle w:val="IEBullet-Level1"/>
            </w:pPr>
            <w:r w:rsidRPr="000258C2">
              <w:t xml:space="preserve">Provide clients, upon request, with: </w:t>
            </w:r>
          </w:p>
          <w:p w14:paraId="74A687B6" w14:textId="52D9555D" w:rsidR="00161BD3" w:rsidRDefault="00161BD3" w:rsidP="00161BD3">
            <w:pPr>
              <w:pStyle w:val="IEBullet-Level2"/>
            </w:pPr>
            <w:r>
              <w:t>Information on sustainability</w:t>
            </w:r>
            <w:r>
              <w:rPr>
                <w:rFonts w:ascii="Cambria Math" w:hAnsi="Cambria Math" w:cs="Cambria Math"/>
              </w:rPr>
              <w:t>‑</w:t>
            </w:r>
            <w:r>
              <w:t>related products beyond standard disclosures under Articles 7</w:t>
            </w:r>
            <w:r>
              <w:rPr>
                <w:rFonts w:cs="Verdana"/>
              </w:rPr>
              <w:t>–</w:t>
            </w:r>
            <w:r>
              <w:t>11.</w:t>
            </w:r>
          </w:p>
          <w:p w14:paraId="34334C6B" w14:textId="15955C5D" w:rsidR="00161BD3" w:rsidRDefault="00161BD3" w:rsidP="00161BD3">
            <w:pPr>
              <w:pStyle w:val="IEBullet-Level2"/>
            </w:pPr>
            <w:r>
              <w:t>Transparency on external data sources, including provider name, contact details, and, where available, methodology.</w:t>
            </w:r>
          </w:p>
          <w:p w14:paraId="303FD24F" w14:textId="2F076769" w:rsidR="00161BD3" w:rsidRPr="00161BD3" w:rsidRDefault="00161BD3" w:rsidP="00161BD3">
            <w:pPr>
              <w:pStyle w:val="IEBullet-Level2"/>
            </w:pPr>
            <w:r>
              <w:t>Disclosure of internal methodologies, including main assumptions and precautionary principles for handling missing data points.</w:t>
            </w:r>
          </w:p>
        </w:tc>
        <w:tc>
          <w:tcPr>
            <w:tcW w:w="2552" w:type="dxa"/>
            <w:shd w:val="clear" w:color="auto" w:fill="D6E3BC" w:themeFill="accent3" w:themeFillTint="66"/>
            <w:vAlign w:val="center"/>
          </w:tcPr>
          <w:p w14:paraId="1B73FE83" w14:textId="3F5F4936" w:rsidR="00460DAB" w:rsidRDefault="00A96A4A" w:rsidP="00460DAB">
            <w:pPr>
              <w:spacing w:before="120" w:line="276" w:lineRule="auto"/>
              <w:jc w:val="center"/>
              <w:rPr>
                <w:iCs/>
                <w:sz w:val="17"/>
                <w:szCs w:val="17"/>
              </w:rPr>
            </w:pPr>
            <w:r w:rsidRPr="000258C2">
              <w:rPr>
                <w:iCs/>
                <w:sz w:val="17"/>
                <w:szCs w:val="17"/>
              </w:rPr>
              <w:t>Positive</w:t>
            </w:r>
          </w:p>
        </w:tc>
      </w:tr>
      <w:tr w:rsidR="00460DAB" w14:paraId="6F362FDD" w14:textId="77777777" w:rsidTr="0082044F">
        <w:tc>
          <w:tcPr>
            <w:tcW w:w="2342" w:type="dxa"/>
            <w:shd w:val="clear" w:color="auto" w:fill="F2F2F2" w:themeFill="background1" w:themeFillShade="F2"/>
            <w:vAlign w:val="center"/>
          </w:tcPr>
          <w:p w14:paraId="44B2F8AD" w14:textId="5FE2E0F3" w:rsidR="00460DAB" w:rsidRPr="00460DAB" w:rsidRDefault="00C42FF3" w:rsidP="00460DAB">
            <w:pPr>
              <w:spacing w:before="120" w:line="276" w:lineRule="auto"/>
              <w:jc w:val="left"/>
              <w:rPr>
                <w:iCs/>
                <w:sz w:val="17"/>
                <w:szCs w:val="17"/>
              </w:rPr>
            </w:pPr>
            <w:r>
              <w:rPr>
                <w:iCs/>
                <w:sz w:val="17"/>
                <w:szCs w:val="17"/>
              </w:rPr>
              <w:t>M</w:t>
            </w:r>
            <w:r w:rsidR="008E28A0" w:rsidRPr="008E28A0">
              <w:rPr>
                <w:iCs/>
                <w:sz w:val="17"/>
                <w:szCs w:val="17"/>
              </w:rPr>
              <w:t>arketing communications and naming rules.</w:t>
            </w:r>
          </w:p>
        </w:tc>
        <w:tc>
          <w:tcPr>
            <w:tcW w:w="11267" w:type="dxa"/>
            <w:shd w:val="clear" w:color="auto" w:fill="F2F2F2" w:themeFill="background1" w:themeFillShade="F2"/>
            <w:vAlign w:val="center"/>
          </w:tcPr>
          <w:p w14:paraId="20FAD1CD" w14:textId="02F15C97" w:rsidR="00460DAB" w:rsidRDefault="00AE18FF" w:rsidP="00460DAB">
            <w:pPr>
              <w:spacing w:before="120" w:line="276" w:lineRule="auto"/>
              <w:jc w:val="left"/>
              <w:rPr>
                <w:iCs/>
                <w:sz w:val="17"/>
                <w:szCs w:val="17"/>
              </w:rPr>
            </w:pPr>
            <w:r w:rsidRPr="008E28A0">
              <w:rPr>
                <w:iCs/>
                <w:sz w:val="17"/>
                <w:szCs w:val="17"/>
              </w:rPr>
              <w:t>Amendments to Article 13</w:t>
            </w:r>
            <w:r w:rsidR="000B170D">
              <w:rPr>
                <w:iCs/>
                <w:sz w:val="17"/>
                <w:szCs w:val="17"/>
              </w:rPr>
              <w:t xml:space="preserve"> (p.</w:t>
            </w:r>
            <w:r w:rsidR="00681B1D">
              <w:rPr>
                <w:iCs/>
                <w:sz w:val="17"/>
                <w:szCs w:val="17"/>
              </w:rPr>
              <w:t>4</w:t>
            </w:r>
            <w:r w:rsidR="009261DB">
              <w:rPr>
                <w:iCs/>
                <w:sz w:val="17"/>
                <w:szCs w:val="17"/>
              </w:rPr>
              <w:t>3</w:t>
            </w:r>
            <w:r w:rsidR="000B170D">
              <w:rPr>
                <w:iCs/>
                <w:sz w:val="17"/>
                <w:szCs w:val="17"/>
              </w:rPr>
              <w:t>)</w:t>
            </w:r>
            <w:r w:rsidRPr="008E28A0">
              <w:rPr>
                <w:iCs/>
                <w:sz w:val="17"/>
                <w:szCs w:val="17"/>
              </w:rPr>
              <w:t xml:space="preserve"> on marketing communications and naming rules, </w:t>
            </w:r>
            <w:r w:rsidRPr="006F1C5D">
              <w:rPr>
                <w:iCs/>
                <w:sz w:val="17"/>
                <w:szCs w:val="17"/>
              </w:rPr>
              <w:t xml:space="preserve">because of </w:t>
            </w:r>
            <w:r>
              <w:rPr>
                <w:iCs/>
                <w:sz w:val="17"/>
                <w:szCs w:val="17"/>
              </w:rPr>
              <w:t>the creation of new categories</w:t>
            </w:r>
            <w:r w:rsidRPr="008E28A0">
              <w:rPr>
                <w:iCs/>
                <w:sz w:val="17"/>
                <w:szCs w:val="17"/>
              </w:rPr>
              <w:t>.</w:t>
            </w:r>
          </w:p>
        </w:tc>
        <w:tc>
          <w:tcPr>
            <w:tcW w:w="2552" w:type="dxa"/>
            <w:shd w:val="clear" w:color="auto" w:fill="F2F2F2" w:themeFill="background1" w:themeFillShade="F2"/>
            <w:vAlign w:val="center"/>
          </w:tcPr>
          <w:p w14:paraId="514F6DDA" w14:textId="1C4E35E5" w:rsidR="00460DAB" w:rsidRDefault="00460DAB" w:rsidP="00460DAB">
            <w:pPr>
              <w:spacing w:before="120" w:line="276" w:lineRule="auto"/>
              <w:jc w:val="center"/>
              <w:rPr>
                <w:iCs/>
                <w:sz w:val="17"/>
                <w:szCs w:val="17"/>
              </w:rPr>
            </w:pPr>
          </w:p>
        </w:tc>
      </w:tr>
      <w:tr w:rsidR="00460DAB" w14:paraId="6AB82ED7" w14:textId="77777777" w:rsidTr="0082044F">
        <w:tc>
          <w:tcPr>
            <w:tcW w:w="2342" w:type="dxa"/>
            <w:shd w:val="clear" w:color="auto" w:fill="F2F2F2" w:themeFill="background1" w:themeFillShade="F2"/>
            <w:vAlign w:val="center"/>
          </w:tcPr>
          <w:p w14:paraId="78C0ACDD" w14:textId="5EA6FF02" w:rsidR="00460DAB" w:rsidRPr="00460DAB" w:rsidRDefault="009A62DB" w:rsidP="00460DAB">
            <w:pPr>
              <w:spacing w:before="120" w:line="276" w:lineRule="auto"/>
              <w:jc w:val="left"/>
              <w:rPr>
                <w:iCs/>
                <w:sz w:val="17"/>
                <w:szCs w:val="17"/>
              </w:rPr>
            </w:pPr>
            <w:r>
              <w:rPr>
                <w:iCs/>
                <w:sz w:val="17"/>
                <w:szCs w:val="17"/>
              </w:rPr>
              <w:t>Competent authorities</w:t>
            </w:r>
          </w:p>
        </w:tc>
        <w:tc>
          <w:tcPr>
            <w:tcW w:w="11267" w:type="dxa"/>
            <w:shd w:val="clear" w:color="auto" w:fill="F2F2F2" w:themeFill="background1" w:themeFillShade="F2"/>
            <w:vAlign w:val="center"/>
          </w:tcPr>
          <w:p w14:paraId="12B49313" w14:textId="59C5EF33" w:rsidR="00460DAB" w:rsidRDefault="009A62DB" w:rsidP="00460DAB">
            <w:pPr>
              <w:spacing w:before="120" w:line="276" w:lineRule="auto"/>
              <w:jc w:val="left"/>
              <w:rPr>
                <w:iCs/>
                <w:sz w:val="17"/>
                <w:szCs w:val="17"/>
              </w:rPr>
            </w:pPr>
            <w:r w:rsidRPr="008E28A0">
              <w:rPr>
                <w:iCs/>
                <w:sz w:val="17"/>
                <w:szCs w:val="17"/>
              </w:rPr>
              <w:t xml:space="preserve">Amendment of Article 14 </w:t>
            </w:r>
            <w:r w:rsidR="000B170D">
              <w:rPr>
                <w:iCs/>
                <w:sz w:val="17"/>
                <w:szCs w:val="17"/>
              </w:rPr>
              <w:t>(p.</w:t>
            </w:r>
            <w:r w:rsidR="00681B1D">
              <w:rPr>
                <w:iCs/>
                <w:sz w:val="17"/>
                <w:szCs w:val="17"/>
              </w:rPr>
              <w:t>4</w:t>
            </w:r>
            <w:r w:rsidR="009261DB">
              <w:rPr>
                <w:iCs/>
                <w:sz w:val="17"/>
                <w:szCs w:val="17"/>
              </w:rPr>
              <w:t>3</w:t>
            </w:r>
            <w:r w:rsidR="000B170D">
              <w:rPr>
                <w:iCs/>
                <w:sz w:val="17"/>
                <w:szCs w:val="17"/>
              </w:rPr>
              <w:t xml:space="preserve">) </w:t>
            </w:r>
            <w:r w:rsidRPr="008E28A0">
              <w:rPr>
                <w:iCs/>
                <w:sz w:val="17"/>
                <w:szCs w:val="17"/>
              </w:rPr>
              <w:t>to reflect the revised scope and preclude additional national level requirements.</w:t>
            </w:r>
          </w:p>
        </w:tc>
        <w:tc>
          <w:tcPr>
            <w:tcW w:w="2552" w:type="dxa"/>
            <w:shd w:val="clear" w:color="auto" w:fill="F2F2F2" w:themeFill="background1" w:themeFillShade="F2"/>
            <w:vAlign w:val="center"/>
          </w:tcPr>
          <w:p w14:paraId="347AEBE3" w14:textId="77777777" w:rsidR="00460DAB" w:rsidRDefault="00460DAB" w:rsidP="00460DAB">
            <w:pPr>
              <w:spacing w:before="120" w:line="276" w:lineRule="auto"/>
              <w:jc w:val="center"/>
              <w:rPr>
                <w:iCs/>
                <w:sz w:val="17"/>
                <w:szCs w:val="17"/>
              </w:rPr>
            </w:pPr>
          </w:p>
        </w:tc>
      </w:tr>
      <w:tr w:rsidR="008E28A0" w14:paraId="2C54C51C" w14:textId="77777777" w:rsidTr="0082044F">
        <w:tc>
          <w:tcPr>
            <w:tcW w:w="2342" w:type="dxa"/>
            <w:shd w:val="clear" w:color="auto" w:fill="F2F2F2" w:themeFill="background1" w:themeFillShade="F2"/>
            <w:vAlign w:val="center"/>
          </w:tcPr>
          <w:p w14:paraId="63DCE17D" w14:textId="720535F2" w:rsidR="008E28A0" w:rsidRPr="00460DAB" w:rsidRDefault="00E47F5C" w:rsidP="00460DAB">
            <w:pPr>
              <w:spacing w:before="120" w:line="276" w:lineRule="auto"/>
              <w:jc w:val="left"/>
              <w:rPr>
                <w:iCs/>
                <w:sz w:val="17"/>
                <w:szCs w:val="17"/>
              </w:rPr>
            </w:pPr>
            <w:r w:rsidRPr="00E47F5C">
              <w:rPr>
                <w:iCs/>
                <w:sz w:val="17"/>
                <w:szCs w:val="17"/>
              </w:rPr>
              <w:t>Transparency by IORPS</w:t>
            </w:r>
          </w:p>
        </w:tc>
        <w:tc>
          <w:tcPr>
            <w:tcW w:w="11267" w:type="dxa"/>
            <w:shd w:val="clear" w:color="auto" w:fill="F2F2F2" w:themeFill="background1" w:themeFillShade="F2"/>
            <w:vAlign w:val="center"/>
          </w:tcPr>
          <w:p w14:paraId="2BC36DAD" w14:textId="0E2D6CF4" w:rsidR="008E28A0" w:rsidRDefault="00DA3CA4" w:rsidP="00460DAB">
            <w:pPr>
              <w:spacing w:before="120" w:line="276" w:lineRule="auto"/>
              <w:jc w:val="left"/>
              <w:rPr>
                <w:iCs/>
                <w:sz w:val="17"/>
                <w:szCs w:val="17"/>
              </w:rPr>
            </w:pPr>
            <w:r w:rsidRPr="008E28A0">
              <w:rPr>
                <w:iCs/>
                <w:sz w:val="17"/>
                <w:szCs w:val="17"/>
              </w:rPr>
              <w:t>Change to Article 15</w:t>
            </w:r>
            <w:r>
              <w:rPr>
                <w:iCs/>
                <w:sz w:val="17"/>
                <w:szCs w:val="17"/>
              </w:rPr>
              <w:t xml:space="preserve"> (p.</w:t>
            </w:r>
            <w:r w:rsidR="00681B1D">
              <w:rPr>
                <w:iCs/>
                <w:sz w:val="17"/>
                <w:szCs w:val="17"/>
              </w:rPr>
              <w:t>4</w:t>
            </w:r>
            <w:r w:rsidR="004B308F">
              <w:rPr>
                <w:iCs/>
                <w:sz w:val="17"/>
                <w:szCs w:val="17"/>
              </w:rPr>
              <w:t>3</w:t>
            </w:r>
            <w:r>
              <w:rPr>
                <w:iCs/>
                <w:sz w:val="17"/>
                <w:szCs w:val="17"/>
              </w:rPr>
              <w:t>)</w:t>
            </w:r>
            <w:r w:rsidRPr="008E28A0">
              <w:rPr>
                <w:iCs/>
                <w:sz w:val="17"/>
                <w:szCs w:val="17"/>
              </w:rPr>
              <w:t xml:space="preserve"> to reflect revised scope.</w:t>
            </w:r>
          </w:p>
        </w:tc>
        <w:tc>
          <w:tcPr>
            <w:tcW w:w="2552" w:type="dxa"/>
            <w:shd w:val="clear" w:color="auto" w:fill="F2F2F2" w:themeFill="background1" w:themeFillShade="F2"/>
            <w:vAlign w:val="center"/>
          </w:tcPr>
          <w:p w14:paraId="03534398" w14:textId="77777777" w:rsidR="008E28A0" w:rsidRDefault="008E28A0" w:rsidP="00460DAB">
            <w:pPr>
              <w:spacing w:before="120" w:line="276" w:lineRule="auto"/>
              <w:jc w:val="center"/>
              <w:rPr>
                <w:iCs/>
                <w:sz w:val="17"/>
                <w:szCs w:val="17"/>
              </w:rPr>
            </w:pPr>
          </w:p>
        </w:tc>
      </w:tr>
      <w:tr w:rsidR="008E28A0" w14:paraId="7180E3FB" w14:textId="77777777" w:rsidTr="0082044F">
        <w:tc>
          <w:tcPr>
            <w:tcW w:w="2342" w:type="dxa"/>
            <w:vAlign w:val="center"/>
          </w:tcPr>
          <w:p w14:paraId="1615C577" w14:textId="15211648" w:rsidR="008E28A0" w:rsidRPr="00460DAB" w:rsidRDefault="00BA326A" w:rsidP="00460DAB">
            <w:pPr>
              <w:spacing w:before="120" w:line="276" w:lineRule="auto"/>
              <w:jc w:val="left"/>
              <w:rPr>
                <w:iCs/>
                <w:sz w:val="17"/>
                <w:szCs w:val="17"/>
              </w:rPr>
            </w:pPr>
            <w:r>
              <w:rPr>
                <w:iCs/>
                <w:sz w:val="17"/>
                <w:szCs w:val="17"/>
              </w:rPr>
              <w:lastRenderedPageBreak/>
              <w:t>Exemptions</w:t>
            </w:r>
          </w:p>
        </w:tc>
        <w:tc>
          <w:tcPr>
            <w:tcW w:w="11267" w:type="dxa"/>
            <w:vAlign w:val="center"/>
          </w:tcPr>
          <w:p w14:paraId="657D0FCD" w14:textId="5AC03DFE" w:rsidR="005E3AC3" w:rsidRPr="005E3AC3" w:rsidRDefault="005E3AC3" w:rsidP="005E3AC3">
            <w:pPr>
              <w:spacing w:before="120" w:line="276" w:lineRule="auto"/>
              <w:jc w:val="left"/>
              <w:rPr>
                <w:sz w:val="17"/>
                <w:szCs w:val="17"/>
              </w:rPr>
            </w:pPr>
            <w:r w:rsidRPr="005E3AC3">
              <w:rPr>
                <w:sz w:val="17"/>
                <w:szCs w:val="17"/>
              </w:rPr>
              <w:t>Article 17 (p.</w:t>
            </w:r>
            <w:r w:rsidR="00681B1D">
              <w:rPr>
                <w:sz w:val="17"/>
                <w:szCs w:val="17"/>
              </w:rPr>
              <w:t>4</w:t>
            </w:r>
            <w:r w:rsidR="00B809AB">
              <w:rPr>
                <w:sz w:val="17"/>
                <w:szCs w:val="17"/>
              </w:rPr>
              <w:t>3</w:t>
            </w:r>
            <w:r w:rsidRPr="005E3AC3">
              <w:rPr>
                <w:sz w:val="17"/>
                <w:szCs w:val="17"/>
              </w:rPr>
              <w:t xml:space="preserve">) has been amended so that </w:t>
            </w:r>
            <w:r w:rsidRPr="005E3AC3">
              <w:rPr>
                <w:b/>
                <w:sz w:val="17"/>
                <w:szCs w:val="17"/>
              </w:rPr>
              <w:t xml:space="preserve">exemptions are now determined by the characteristics of financial products </w:t>
            </w:r>
            <w:r w:rsidRPr="005E3AC3">
              <w:rPr>
                <w:sz w:val="17"/>
                <w:szCs w:val="17"/>
              </w:rPr>
              <w:t>rather than the type or size of the intermediary/adviser. Under the new rules:</w:t>
            </w:r>
          </w:p>
          <w:p w14:paraId="5C4514E9" w14:textId="30726429" w:rsidR="008E28A0" w:rsidRPr="005E3AC3" w:rsidRDefault="005E3AC3" w:rsidP="00DC7AC3">
            <w:pPr>
              <w:pStyle w:val="IEBullet-Level1"/>
            </w:pPr>
            <w:r w:rsidRPr="0031118C">
              <w:rPr>
                <w:b/>
                <w:bCs/>
              </w:rPr>
              <w:t>Closed</w:t>
            </w:r>
            <w:r w:rsidRPr="0031118C">
              <w:rPr>
                <w:b/>
                <w:bCs/>
              </w:rPr>
              <w:noBreakHyphen/>
              <w:t>end products</w:t>
            </w:r>
            <w:r w:rsidRPr="005E3AC3">
              <w:t xml:space="preserve"> created before the Regulation’s application date may be excluded from the Regulation entirely.</w:t>
            </w:r>
          </w:p>
        </w:tc>
        <w:tc>
          <w:tcPr>
            <w:tcW w:w="2552" w:type="dxa"/>
            <w:shd w:val="clear" w:color="auto" w:fill="D6E3BC" w:themeFill="accent3" w:themeFillTint="66"/>
            <w:vAlign w:val="center"/>
          </w:tcPr>
          <w:p w14:paraId="61400EB3" w14:textId="21154295" w:rsidR="008E28A0" w:rsidRDefault="00A96A4A" w:rsidP="00460DAB">
            <w:pPr>
              <w:spacing w:before="120" w:line="276" w:lineRule="auto"/>
              <w:jc w:val="center"/>
              <w:rPr>
                <w:iCs/>
                <w:sz w:val="17"/>
                <w:szCs w:val="17"/>
              </w:rPr>
            </w:pPr>
            <w:r>
              <w:rPr>
                <w:iCs/>
                <w:sz w:val="17"/>
                <w:szCs w:val="17"/>
              </w:rPr>
              <w:t>Positive</w:t>
            </w:r>
          </w:p>
        </w:tc>
      </w:tr>
      <w:tr w:rsidR="008E28A0" w14:paraId="02541300" w14:textId="77777777" w:rsidTr="0082044F">
        <w:tc>
          <w:tcPr>
            <w:tcW w:w="2342" w:type="dxa"/>
            <w:shd w:val="clear" w:color="auto" w:fill="F2F2F2" w:themeFill="background1" w:themeFillShade="F2"/>
            <w:vAlign w:val="center"/>
          </w:tcPr>
          <w:p w14:paraId="255170E9" w14:textId="1F974F66" w:rsidR="008E28A0" w:rsidRPr="00460DAB" w:rsidRDefault="008C5561" w:rsidP="00460DAB">
            <w:pPr>
              <w:spacing w:before="120" w:line="276" w:lineRule="auto"/>
              <w:jc w:val="left"/>
              <w:rPr>
                <w:iCs/>
                <w:sz w:val="17"/>
                <w:szCs w:val="17"/>
              </w:rPr>
            </w:pPr>
            <w:r>
              <w:rPr>
                <w:iCs/>
                <w:sz w:val="17"/>
                <w:szCs w:val="17"/>
              </w:rPr>
              <w:t>R</w:t>
            </w:r>
            <w:r w:rsidR="000277DB" w:rsidRPr="000277DB">
              <w:rPr>
                <w:iCs/>
                <w:sz w:val="17"/>
                <w:szCs w:val="17"/>
              </w:rPr>
              <w:t>eporting by ESA</w:t>
            </w:r>
          </w:p>
        </w:tc>
        <w:tc>
          <w:tcPr>
            <w:tcW w:w="11267" w:type="dxa"/>
            <w:shd w:val="clear" w:color="auto" w:fill="F2F2F2" w:themeFill="background1" w:themeFillShade="F2"/>
            <w:vAlign w:val="center"/>
          </w:tcPr>
          <w:p w14:paraId="40655311" w14:textId="3C9B4D54" w:rsidR="008E28A0" w:rsidRDefault="008C5561" w:rsidP="00460DAB">
            <w:pPr>
              <w:spacing w:before="120" w:line="276" w:lineRule="auto"/>
              <w:jc w:val="left"/>
              <w:rPr>
                <w:iCs/>
                <w:sz w:val="17"/>
                <w:szCs w:val="17"/>
              </w:rPr>
            </w:pPr>
            <w:r w:rsidRPr="000277DB">
              <w:rPr>
                <w:iCs/>
                <w:sz w:val="17"/>
                <w:szCs w:val="17"/>
              </w:rPr>
              <w:t>Revision to Article 18</w:t>
            </w:r>
            <w:r>
              <w:rPr>
                <w:iCs/>
                <w:sz w:val="17"/>
                <w:szCs w:val="17"/>
              </w:rPr>
              <w:t xml:space="preserve"> (p.</w:t>
            </w:r>
            <w:r w:rsidR="0031118C">
              <w:rPr>
                <w:iCs/>
                <w:sz w:val="17"/>
                <w:szCs w:val="17"/>
              </w:rPr>
              <w:t>4</w:t>
            </w:r>
            <w:r w:rsidR="00B809AB">
              <w:rPr>
                <w:iCs/>
                <w:sz w:val="17"/>
                <w:szCs w:val="17"/>
              </w:rPr>
              <w:t>3</w:t>
            </w:r>
            <w:r>
              <w:rPr>
                <w:iCs/>
                <w:sz w:val="17"/>
                <w:szCs w:val="17"/>
              </w:rPr>
              <w:t xml:space="preserve">) </w:t>
            </w:r>
            <w:r w:rsidR="001D6E7B">
              <w:rPr>
                <w:iCs/>
                <w:sz w:val="17"/>
                <w:szCs w:val="17"/>
              </w:rPr>
              <w:t xml:space="preserve">for ESAs </w:t>
            </w:r>
            <w:r w:rsidR="008F5E50" w:rsidRPr="008F5E50">
              <w:rPr>
                <w:iCs/>
                <w:sz w:val="17"/>
                <w:szCs w:val="17"/>
              </w:rPr>
              <w:t>review the extent of financial products under Articles 7, 8, and 9 and publish a best</w:t>
            </w:r>
            <w:r w:rsidR="008F5E50" w:rsidRPr="008F5E50">
              <w:rPr>
                <w:iCs/>
                <w:sz w:val="17"/>
                <w:szCs w:val="17"/>
              </w:rPr>
              <w:noBreakHyphen/>
              <w:t>practice report every two years.</w:t>
            </w:r>
            <w:r w:rsidR="004778C0">
              <w:rPr>
                <w:iCs/>
                <w:sz w:val="17"/>
                <w:szCs w:val="17"/>
              </w:rPr>
              <w:t xml:space="preserve"> </w:t>
            </w:r>
          </w:p>
        </w:tc>
        <w:tc>
          <w:tcPr>
            <w:tcW w:w="2552" w:type="dxa"/>
            <w:shd w:val="clear" w:color="auto" w:fill="F2F2F2" w:themeFill="background1" w:themeFillShade="F2"/>
            <w:vAlign w:val="center"/>
          </w:tcPr>
          <w:p w14:paraId="0A308467" w14:textId="77777777" w:rsidR="008E28A0" w:rsidRDefault="008E28A0" w:rsidP="00460DAB">
            <w:pPr>
              <w:spacing w:before="120" w:line="276" w:lineRule="auto"/>
              <w:jc w:val="center"/>
              <w:rPr>
                <w:iCs/>
                <w:sz w:val="17"/>
                <w:szCs w:val="17"/>
              </w:rPr>
            </w:pPr>
          </w:p>
        </w:tc>
      </w:tr>
      <w:tr w:rsidR="008E28A0" w14:paraId="548C57C4" w14:textId="77777777" w:rsidTr="00A96A4A">
        <w:tc>
          <w:tcPr>
            <w:tcW w:w="2342" w:type="dxa"/>
            <w:vAlign w:val="center"/>
          </w:tcPr>
          <w:p w14:paraId="4E17DBC3" w14:textId="2CAD36C0" w:rsidR="008E28A0" w:rsidRPr="00460DAB" w:rsidRDefault="000277DB" w:rsidP="00460DAB">
            <w:pPr>
              <w:spacing w:before="120" w:line="276" w:lineRule="auto"/>
              <w:jc w:val="left"/>
              <w:rPr>
                <w:iCs/>
                <w:sz w:val="17"/>
                <w:szCs w:val="17"/>
              </w:rPr>
            </w:pPr>
            <w:r w:rsidRPr="000277DB">
              <w:rPr>
                <w:iCs/>
                <w:sz w:val="17"/>
                <w:szCs w:val="17"/>
              </w:rPr>
              <w:t>European single access point</w:t>
            </w:r>
            <w:r w:rsidR="00420CD4">
              <w:rPr>
                <w:iCs/>
                <w:sz w:val="17"/>
                <w:szCs w:val="17"/>
              </w:rPr>
              <w:t xml:space="preserve"> (ESAP)</w:t>
            </w:r>
          </w:p>
        </w:tc>
        <w:tc>
          <w:tcPr>
            <w:tcW w:w="11267" w:type="dxa"/>
            <w:vAlign w:val="center"/>
          </w:tcPr>
          <w:p w14:paraId="0456B850" w14:textId="0AB6014F" w:rsidR="008E28A0" w:rsidRDefault="00AB126D" w:rsidP="00460DAB">
            <w:pPr>
              <w:spacing w:before="120" w:line="276" w:lineRule="auto"/>
              <w:jc w:val="left"/>
              <w:rPr>
                <w:iCs/>
                <w:sz w:val="17"/>
                <w:szCs w:val="17"/>
              </w:rPr>
            </w:pPr>
            <w:r>
              <w:rPr>
                <w:iCs/>
                <w:sz w:val="17"/>
                <w:szCs w:val="17"/>
              </w:rPr>
              <w:t>T</w:t>
            </w:r>
            <w:r w:rsidR="00420CD4" w:rsidRPr="000277DB">
              <w:rPr>
                <w:iCs/>
                <w:sz w:val="17"/>
                <w:szCs w:val="17"/>
              </w:rPr>
              <w:t>argeted changes to Article 18a</w:t>
            </w:r>
            <w:r w:rsidR="00420CD4">
              <w:rPr>
                <w:iCs/>
                <w:sz w:val="17"/>
                <w:szCs w:val="17"/>
              </w:rPr>
              <w:t xml:space="preserve">: </w:t>
            </w:r>
            <w:r w:rsidR="00420CD4" w:rsidRPr="00420CD4">
              <w:rPr>
                <w:iCs/>
                <w:sz w:val="17"/>
                <w:szCs w:val="17"/>
              </w:rPr>
              <w:t xml:space="preserve">From 10 January 2028, financial market participants must submit sustainability information disclosed under Articles 3 and 10 to designated collection bodies for publication via the </w:t>
            </w:r>
            <w:r w:rsidR="00420CD4" w:rsidRPr="00580862">
              <w:rPr>
                <w:b/>
                <w:bCs/>
                <w:iCs/>
                <w:sz w:val="17"/>
                <w:szCs w:val="17"/>
              </w:rPr>
              <w:t>European Single Access Point (ESAP).</w:t>
            </w:r>
            <w:r w:rsidR="00420CD4" w:rsidRPr="00420CD4">
              <w:rPr>
                <w:iCs/>
                <w:sz w:val="17"/>
                <w:szCs w:val="17"/>
              </w:rPr>
              <w:t xml:space="preserve"> These submissions must include the participant’s name, legal entity identifier (LEI), and size category, with all legal persons required to obtain an LEI.</w:t>
            </w:r>
          </w:p>
        </w:tc>
        <w:tc>
          <w:tcPr>
            <w:tcW w:w="2552" w:type="dxa"/>
            <w:shd w:val="clear" w:color="auto" w:fill="D6E3BC" w:themeFill="accent3" w:themeFillTint="66"/>
            <w:vAlign w:val="center"/>
          </w:tcPr>
          <w:p w14:paraId="0DE991D5" w14:textId="139A45C0" w:rsidR="008E28A0" w:rsidRDefault="00A96A4A" w:rsidP="00460DAB">
            <w:pPr>
              <w:spacing w:before="120" w:line="276" w:lineRule="auto"/>
              <w:jc w:val="center"/>
              <w:rPr>
                <w:iCs/>
                <w:sz w:val="17"/>
                <w:szCs w:val="17"/>
              </w:rPr>
            </w:pPr>
            <w:r>
              <w:rPr>
                <w:iCs/>
                <w:sz w:val="17"/>
                <w:szCs w:val="17"/>
              </w:rPr>
              <w:t>Positive</w:t>
            </w:r>
          </w:p>
        </w:tc>
      </w:tr>
      <w:tr w:rsidR="008E28A0" w14:paraId="10A435EE" w14:textId="77777777" w:rsidTr="0082044F">
        <w:tc>
          <w:tcPr>
            <w:tcW w:w="2342" w:type="dxa"/>
            <w:shd w:val="clear" w:color="auto" w:fill="F2F2F2" w:themeFill="background1" w:themeFillShade="F2"/>
            <w:vAlign w:val="center"/>
          </w:tcPr>
          <w:p w14:paraId="28291D2A" w14:textId="253EE2F8" w:rsidR="008E28A0" w:rsidRPr="00460DAB" w:rsidRDefault="000277DB" w:rsidP="00460DAB">
            <w:pPr>
              <w:spacing w:before="120" w:line="276" w:lineRule="auto"/>
              <w:jc w:val="left"/>
              <w:rPr>
                <w:iCs/>
                <w:sz w:val="17"/>
                <w:szCs w:val="17"/>
              </w:rPr>
            </w:pPr>
            <w:r w:rsidRPr="000277DB">
              <w:rPr>
                <w:iCs/>
                <w:sz w:val="17"/>
                <w:szCs w:val="17"/>
              </w:rPr>
              <w:t xml:space="preserve">Changes to review clause </w:t>
            </w:r>
          </w:p>
        </w:tc>
        <w:tc>
          <w:tcPr>
            <w:tcW w:w="11267" w:type="dxa"/>
            <w:shd w:val="clear" w:color="auto" w:fill="F2F2F2" w:themeFill="background1" w:themeFillShade="F2"/>
            <w:vAlign w:val="center"/>
          </w:tcPr>
          <w:p w14:paraId="4C509106" w14:textId="6E03AFAC" w:rsidR="008E28A0" w:rsidRDefault="000F1ED3" w:rsidP="00460DAB">
            <w:pPr>
              <w:spacing w:before="120" w:line="276" w:lineRule="auto"/>
              <w:jc w:val="left"/>
              <w:rPr>
                <w:iCs/>
                <w:sz w:val="17"/>
                <w:szCs w:val="17"/>
              </w:rPr>
            </w:pPr>
            <w:r w:rsidRPr="000277DB">
              <w:rPr>
                <w:iCs/>
                <w:sz w:val="17"/>
                <w:szCs w:val="17"/>
              </w:rPr>
              <w:t>Article 19</w:t>
            </w:r>
            <w:r>
              <w:rPr>
                <w:iCs/>
                <w:sz w:val="17"/>
                <w:szCs w:val="17"/>
              </w:rPr>
              <w:t xml:space="preserve"> (p.</w:t>
            </w:r>
            <w:r w:rsidR="0031118C">
              <w:rPr>
                <w:iCs/>
                <w:sz w:val="17"/>
                <w:szCs w:val="17"/>
              </w:rPr>
              <w:t>4</w:t>
            </w:r>
            <w:r w:rsidR="006A5EF7">
              <w:rPr>
                <w:iCs/>
                <w:sz w:val="17"/>
                <w:szCs w:val="17"/>
              </w:rPr>
              <w:t>4</w:t>
            </w:r>
            <w:r>
              <w:rPr>
                <w:iCs/>
                <w:sz w:val="17"/>
                <w:szCs w:val="17"/>
              </w:rPr>
              <w:t>)</w:t>
            </w:r>
            <w:r w:rsidR="00214002">
              <w:rPr>
                <w:iCs/>
                <w:sz w:val="17"/>
                <w:szCs w:val="17"/>
              </w:rPr>
              <w:t xml:space="preserve"> requires the Commission to review the application of this Regulation, </w:t>
            </w:r>
            <w:r w:rsidR="005A2A8A">
              <w:rPr>
                <w:iCs/>
                <w:sz w:val="17"/>
                <w:szCs w:val="17"/>
              </w:rPr>
              <w:t>36 months after the date of application of this Regulation</w:t>
            </w:r>
            <w:r w:rsidR="00214002">
              <w:rPr>
                <w:iCs/>
                <w:sz w:val="17"/>
                <w:szCs w:val="17"/>
              </w:rPr>
              <w:t>.</w:t>
            </w:r>
          </w:p>
        </w:tc>
        <w:tc>
          <w:tcPr>
            <w:tcW w:w="2552" w:type="dxa"/>
            <w:shd w:val="clear" w:color="auto" w:fill="F2F2F2" w:themeFill="background1" w:themeFillShade="F2"/>
            <w:vAlign w:val="center"/>
          </w:tcPr>
          <w:p w14:paraId="49D878EF" w14:textId="77777777" w:rsidR="008E28A0" w:rsidRDefault="008E28A0" w:rsidP="00460DAB">
            <w:pPr>
              <w:spacing w:before="120" w:line="276" w:lineRule="auto"/>
              <w:jc w:val="center"/>
              <w:rPr>
                <w:iCs/>
                <w:sz w:val="17"/>
                <w:szCs w:val="17"/>
              </w:rPr>
            </w:pPr>
          </w:p>
        </w:tc>
      </w:tr>
      <w:tr w:rsidR="000277DB" w14:paraId="53692A0B" w14:textId="77777777" w:rsidTr="0082044F">
        <w:tc>
          <w:tcPr>
            <w:tcW w:w="2342" w:type="dxa"/>
            <w:vAlign w:val="center"/>
          </w:tcPr>
          <w:p w14:paraId="52AB25C2" w14:textId="53770143" w:rsidR="000277DB" w:rsidRPr="000277DB" w:rsidRDefault="00D868E4" w:rsidP="00460DAB">
            <w:pPr>
              <w:spacing w:before="120" w:line="276" w:lineRule="auto"/>
              <w:jc w:val="left"/>
              <w:rPr>
                <w:iCs/>
                <w:sz w:val="17"/>
                <w:szCs w:val="17"/>
              </w:rPr>
            </w:pPr>
            <w:r>
              <w:rPr>
                <w:iCs/>
                <w:sz w:val="17"/>
                <w:szCs w:val="17"/>
              </w:rPr>
              <w:t>T</w:t>
            </w:r>
            <w:r w:rsidR="000277DB" w:rsidRPr="000277DB">
              <w:rPr>
                <w:iCs/>
                <w:sz w:val="17"/>
                <w:szCs w:val="17"/>
              </w:rPr>
              <w:t xml:space="preserve">ransitional provisions </w:t>
            </w:r>
          </w:p>
        </w:tc>
        <w:tc>
          <w:tcPr>
            <w:tcW w:w="11267" w:type="dxa"/>
            <w:vAlign w:val="center"/>
          </w:tcPr>
          <w:p w14:paraId="0AD470CD" w14:textId="17F4CB42" w:rsidR="00D565E6" w:rsidRDefault="00D565E6" w:rsidP="00460DAB">
            <w:pPr>
              <w:spacing w:before="120" w:line="276" w:lineRule="auto"/>
              <w:jc w:val="left"/>
              <w:rPr>
                <w:iCs/>
                <w:sz w:val="17"/>
                <w:szCs w:val="17"/>
              </w:rPr>
            </w:pPr>
            <w:r w:rsidRPr="00D565E6">
              <w:rPr>
                <w:iCs/>
                <w:sz w:val="17"/>
                <w:szCs w:val="17"/>
              </w:rPr>
              <w:t>Article 19a</w:t>
            </w:r>
            <w:r>
              <w:rPr>
                <w:iCs/>
                <w:sz w:val="17"/>
                <w:szCs w:val="17"/>
              </w:rPr>
              <w:t xml:space="preserve"> (p.</w:t>
            </w:r>
            <w:r w:rsidR="006A5EF7">
              <w:rPr>
                <w:iCs/>
                <w:sz w:val="17"/>
                <w:szCs w:val="17"/>
              </w:rPr>
              <w:t>4</w:t>
            </w:r>
            <w:r w:rsidR="00AD6624">
              <w:rPr>
                <w:iCs/>
                <w:sz w:val="17"/>
                <w:szCs w:val="17"/>
              </w:rPr>
              <w:t>5</w:t>
            </w:r>
            <w:r>
              <w:rPr>
                <w:iCs/>
                <w:sz w:val="17"/>
                <w:szCs w:val="17"/>
              </w:rPr>
              <w:t>)</w:t>
            </w:r>
            <w:r w:rsidRPr="00D565E6">
              <w:rPr>
                <w:iCs/>
                <w:sz w:val="17"/>
                <w:szCs w:val="17"/>
              </w:rPr>
              <w:t xml:space="preserve"> introduces </w:t>
            </w:r>
            <w:r w:rsidRPr="004A3CD8">
              <w:rPr>
                <w:b/>
                <w:bCs/>
                <w:iCs/>
                <w:sz w:val="17"/>
                <w:szCs w:val="17"/>
              </w:rPr>
              <w:t>transitional provisions</w:t>
            </w:r>
            <w:r w:rsidRPr="00D565E6">
              <w:rPr>
                <w:iCs/>
                <w:sz w:val="17"/>
                <w:szCs w:val="17"/>
              </w:rPr>
              <w:t xml:space="preserve"> requiring </w:t>
            </w:r>
            <w:r>
              <w:rPr>
                <w:iCs/>
                <w:sz w:val="17"/>
                <w:szCs w:val="17"/>
              </w:rPr>
              <w:t>FMPs</w:t>
            </w:r>
            <w:r w:rsidRPr="00D565E6">
              <w:rPr>
                <w:iCs/>
                <w:sz w:val="17"/>
                <w:szCs w:val="17"/>
              </w:rPr>
              <w:t xml:space="preserve"> to apply the amended sustainability disclosure rules (Articles 7–11) to certain categories of financial products within 12 months of the Regulation’s application. </w:t>
            </w:r>
          </w:p>
        </w:tc>
        <w:tc>
          <w:tcPr>
            <w:tcW w:w="2552" w:type="dxa"/>
            <w:shd w:val="clear" w:color="auto" w:fill="D6E3BC" w:themeFill="accent3" w:themeFillTint="66"/>
            <w:vAlign w:val="center"/>
          </w:tcPr>
          <w:p w14:paraId="12F81C7A" w14:textId="66EB30B2" w:rsidR="000277DB" w:rsidRDefault="00A96A4A" w:rsidP="00460DAB">
            <w:pPr>
              <w:spacing w:before="120" w:line="276" w:lineRule="auto"/>
              <w:jc w:val="center"/>
              <w:rPr>
                <w:iCs/>
                <w:sz w:val="17"/>
                <w:szCs w:val="17"/>
              </w:rPr>
            </w:pPr>
            <w:r>
              <w:rPr>
                <w:iCs/>
                <w:sz w:val="17"/>
                <w:szCs w:val="17"/>
              </w:rPr>
              <w:t>Positive</w:t>
            </w:r>
          </w:p>
        </w:tc>
      </w:tr>
      <w:tr w:rsidR="00E9652A" w14:paraId="2C6B9BED" w14:textId="77777777" w:rsidTr="00AE51BF">
        <w:tc>
          <w:tcPr>
            <w:tcW w:w="2342" w:type="dxa"/>
            <w:vAlign w:val="center"/>
          </w:tcPr>
          <w:p w14:paraId="21A35E26" w14:textId="40372501" w:rsidR="00E9652A" w:rsidRDefault="00E9652A" w:rsidP="00460DAB">
            <w:pPr>
              <w:spacing w:before="120" w:line="276" w:lineRule="auto"/>
              <w:jc w:val="left"/>
              <w:rPr>
                <w:iCs/>
                <w:sz w:val="17"/>
                <w:szCs w:val="17"/>
              </w:rPr>
            </w:pPr>
            <w:r w:rsidRPr="00695078">
              <w:rPr>
                <w:iCs/>
                <w:sz w:val="17"/>
                <w:szCs w:val="17"/>
              </w:rPr>
              <w:t>NEW Article on E</w:t>
            </w:r>
            <w:r w:rsidR="00D868E4" w:rsidRPr="00695078">
              <w:rPr>
                <w:iCs/>
                <w:sz w:val="17"/>
                <w:szCs w:val="17"/>
              </w:rPr>
              <w:t>mpowerments</w:t>
            </w:r>
          </w:p>
        </w:tc>
        <w:tc>
          <w:tcPr>
            <w:tcW w:w="11267" w:type="dxa"/>
            <w:vAlign w:val="center"/>
          </w:tcPr>
          <w:p w14:paraId="66FDD263" w14:textId="4E92667D" w:rsidR="00695078" w:rsidRPr="00695078" w:rsidRDefault="00E9652A" w:rsidP="00695078">
            <w:pPr>
              <w:spacing w:before="120" w:line="276" w:lineRule="auto"/>
              <w:jc w:val="left"/>
              <w:rPr>
                <w:sz w:val="17"/>
                <w:szCs w:val="17"/>
              </w:rPr>
            </w:pPr>
            <w:r w:rsidRPr="00695078">
              <w:rPr>
                <w:iCs/>
                <w:sz w:val="17"/>
                <w:szCs w:val="17"/>
              </w:rPr>
              <w:t>Article 19b (</w:t>
            </w:r>
            <w:r w:rsidR="00D868E4" w:rsidRPr="00695078">
              <w:rPr>
                <w:iCs/>
                <w:sz w:val="17"/>
                <w:szCs w:val="17"/>
              </w:rPr>
              <w:t>p.4</w:t>
            </w:r>
            <w:r w:rsidR="00AD6624">
              <w:rPr>
                <w:iCs/>
                <w:sz w:val="17"/>
                <w:szCs w:val="17"/>
              </w:rPr>
              <w:t>5</w:t>
            </w:r>
            <w:r w:rsidR="00D868E4" w:rsidRPr="00695078">
              <w:rPr>
                <w:iCs/>
                <w:sz w:val="17"/>
                <w:szCs w:val="17"/>
              </w:rPr>
              <w:t>)</w:t>
            </w:r>
            <w:r w:rsidR="00695078" w:rsidRPr="00695078">
              <w:rPr>
                <w:sz w:val="17"/>
                <w:szCs w:val="17"/>
              </w:rPr>
              <w:t xml:space="preserve"> </w:t>
            </w:r>
            <w:r w:rsidR="00695078">
              <w:rPr>
                <w:sz w:val="17"/>
                <w:szCs w:val="17"/>
              </w:rPr>
              <w:t>empowers the</w:t>
            </w:r>
            <w:r w:rsidR="00695078" w:rsidRPr="00695078">
              <w:rPr>
                <w:sz w:val="17"/>
                <w:szCs w:val="17"/>
              </w:rPr>
              <w:t xml:space="preserve"> European Commission to adopt delegated acts to supplement the rules in Articles 7, 8, 9, and 11.</w:t>
            </w:r>
            <w:r w:rsidR="00695078">
              <w:rPr>
                <w:sz w:val="17"/>
                <w:szCs w:val="17"/>
              </w:rPr>
              <w:t xml:space="preserve"> </w:t>
            </w:r>
            <w:r w:rsidR="00695078" w:rsidRPr="00695078">
              <w:rPr>
                <w:sz w:val="17"/>
                <w:szCs w:val="17"/>
              </w:rPr>
              <w:t>These delegated acts may specify:</w:t>
            </w:r>
          </w:p>
          <w:p w14:paraId="327CFFB9" w14:textId="77777777" w:rsidR="00695078" w:rsidRPr="00695078" w:rsidRDefault="00695078" w:rsidP="00695078">
            <w:pPr>
              <w:pStyle w:val="IEBullet-Level1"/>
            </w:pPr>
            <w:r w:rsidRPr="00695078">
              <w:t>Conditions for investments to qualify as contributing to transition or sustainability objectives.</w:t>
            </w:r>
          </w:p>
          <w:p w14:paraId="006B3B4C" w14:textId="77777777" w:rsidR="00695078" w:rsidRPr="00695078" w:rsidRDefault="00695078" w:rsidP="00695078">
            <w:pPr>
              <w:pStyle w:val="IEBullet-Level1"/>
            </w:pPr>
            <w:r w:rsidRPr="00262A5C">
              <w:rPr>
                <w:b/>
              </w:rPr>
              <w:t>Voluntary indicators</w:t>
            </w:r>
            <w:r w:rsidRPr="00695078">
              <w:t xml:space="preserve"> (building on SFDR and CSRD/ESRS frameworks).</w:t>
            </w:r>
          </w:p>
          <w:p w14:paraId="2CCE72FB" w14:textId="77777777" w:rsidR="00695078" w:rsidRPr="00695078" w:rsidRDefault="00695078" w:rsidP="00695078">
            <w:pPr>
              <w:pStyle w:val="IEBullet-Level1"/>
            </w:pPr>
            <w:r w:rsidRPr="00695078">
              <w:t>Limited permitted deviations from exclusions (e.g., for hedging).</w:t>
            </w:r>
          </w:p>
          <w:p w14:paraId="071DCCA6" w14:textId="77777777" w:rsidR="00695078" w:rsidRPr="00695078" w:rsidRDefault="00695078" w:rsidP="00695078">
            <w:pPr>
              <w:pStyle w:val="IEBullet-Level1"/>
            </w:pPr>
            <w:r w:rsidRPr="00695078">
              <w:t xml:space="preserve">Methodologies for calculating the </w:t>
            </w:r>
            <w:r w:rsidRPr="00695078">
              <w:rPr>
                <w:b/>
              </w:rPr>
              <w:t>70% threshold</w:t>
            </w:r>
            <w:r w:rsidRPr="00695078">
              <w:t xml:space="preserve"> and phase</w:t>
            </w:r>
            <w:r w:rsidRPr="00695078">
              <w:noBreakHyphen/>
              <w:t>in periods.</w:t>
            </w:r>
          </w:p>
          <w:p w14:paraId="1D40A388" w14:textId="77777777" w:rsidR="00695078" w:rsidRPr="00695078" w:rsidRDefault="00695078" w:rsidP="00695078">
            <w:pPr>
              <w:pStyle w:val="IEBullet-Level1"/>
            </w:pPr>
            <w:r w:rsidRPr="00695078">
              <w:t>Conditions for investment approaches to qualify under each category.</w:t>
            </w:r>
          </w:p>
          <w:p w14:paraId="135FAF40" w14:textId="02940105" w:rsidR="00E9652A" w:rsidRPr="00695078" w:rsidRDefault="00695078" w:rsidP="00695078">
            <w:pPr>
              <w:pStyle w:val="IEBullet-Level1"/>
            </w:pPr>
            <w:r w:rsidRPr="00695078">
              <w:t>Details of how information must be presented in disclosures (with page limits: 2 pages for most disclosures, 1 page for impact disclosures).</w:t>
            </w:r>
          </w:p>
        </w:tc>
        <w:tc>
          <w:tcPr>
            <w:tcW w:w="2552" w:type="dxa"/>
            <w:shd w:val="clear" w:color="auto" w:fill="D6E3BC" w:themeFill="accent3" w:themeFillTint="66"/>
            <w:vAlign w:val="center"/>
          </w:tcPr>
          <w:p w14:paraId="58D2DCC0" w14:textId="65947CE7" w:rsidR="00E9652A" w:rsidRPr="00262A5C" w:rsidRDefault="00AE51BF" w:rsidP="00460DAB">
            <w:pPr>
              <w:spacing w:before="120" w:line="276" w:lineRule="auto"/>
              <w:jc w:val="center"/>
              <w:rPr>
                <w:iCs/>
                <w:sz w:val="17"/>
                <w:szCs w:val="17"/>
              </w:rPr>
            </w:pPr>
            <w:r>
              <w:rPr>
                <w:iCs/>
                <w:sz w:val="17"/>
                <w:szCs w:val="17"/>
              </w:rPr>
              <w:t>Positive</w:t>
            </w:r>
          </w:p>
        </w:tc>
      </w:tr>
      <w:tr w:rsidR="008366C0" w14:paraId="7825C6D5" w14:textId="77777777" w:rsidTr="00A96A4A">
        <w:tc>
          <w:tcPr>
            <w:tcW w:w="2342" w:type="dxa"/>
            <w:vAlign w:val="center"/>
          </w:tcPr>
          <w:p w14:paraId="7245C5CD" w14:textId="157F5CD7" w:rsidR="008366C0" w:rsidRDefault="00D868E4" w:rsidP="00460DAB">
            <w:pPr>
              <w:spacing w:before="120" w:line="276" w:lineRule="auto"/>
              <w:jc w:val="left"/>
              <w:rPr>
                <w:iCs/>
                <w:sz w:val="17"/>
                <w:szCs w:val="17"/>
              </w:rPr>
            </w:pPr>
            <w:r>
              <w:rPr>
                <w:iCs/>
                <w:sz w:val="17"/>
                <w:szCs w:val="17"/>
              </w:rPr>
              <w:t>Exercise of the delegation</w:t>
            </w:r>
          </w:p>
        </w:tc>
        <w:tc>
          <w:tcPr>
            <w:tcW w:w="11267" w:type="dxa"/>
            <w:vAlign w:val="center"/>
          </w:tcPr>
          <w:p w14:paraId="7225442C" w14:textId="05F07FCC" w:rsidR="008366C0" w:rsidRDefault="008366C0" w:rsidP="00460DAB">
            <w:pPr>
              <w:spacing w:before="120" w:line="276" w:lineRule="auto"/>
              <w:jc w:val="left"/>
              <w:rPr>
                <w:iCs/>
                <w:sz w:val="17"/>
                <w:szCs w:val="17"/>
              </w:rPr>
            </w:pPr>
            <w:r w:rsidRPr="00D565E6">
              <w:rPr>
                <w:iCs/>
                <w:sz w:val="17"/>
                <w:szCs w:val="17"/>
              </w:rPr>
              <w:t>Article 19</w:t>
            </w:r>
            <w:r w:rsidR="00E9652A">
              <w:rPr>
                <w:iCs/>
                <w:sz w:val="17"/>
                <w:szCs w:val="17"/>
              </w:rPr>
              <w:t>c</w:t>
            </w:r>
            <w:r>
              <w:rPr>
                <w:iCs/>
                <w:sz w:val="17"/>
                <w:szCs w:val="17"/>
              </w:rPr>
              <w:t xml:space="preserve"> (p.</w:t>
            </w:r>
            <w:r w:rsidR="00D868E4">
              <w:rPr>
                <w:iCs/>
                <w:sz w:val="17"/>
                <w:szCs w:val="17"/>
              </w:rPr>
              <w:t>4</w:t>
            </w:r>
            <w:r w:rsidR="00AD6624">
              <w:rPr>
                <w:iCs/>
                <w:sz w:val="17"/>
                <w:szCs w:val="17"/>
              </w:rPr>
              <w:t>6</w:t>
            </w:r>
            <w:r>
              <w:rPr>
                <w:iCs/>
                <w:sz w:val="17"/>
                <w:szCs w:val="17"/>
              </w:rPr>
              <w:t>)</w:t>
            </w:r>
            <w:r w:rsidRPr="00D565E6">
              <w:rPr>
                <w:iCs/>
                <w:sz w:val="17"/>
                <w:szCs w:val="17"/>
              </w:rPr>
              <w:t xml:space="preserve"> sets out the framework for the Commission’s </w:t>
            </w:r>
            <w:r w:rsidR="00186D23">
              <w:rPr>
                <w:iCs/>
                <w:sz w:val="17"/>
                <w:szCs w:val="17"/>
              </w:rPr>
              <w:t xml:space="preserve">power to adopt a </w:t>
            </w:r>
            <w:r w:rsidRPr="00500418">
              <w:rPr>
                <w:b/>
                <w:bCs/>
                <w:iCs/>
                <w:sz w:val="17"/>
                <w:szCs w:val="17"/>
              </w:rPr>
              <w:t xml:space="preserve">delegated </w:t>
            </w:r>
            <w:r w:rsidR="00186D23">
              <w:rPr>
                <w:b/>
                <w:bCs/>
                <w:iCs/>
                <w:sz w:val="17"/>
                <w:szCs w:val="17"/>
              </w:rPr>
              <w:t>act</w:t>
            </w:r>
            <w:r w:rsidR="00D22961">
              <w:rPr>
                <w:iCs/>
                <w:sz w:val="17"/>
                <w:szCs w:val="17"/>
              </w:rPr>
              <w:t>:</w:t>
            </w:r>
          </w:p>
          <w:p w14:paraId="61EDAA95" w14:textId="3E826ABE" w:rsidR="00D22961" w:rsidRPr="00D22961" w:rsidRDefault="00D22961" w:rsidP="00D22961">
            <w:pPr>
              <w:pStyle w:val="IEBullet-Level1"/>
            </w:pPr>
            <w:r w:rsidRPr="00D22961">
              <w:t>Delegated powers are conferred on the Commission for an indeterminate period.</w:t>
            </w:r>
          </w:p>
          <w:p w14:paraId="63B1E180" w14:textId="05F79E69" w:rsidR="00D22961" w:rsidRPr="00D22961" w:rsidRDefault="00D22961" w:rsidP="00D22961">
            <w:pPr>
              <w:pStyle w:val="IEBullet-Level1"/>
            </w:pPr>
            <w:r w:rsidRPr="00D22961">
              <w:t>The European Parliament or Council may revoke these powers at any time.</w:t>
            </w:r>
          </w:p>
          <w:p w14:paraId="31F2526A" w14:textId="460137BC" w:rsidR="00D22961" w:rsidRPr="00D22961" w:rsidRDefault="00D22961" w:rsidP="00D22961">
            <w:pPr>
              <w:pStyle w:val="IEBullet-Level1"/>
            </w:pPr>
            <w:r w:rsidRPr="00D22961">
              <w:t>Before adopting a delegated act, the Commission must consult experts (Member State Expert Group on Sustainable Finance, ESAs) and follow the Better Law</w:t>
            </w:r>
            <w:r w:rsidRPr="00D22961">
              <w:rPr>
                <w:rFonts w:ascii="Cambria Math" w:hAnsi="Cambria Math" w:cs="Cambria Math"/>
              </w:rPr>
              <w:t>‑</w:t>
            </w:r>
            <w:r w:rsidRPr="00D22961">
              <w:t>Making Agreement.</w:t>
            </w:r>
          </w:p>
          <w:p w14:paraId="0164B6DB" w14:textId="22364979" w:rsidR="00D22961" w:rsidRPr="00D22961" w:rsidRDefault="00D22961" w:rsidP="00D22961">
            <w:pPr>
              <w:pStyle w:val="IEBullet-Level1"/>
            </w:pPr>
            <w:r w:rsidRPr="00D22961">
              <w:t>Delegated acts must be notified to Parliament and Council.</w:t>
            </w:r>
          </w:p>
          <w:p w14:paraId="79C23E95" w14:textId="0FC7AD87" w:rsidR="00D22961" w:rsidRPr="00D565E6" w:rsidRDefault="00D22961" w:rsidP="00D22961">
            <w:pPr>
              <w:pStyle w:val="IEBullet-Level1"/>
            </w:pPr>
            <w:r w:rsidRPr="00D22961">
              <w:t>They only enter into force if no objection is raised within two months (extendable by another two months).</w:t>
            </w:r>
          </w:p>
        </w:tc>
        <w:tc>
          <w:tcPr>
            <w:tcW w:w="2552" w:type="dxa"/>
            <w:shd w:val="clear" w:color="auto" w:fill="D6E3BC" w:themeFill="accent3" w:themeFillTint="66"/>
            <w:vAlign w:val="center"/>
          </w:tcPr>
          <w:p w14:paraId="2BE7D6BC" w14:textId="1969CE2A" w:rsidR="008366C0" w:rsidRPr="001C2A6E" w:rsidRDefault="00A96A4A" w:rsidP="00460DAB">
            <w:pPr>
              <w:spacing w:before="120" w:line="276" w:lineRule="auto"/>
              <w:jc w:val="center"/>
              <w:rPr>
                <w:iCs/>
                <w:sz w:val="17"/>
                <w:szCs w:val="17"/>
                <w:highlight w:val="yellow"/>
              </w:rPr>
            </w:pPr>
            <w:r>
              <w:rPr>
                <w:iCs/>
                <w:sz w:val="17"/>
                <w:szCs w:val="17"/>
              </w:rPr>
              <w:t>Positive</w:t>
            </w:r>
          </w:p>
        </w:tc>
      </w:tr>
      <w:tr w:rsidR="000277DB" w14:paraId="02AEA8D6" w14:textId="77777777" w:rsidTr="008B6887">
        <w:tc>
          <w:tcPr>
            <w:tcW w:w="2342" w:type="dxa"/>
            <w:vAlign w:val="center"/>
          </w:tcPr>
          <w:p w14:paraId="4E8A1D50" w14:textId="1C1869FF" w:rsidR="000277DB" w:rsidRPr="000277DB" w:rsidRDefault="0045304F" w:rsidP="00460DAB">
            <w:pPr>
              <w:spacing w:before="120" w:line="276" w:lineRule="auto"/>
              <w:jc w:val="left"/>
              <w:rPr>
                <w:iCs/>
                <w:sz w:val="17"/>
                <w:szCs w:val="17"/>
              </w:rPr>
            </w:pPr>
            <w:r>
              <w:rPr>
                <w:iCs/>
                <w:sz w:val="17"/>
                <w:szCs w:val="17"/>
              </w:rPr>
              <w:lastRenderedPageBreak/>
              <w:t>PRIIPs Regulation</w:t>
            </w:r>
          </w:p>
        </w:tc>
        <w:tc>
          <w:tcPr>
            <w:tcW w:w="11267" w:type="dxa"/>
            <w:vAlign w:val="center"/>
          </w:tcPr>
          <w:p w14:paraId="2393740F" w14:textId="46088ED8" w:rsidR="000277DB" w:rsidRDefault="00DD6E6A" w:rsidP="00460DAB">
            <w:pPr>
              <w:spacing w:before="120" w:line="276" w:lineRule="auto"/>
              <w:jc w:val="left"/>
              <w:rPr>
                <w:iCs/>
                <w:sz w:val="17"/>
                <w:szCs w:val="17"/>
              </w:rPr>
            </w:pPr>
            <w:r w:rsidRPr="00DD6E6A">
              <w:rPr>
                <w:iCs/>
                <w:sz w:val="17"/>
                <w:szCs w:val="17"/>
              </w:rPr>
              <w:t xml:space="preserve">Article 2 </w:t>
            </w:r>
            <w:r w:rsidR="00AD6624">
              <w:rPr>
                <w:iCs/>
                <w:sz w:val="17"/>
                <w:szCs w:val="17"/>
              </w:rPr>
              <w:t xml:space="preserve">(p.47) </w:t>
            </w:r>
            <w:r w:rsidRPr="00DD6E6A">
              <w:rPr>
                <w:iCs/>
                <w:sz w:val="17"/>
                <w:szCs w:val="17"/>
              </w:rPr>
              <w:t>amends the PRIIPs Regulation, requiring that the Key Information Document (KID) for sustainability</w:t>
            </w:r>
            <w:r w:rsidRPr="00DD6E6A">
              <w:rPr>
                <w:rFonts w:ascii="Cambria Math" w:hAnsi="Cambria Math" w:cs="Cambria Math"/>
                <w:iCs/>
                <w:sz w:val="17"/>
                <w:szCs w:val="17"/>
              </w:rPr>
              <w:t>‑</w:t>
            </w:r>
            <w:r w:rsidRPr="00DD6E6A">
              <w:rPr>
                <w:iCs/>
                <w:sz w:val="17"/>
                <w:szCs w:val="17"/>
              </w:rPr>
              <w:t>related products clearly indicate the product</w:t>
            </w:r>
            <w:r w:rsidRPr="00DD6E6A">
              <w:rPr>
                <w:rFonts w:cs="Verdana"/>
                <w:iCs/>
                <w:sz w:val="17"/>
                <w:szCs w:val="17"/>
              </w:rPr>
              <w:t>’</w:t>
            </w:r>
            <w:r w:rsidRPr="00DD6E6A">
              <w:rPr>
                <w:iCs/>
                <w:sz w:val="17"/>
                <w:szCs w:val="17"/>
              </w:rPr>
              <w:t>s category (</w:t>
            </w:r>
            <w:r w:rsidRPr="00DD6E6A">
              <w:rPr>
                <w:rFonts w:cs="Verdana"/>
                <w:iCs/>
                <w:sz w:val="17"/>
                <w:szCs w:val="17"/>
              </w:rPr>
              <w:t>“</w:t>
            </w:r>
            <w:r w:rsidRPr="00DD6E6A">
              <w:rPr>
                <w:iCs/>
                <w:sz w:val="17"/>
                <w:szCs w:val="17"/>
              </w:rPr>
              <w:t>sustainable,</w:t>
            </w:r>
            <w:r w:rsidRPr="00DD6E6A">
              <w:rPr>
                <w:rFonts w:cs="Verdana"/>
                <w:iCs/>
                <w:sz w:val="17"/>
                <w:szCs w:val="17"/>
              </w:rPr>
              <w:t>”</w:t>
            </w:r>
            <w:r w:rsidRPr="00DD6E6A">
              <w:rPr>
                <w:iCs/>
                <w:sz w:val="17"/>
                <w:szCs w:val="17"/>
              </w:rPr>
              <w:t xml:space="preserve"> </w:t>
            </w:r>
            <w:r w:rsidRPr="00DD6E6A">
              <w:rPr>
                <w:rFonts w:cs="Verdana"/>
                <w:iCs/>
                <w:sz w:val="17"/>
                <w:szCs w:val="17"/>
              </w:rPr>
              <w:t>“</w:t>
            </w:r>
            <w:r w:rsidRPr="00DD6E6A">
              <w:rPr>
                <w:iCs/>
                <w:sz w:val="17"/>
                <w:szCs w:val="17"/>
              </w:rPr>
              <w:t>transition,</w:t>
            </w:r>
            <w:r w:rsidRPr="00DD6E6A">
              <w:rPr>
                <w:rFonts w:cs="Verdana"/>
                <w:iCs/>
                <w:sz w:val="17"/>
                <w:szCs w:val="17"/>
              </w:rPr>
              <w:t>”</w:t>
            </w:r>
            <w:r w:rsidRPr="00DD6E6A">
              <w:rPr>
                <w:iCs/>
                <w:sz w:val="17"/>
                <w:szCs w:val="17"/>
              </w:rPr>
              <w:t xml:space="preserve"> or </w:t>
            </w:r>
            <w:r w:rsidRPr="00DD6E6A">
              <w:rPr>
                <w:rFonts w:cs="Verdana"/>
                <w:iCs/>
                <w:sz w:val="17"/>
                <w:szCs w:val="17"/>
              </w:rPr>
              <w:t>“</w:t>
            </w:r>
            <w:r w:rsidRPr="00DD6E6A">
              <w:rPr>
                <w:iCs/>
                <w:sz w:val="17"/>
                <w:szCs w:val="17"/>
              </w:rPr>
              <w:t>ESG collection</w:t>
            </w:r>
            <w:r w:rsidRPr="00DD6E6A">
              <w:rPr>
                <w:rFonts w:cs="Verdana"/>
                <w:iCs/>
                <w:sz w:val="17"/>
                <w:szCs w:val="17"/>
              </w:rPr>
              <w:t>”</w:t>
            </w:r>
            <w:r w:rsidRPr="00DD6E6A">
              <w:rPr>
                <w:iCs/>
                <w:sz w:val="17"/>
                <w:szCs w:val="17"/>
              </w:rPr>
              <w:t>), provide a description of its sustainability objective, and set out the relevant indicators used to measure progress toward that objective</w:t>
            </w:r>
            <w:r w:rsidR="0045304F" w:rsidRPr="00785F7B">
              <w:rPr>
                <w:iCs/>
                <w:sz w:val="17"/>
                <w:szCs w:val="17"/>
              </w:rPr>
              <w:t>.</w:t>
            </w:r>
          </w:p>
        </w:tc>
        <w:tc>
          <w:tcPr>
            <w:tcW w:w="2552" w:type="dxa"/>
            <w:shd w:val="clear" w:color="auto" w:fill="FBD4B4" w:themeFill="accent6" w:themeFillTint="66"/>
            <w:vAlign w:val="center"/>
          </w:tcPr>
          <w:p w14:paraId="6AD82FCD" w14:textId="045E5228" w:rsidR="000277DB" w:rsidRDefault="008B6887" w:rsidP="00460DAB">
            <w:pPr>
              <w:spacing w:before="120" w:line="276" w:lineRule="auto"/>
              <w:jc w:val="center"/>
              <w:rPr>
                <w:iCs/>
                <w:sz w:val="17"/>
                <w:szCs w:val="17"/>
              </w:rPr>
            </w:pPr>
            <w:r w:rsidRPr="008B6887">
              <w:rPr>
                <w:iCs/>
                <w:sz w:val="17"/>
                <w:szCs w:val="17"/>
              </w:rPr>
              <w:t>We see amendments as unnecessary, as all relevant sustainability information is already captured in the SFDR disclosure templates.</w:t>
            </w:r>
          </w:p>
        </w:tc>
      </w:tr>
    </w:tbl>
    <w:p w14:paraId="6793D08A" w14:textId="7842E148" w:rsidR="008E38C2" w:rsidRPr="00763D6E" w:rsidRDefault="008E38C2" w:rsidP="00E05334">
      <w:pPr>
        <w:spacing w:before="120" w:after="200" w:line="276" w:lineRule="auto"/>
        <w:rPr>
          <w:sz w:val="17"/>
          <w:szCs w:val="17"/>
        </w:rPr>
      </w:pPr>
    </w:p>
    <w:sectPr w:rsidR="008E38C2" w:rsidRPr="00763D6E" w:rsidSect="0017675B">
      <w:headerReference w:type="first" r:id="rId19"/>
      <w:pgSz w:w="16839" w:h="11907" w:orient="landscape" w:code="9"/>
      <w:pgMar w:top="1418" w:right="2410" w:bottom="907" w:left="1253" w:header="709"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AC93" w14:textId="77777777" w:rsidR="00EE2C6C" w:rsidRDefault="00EE2C6C" w:rsidP="0016089A">
      <w:pPr>
        <w:spacing w:line="240" w:lineRule="auto"/>
      </w:pPr>
      <w:r>
        <w:separator/>
      </w:r>
    </w:p>
  </w:endnote>
  <w:endnote w:type="continuationSeparator" w:id="0">
    <w:p w14:paraId="396A1E0B" w14:textId="77777777" w:rsidR="00EE2C6C" w:rsidRDefault="00EE2C6C" w:rsidP="00160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alibri"/>
    <w:charset w:val="00"/>
    <w:family w:val="swiss"/>
    <w:pitch w:val="variable"/>
    <w:sig w:usb0="00000001" w:usb1="5000204A" w:usb2="00000000" w:usb3="00000000" w:csb0="0000009B"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0AA7" w14:textId="77777777" w:rsidR="00CB7858" w:rsidRPr="008E38C2" w:rsidRDefault="00E20C68" w:rsidP="00E20C68">
    <w:pPr>
      <w:framePr w:w="708" w:h="391" w:hRule="exact" w:hSpace="181" w:wrap="around" w:vAnchor="page" w:hAnchor="page" w:x="10320" w:y="16111" w:anchorLock="1"/>
      <w:jc w:val="right"/>
      <w:rPr>
        <w:rFonts w:cs="Tahoma"/>
        <w:color w:val="002957"/>
        <w:sz w:val="16"/>
        <w:szCs w:val="14"/>
      </w:rPr>
    </w:pPr>
    <w:r w:rsidRPr="008E38C2">
      <w:rPr>
        <w:rFonts w:cs="Tahoma"/>
        <w:color w:val="002957"/>
        <w:sz w:val="14"/>
        <w:szCs w:val="12"/>
      </w:rPr>
      <w:fldChar w:fldCharType="begin"/>
    </w:r>
    <w:r w:rsidRPr="008E38C2">
      <w:rPr>
        <w:rFonts w:cs="Tahoma"/>
        <w:color w:val="002957"/>
        <w:sz w:val="14"/>
        <w:szCs w:val="12"/>
      </w:rPr>
      <w:instrText xml:space="preserve"> PAGE   \* MERGEFORMAT </w:instrText>
    </w:r>
    <w:r w:rsidRPr="008E38C2">
      <w:rPr>
        <w:rFonts w:cs="Tahoma"/>
        <w:color w:val="002957"/>
        <w:sz w:val="14"/>
        <w:szCs w:val="12"/>
      </w:rPr>
      <w:fldChar w:fldCharType="separate"/>
    </w:r>
    <w:r w:rsidR="002D5146" w:rsidRPr="008E38C2">
      <w:rPr>
        <w:rFonts w:cs="Tahoma"/>
        <w:noProof/>
        <w:color w:val="002957"/>
        <w:sz w:val="14"/>
        <w:szCs w:val="12"/>
      </w:rPr>
      <w:t>2</w:t>
    </w:r>
    <w:r w:rsidRPr="008E38C2">
      <w:rPr>
        <w:rFonts w:cs="Tahoma"/>
        <w:noProof/>
        <w:color w:val="002957"/>
        <w:sz w:val="14"/>
        <w:szCs w:val="12"/>
      </w:rPr>
      <w:fldChar w:fldCharType="end"/>
    </w:r>
  </w:p>
  <w:p w14:paraId="55F780C8" w14:textId="77777777" w:rsidR="00CB7858" w:rsidRPr="0089179F" w:rsidRDefault="00CB7858">
    <w:pPr>
      <w:tabs>
        <w:tab w:val="right" w:pos="10260"/>
      </w:tabs>
      <w:autoSpaceDE w:val="0"/>
      <w:autoSpaceDN w:val="0"/>
      <w:adjustRightInd w:val="0"/>
      <w:ind w:right="23"/>
      <w:jc w:val="right"/>
      <w:textAlignment w:val="center"/>
      <w:rPr>
        <w:color w:val="0000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97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4111"/>
    </w:tblGrid>
    <w:tr w:rsidR="00C0076E" w14:paraId="2FCD7D2F" w14:textId="77777777" w:rsidTr="004A40C4">
      <w:tc>
        <w:tcPr>
          <w:tcW w:w="5675" w:type="dxa"/>
        </w:tcPr>
        <w:p w14:paraId="00FC5EB9" w14:textId="77777777" w:rsidR="00C0076E" w:rsidRPr="00BA344E" w:rsidRDefault="00C0076E" w:rsidP="004A40C4">
          <w:pPr>
            <w:pStyle w:val="CEAFooterauthorinfo"/>
            <w:ind w:left="0"/>
            <w:rPr>
              <w:b w:val="0"/>
              <w:color w:val="002957"/>
              <w:sz w:val="14"/>
              <w:szCs w:val="14"/>
            </w:rPr>
          </w:pPr>
          <w:r w:rsidRPr="00BA344E">
            <w:rPr>
              <w:b w:val="0"/>
              <w:color w:val="002957"/>
              <w:sz w:val="14"/>
              <w:szCs w:val="14"/>
            </w:rPr>
            <w:t>Cléa Gobet • Policy Advisor, sustainable finance &amp; corporate reporting</w:t>
          </w:r>
        </w:p>
        <w:p w14:paraId="6CCA7E3A" w14:textId="77777777" w:rsidR="00C0076E" w:rsidRPr="00353714" w:rsidRDefault="00C0076E" w:rsidP="004A40C4">
          <w:pPr>
            <w:pStyle w:val="CEAFooterauthorinfo"/>
            <w:ind w:left="0"/>
            <w:rPr>
              <w:b w:val="0"/>
              <w:color w:val="002957"/>
              <w:sz w:val="14"/>
              <w:szCs w:val="14"/>
              <w:lang w:val="fr-BE"/>
            </w:rPr>
          </w:pPr>
          <w:r w:rsidRPr="00353714">
            <w:rPr>
              <w:b w:val="0"/>
              <w:color w:val="002957"/>
              <w:sz w:val="14"/>
              <w:szCs w:val="14"/>
              <w:lang w:val="fr-BE"/>
            </w:rPr>
            <w:t xml:space="preserve">Insurance Europe aisbl </w:t>
          </w:r>
          <w:r w:rsidRPr="00CE6BD9">
            <w:rPr>
              <w:b w:val="0"/>
              <w:color w:val="002957"/>
              <w:sz w:val="14"/>
              <w:szCs w:val="14"/>
              <w:lang w:val="pt-PT"/>
            </w:rPr>
            <w:t>•</w:t>
          </w:r>
          <w:r w:rsidRPr="00353714">
            <w:rPr>
              <w:b w:val="0"/>
              <w:color w:val="002957"/>
              <w:sz w:val="14"/>
              <w:szCs w:val="14"/>
              <w:lang w:val="fr-BE"/>
            </w:rPr>
            <w:t xml:space="preserve"> Rue du Champ de Mars 2</w:t>
          </w:r>
          <w:r>
            <w:rPr>
              <w:b w:val="0"/>
              <w:color w:val="002957"/>
              <w:sz w:val="14"/>
              <w:szCs w:val="14"/>
              <w:lang w:val="fr-BE"/>
            </w:rPr>
            <w:t>3</w:t>
          </w:r>
          <w:r w:rsidRPr="00353714">
            <w:rPr>
              <w:b w:val="0"/>
              <w:color w:val="002957"/>
              <w:sz w:val="14"/>
              <w:szCs w:val="14"/>
              <w:lang w:val="fr-BE"/>
            </w:rPr>
            <w:t xml:space="preserve">, </w:t>
          </w:r>
          <w:r>
            <w:rPr>
              <w:b w:val="0"/>
              <w:color w:val="002957"/>
              <w:sz w:val="14"/>
              <w:szCs w:val="14"/>
              <w:lang w:val="fr-BE"/>
            </w:rPr>
            <w:t>B-1050 Brussels</w:t>
          </w:r>
        </w:p>
        <w:p w14:paraId="7D0DC67A" w14:textId="482101E9" w:rsidR="00C0076E" w:rsidRPr="00C0076E" w:rsidRDefault="00C0076E" w:rsidP="004A40C4">
          <w:pPr>
            <w:pStyle w:val="CEAFooterauthorinfo"/>
            <w:ind w:left="0"/>
            <w:rPr>
              <w:b w:val="0"/>
              <w:color w:val="002957"/>
              <w:sz w:val="14"/>
              <w:szCs w:val="14"/>
              <w:lang w:val="pt-PT"/>
            </w:rPr>
          </w:pPr>
          <w:r>
            <w:rPr>
              <w:b w:val="0"/>
              <w:color w:val="002957"/>
              <w:sz w:val="14"/>
              <w:szCs w:val="14"/>
              <w:lang w:val="pt-PT"/>
            </w:rPr>
            <w:t xml:space="preserve">Tel: </w:t>
          </w:r>
          <w:dir w:val="ltr">
            <w:r>
              <w:rPr>
                <w:b w:val="0"/>
                <w:color w:val="002957"/>
                <w:sz w:val="14"/>
                <w:szCs w:val="14"/>
                <w:lang w:val="pt-PT"/>
              </w:rPr>
              <w:t>+32 2 894 30 73 • E-mail: Gobet@insuranceeurope.eu</w:t>
            </w:r>
            <w:r w:rsidR="00B13319" w:rsidRPr="00883ED8">
              <w:rPr>
                <w:lang w:val="de-CH"/>
              </w:rPr>
              <w:t>‬</w:t>
            </w:r>
            <w:r w:rsidR="00EB752F" w:rsidRPr="00883ED8">
              <w:rPr>
                <w:lang w:val="de-CH"/>
              </w:rPr>
              <w:t>‬</w:t>
            </w:r>
            <w:r w:rsidRPr="00883ED8">
              <w:rPr>
                <w:lang w:val="de-CH"/>
              </w:rPr>
              <w:t>‬</w:t>
            </w:r>
            <w:r w:rsidR="005D4EF2" w:rsidRPr="00883ED8">
              <w:rPr>
                <w:lang w:val="de-CH"/>
              </w:rPr>
              <w:t>‬</w:t>
            </w:r>
            <w:r w:rsidR="00426675" w:rsidRPr="00883ED8">
              <w:rPr>
                <w:lang w:val="de-CH"/>
              </w:rPr>
              <w:t>‬</w:t>
            </w:r>
            <w:r w:rsidR="00746D8E" w:rsidRPr="00883ED8">
              <w:rPr>
                <w:lang w:val="de-CH"/>
              </w:rPr>
              <w:t>‬</w:t>
            </w:r>
            <w:r w:rsidR="00EB3DE6" w:rsidRPr="00883ED8">
              <w:rPr>
                <w:lang w:val="de-CH"/>
              </w:rPr>
              <w:t>‬</w:t>
            </w:r>
            <w:r w:rsidR="0082044F" w:rsidRPr="00883ED8">
              <w:rPr>
                <w:lang w:val="de-CH"/>
              </w:rPr>
              <w:t>‬</w:t>
            </w:r>
            <w:r w:rsidRPr="00883ED8">
              <w:rPr>
                <w:lang w:val="de-CH"/>
              </w:rPr>
              <w:t>‬</w:t>
            </w:r>
            <w:r w:rsidR="00F15842" w:rsidRPr="00883ED8">
              <w:rPr>
                <w:lang w:val="de-CH"/>
              </w:rPr>
              <w:t>‬</w:t>
            </w:r>
            <w:r w:rsidR="00385460" w:rsidRPr="00883ED8">
              <w:rPr>
                <w:lang w:val="de-CH"/>
              </w:rPr>
              <w:t>‬</w:t>
            </w:r>
            <w:r w:rsidRPr="00883ED8">
              <w:rPr>
                <w:lang w:val="de-CH"/>
              </w:rPr>
              <w:t>‬</w:t>
            </w:r>
            <w:r w:rsidRPr="00883ED8">
              <w:rPr>
                <w:lang w:val="de-CH"/>
              </w:rPr>
              <w:t>‬</w:t>
            </w:r>
            <w:r w:rsidR="00E75148" w:rsidRPr="00883ED8">
              <w:rPr>
                <w:lang w:val="de-CH"/>
              </w:rPr>
              <w:t>‬</w:t>
            </w:r>
            <w:r w:rsidRPr="00883ED8">
              <w:rPr>
                <w:lang w:val="de-CH"/>
              </w:rPr>
              <w:t>‬</w:t>
            </w:r>
            <w:r w:rsidRPr="00883ED8">
              <w:rPr>
                <w:lang w:val="de-CH"/>
              </w:rPr>
              <w:t>‬</w:t>
            </w:r>
            <w:r w:rsidRPr="00883ED8">
              <w:rPr>
                <w:lang w:val="de-CH"/>
              </w:rPr>
              <w:t>‬</w:t>
            </w:r>
            <w:r w:rsidRPr="00883ED8">
              <w:rPr>
                <w:lang w:val="de-CH"/>
              </w:rPr>
              <w:t>‬</w:t>
            </w:r>
            <w:r w:rsidR="005F4EE4" w:rsidRPr="00883ED8">
              <w:rPr>
                <w:lang w:val="de-CH"/>
              </w:rPr>
              <w:t>‬</w:t>
            </w:r>
            <w:r w:rsidRPr="00883ED8">
              <w:rPr>
                <w:lang w:val="de-CH"/>
              </w:rPr>
              <w:t>‬</w:t>
            </w:r>
            <w:r w:rsidRPr="00883ED8">
              <w:rPr>
                <w:lang w:val="de-CH"/>
              </w:rPr>
              <w:t>‬</w:t>
            </w:r>
            <w:r w:rsidR="00403E8E" w:rsidRPr="00883ED8">
              <w:rPr>
                <w:lang w:val="de-CH"/>
              </w:rPr>
              <w:t>‬</w:t>
            </w:r>
            <w:r w:rsidR="00F33C07" w:rsidRPr="00883ED8">
              <w:rPr>
                <w:lang w:val="de-CH"/>
              </w:rPr>
              <w:t>‬</w:t>
            </w:r>
            <w:r w:rsidR="0044661A" w:rsidRPr="00883ED8">
              <w:rPr>
                <w:lang w:val="de-CH"/>
              </w:rPr>
              <w:t>‬</w:t>
            </w:r>
            <w:r w:rsidR="00B87E39" w:rsidRPr="00883ED8">
              <w:rPr>
                <w:lang w:val="de-CH"/>
              </w:rPr>
              <w:t>‬</w:t>
            </w:r>
            <w:r w:rsidRPr="00883ED8">
              <w:rPr>
                <w:lang w:val="de-CH"/>
              </w:rPr>
              <w:t>‬</w:t>
            </w:r>
            <w:r w:rsidRPr="00883ED8">
              <w:rPr>
                <w:lang w:val="de-CH"/>
              </w:rPr>
              <w:t>‬</w:t>
            </w:r>
            <w:r w:rsidR="00134EE5" w:rsidRPr="00883ED8">
              <w:rPr>
                <w:lang w:val="de-CH"/>
              </w:rPr>
              <w:t>‬</w:t>
            </w:r>
            <w:r w:rsidR="00B87708" w:rsidRPr="008943D1">
              <w:rPr>
                <w:lang w:val="fr-BE"/>
              </w:rPr>
              <w:t>‬</w:t>
            </w:r>
            <w:r w:rsidRPr="008943D1">
              <w:rPr>
                <w:lang w:val="fr-BE"/>
              </w:rPr>
              <w:t>‬</w:t>
            </w:r>
            <w:r w:rsidR="001F0ECD" w:rsidRPr="008943D1">
              <w:rPr>
                <w:lang w:val="fr-BE"/>
              </w:rPr>
              <w:t>‬</w:t>
            </w:r>
            <w:r>
              <w:t>‬</w:t>
            </w:r>
            <w:r>
              <w:t>‬</w:t>
            </w:r>
            <w:r w:rsidR="004274BB">
              <w:t>‬</w:t>
            </w:r>
            <w:r>
              <w:t>‬</w:t>
            </w:r>
            <w:r w:rsidR="00A52A13">
              <w:t>‬</w:t>
            </w:r>
            <w:r w:rsidR="00326592">
              <w:t>‬</w:t>
            </w:r>
            <w:r w:rsidR="00DC0BF5">
              <w:t>‬</w:t>
            </w:r>
            <w:r>
              <w:t>‬</w:t>
            </w:r>
            <w:r w:rsidR="00EE2C6C">
              <w:t>‬</w:t>
            </w:r>
          </w:dir>
        </w:p>
      </w:tc>
      <w:tc>
        <w:tcPr>
          <w:tcW w:w="4111" w:type="dxa"/>
        </w:tcPr>
        <w:p w14:paraId="14843AB9" w14:textId="261C0F9C" w:rsidR="00C0076E" w:rsidRDefault="00F15E1B" w:rsidP="004A40C4">
          <w:pPr>
            <w:pStyle w:val="CEAFooterauthorinfo"/>
            <w:ind w:left="0"/>
            <w:jc w:val="left"/>
            <w:rPr>
              <w:b w:val="0"/>
              <w:color w:val="002957"/>
              <w:sz w:val="14"/>
              <w:szCs w:val="14"/>
            </w:rPr>
          </w:pPr>
          <w:r w:rsidRPr="00F15E1B">
            <w:rPr>
              <w:b w:val="0"/>
              <w:color w:val="002957"/>
              <w:sz w:val="14"/>
              <w:szCs w:val="14"/>
            </w:rPr>
            <w:t>© Insurance Europe. Confidential, internal document. Not for distribution, all rights reserved.</w:t>
          </w:r>
        </w:p>
      </w:tc>
    </w:tr>
  </w:tbl>
  <w:p w14:paraId="52B6B284" w14:textId="77777777" w:rsidR="00C0076E" w:rsidRDefault="00C0076E">
    <w:pPr>
      <w:pStyle w:val="CEAFooterauthorinfo"/>
      <w:ind w:left="0"/>
      <w:rPr>
        <w:rFonts w:cs="Frutiger LT Std 55 Roman"/>
        <w:b w:val="0"/>
        <w:color w:val="82C55B"/>
        <w:sz w:val="14"/>
        <w:szCs w:val="14"/>
        <w:lang w:val="pt-PT"/>
      </w:rPr>
    </w:pPr>
  </w:p>
  <w:p w14:paraId="3CB87459" w14:textId="35532B73" w:rsidR="00776725" w:rsidRPr="00DD395E" w:rsidRDefault="00776725">
    <w:pPr>
      <w:pStyle w:val="CEAFooterauthorinfo"/>
      <w:ind w:left="0"/>
      <w:rPr>
        <w:rFonts w:cs="Frutiger LT Std 55 Roman"/>
        <w:b w:val="0"/>
        <w:color w:val="82C55B"/>
        <w:sz w:val="14"/>
        <w:szCs w:val="14"/>
        <w:lang w:val="pt-PT"/>
      </w:rPr>
    </w:pPr>
    <w:r w:rsidRPr="00DD395E">
      <w:rPr>
        <w:rFonts w:cs="Frutiger LT Std 55 Roman"/>
        <w:b w:val="0"/>
        <w:color w:val="82C55B"/>
        <w:sz w:val="14"/>
        <w:szCs w:val="14"/>
        <w:lang w:val="pt-PT"/>
      </w:rPr>
      <w:t>www.insuranceeurope.eu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99744" w14:textId="77777777" w:rsidR="00EE2C6C" w:rsidRDefault="00EE2C6C" w:rsidP="0016089A">
      <w:pPr>
        <w:spacing w:line="240" w:lineRule="auto"/>
      </w:pPr>
      <w:r>
        <w:separator/>
      </w:r>
    </w:p>
  </w:footnote>
  <w:footnote w:type="continuationSeparator" w:id="0">
    <w:p w14:paraId="2FF605E5" w14:textId="77777777" w:rsidR="00EE2C6C" w:rsidRDefault="00EE2C6C" w:rsidP="001608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DB8D" w14:textId="77777777" w:rsidR="00CB7858" w:rsidRPr="000846C0" w:rsidRDefault="00CB7858">
    <w:pPr>
      <w:pStyle w:val="Noparagraphstyle"/>
      <w:jc w:val="right"/>
      <w:rPr>
        <w:sz w:val="18"/>
        <w:szCs w:val="18"/>
      </w:rPr>
    </w:pPr>
  </w:p>
  <w:p w14:paraId="74718C28" w14:textId="77777777" w:rsidR="00CB7858" w:rsidRPr="00CE6BD9" w:rsidRDefault="001C366D">
    <w:pPr>
      <w:pStyle w:val="Noparagraphstyle"/>
      <w:jc w:val="right"/>
      <w:rPr>
        <w:rFonts w:ascii="Arial" w:hAnsi="Arial" w:cs="Arial"/>
        <w:i/>
        <w:iCs/>
        <w:color w:val="034EA2"/>
      </w:rPr>
    </w:pPr>
    <w:r>
      <w:tab/>
    </w:r>
  </w:p>
  <w:p w14:paraId="431AD5DD" w14:textId="77777777" w:rsidR="00CB7858" w:rsidRDefault="001C366D">
    <w:pPr>
      <w:pStyle w:val="Hlavika"/>
      <w:tabs>
        <w:tab w:val="clear" w:pos="4320"/>
        <w:tab w:val="clear" w:pos="8640"/>
        <w:tab w:val="center" w:pos="0"/>
        <w:tab w:val="right" w:pos="10440"/>
      </w:tabs>
      <w:jc w:val="right"/>
      <w:rPr>
        <w:b/>
        <w:color w:val="034EA2"/>
        <w:sz w:val="40"/>
        <w:szCs w:val="40"/>
      </w:rPr>
    </w:pPr>
    <w:r w:rsidRPr="00763D6E">
      <w:rPr>
        <w:b/>
        <w:noProof/>
        <w:sz w:val="40"/>
        <w:szCs w:val="40"/>
        <w:lang w:val="en-US"/>
      </w:rPr>
      <w:drawing>
        <wp:anchor distT="0" distB="0" distL="114300" distR="114300" simplePos="0" relativeHeight="251658241" behindDoc="0" locked="0" layoutInCell="1" allowOverlap="1" wp14:anchorId="42212B25" wp14:editId="0D81137F">
          <wp:simplePos x="0" y="0"/>
          <wp:positionH relativeFrom="page">
            <wp:posOffset>521970</wp:posOffset>
          </wp:positionH>
          <wp:positionV relativeFrom="page">
            <wp:posOffset>521970</wp:posOffset>
          </wp:positionV>
          <wp:extent cx="1457325" cy="895350"/>
          <wp:effectExtent l="19050" t="0" r="0" b="0"/>
          <wp:wrapSquare wrapText="bothSides"/>
          <wp:docPr id="1477403002"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Pr="005C0D74">
      <w:rPr>
        <w:b/>
        <w:color w:val="034EA2"/>
        <w:sz w:val="28"/>
        <w:szCs w:val="28"/>
      </w:rPr>
      <w:t xml:space="preserve"> </w:t>
    </w:r>
  </w:p>
  <w:p w14:paraId="778B5886" w14:textId="77777777" w:rsidR="00CB7858" w:rsidRDefault="00CB7858">
    <w:pPr>
      <w:pStyle w:val="Noparagraphsty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FBC1" w14:textId="77777777" w:rsidR="00CB7858" w:rsidRPr="00CE615B" w:rsidRDefault="001C366D">
    <w:pPr>
      <w:pStyle w:val="Noparagraphstyle"/>
      <w:tabs>
        <w:tab w:val="left" w:pos="-1800"/>
      </w:tabs>
      <w:jc w:val="right"/>
      <w:rPr>
        <w:rFonts w:ascii="Verdana" w:hAnsi="Verdana"/>
        <w:sz w:val="22"/>
        <w:szCs w:val="22"/>
      </w:rPr>
    </w:pPr>
    <w:r w:rsidRPr="00CE615B">
      <w:rPr>
        <w:rFonts w:ascii="Verdana" w:hAnsi="Verdana"/>
        <w:sz w:val="18"/>
        <w:szCs w:val="18"/>
      </w:rPr>
      <w:br/>
    </w:r>
  </w:p>
  <w:p w14:paraId="4A0CFF5E" w14:textId="491E0216" w:rsidR="00CB7858" w:rsidRPr="00CF35FD" w:rsidRDefault="001B3EA9" w:rsidP="004361E4">
    <w:pPr>
      <w:pStyle w:val="Noparagraphstyle"/>
      <w:tabs>
        <w:tab w:val="left" w:pos="-1800"/>
      </w:tabs>
      <w:jc w:val="right"/>
      <w:rPr>
        <w:b/>
        <w:color w:val="002957"/>
        <w:sz w:val="36"/>
        <w:szCs w:val="36"/>
      </w:rPr>
    </w:pPr>
    <w:r>
      <w:rPr>
        <w:rFonts w:ascii="Verdana" w:hAnsi="Verdana"/>
        <w:color w:val="002957"/>
        <w:sz w:val="36"/>
        <w:szCs w:val="36"/>
      </w:rPr>
      <w:t>Memo for</w:t>
    </w:r>
    <w:r w:rsidR="001C366D" w:rsidRPr="00CF35FD">
      <w:rPr>
        <w:b/>
        <w:noProof/>
        <w:color w:val="002957"/>
        <w:sz w:val="36"/>
        <w:szCs w:val="36"/>
        <w:lang w:val="en-US"/>
      </w:rPr>
      <w:drawing>
        <wp:anchor distT="0" distB="0" distL="114300" distR="114300" simplePos="0" relativeHeight="251658240" behindDoc="0" locked="0" layoutInCell="1" allowOverlap="1" wp14:anchorId="73A57463" wp14:editId="2D6EE75D">
          <wp:simplePos x="0" y="0"/>
          <wp:positionH relativeFrom="page">
            <wp:posOffset>523875</wp:posOffset>
          </wp:positionH>
          <wp:positionV relativeFrom="page">
            <wp:posOffset>523875</wp:posOffset>
          </wp:positionV>
          <wp:extent cx="1457325" cy="895350"/>
          <wp:effectExtent l="19050" t="0" r="0" b="0"/>
          <wp:wrapSquare wrapText="bothSides"/>
          <wp:docPr id="161327532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004361E4">
      <w:rPr>
        <w:rFonts w:ascii="Verdana" w:hAnsi="Verdana"/>
        <w:color w:val="002957"/>
        <w:sz w:val="36"/>
        <w:szCs w:val="36"/>
      </w:rPr>
      <w:t xml:space="preserve"> </w:t>
    </w:r>
    <w:r w:rsidR="002775B9">
      <w:rPr>
        <w:rFonts w:ascii="Verdana" w:hAnsi="Verdana"/>
        <w:color w:val="002957"/>
        <w:sz w:val="36"/>
        <w:szCs w:val="36"/>
      </w:rPr>
      <w:t>Feedback</w:t>
    </w:r>
  </w:p>
  <w:p w14:paraId="6FAD9455" w14:textId="77777777" w:rsidR="00875154" w:rsidRDefault="00875154" w:rsidP="00875154">
    <w:pPr>
      <w:jc w:val="right"/>
      <w:rPr>
        <w:b/>
        <w:i/>
        <w:color w:val="002957"/>
        <w:sz w:val="32"/>
        <w:szCs w:val="32"/>
      </w:rPr>
    </w:pPr>
  </w:p>
  <w:p w14:paraId="71208340" w14:textId="77777777" w:rsidR="00CB7858" w:rsidRPr="002A5F53" w:rsidRDefault="00CB7858">
    <w:pPr>
      <w:pStyle w:val="CEADocumentTitle"/>
      <w:tabs>
        <w:tab w:val="clear" w:pos="10440"/>
      </w:tabs>
      <w:rPr>
        <w:b w:val="0"/>
        <w:color w:val="002957"/>
        <w:sz w:val="36"/>
        <w:szCs w:val="36"/>
      </w:rPr>
    </w:pPr>
  </w:p>
  <w:p w14:paraId="0758308E" w14:textId="77777777" w:rsidR="00BB76FB" w:rsidRPr="00CE6BD9" w:rsidRDefault="00BB76FB" w:rsidP="00875154">
    <w:pPr>
      <w:pStyle w:val="CEADraft"/>
      <w:jc w:val="both"/>
      <w:rPr>
        <w:color w:val="auto"/>
      </w:rPr>
    </w:pPr>
  </w:p>
  <w:p w14:paraId="5D4B6644" w14:textId="77777777" w:rsidR="00CB7858" w:rsidRPr="00CE6BD9" w:rsidRDefault="00CB7858">
    <w:pPr>
      <w:pStyle w:val="BodyText-CEA"/>
      <w:jc w:val="left"/>
    </w:pPr>
  </w:p>
  <w:tbl>
    <w:tblPr>
      <w:tblW w:w="0" w:type="auto"/>
      <w:tblInd w:w="-1026" w:type="dxa"/>
      <w:tblLook w:val="04A0" w:firstRow="1" w:lastRow="0" w:firstColumn="1" w:lastColumn="0" w:noHBand="0" w:noVBand="1"/>
    </w:tblPr>
    <w:tblGrid>
      <w:gridCol w:w="1012"/>
      <w:gridCol w:w="9596"/>
    </w:tblGrid>
    <w:tr w:rsidR="00BD5F08" w14:paraId="40B79A35" w14:textId="77777777" w:rsidTr="003A760E">
      <w:trPr>
        <w:trHeight w:val="289"/>
      </w:trPr>
      <w:tc>
        <w:tcPr>
          <w:tcW w:w="1012" w:type="dxa"/>
        </w:tcPr>
        <w:p w14:paraId="63597E51" w14:textId="77777777" w:rsidR="00CB7858" w:rsidRPr="00CE6BD9" w:rsidRDefault="001C366D">
          <w:pPr>
            <w:pStyle w:val="CEALabel"/>
            <w:rPr>
              <w:b w:val="0"/>
              <w:color w:val="002957"/>
              <w:sz w:val="17"/>
              <w:szCs w:val="17"/>
            </w:rPr>
          </w:pPr>
          <w:r w:rsidRPr="00CE6BD9">
            <w:rPr>
              <w:b w:val="0"/>
              <w:color w:val="002957"/>
              <w:sz w:val="17"/>
              <w:szCs w:val="17"/>
            </w:rPr>
            <w:t>To:</w:t>
          </w:r>
        </w:p>
      </w:tc>
      <w:tc>
        <w:tcPr>
          <w:tcW w:w="9596" w:type="dxa"/>
          <w:vAlign w:val="bottom"/>
        </w:tcPr>
        <w:p w14:paraId="7B4FD552" w14:textId="77777777" w:rsidR="00CB7858" w:rsidRPr="001D1C85" w:rsidRDefault="00610C71" w:rsidP="003A760E">
          <w:pPr>
            <w:ind w:left="-90"/>
            <w:jc w:val="left"/>
            <w:rPr>
              <w:color w:val="002957"/>
              <w:sz w:val="17"/>
              <w:szCs w:val="17"/>
            </w:rPr>
          </w:pPr>
          <w:r>
            <w:rPr>
              <w:color w:val="002957"/>
              <w:sz w:val="17"/>
              <w:szCs w:val="17"/>
            </w:rPr>
            <w:t>Distribution PG, PRIIPs PG, Corporate Reporting - Investments &amp; Sustainable Finance WG</w:t>
          </w:r>
        </w:p>
      </w:tc>
    </w:tr>
    <w:tr w:rsidR="00BD5F08" w14:paraId="7A343F07" w14:textId="77777777" w:rsidTr="003A760E">
      <w:trPr>
        <w:trHeight w:hRule="exact" w:val="288"/>
      </w:trPr>
      <w:tc>
        <w:tcPr>
          <w:tcW w:w="1012" w:type="dxa"/>
          <w:vAlign w:val="center"/>
        </w:tcPr>
        <w:p w14:paraId="5EA3C0FD" w14:textId="77777777" w:rsidR="00CB7858" w:rsidRPr="00CE6BD9" w:rsidRDefault="001C366D">
          <w:pPr>
            <w:pStyle w:val="CEALabel"/>
            <w:rPr>
              <w:b w:val="0"/>
              <w:color w:val="002957"/>
              <w:sz w:val="17"/>
              <w:szCs w:val="17"/>
            </w:rPr>
          </w:pPr>
          <w:r w:rsidRPr="00CE6BD9">
            <w:rPr>
              <w:b w:val="0"/>
              <w:color w:val="002957"/>
              <w:sz w:val="17"/>
              <w:szCs w:val="17"/>
            </w:rPr>
            <w:t>From:</w:t>
          </w:r>
        </w:p>
      </w:tc>
      <w:tc>
        <w:tcPr>
          <w:tcW w:w="9596" w:type="dxa"/>
          <w:vAlign w:val="bottom"/>
        </w:tcPr>
        <w:p w14:paraId="4B2F8CAA" w14:textId="71263F90" w:rsidR="00CB7858" w:rsidRPr="001D1C85" w:rsidRDefault="005F4EE4" w:rsidP="003A760E">
          <w:pPr>
            <w:tabs>
              <w:tab w:val="left" w:pos="1755"/>
            </w:tabs>
            <w:ind w:left="-90"/>
            <w:jc w:val="left"/>
            <w:rPr>
              <w:color w:val="002957"/>
              <w:sz w:val="17"/>
              <w:szCs w:val="17"/>
            </w:rPr>
          </w:pPr>
          <w:r>
            <w:rPr>
              <w:color w:val="002957"/>
              <w:sz w:val="17"/>
              <w:szCs w:val="17"/>
            </w:rPr>
            <w:t>The secretariat</w:t>
          </w:r>
          <w:r w:rsidR="00923157">
            <w:rPr>
              <w:color w:val="002957"/>
              <w:sz w:val="17"/>
              <w:szCs w:val="17"/>
            </w:rPr>
            <w:t xml:space="preserve"> </w:t>
          </w:r>
        </w:p>
      </w:tc>
    </w:tr>
    <w:tr w:rsidR="00BD5F08" w14:paraId="0CE53B5D" w14:textId="77777777" w:rsidTr="003A760E">
      <w:trPr>
        <w:trHeight w:hRule="exact" w:val="288"/>
      </w:trPr>
      <w:tc>
        <w:tcPr>
          <w:tcW w:w="1012" w:type="dxa"/>
          <w:vAlign w:val="center"/>
        </w:tcPr>
        <w:p w14:paraId="4162F79D" w14:textId="77777777" w:rsidR="00CB7858" w:rsidRPr="00CE6BD9" w:rsidRDefault="001C366D">
          <w:pPr>
            <w:pStyle w:val="CEALabel"/>
            <w:rPr>
              <w:b w:val="0"/>
              <w:color w:val="002957"/>
              <w:sz w:val="17"/>
              <w:szCs w:val="17"/>
            </w:rPr>
          </w:pPr>
          <w:r w:rsidRPr="00CE6BD9">
            <w:rPr>
              <w:b w:val="0"/>
              <w:color w:val="002957"/>
              <w:sz w:val="17"/>
              <w:szCs w:val="17"/>
            </w:rPr>
            <w:t>Date:</w:t>
          </w:r>
        </w:p>
      </w:tc>
      <w:tc>
        <w:tcPr>
          <w:tcW w:w="9596" w:type="dxa"/>
          <w:vAlign w:val="bottom"/>
        </w:tcPr>
        <w:p w14:paraId="0CC2167C" w14:textId="0BA2E5D9" w:rsidR="00CB7858" w:rsidRPr="001D1C85" w:rsidRDefault="00610C71" w:rsidP="003A760E">
          <w:pPr>
            <w:ind w:left="-90"/>
            <w:jc w:val="left"/>
            <w:rPr>
              <w:color w:val="002957"/>
              <w:sz w:val="17"/>
              <w:szCs w:val="17"/>
            </w:rPr>
          </w:pPr>
          <w:r>
            <w:rPr>
              <w:color w:val="002957"/>
              <w:sz w:val="17"/>
              <w:szCs w:val="17"/>
            </w:rPr>
            <w:t>0</w:t>
          </w:r>
          <w:r w:rsidR="00AF0961">
            <w:rPr>
              <w:color w:val="002957"/>
              <w:sz w:val="17"/>
              <w:szCs w:val="17"/>
            </w:rPr>
            <w:t>3</w:t>
          </w:r>
          <w:r>
            <w:rPr>
              <w:color w:val="002957"/>
              <w:sz w:val="17"/>
              <w:szCs w:val="17"/>
            </w:rPr>
            <w:t>-1</w:t>
          </w:r>
          <w:r w:rsidR="00AF0961">
            <w:rPr>
              <w:color w:val="002957"/>
              <w:sz w:val="17"/>
              <w:szCs w:val="17"/>
            </w:rPr>
            <w:t>2</w:t>
          </w:r>
          <w:r>
            <w:rPr>
              <w:color w:val="002957"/>
              <w:sz w:val="17"/>
              <w:szCs w:val="17"/>
            </w:rPr>
            <w:t>-2025</w:t>
          </w:r>
        </w:p>
      </w:tc>
    </w:tr>
    <w:tr w:rsidR="00BD5F08" w14:paraId="32C79E02" w14:textId="77777777" w:rsidTr="003A760E">
      <w:trPr>
        <w:trHeight w:hRule="exact" w:val="288"/>
      </w:trPr>
      <w:tc>
        <w:tcPr>
          <w:tcW w:w="1012" w:type="dxa"/>
          <w:vAlign w:val="center"/>
        </w:tcPr>
        <w:p w14:paraId="5123079F" w14:textId="77777777" w:rsidR="00CB7858" w:rsidRPr="00CE6BD9" w:rsidRDefault="001C366D">
          <w:pPr>
            <w:pStyle w:val="CEALabel"/>
            <w:rPr>
              <w:b w:val="0"/>
              <w:color w:val="002957"/>
              <w:sz w:val="17"/>
              <w:szCs w:val="17"/>
            </w:rPr>
          </w:pPr>
          <w:r w:rsidRPr="00CE6BD9">
            <w:rPr>
              <w:b w:val="0"/>
              <w:color w:val="002957"/>
              <w:sz w:val="17"/>
              <w:szCs w:val="17"/>
            </w:rPr>
            <w:t>Reference:</w:t>
          </w:r>
        </w:p>
      </w:tc>
      <w:tc>
        <w:tcPr>
          <w:tcW w:w="9596" w:type="dxa"/>
          <w:vAlign w:val="bottom"/>
        </w:tcPr>
        <w:sdt>
          <w:sdtPr>
            <w:rPr>
              <w:color w:val="002957"/>
              <w:sz w:val="17"/>
              <w:szCs w:val="17"/>
            </w:rPr>
            <w:id w:val="1702975506"/>
            <w:placeholder>
              <w:docPart w:val="FD6F5A9CD79B41628237A560F1136C6F"/>
            </w:placeholde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16BE8AC2-BC04-484A-AE5F-6753D3DE5469}"/>
          </w:sdtPr>
          <w:sdtEndPr/>
          <w:sdtContent>
            <w:p w14:paraId="47E83860" w14:textId="372B871A" w:rsidR="00CB7858" w:rsidRPr="001D1C85" w:rsidRDefault="00B81EAF" w:rsidP="003A760E">
              <w:pPr>
                <w:ind w:left="-90"/>
                <w:jc w:val="left"/>
                <w:rPr>
                  <w:color w:val="002957"/>
                  <w:sz w:val="17"/>
                  <w:szCs w:val="17"/>
                </w:rPr>
              </w:pPr>
              <w:r>
                <w:rPr>
                  <w:color w:val="002957"/>
                  <w:sz w:val="17"/>
                  <w:szCs w:val="17"/>
                </w:rPr>
                <w:t>ECO-CRISF-25-360</w:t>
              </w:r>
            </w:p>
          </w:sdtContent>
        </w:sdt>
      </w:tc>
    </w:tr>
    <w:tr w:rsidR="00BD5F08" w14:paraId="000DF452" w14:textId="77777777" w:rsidTr="003A760E">
      <w:trPr>
        <w:trHeight w:hRule="exact" w:val="288"/>
      </w:trPr>
      <w:tc>
        <w:tcPr>
          <w:tcW w:w="1012" w:type="dxa"/>
          <w:vAlign w:val="center"/>
        </w:tcPr>
        <w:p w14:paraId="2F05721E" w14:textId="77777777" w:rsidR="00CB7858" w:rsidRPr="00CE6BD9" w:rsidRDefault="00CB7858">
          <w:pPr>
            <w:pStyle w:val="CEALabel"/>
            <w:rPr>
              <w:b w:val="0"/>
              <w:color w:val="002957"/>
              <w:sz w:val="17"/>
              <w:szCs w:val="17"/>
            </w:rPr>
          </w:pPr>
        </w:p>
      </w:tc>
      <w:tc>
        <w:tcPr>
          <w:tcW w:w="9596" w:type="dxa"/>
          <w:vAlign w:val="bottom"/>
        </w:tcPr>
        <w:p w14:paraId="7EF7B5FF" w14:textId="77777777" w:rsidR="00CB7858" w:rsidRPr="001D1C85" w:rsidRDefault="00CB7858" w:rsidP="003A760E">
          <w:pPr>
            <w:ind w:left="-90"/>
            <w:jc w:val="left"/>
            <w:rPr>
              <w:color w:val="002957"/>
              <w:sz w:val="17"/>
              <w:szCs w:val="17"/>
            </w:rPr>
          </w:pPr>
        </w:p>
      </w:tc>
    </w:tr>
    <w:tr w:rsidR="00BD5F08" w14:paraId="7F455EE7" w14:textId="77777777" w:rsidTr="003A760E">
      <w:trPr>
        <w:trHeight w:hRule="exact" w:val="288"/>
      </w:trPr>
      <w:tc>
        <w:tcPr>
          <w:tcW w:w="1012" w:type="dxa"/>
          <w:vAlign w:val="center"/>
        </w:tcPr>
        <w:p w14:paraId="3262AADB" w14:textId="77777777" w:rsidR="00CB7858" w:rsidRPr="00CE6BD9" w:rsidRDefault="001C366D">
          <w:pPr>
            <w:pStyle w:val="CEALabel"/>
            <w:rPr>
              <w:b w:val="0"/>
              <w:color w:val="002957"/>
              <w:sz w:val="17"/>
              <w:szCs w:val="17"/>
            </w:rPr>
          </w:pPr>
          <w:r w:rsidRPr="00CE6BD9">
            <w:rPr>
              <w:b w:val="0"/>
              <w:color w:val="002957"/>
              <w:sz w:val="17"/>
              <w:szCs w:val="17"/>
            </w:rPr>
            <w:t>Subject:</w:t>
          </w:r>
        </w:p>
      </w:tc>
      <w:tc>
        <w:tcPr>
          <w:tcW w:w="9596" w:type="dxa"/>
          <w:vAlign w:val="bottom"/>
        </w:tcPr>
        <w:p w14:paraId="0E416ED3" w14:textId="027ED2F7" w:rsidR="00CB7858" w:rsidRPr="0044661A" w:rsidRDefault="00EE2C6C" w:rsidP="003A760E">
          <w:pPr>
            <w:pStyle w:val="CEASubjectLine"/>
            <w:ind w:left="-90"/>
            <w:jc w:val="left"/>
            <w:rPr>
              <w:b w:val="0"/>
              <w:color w:val="002957"/>
              <w:sz w:val="17"/>
              <w:szCs w:val="17"/>
            </w:rPr>
          </w:pPr>
          <w:sdt>
            <w:sdtPr>
              <w:rPr>
                <w:b w:val="0"/>
                <w:color w:val="002957"/>
                <w:sz w:val="17"/>
                <w:szCs w:val="17"/>
              </w:rPr>
              <w:alias w:val="Title"/>
              <w:tag w:val=""/>
              <w:id w:val="298194896"/>
              <w:placeholder>
                <w:docPart w:val="EFEAC30E0C4B4B78AB29DE9E603D0DCC"/>
              </w:placeholder>
              <w:dataBinding w:prefixMappings="xmlns:ns0='http://purl.org/dc/elements/1.1/' xmlns:ns1='http://schemas.openxmlformats.org/package/2006/metadata/core-properties' " w:xpath="/ns1:coreProperties[1]/ns0:title[1]" w:storeItemID="{6C3C8BC8-F283-45AE-878A-BAB7291924A1}"/>
              <w:text/>
            </w:sdtPr>
            <w:sdtEndPr/>
            <w:sdtContent>
              <w:r w:rsidR="00FF75BC">
                <w:rPr>
                  <w:b w:val="0"/>
                  <w:color w:val="002957"/>
                  <w:sz w:val="17"/>
                  <w:szCs w:val="17"/>
                </w:rPr>
                <w:t>Updated assessment of the legislative proposal for the SFDR review</w:t>
              </w:r>
            </w:sdtContent>
          </w:sdt>
        </w:p>
      </w:tc>
    </w:tr>
  </w:tbl>
  <w:p w14:paraId="788E17AA" w14:textId="77777777" w:rsidR="00CB7858" w:rsidRDefault="00CB785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79D8" w14:textId="77777777" w:rsidR="00CB7858" w:rsidRDefault="00CB785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4pt;height:11.4pt" o:bullet="t">
        <v:imagedata r:id="rId1" o:title="CEA - Bullets Rounded Squares_BulletLevel1_forMS"/>
      </v:shape>
    </w:pict>
  </w:numPicBullet>
  <w:numPicBullet w:numPicBulletId="1">
    <w:pict>
      <v:shape id="_x0000_i1036" type="#_x0000_t75" style="width:7.8pt;height:7.8pt" o:bullet="t">
        <v:imagedata r:id="rId2" o:title="CEA - Bullets Rounded Squares_BulletLevel2_forMS"/>
      </v:shape>
    </w:pict>
  </w:numPicBullet>
  <w:numPicBullet w:numPicBulletId="2">
    <w:pict>
      <v:shape id="_x0000_i1037" type="#_x0000_t75" style="width:9pt;height:8.4pt" o:bullet="t">
        <v:imagedata r:id="rId3" o:title="CEA - Bullets Rounded Squares_BulletLevel3_forMS"/>
      </v:shape>
    </w:pict>
  </w:numPicBullet>
  <w:abstractNum w:abstractNumId="0" w15:restartNumberingAfterBreak="0">
    <w:nsid w:val="02912EAF"/>
    <w:multiLevelType w:val="multilevel"/>
    <w:tmpl w:val="316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C4992"/>
    <w:multiLevelType w:val="multilevel"/>
    <w:tmpl w:val="6618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A0B49"/>
    <w:multiLevelType w:val="hybridMultilevel"/>
    <w:tmpl w:val="4A38D852"/>
    <w:lvl w:ilvl="0" w:tplc="20000017">
      <w:start w:val="1"/>
      <w:numFmt w:val="lowerLetter"/>
      <w:lvlText w:val="%1)"/>
      <w:lvlJc w:val="left"/>
      <w:pPr>
        <w:ind w:left="1080" w:hanging="360"/>
      </w:pPr>
      <w:rPr>
        <w:rFonts w:hint="default"/>
        <w:color w:val="82C55B"/>
        <w:position w:val="-2"/>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B992E2F"/>
    <w:multiLevelType w:val="multilevel"/>
    <w:tmpl w:val="DA1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4071E"/>
    <w:multiLevelType w:val="hybridMultilevel"/>
    <w:tmpl w:val="42A66AA2"/>
    <w:lvl w:ilvl="0" w:tplc="6652DBF4">
      <w:start w:val="165"/>
      <w:numFmt w:val="bullet"/>
      <w:pStyle w:val="IEBullet-Level2"/>
      <w:lvlText w:val=""/>
      <w:lvlJc w:val="left"/>
      <w:pPr>
        <w:ind w:left="1080" w:hanging="360"/>
      </w:pPr>
      <w:rPr>
        <w:rFonts w:ascii="Wingdings" w:hAnsi="Wingdings" w:hint="default"/>
        <w:color w:val="82C55B"/>
        <w:position w:val="-2"/>
        <w:sz w:val="22"/>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3646559C"/>
    <w:multiLevelType w:val="hybridMultilevel"/>
    <w:tmpl w:val="3042A37A"/>
    <w:lvl w:ilvl="0" w:tplc="20000017">
      <w:start w:val="1"/>
      <w:numFmt w:val="lowerLetter"/>
      <w:lvlText w:val="%1)"/>
      <w:lvlJc w:val="left"/>
      <w:pPr>
        <w:ind w:left="1080" w:hanging="360"/>
      </w:pPr>
      <w:rPr>
        <w:rFonts w:hint="default"/>
        <w:color w:val="82C55B"/>
        <w:position w:val="-2"/>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7282BA1"/>
    <w:multiLevelType w:val="hybridMultilevel"/>
    <w:tmpl w:val="FE8E1832"/>
    <w:lvl w:ilvl="0" w:tplc="20000017">
      <w:start w:val="1"/>
      <w:numFmt w:val="lowerLetter"/>
      <w:lvlText w:val="%1)"/>
      <w:lvlJc w:val="left"/>
      <w:pPr>
        <w:ind w:left="1080" w:hanging="360"/>
      </w:pPr>
      <w:rPr>
        <w:rFonts w:hint="default"/>
        <w:color w:val="82C55B"/>
        <w:position w:val="-2"/>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47E4D85"/>
    <w:multiLevelType w:val="hybridMultilevel"/>
    <w:tmpl w:val="CAB05164"/>
    <w:lvl w:ilvl="0" w:tplc="20C482DC">
      <w:start w:val="165"/>
      <w:numFmt w:val="bullet"/>
      <w:pStyle w:val="IEBullet-Level3"/>
      <w:lvlText w:val=""/>
      <w:lvlJc w:val="left"/>
      <w:pPr>
        <w:ind w:left="1776" w:hanging="360"/>
      </w:pPr>
      <w:rPr>
        <w:rFonts w:ascii="Wingdings" w:hAnsi="Wingdings" w:hint="default"/>
        <w:color w:val="002957"/>
        <w:position w:val="-2"/>
        <w:sz w:val="18"/>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8" w15:restartNumberingAfterBreak="0">
    <w:nsid w:val="455A6097"/>
    <w:multiLevelType w:val="hybridMultilevel"/>
    <w:tmpl w:val="5B0E9F36"/>
    <w:lvl w:ilvl="0" w:tplc="20000017">
      <w:start w:val="1"/>
      <w:numFmt w:val="lowerLetter"/>
      <w:lvlText w:val="%1)"/>
      <w:lvlJc w:val="left"/>
      <w:pPr>
        <w:ind w:left="1776" w:hanging="360"/>
      </w:pPr>
      <w:rPr>
        <w:rFonts w:hint="default"/>
        <w:color w:val="002957"/>
        <w:position w:val="-2"/>
        <w:sz w:val="18"/>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9" w15:restartNumberingAfterBreak="0">
    <w:nsid w:val="46237DB2"/>
    <w:multiLevelType w:val="multilevel"/>
    <w:tmpl w:val="DF06A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9A6657"/>
    <w:multiLevelType w:val="multilevel"/>
    <w:tmpl w:val="D9C4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6567D2"/>
    <w:multiLevelType w:val="multilevel"/>
    <w:tmpl w:val="4190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BD6ED8"/>
    <w:multiLevelType w:val="multilevel"/>
    <w:tmpl w:val="6E02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F300B"/>
    <w:multiLevelType w:val="multilevel"/>
    <w:tmpl w:val="B9AC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9E2B88"/>
    <w:multiLevelType w:val="hybridMultilevel"/>
    <w:tmpl w:val="BB52DF06"/>
    <w:lvl w:ilvl="0" w:tplc="AB7A1D0C">
      <w:start w:val="165"/>
      <w:numFmt w:val="bullet"/>
      <w:pStyle w:val="IEBullet-Level1"/>
      <w:lvlText w:val=""/>
      <w:lvlJc w:val="left"/>
      <w:pPr>
        <w:ind w:left="720" w:hanging="360"/>
      </w:pPr>
      <w:rPr>
        <w:rFonts w:ascii="Wingdings" w:hAnsi="Wingdings" w:hint="default"/>
        <w:color w:val="002957"/>
        <w:position w:val="-2"/>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76487A"/>
    <w:multiLevelType w:val="multilevel"/>
    <w:tmpl w:val="839E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2C2783"/>
    <w:multiLevelType w:val="multilevel"/>
    <w:tmpl w:val="F152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DB6811"/>
    <w:multiLevelType w:val="multilevel"/>
    <w:tmpl w:val="3F40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7B3B81"/>
    <w:multiLevelType w:val="hybridMultilevel"/>
    <w:tmpl w:val="17242FF8"/>
    <w:lvl w:ilvl="0" w:tplc="2000001B">
      <w:start w:val="1"/>
      <w:numFmt w:val="lowerRoman"/>
      <w:lvlText w:val="%1."/>
      <w:lvlJc w:val="right"/>
      <w:pPr>
        <w:ind w:left="1776" w:hanging="360"/>
      </w:pPr>
      <w:rPr>
        <w:rFonts w:hint="default"/>
        <w:color w:val="002957"/>
        <w:position w:val="-2"/>
        <w:sz w:val="18"/>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num w:numId="1" w16cid:durableId="612590028">
    <w:abstractNumId w:val="14"/>
  </w:num>
  <w:num w:numId="2" w16cid:durableId="28268374">
    <w:abstractNumId w:val="4"/>
  </w:num>
  <w:num w:numId="3" w16cid:durableId="658657660">
    <w:abstractNumId w:val="7"/>
  </w:num>
  <w:num w:numId="4" w16cid:durableId="343552453">
    <w:abstractNumId w:val="14"/>
  </w:num>
  <w:num w:numId="5" w16cid:durableId="533348462">
    <w:abstractNumId w:val="4"/>
  </w:num>
  <w:num w:numId="6" w16cid:durableId="116409788">
    <w:abstractNumId w:val="7"/>
  </w:num>
  <w:num w:numId="7" w16cid:durableId="1608269939">
    <w:abstractNumId w:val="0"/>
  </w:num>
  <w:num w:numId="8" w16cid:durableId="1092512188">
    <w:abstractNumId w:val="3"/>
  </w:num>
  <w:num w:numId="9" w16cid:durableId="536241859">
    <w:abstractNumId w:val="12"/>
  </w:num>
  <w:num w:numId="10" w16cid:durableId="564802709">
    <w:abstractNumId w:val="13"/>
  </w:num>
  <w:num w:numId="11" w16cid:durableId="378558077">
    <w:abstractNumId w:val="10"/>
  </w:num>
  <w:num w:numId="12" w16cid:durableId="258950671">
    <w:abstractNumId w:val="17"/>
  </w:num>
  <w:num w:numId="13" w16cid:durableId="75254312">
    <w:abstractNumId w:val="5"/>
  </w:num>
  <w:num w:numId="14" w16cid:durableId="738594447">
    <w:abstractNumId w:val="2"/>
  </w:num>
  <w:num w:numId="15" w16cid:durableId="44334631">
    <w:abstractNumId w:val="6"/>
  </w:num>
  <w:num w:numId="16" w16cid:durableId="1585803035">
    <w:abstractNumId w:val="8"/>
  </w:num>
  <w:num w:numId="17" w16cid:durableId="294723776">
    <w:abstractNumId w:val="18"/>
  </w:num>
  <w:num w:numId="18" w16cid:durableId="468977396">
    <w:abstractNumId w:val="9"/>
  </w:num>
  <w:num w:numId="19" w16cid:durableId="1425613188">
    <w:abstractNumId w:val="11"/>
  </w:num>
  <w:num w:numId="20" w16cid:durableId="762188253">
    <w:abstractNumId w:val="15"/>
  </w:num>
  <w:num w:numId="21" w16cid:durableId="2034771036">
    <w:abstractNumId w:val="1"/>
  </w:num>
  <w:num w:numId="22" w16cid:durableId="4727219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35"/>
    <w:rsid w:val="00002849"/>
    <w:rsid w:val="00002BA3"/>
    <w:rsid w:val="00007EB4"/>
    <w:rsid w:val="00011850"/>
    <w:rsid w:val="000121BC"/>
    <w:rsid w:val="00012E7C"/>
    <w:rsid w:val="000144BF"/>
    <w:rsid w:val="00014D21"/>
    <w:rsid w:val="0001618A"/>
    <w:rsid w:val="0001755A"/>
    <w:rsid w:val="00022B7A"/>
    <w:rsid w:val="00022CA8"/>
    <w:rsid w:val="00023FEC"/>
    <w:rsid w:val="00025557"/>
    <w:rsid w:val="000258C2"/>
    <w:rsid w:val="00025E48"/>
    <w:rsid w:val="000269FD"/>
    <w:rsid w:val="000277DB"/>
    <w:rsid w:val="00034482"/>
    <w:rsid w:val="00034944"/>
    <w:rsid w:val="00036273"/>
    <w:rsid w:val="00036565"/>
    <w:rsid w:val="000366FC"/>
    <w:rsid w:val="00036DA7"/>
    <w:rsid w:val="00037F63"/>
    <w:rsid w:val="00045132"/>
    <w:rsid w:val="000454A0"/>
    <w:rsid w:val="00045BB9"/>
    <w:rsid w:val="00047CCB"/>
    <w:rsid w:val="00047EFF"/>
    <w:rsid w:val="000537BE"/>
    <w:rsid w:val="000553B3"/>
    <w:rsid w:val="00055F78"/>
    <w:rsid w:val="00056455"/>
    <w:rsid w:val="00057007"/>
    <w:rsid w:val="00060439"/>
    <w:rsid w:val="00062BC2"/>
    <w:rsid w:val="00067FAF"/>
    <w:rsid w:val="0007014F"/>
    <w:rsid w:val="00070473"/>
    <w:rsid w:val="0007106A"/>
    <w:rsid w:val="0007211D"/>
    <w:rsid w:val="0007218C"/>
    <w:rsid w:val="00073217"/>
    <w:rsid w:val="000732C2"/>
    <w:rsid w:val="000732FC"/>
    <w:rsid w:val="00073E87"/>
    <w:rsid w:val="00073E9B"/>
    <w:rsid w:val="00074183"/>
    <w:rsid w:val="00074AC5"/>
    <w:rsid w:val="00075AE7"/>
    <w:rsid w:val="00077D3F"/>
    <w:rsid w:val="00077EF8"/>
    <w:rsid w:val="00077F51"/>
    <w:rsid w:val="000802DC"/>
    <w:rsid w:val="00083422"/>
    <w:rsid w:val="00084441"/>
    <w:rsid w:val="0008473C"/>
    <w:rsid w:val="00084BB2"/>
    <w:rsid w:val="00084EE2"/>
    <w:rsid w:val="00085DF5"/>
    <w:rsid w:val="00086B7B"/>
    <w:rsid w:val="00091055"/>
    <w:rsid w:val="0009121A"/>
    <w:rsid w:val="00092719"/>
    <w:rsid w:val="0009625C"/>
    <w:rsid w:val="000977C7"/>
    <w:rsid w:val="000A43A6"/>
    <w:rsid w:val="000A4529"/>
    <w:rsid w:val="000A4A3C"/>
    <w:rsid w:val="000A6000"/>
    <w:rsid w:val="000B048D"/>
    <w:rsid w:val="000B170D"/>
    <w:rsid w:val="000B3E03"/>
    <w:rsid w:val="000B4167"/>
    <w:rsid w:val="000B5AC1"/>
    <w:rsid w:val="000C0839"/>
    <w:rsid w:val="000C3AEE"/>
    <w:rsid w:val="000C4329"/>
    <w:rsid w:val="000C56F9"/>
    <w:rsid w:val="000C5933"/>
    <w:rsid w:val="000C7BD1"/>
    <w:rsid w:val="000D0302"/>
    <w:rsid w:val="000D067D"/>
    <w:rsid w:val="000D0F58"/>
    <w:rsid w:val="000D2832"/>
    <w:rsid w:val="000D47B7"/>
    <w:rsid w:val="000D5592"/>
    <w:rsid w:val="000D68E3"/>
    <w:rsid w:val="000E31DC"/>
    <w:rsid w:val="000E4458"/>
    <w:rsid w:val="000E4873"/>
    <w:rsid w:val="000E550B"/>
    <w:rsid w:val="000F0338"/>
    <w:rsid w:val="000F0395"/>
    <w:rsid w:val="000F10CE"/>
    <w:rsid w:val="000F1ED3"/>
    <w:rsid w:val="000F30C2"/>
    <w:rsid w:val="000F3701"/>
    <w:rsid w:val="000F3AC8"/>
    <w:rsid w:val="000F52BE"/>
    <w:rsid w:val="000F788C"/>
    <w:rsid w:val="00100AF1"/>
    <w:rsid w:val="001037F5"/>
    <w:rsid w:val="00103CE1"/>
    <w:rsid w:val="0011399E"/>
    <w:rsid w:val="001155DE"/>
    <w:rsid w:val="001208A8"/>
    <w:rsid w:val="00120FC9"/>
    <w:rsid w:val="00121F1C"/>
    <w:rsid w:val="00122DB5"/>
    <w:rsid w:val="00123C87"/>
    <w:rsid w:val="001240FB"/>
    <w:rsid w:val="00125465"/>
    <w:rsid w:val="001254BB"/>
    <w:rsid w:val="00127878"/>
    <w:rsid w:val="001316C2"/>
    <w:rsid w:val="0013310B"/>
    <w:rsid w:val="0013315F"/>
    <w:rsid w:val="001333FB"/>
    <w:rsid w:val="00134EE5"/>
    <w:rsid w:val="00135536"/>
    <w:rsid w:val="00140957"/>
    <w:rsid w:val="001420A3"/>
    <w:rsid w:val="00144443"/>
    <w:rsid w:val="00144D29"/>
    <w:rsid w:val="00145A01"/>
    <w:rsid w:val="001474F0"/>
    <w:rsid w:val="00153D5C"/>
    <w:rsid w:val="00153E91"/>
    <w:rsid w:val="0016089A"/>
    <w:rsid w:val="001610E6"/>
    <w:rsid w:val="00161BD3"/>
    <w:rsid w:val="00163D8A"/>
    <w:rsid w:val="00164389"/>
    <w:rsid w:val="0016491F"/>
    <w:rsid w:val="00164F29"/>
    <w:rsid w:val="001654C0"/>
    <w:rsid w:val="00165AC7"/>
    <w:rsid w:val="001717F1"/>
    <w:rsid w:val="00172C74"/>
    <w:rsid w:val="00172C9A"/>
    <w:rsid w:val="00173E10"/>
    <w:rsid w:val="001740AF"/>
    <w:rsid w:val="001741EF"/>
    <w:rsid w:val="0017675B"/>
    <w:rsid w:val="0018314C"/>
    <w:rsid w:val="0018381F"/>
    <w:rsid w:val="00183D0B"/>
    <w:rsid w:val="00186D23"/>
    <w:rsid w:val="0019153F"/>
    <w:rsid w:val="00191E6D"/>
    <w:rsid w:val="00191E6F"/>
    <w:rsid w:val="00192C67"/>
    <w:rsid w:val="001931A3"/>
    <w:rsid w:val="00193563"/>
    <w:rsid w:val="00193FAE"/>
    <w:rsid w:val="001969B9"/>
    <w:rsid w:val="00196EA1"/>
    <w:rsid w:val="001976C9"/>
    <w:rsid w:val="00197BF8"/>
    <w:rsid w:val="001A113D"/>
    <w:rsid w:val="001A11CF"/>
    <w:rsid w:val="001A4F20"/>
    <w:rsid w:val="001A526D"/>
    <w:rsid w:val="001A7B3D"/>
    <w:rsid w:val="001B26E7"/>
    <w:rsid w:val="001B3CD2"/>
    <w:rsid w:val="001B3EA9"/>
    <w:rsid w:val="001B6A16"/>
    <w:rsid w:val="001C09DA"/>
    <w:rsid w:val="001C189F"/>
    <w:rsid w:val="001C291E"/>
    <w:rsid w:val="001C2A6E"/>
    <w:rsid w:val="001C366D"/>
    <w:rsid w:val="001C506C"/>
    <w:rsid w:val="001C610F"/>
    <w:rsid w:val="001C6D01"/>
    <w:rsid w:val="001C780E"/>
    <w:rsid w:val="001D0BC6"/>
    <w:rsid w:val="001D36D8"/>
    <w:rsid w:val="001D479B"/>
    <w:rsid w:val="001D4E4C"/>
    <w:rsid w:val="001D53A3"/>
    <w:rsid w:val="001D65A6"/>
    <w:rsid w:val="001D6E7B"/>
    <w:rsid w:val="001E03EE"/>
    <w:rsid w:val="001E1BFA"/>
    <w:rsid w:val="001E207B"/>
    <w:rsid w:val="001E2187"/>
    <w:rsid w:val="001E4858"/>
    <w:rsid w:val="001F0D67"/>
    <w:rsid w:val="001F0ECD"/>
    <w:rsid w:val="001F102F"/>
    <w:rsid w:val="001F1905"/>
    <w:rsid w:val="001F2A67"/>
    <w:rsid w:val="001F2DF5"/>
    <w:rsid w:val="001F3C21"/>
    <w:rsid w:val="00200862"/>
    <w:rsid w:val="0020316C"/>
    <w:rsid w:val="00203443"/>
    <w:rsid w:val="00203F79"/>
    <w:rsid w:val="002050E8"/>
    <w:rsid w:val="002054ED"/>
    <w:rsid w:val="002071B1"/>
    <w:rsid w:val="00207B46"/>
    <w:rsid w:val="00210626"/>
    <w:rsid w:val="00211B82"/>
    <w:rsid w:val="00212753"/>
    <w:rsid w:val="00214002"/>
    <w:rsid w:val="00215B56"/>
    <w:rsid w:val="00215B9D"/>
    <w:rsid w:val="00216E80"/>
    <w:rsid w:val="0021709B"/>
    <w:rsid w:val="00217DF8"/>
    <w:rsid w:val="00217FB9"/>
    <w:rsid w:val="00220816"/>
    <w:rsid w:val="00220D21"/>
    <w:rsid w:val="00221727"/>
    <w:rsid w:val="002225D1"/>
    <w:rsid w:val="00225954"/>
    <w:rsid w:val="00232A90"/>
    <w:rsid w:val="002334C0"/>
    <w:rsid w:val="002343EF"/>
    <w:rsid w:val="00235248"/>
    <w:rsid w:val="00236D21"/>
    <w:rsid w:val="00240B07"/>
    <w:rsid w:val="00240F96"/>
    <w:rsid w:val="00242B77"/>
    <w:rsid w:val="002432D4"/>
    <w:rsid w:val="00246059"/>
    <w:rsid w:val="002460E0"/>
    <w:rsid w:val="0024667D"/>
    <w:rsid w:val="0024774A"/>
    <w:rsid w:val="0025051C"/>
    <w:rsid w:val="00250739"/>
    <w:rsid w:val="002606C7"/>
    <w:rsid w:val="00261035"/>
    <w:rsid w:val="002621EF"/>
    <w:rsid w:val="00262A5C"/>
    <w:rsid w:val="00264566"/>
    <w:rsid w:val="002649DF"/>
    <w:rsid w:val="00265FD2"/>
    <w:rsid w:val="0026761D"/>
    <w:rsid w:val="00271719"/>
    <w:rsid w:val="00274098"/>
    <w:rsid w:val="00275280"/>
    <w:rsid w:val="00275F90"/>
    <w:rsid w:val="002775B9"/>
    <w:rsid w:val="00277F48"/>
    <w:rsid w:val="00280F33"/>
    <w:rsid w:val="0028139F"/>
    <w:rsid w:val="00282B5D"/>
    <w:rsid w:val="002831B5"/>
    <w:rsid w:val="00286B47"/>
    <w:rsid w:val="00287DE8"/>
    <w:rsid w:val="00287E4E"/>
    <w:rsid w:val="00290952"/>
    <w:rsid w:val="00291250"/>
    <w:rsid w:val="00291A3D"/>
    <w:rsid w:val="00292D7A"/>
    <w:rsid w:val="0029352E"/>
    <w:rsid w:val="00293B2D"/>
    <w:rsid w:val="00293DE5"/>
    <w:rsid w:val="0029406A"/>
    <w:rsid w:val="00294804"/>
    <w:rsid w:val="002950E6"/>
    <w:rsid w:val="0029511B"/>
    <w:rsid w:val="00295275"/>
    <w:rsid w:val="00296BA5"/>
    <w:rsid w:val="00297D36"/>
    <w:rsid w:val="002A15F4"/>
    <w:rsid w:val="002A3603"/>
    <w:rsid w:val="002A48E3"/>
    <w:rsid w:val="002A7929"/>
    <w:rsid w:val="002B0DEE"/>
    <w:rsid w:val="002B0E54"/>
    <w:rsid w:val="002B16A0"/>
    <w:rsid w:val="002B29B5"/>
    <w:rsid w:val="002B3517"/>
    <w:rsid w:val="002B3799"/>
    <w:rsid w:val="002B4F66"/>
    <w:rsid w:val="002B64F5"/>
    <w:rsid w:val="002B67F8"/>
    <w:rsid w:val="002C0C6B"/>
    <w:rsid w:val="002C20E8"/>
    <w:rsid w:val="002C2346"/>
    <w:rsid w:val="002C28DB"/>
    <w:rsid w:val="002C5056"/>
    <w:rsid w:val="002C6B05"/>
    <w:rsid w:val="002D339C"/>
    <w:rsid w:val="002D3BCF"/>
    <w:rsid w:val="002D401F"/>
    <w:rsid w:val="002D5122"/>
    <w:rsid w:val="002D5146"/>
    <w:rsid w:val="002D7D8B"/>
    <w:rsid w:val="002E04F6"/>
    <w:rsid w:val="002E12AF"/>
    <w:rsid w:val="002E2516"/>
    <w:rsid w:val="002E6749"/>
    <w:rsid w:val="002E6A57"/>
    <w:rsid w:val="002E7F6A"/>
    <w:rsid w:val="002F17D4"/>
    <w:rsid w:val="002F60A1"/>
    <w:rsid w:val="002F6450"/>
    <w:rsid w:val="002F6FA8"/>
    <w:rsid w:val="002F7A6D"/>
    <w:rsid w:val="003006BC"/>
    <w:rsid w:val="00300CDE"/>
    <w:rsid w:val="0030112C"/>
    <w:rsid w:val="00301BD6"/>
    <w:rsid w:val="00302424"/>
    <w:rsid w:val="00305101"/>
    <w:rsid w:val="00305888"/>
    <w:rsid w:val="00306D92"/>
    <w:rsid w:val="0030788B"/>
    <w:rsid w:val="00307E73"/>
    <w:rsid w:val="0031118C"/>
    <w:rsid w:val="0031174A"/>
    <w:rsid w:val="00311C01"/>
    <w:rsid w:val="00312964"/>
    <w:rsid w:val="00312DF9"/>
    <w:rsid w:val="00312ECE"/>
    <w:rsid w:val="0031371C"/>
    <w:rsid w:val="00314FA5"/>
    <w:rsid w:val="00315E8C"/>
    <w:rsid w:val="00316CCF"/>
    <w:rsid w:val="003177B8"/>
    <w:rsid w:val="00320D8E"/>
    <w:rsid w:val="00322BF5"/>
    <w:rsid w:val="003232A7"/>
    <w:rsid w:val="003236DD"/>
    <w:rsid w:val="00323A9C"/>
    <w:rsid w:val="00324673"/>
    <w:rsid w:val="00326592"/>
    <w:rsid w:val="00326F8E"/>
    <w:rsid w:val="00331302"/>
    <w:rsid w:val="003319E0"/>
    <w:rsid w:val="00335012"/>
    <w:rsid w:val="00336413"/>
    <w:rsid w:val="003378A6"/>
    <w:rsid w:val="00343177"/>
    <w:rsid w:val="00344210"/>
    <w:rsid w:val="00344BBE"/>
    <w:rsid w:val="0034706D"/>
    <w:rsid w:val="00350952"/>
    <w:rsid w:val="00351941"/>
    <w:rsid w:val="00352A8F"/>
    <w:rsid w:val="00352FAC"/>
    <w:rsid w:val="00353714"/>
    <w:rsid w:val="0035684C"/>
    <w:rsid w:val="00356D6C"/>
    <w:rsid w:val="00360231"/>
    <w:rsid w:val="00360465"/>
    <w:rsid w:val="00366AF5"/>
    <w:rsid w:val="00366B99"/>
    <w:rsid w:val="003709AB"/>
    <w:rsid w:val="00371D99"/>
    <w:rsid w:val="00377265"/>
    <w:rsid w:val="003806DC"/>
    <w:rsid w:val="00380A4D"/>
    <w:rsid w:val="003815E3"/>
    <w:rsid w:val="00382669"/>
    <w:rsid w:val="003838CB"/>
    <w:rsid w:val="0038474B"/>
    <w:rsid w:val="003849E7"/>
    <w:rsid w:val="00385460"/>
    <w:rsid w:val="0038587A"/>
    <w:rsid w:val="00385B01"/>
    <w:rsid w:val="003866A8"/>
    <w:rsid w:val="00390BF5"/>
    <w:rsid w:val="00390C3E"/>
    <w:rsid w:val="0039100B"/>
    <w:rsid w:val="00391042"/>
    <w:rsid w:val="00391F80"/>
    <w:rsid w:val="0039268F"/>
    <w:rsid w:val="00392B5C"/>
    <w:rsid w:val="0039352D"/>
    <w:rsid w:val="003949CE"/>
    <w:rsid w:val="00395946"/>
    <w:rsid w:val="00396E79"/>
    <w:rsid w:val="003A2437"/>
    <w:rsid w:val="003A4B10"/>
    <w:rsid w:val="003A5329"/>
    <w:rsid w:val="003A7202"/>
    <w:rsid w:val="003A7349"/>
    <w:rsid w:val="003A760E"/>
    <w:rsid w:val="003B0173"/>
    <w:rsid w:val="003B04DE"/>
    <w:rsid w:val="003B0961"/>
    <w:rsid w:val="003B13B7"/>
    <w:rsid w:val="003B1FF5"/>
    <w:rsid w:val="003B5D15"/>
    <w:rsid w:val="003C13C6"/>
    <w:rsid w:val="003C1AB6"/>
    <w:rsid w:val="003C327D"/>
    <w:rsid w:val="003C3AE1"/>
    <w:rsid w:val="003C4ABD"/>
    <w:rsid w:val="003C4CEE"/>
    <w:rsid w:val="003C5394"/>
    <w:rsid w:val="003C5AA4"/>
    <w:rsid w:val="003C6501"/>
    <w:rsid w:val="003C6EB6"/>
    <w:rsid w:val="003C714C"/>
    <w:rsid w:val="003C7377"/>
    <w:rsid w:val="003D0333"/>
    <w:rsid w:val="003D072A"/>
    <w:rsid w:val="003D2ACA"/>
    <w:rsid w:val="003D4137"/>
    <w:rsid w:val="003D485B"/>
    <w:rsid w:val="003D4896"/>
    <w:rsid w:val="003D6846"/>
    <w:rsid w:val="003D6B5B"/>
    <w:rsid w:val="003D7599"/>
    <w:rsid w:val="003D797B"/>
    <w:rsid w:val="003D7A01"/>
    <w:rsid w:val="003E089C"/>
    <w:rsid w:val="003E1D56"/>
    <w:rsid w:val="003E2247"/>
    <w:rsid w:val="003E2A96"/>
    <w:rsid w:val="003E31B8"/>
    <w:rsid w:val="003E5DAD"/>
    <w:rsid w:val="003F2E83"/>
    <w:rsid w:val="003F393E"/>
    <w:rsid w:val="003F3D42"/>
    <w:rsid w:val="0040199A"/>
    <w:rsid w:val="00402627"/>
    <w:rsid w:val="0040384D"/>
    <w:rsid w:val="00403E8E"/>
    <w:rsid w:val="00404734"/>
    <w:rsid w:val="00410C95"/>
    <w:rsid w:val="00410DE4"/>
    <w:rsid w:val="00411176"/>
    <w:rsid w:val="004114D8"/>
    <w:rsid w:val="00411C29"/>
    <w:rsid w:val="0041267C"/>
    <w:rsid w:val="004129A1"/>
    <w:rsid w:val="004149F7"/>
    <w:rsid w:val="004157BE"/>
    <w:rsid w:val="00415F01"/>
    <w:rsid w:val="0041681B"/>
    <w:rsid w:val="004208AF"/>
    <w:rsid w:val="00420CD4"/>
    <w:rsid w:val="00420F5B"/>
    <w:rsid w:val="00426675"/>
    <w:rsid w:val="004274BB"/>
    <w:rsid w:val="004276D0"/>
    <w:rsid w:val="0043088A"/>
    <w:rsid w:val="00431A99"/>
    <w:rsid w:val="00432E1C"/>
    <w:rsid w:val="004361E4"/>
    <w:rsid w:val="00440FEE"/>
    <w:rsid w:val="004418CD"/>
    <w:rsid w:val="00441E94"/>
    <w:rsid w:val="004422F0"/>
    <w:rsid w:val="004423B2"/>
    <w:rsid w:val="004436A9"/>
    <w:rsid w:val="00443BF0"/>
    <w:rsid w:val="00443E8A"/>
    <w:rsid w:val="00444E93"/>
    <w:rsid w:val="0044661A"/>
    <w:rsid w:val="00447A23"/>
    <w:rsid w:val="00447BCA"/>
    <w:rsid w:val="00450464"/>
    <w:rsid w:val="0045081F"/>
    <w:rsid w:val="0045304F"/>
    <w:rsid w:val="004541D8"/>
    <w:rsid w:val="00454B44"/>
    <w:rsid w:val="00456319"/>
    <w:rsid w:val="004567EF"/>
    <w:rsid w:val="00460DAB"/>
    <w:rsid w:val="00462ED9"/>
    <w:rsid w:val="004632AB"/>
    <w:rsid w:val="004676DE"/>
    <w:rsid w:val="00472D93"/>
    <w:rsid w:val="00472E50"/>
    <w:rsid w:val="004733E4"/>
    <w:rsid w:val="00474936"/>
    <w:rsid w:val="00475C2D"/>
    <w:rsid w:val="00475D95"/>
    <w:rsid w:val="00476252"/>
    <w:rsid w:val="004778C0"/>
    <w:rsid w:val="00477ED3"/>
    <w:rsid w:val="00480271"/>
    <w:rsid w:val="00481863"/>
    <w:rsid w:val="00482B42"/>
    <w:rsid w:val="00483404"/>
    <w:rsid w:val="004876AD"/>
    <w:rsid w:val="004879F6"/>
    <w:rsid w:val="004904DA"/>
    <w:rsid w:val="0049071E"/>
    <w:rsid w:val="004914DE"/>
    <w:rsid w:val="0049157A"/>
    <w:rsid w:val="00492EEC"/>
    <w:rsid w:val="004938BF"/>
    <w:rsid w:val="00494090"/>
    <w:rsid w:val="00495C0A"/>
    <w:rsid w:val="00496D62"/>
    <w:rsid w:val="00497B47"/>
    <w:rsid w:val="004A2286"/>
    <w:rsid w:val="004A3CD8"/>
    <w:rsid w:val="004A40C4"/>
    <w:rsid w:val="004A4802"/>
    <w:rsid w:val="004A5A7C"/>
    <w:rsid w:val="004A5F25"/>
    <w:rsid w:val="004A6414"/>
    <w:rsid w:val="004A7220"/>
    <w:rsid w:val="004B288E"/>
    <w:rsid w:val="004B308F"/>
    <w:rsid w:val="004B32F8"/>
    <w:rsid w:val="004B3CB6"/>
    <w:rsid w:val="004B3E6D"/>
    <w:rsid w:val="004B4DC6"/>
    <w:rsid w:val="004B4EFF"/>
    <w:rsid w:val="004B551B"/>
    <w:rsid w:val="004B735C"/>
    <w:rsid w:val="004B7646"/>
    <w:rsid w:val="004B7BF8"/>
    <w:rsid w:val="004B7D5D"/>
    <w:rsid w:val="004C3738"/>
    <w:rsid w:val="004C39E6"/>
    <w:rsid w:val="004C72D7"/>
    <w:rsid w:val="004D2FA2"/>
    <w:rsid w:val="004D3864"/>
    <w:rsid w:val="004D5EC1"/>
    <w:rsid w:val="004D5FEC"/>
    <w:rsid w:val="004D6E3B"/>
    <w:rsid w:val="004D7940"/>
    <w:rsid w:val="004E1229"/>
    <w:rsid w:val="004E2AFE"/>
    <w:rsid w:val="004E310B"/>
    <w:rsid w:val="004E6386"/>
    <w:rsid w:val="004E7CE9"/>
    <w:rsid w:val="004F014F"/>
    <w:rsid w:val="004F1E5B"/>
    <w:rsid w:val="004F311C"/>
    <w:rsid w:val="004F3196"/>
    <w:rsid w:val="004F3245"/>
    <w:rsid w:val="004F3DEB"/>
    <w:rsid w:val="004F4474"/>
    <w:rsid w:val="004F578E"/>
    <w:rsid w:val="004F6CBF"/>
    <w:rsid w:val="004F73F0"/>
    <w:rsid w:val="004F7AD1"/>
    <w:rsid w:val="00500418"/>
    <w:rsid w:val="00502B73"/>
    <w:rsid w:val="0050440D"/>
    <w:rsid w:val="005047B4"/>
    <w:rsid w:val="00504AB7"/>
    <w:rsid w:val="00504C2E"/>
    <w:rsid w:val="0050588D"/>
    <w:rsid w:val="00506D00"/>
    <w:rsid w:val="005071B8"/>
    <w:rsid w:val="0051202D"/>
    <w:rsid w:val="0051557B"/>
    <w:rsid w:val="00515A26"/>
    <w:rsid w:val="00517A26"/>
    <w:rsid w:val="00517F08"/>
    <w:rsid w:val="00520ADB"/>
    <w:rsid w:val="00521BC3"/>
    <w:rsid w:val="00524886"/>
    <w:rsid w:val="005256C9"/>
    <w:rsid w:val="00525DF2"/>
    <w:rsid w:val="00527272"/>
    <w:rsid w:val="00527690"/>
    <w:rsid w:val="00530D3E"/>
    <w:rsid w:val="0053183A"/>
    <w:rsid w:val="00534DAC"/>
    <w:rsid w:val="00534DD2"/>
    <w:rsid w:val="00535532"/>
    <w:rsid w:val="0053577E"/>
    <w:rsid w:val="00540233"/>
    <w:rsid w:val="005409EE"/>
    <w:rsid w:val="00541451"/>
    <w:rsid w:val="00542621"/>
    <w:rsid w:val="00544A97"/>
    <w:rsid w:val="00544EE4"/>
    <w:rsid w:val="0054518F"/>
    <w:rsid w:val="00547DD7"/>
    <w:rsid w:val="00550AD5"/>
    <w:rsid w:val="00550BFC"/>
    <w:rsid w:val="00551256"/>
    <w:rsid w:val="00551A5D"/>
    <w:rsid w:val="0055304F"/>
    <w:rsid w:val="00553F40"/>
    <w:rsid w:val="005554BA"/>
    <w:rsid w:val="005554CC"/>
    <w:rsid w:val="0055692D"/>
    <w:rsid w:val="005569A7"/>
    <w:rsid w:val="00556C33"/>
    <w:rsid w:val="0055757C"/>
    <w:rsid w:val="00560FB7"/>
    <w:rsid w:val="00563BC9"/>
    <w:rsid w:val="00564174"/>
    <w:rsid w:val="005655D8"/>
    <w:rsid w:val="00565A44"/>
    <w:rsid w:val="00567C36"/>
    <w:rsid w:val="00567D61"/>
    <w:rsid w:val="00567F30"/>
    <w:rsid w:val="00572575"/>
    <w:rsid w:val="005725FA"/>
    <w:rsid w:val="00573AC7"/>
    <w:rsid w:val="00575BBC"/>
    <w:rsid w:val="00576380"/>
    <w:rsid w:val="00577913"/>
    <w:rsid w:val="00580200"/>
    <w:rsid w:val="00580862"/>
    <w:rsid w:val="00581440"/>
    <w:rsid w:val="00581CB0"/>
    <w:rsid w:val="00581E34"/>
    <w:rsid w:val="005823D6"/>
    <w:rsid w:val="00582601"/>
    <w:rsid w:val="00584F70"/>
    <w:rsid w:val="00585DEA"/>
    <w:rsid w:val="00586ECD"/>
    <w:rsid w:val="00592543"/>
    <w:rsid w:val="0059563E"/>
    <w:rsid w:val="005A02BA"/>
    <w:rsid w:val="005A2A8A"/>
    <w:rsid w:val="005A4910"/>
    <w:rsid w:val="005A7E0C"/>
    <w:rsid w:val="005B061F"/>
    <w:rsid w:val="005B1811"/>
    <w:rsid w:val="005B2062"/>
    <w:rsid w:val="005B2312"/>
    <w:rsid w:val="005B39C0"/>
    <w:rsid w:val="005B578D"/>
    <w:rsid w:val="005C2A7D"/>
    <w:rsid w:val="005C2CA4"/>
    <w:rsid w:val="005C5F40"/>
    <w:rsid w:val="005C7563"/>
    <w:rsid w:val="005C7C6C"/>
    <w:rsid w:val="005D1241"/>
    <w:rsid w:val="005D2769"/>
    <w:rsid w:val="005D2D2A"/>
    <w:rsid w:val="005D30A7"/>
    <w:rsid w:val="005D4EF2"/>
    <w:rsid w:val="005D6751"/>
    <w:rsid w:val="005D6978"/>
    <w:rsid w:val="005D6BDE"/>
    <w:rsid w:val="005D76B0"/>
    <w:rsid w:val="005D7B08"/>
    <w:rsid w:val="005E1D84"/>
    <w:rsid w:val="005E38D9"/>
    <w:rsid w:val="005E3AC3"/>
    <w:rsid w:val="005E3C76"/>
    <w:rsid w:val="005E3D0C"/>
    <w:rsid w:val="005E5B35"/>
    <w:rsid w:val="005E6823"/>
    <w:rsid w:val="005E6EE1"/>
    <w:rsid w:val="005E7F99"/>
    <w:rsid w:val="005F04C5"/>
    <w:rsid w:val="005F16C2"/>
    <w:rsid w:val="005F1A69"/>
    <w:rsid w:val="005F48E9"/>
    <w:rsid w:val="005F4EE4"/>
    <w:rsid w:val="005F55EA"/>
    <w:rsid w:val="005F5D32"/>
    <w:rsid w:val="005F68F8"/>
    <w:rsid w:val="005F69D2"/>
    <w:rsid w:val="005F6A06"/>
    <w:rsid w:val="005F7EB3"/>
    <w:rsid w:val="00600EB3"/>
    <w:rsid w:val="006021BE"/>
    <w:rsid w:val="00605D64"/>
    <w:rsid w:val="0060661B"/>
    <w:rsid w:val="00610B18"/>
    <w:rsid w:val="00610C4D"/>
    <w:rsid w:val="00610C71"/>
    <w:rsid w:val="0061207E"/>
    <w:rsid w:val="006129F5"/>
    <w:rsid w:val="006133F7"/>
    <w:rsid w:val="0061351B"/>
    <w:rsid w:val="0061587B"/>
    <w:rsid w:val="00617220"/>
    <w:rsid w:val="00621269"/>
    <w:rsid w:val="0062223B"/>
    <w:rsid w:val="00623E94"/>
    <w:rsid w:val="00626193"/>
    <w:rsid w:val="00631A3E"/>
    <w:rsid w:val="00632293"/>
    <w:rsid w:val="0063503F"/>
    <w:rsid w:val="00635A4E"/>
    <w:rsid w:val="00637C25"/>
    <w:rsid w:val="006416D5"/>
    <w:rsid w:val="00644A35"/>
    <w:rsid w:val="0064502B"/>
    <w:rsid w:val="00647413"/>
    <w:rsid w:val="0065010F"/>
    <w:rsid w:val="00652070"/>
    <w:rsid w:val="00657B0B"/>
    <w:rsid w:val="00661C4D"/>
    <w:rsid w:val="00661ED5"/>
    <w:rsid w:val="00664241"/>
    <w:rsid w:val="00666F46"/>
    <w:rsid w:val="00674277"/>
    <w:rsid w:val="00674BB1"/>
    <w:rsid w:val="0067548D"/>
    <w:rsid w:val="00675556"/>
    <w:rsid w:val="006756A3"/>
    <w:rsid w:val="00680C92"/>
    <w:rsid w:val="00681B1D"/>
    <w:rsid w:val="006833A7"/>
    <w:rsid w:val="00683639"/>
    <w:rsid w:val="0068406E"/>
    <w:rsid w:val="006849BD"/>
    <w:rsid w:val="0068557F"/>
    <w:rsid w:val="006856AB"/>
    <w:rsid w:val="00687ED9"/>
    <w:rsid w:val="00692239"/>
    <w:rsid w:val="00692A54"/>
    <w:rsid w:val="00692D9F"/>
    <w:rsid w:val="00693218"/>
    <w:rsid w:val="00695078"/>
    <w:rsid w:val="00695730"/>
    <w:rsid w:val="00696A93"/>
    <w:rsid w:val="006A04CE"/>
    <w:rsid w:val="006A1A8D"/>
    <w:rsid w:val="006A246F"/>
    <w:rsid w:val="006A3232"/>
    <w:rsid w:val="006A3DBA"/>
    <w:rsid w:val="006A5EF7"/>
    <w:rsid w:val="006A6C32"/>
    <w:rsid w:val="006A70F2"/>
    <w:rsid w:val="006A73AF"/>
    <w:rsid w:val="006B143A"/>
    <w:rsid w:val="006B2675"/>
    <w:rsid w:val="006B290E"/>
    <w:rsid w:val="006B315B"/>
    <w:rsid w:val="006B50AA"/>
    <w:rsid w:val="006C08CB"/>
    <w:rsid w:val="006C2FB4"/>
    <w:rsid w:val="006C37AE"/>
    <w:rsid w:val="006C40C7"/>
    <w:rsid w:val="006C67A8"/>
    <w:rsid w:val="006D02C6"/>
    <w:rsid w:val="006D02E3"/>
    <w:rsid w:val="006D0B89"/>
    <w:rsid w:val="006D1259"/>
    <w:rsid w:val="006D12D5"/>
    <w:rsid w:val="006D15EE"/>
    <w:rsid w:val="006D1A7B"/>
    <w:rsid w:val="006D1B4A"/>
    <w:rsid w:val="006D3541"/>
    <w:rsid w:val="006D54E5"/>
    <w:rsid w:val="006D5F44"/>
    <w:rsid w:val="006D6990"/>
    <w:rsid w:val="006D7516"/>
    <w:rsid w:val="006E08CC"/>
    <w:rsid w:val="006E0A6F"/>
    <w:rsid w:val="006E162D"/>
    <w:rsid w:val="006E2C25"/>
    <w:rsid w:val="006E35F5"/>
    <w:rsid w:val="006E39C6"/>
    <w:rsid w:val="006E618A"/>
    <w:rsid w:val="006E7275"/>
    <w:rsid w:val="006E79DB"/>
    <w:rsid w:val="006F0FE7"/>
    <w:rsid w:val="006F1C5D"/>
    <w:rsid w:val="007008D9"/>
    <w:rsid w:val="00702FCB"/>
    <w:rsid w:val="00704194"/>
    <w:rsid w:val="007042F9"/>
    <w:rsid w:val="00704913"/>
    <w:rsid w:val="00710599"/>
    <w:rsid w:val="00713084"/>
    <w:rsid w:val="007132CF"/>
    <w:rsid w:val="00716F76"/>
    <w:rsid w:val="007175A6"/>
    <w:rsid w:val="00720A92"/>
    <w:rsid w:val="00721569"/>
    <w:rsid w:val="0072191E"/>
    <w:rsid w:val="00723D6C"/>
    <w:rsid w:val="007273F6"/>
    <w:rsid w:val="00727660"/>
    <w:rsid w:val="0073207B"/>
    <w:rsid w:val="00733E05"/>
    <w:rsid w:val="0073472F"/>
    <w:rsid w:val="00735302"/>
    <w:rsid w:val="00735590"/>
    <w:rsid w:val="00735C5A"/>
    <w:rsid w:val="007374E9"/>
    <w:rsid w:val="007378C7"/>
    <w:rsid w:val="00737F6E"/>
    <w:rsid w:val="0074001C"/>
    <w:rsid w:val="00740A19"/>
    <w:rsid w:val="0074129A"/>
    <w:rsid w:val="00741C95"/>
    <w:rsid w:val="007428D4"/>
    <w:rsid w:val="00744269"/>
    <w:rsid w:val="00746438"/>
    <w:rsid w:val="00746898"/>
    <w:rsid w:val="00746D8E"/>
    <w:rsid w:val="007548B6"/>
    <w:rsid w:val="00756118"/>
    <w:rsid w:val="00756621"/>
    <w:rsid w:val="007606C3"/>
    <w:rsid w:val="00762E55"/>
    <w:rsid w:val="0076318D"/>
    <w:rsid w:val="007649E7"/>
    <w:rsid w:val="00765918"/>
    <w:rsid w:val="007678F4"/>
    <w:rsid w:val="00772271"/>
    <w:rsid w:val="00773632"/>
    <w:rsid w:val="00776725"/>
    <w:rsid w:val="00776825"/>
    <w:rsid w:val="00776898"/>
    <w:rsid w:val="00780B5A"/>
    <w:rsid w:val="00781420"/>
    <w:rsid w:val="00782038"/>
    <w:rsid w:val="0078513E"/>
    <w:rsid w:val="00785F7B"/>
    <w:rsid w:val="00786421"/>
    <w:rsid w:val="0078655D"/>
    <w:rsid w:val="00786AC2"/>
    <w:rsid w:val="007901F5"/>
    <w:rsid w:val="007957C4"/>
    <w:rsid w:val="007978A2"/>
    <w:rsid w:val="00797B16"/>
    <w:rsid w:val="007A188C"/>
    <w:rsid w:val="007A1B90"/>
    <w:rsid w:val="007A2796"/>
    <w:rsid w:val="007A291B"/>
    <w:rsid w:val="007A4797"/>
    <w:rsid w:val="007A65C7"/>
    <w:rsid w:val="007A6880"/>
    <w:rsid w:val="007B09A9"/>
    <w:rsid w:val="007B2B28"/>
    <w:rsid w:val="007B303E"/>
    <w:rsid w:val="007B5B03"/>
    <w:rsid w:val="007B5F89"/>
    <w:rsid w:val="007B7963"/>
    <w:rsid w:val="007C0D7C"/>
    <w:rsid w:val="007C3C3B"/>
    <w:rsid w:val="007C774A"/>
    <w:rsid w:val="007D14CE"/>
    <w:rsid w:val="007D532D"/>
    <w:rsid w:val="007D534E"/>
    <w:rsid w:val="007D5A7A"/>
    <w:rsid w:val="007D616B"/>
    <w:rsid w:val="007D6B9B"/>
    <w:rsid w:val="007D7801"/>
    <w:rsid w:val="007D7C01"/>
    <w:rsid w:val="007E0B95"/>
    <w:rsid w:val="007E1153"/>
    <w:rsid w:val="007E3460"/>
    <w:rsid w:val="007E398A"/>
    <w:rsid w:val="007E3DBE"/>
    <w:rsid w:val="007E534E"/>
    <w:rsid w:val="007E63D8"/>
    <w:rsid w:val="007E6962"/>
    <w:rsid w:val="007F05BA"/>
    <w:rsid w:val="007F06C9"/>
    <w:rsid w:val="007F06EC"/>
    <w:rsid w:val="007F1DB4"/>
    <w:rsid w:val="007F39CE"/>
    <w:rsid w:val="007F3BF5"/>
    <w:rsid w:val="007F3DDC"/>
    <w:rsid w:val="007F57DD"/>
    <w:rsid w:val="007F7D1B"/>
    <w:rsid w:val="007F7F02"/>
    <w:rsid w:val="00801916"/>
    <w:rsid w:val="00801BA6"/>
    <w:rsid w:val="0080258F"/>
    <w:rsid w:val="008029BA"/>
    <w:rsid w:val="008032DF"/>
    <w:rsid w:val="0080377A"/>
    <w:rsid w:val="00804746"/>
    <w:rsid w:val="00804A38"/>
    <w:rsid w:val="00804D24"/>
    <w:rsid w:val="008060FC"/>
    <w:rsid w:val="00810C1C"/>
    <w:rsid w:val="00812661"/>
    <w:rsid w:val="00813D4D"/>
    <w:rsid w:val="00814498"/>
    <w:rsid w:val="00814516"/>
    <w:rsid w:val="00817EA5"/>
    <w:rsid w:val="0082044F"/>
    <w:rsid w:val="0082143D"/>
    <w:rsid w:val="0082235C"/>
    <w:rsid w:val="00822F76"/>
    <w:rsid w:val="00823632"/>
    <w:rsid w:val="00824127"/>
    <w:rsid w:val="0082497D"/>
    <w:rsid w:val="008253CA"/>
    <w:rsid w:val="00825FB6"/>
    <w:rsid w:val="0083038C"/>
    <w:rsid w:val="008307BA"/>
    <w:rsid w:val="0083203B"/>
    <w:rsid w:val="00832045"/>
    <w:rsid w:val="00834048"/>
    <w:rsid w:val="00834612"/>
    <w:rsid w:val="008360BE"/>
    <w:rsid w:val="008365F1"/>
    <w:rsid w:val="008366C0"/>
    <w:rsid w:val="00836D1B"/>
    <w:rsid w:val="008402A3"/>
    <w:rsid w:val="00843AA0"/>
    <w:rsid w:val="00844CF0"/>
    <w:rsid w:val="0084624D"/>
    <w:rsid w:val="0084632A"/>
    <w:rsid w:val="00850BFB"/>
    <w:rsid w:val="00856904"/>
    <w:rsid w:val="00861B28"/>
    <w:rsid w:val="008654BB"/>
    <w:rsid w:val="008660B0"/>
    <w:rsid w:val="00867564"/>
    <w:rsid w:val="00867EC1"/>
    <w:rsid w:val="0087056D"/>
    <w:rsid w:val="00873106"/>
    <w:rsid w:val="00875154"/>
    <w:rsid w:val="0087544C"/>
    <w:rsid w:val="008755C3"/>
    <w:rsid w:val="00875AA5"/>
    <w:rsid w:val="00880991"/>
    <w:rsid w:val="00880BCB"/>
    <w:rsid w:val="00881936"/>
    <w:rsid w:val="00883042"/>
    <w:rsid w:val="00883ED8"/>
    <w:rsid w:val="00884542"/>
    <w:rsid w:val="00885009"/>
    <w:rsid w:val="0088659F"/>
    <w:rsid w:val="008870A4"/>
    <w:rsid w:val="008903DB"/>
    <w:rsid w:val="00890B4B"/>
    <w:rsid w:val="00892909"/>
    <w:rsid w:val="0089316F"/>
    <w:rsid w:val="00893660"/>
    <w:rsid w:val="008943D1"/>
    <w:rsid w:val="008944DF"/>
    <w:rsid w:val="00894F3D"/>
    <w:rsid w:val="00894FEC"/>
    <w:rsid w:val="0089626C"/>
    <w:rsid w:val="00896969"/>
    <w:rsid w:val="008A0568"/>
    <w:rsid w:val="008A0AB6"/>
    <w:rsid w:val="008A3CB4"/>
    <w:rsid w:val="008A5AB4"/>
    <w:rsid w:val="008A6710"/>
    <w:rsid w:val="008A6BD0"/>
    <w:rsid w:val="008B0B44"/>
    <w:rsid w:val="008B341F"/>
    <w:rsid w:val="008B47EE"/>
    <w:rsid w:val="008B4AC1"/>
    <w:rsid w:val="008B4C92"/>
    <w:rsid w:val="008B51F9"/>
    <w:rsid w:val="008B526A"/>
    <w:rsid w:val="008B56DB"/>
    <w:rsid w:val="008B6887"/>
    <w:rsid w:val="008C1947"/>
    <w:rsid w:val="008C1D03"/>
    <w:rsid w:val="008C208C"/>
    <w:rsid w:val="008C452F"/>
    <w:rsid w:val="008C4FB2"/>
    <w:rsid w:val="008C5561"/>
    <w:rsid w:val="008C6B30"/>
    <w:rsid w:val="008D47EB"/>
    <w:rsid w:val="008D64EF"/>
    <w:rsid w:val="008D6DC1"/>
    <w:rsid w:val="008D7AFC"/>
    <w:rsid w:val="008E019B"/>
    <w:rsid w:val="008E0F94"/>
    <w:rsid w:val="008E2867"/>
    <w:rsid w:val="008E28A0"/>
    <w:rsid w:val="008E38C2"/>
    <w:rsid w:val="008E431C"/>
    <w:rsid w:val="008E51EB"/>
    <w:rsid w:val="008E6977"/>
    <w:rsid w:val="008F0250"/>
    <w:rsid w:val="008F0F7F"/>
    <w:rsid w:val="008F0F90"/>
    <w:rsid w:val="008F2543"/>
    <w:rsid w:val="008F35C2"/>
    <w:rsid w:val="008F3C60"/>
    <w:rsid w:val="008F42CE"/>
    <w:rsid w:val="008F4D8B"/>
    <w:rsid w:val="008F5E50"/>
    <w:rsid w:val="008F6743"/>
    <w:rsid w:val="009005BC"/>
    <w:rsid w:val="00902492"/>
    <w:rsid w:val="00903996"/>
    <w:rsid w:val="00906B8B"/>
    <w:rsid w:val="00907EE9"/>
    <w:rsid w:val="009100F5"/>
    <w:rsid w:val="009111BE"/>
    <w:rsid w:val="009111EC"/>
    <w:rsid w:val="009116AE"/>
    <w:rsid w:val="00911AC5"/>
    <w:rsid w:val="00911CE9"/>
    <w:rsid w:val="00912518"/>
    <w:rsid w:val="009127D0"/>
    <w:rsid w:val="009136A4"/>
    <w:rsid w:val="009136A5"/>
    <w:rsid w:val="00921E5F"/>
    <w:rsid w:val="00922D28"/>
    <w:rsid w:val="00923157"/>
    <w:rsid w:val="009236A3"/>
    <w:rsid w:val="0092557F"/>
    <w:rsid w:val="009261DB"/>
    <w:rsid w:val="009269FE"/>
    <w:rsid w:val="009304DB"/>
    <w:rsid w:val="00931EE5"/>
    <w:rsid w:val="00932280"/>
    <w:rsid w:val="009335CC"/>
    <w:rsid w:val="009405C6"/>
    <w:rsid w:val="00940E53"/>
    <w:rsid w:val="00942831"/>
    <w:rsid w:val="00943535"/>
    <w:rsid w:val="00944A54"/>
    <w:rsid w:val="009450D4"/>
    <w:rsid w:val="009557B5"/>
    <w:rsid w:val="00956F0C"/>
    <w:rsid w:val="00974F25"/>
    <w:rsid w:val="00976E8D"/>
    <w:rsid w:val="00977B7B"/>
    <w:rsid w:val="00981110"/>
    <w:rsid w:val="0098244C"/>
    <w:rsid w:val="009832AC"/>
    <w:rsid w:val="00983BAA"/>
    <w:rsid w:val="00985FA5"/>
    <w:rsid w:val="00987091"/>
    <w:rsid w:val="009907BA"/>
    <w:rsid w:val="009918FE"/>
    <w:rsid w:val="00994FB7"/>
    <w:rsid w:val="0099520A"/>
    <w:rsid w:val="009954A2"/>
    <w:rsid w:val="009A165F"/>
    <w:rsid w:val="009A17A0"/>
    <w:rsid w:val="009A34FA"/>
    <w:rsid w:val="009A3B5E"/>
    <w:rsid w:val="009A47CF"/>
    <w:rsid w:val="009A573E"/>
    <w:rsid w:val="009A62DB"/>
    <w:rsid w:val="009A6747"/>
    <w:rsid w:val="009A705D"/>
    <w:rsid w:val="009B087B"/>
    <w:rsid w:val="009B0CC1"/>
    <w:rsid w:val="009B0FCA"/>
    <w:rsid w:val="009B1BA5"/>
    <w:rsid w:val="009B2237"/>
    <w:rsid w:val="009B315F"/>
    <w:rsid w:val="009B352E"/>
    <w:rsid w:val="009B3962"/>
    <w:rsid w:val="009B60BE"/>
    <w:rsid w:val="009B63FE"/>
    <w:rsid w:val="009B6563"/>
    <w:rsid w:val="009B6712"/>
    <w:rsid w:val="009B68B9"/>
    <w:rsid w:val="009C18CC"/>
    <w:rsid w:val="009C1F01"/>
    <w:rsid w:val="009C2A63"/>
    <w:rsid w:val="009C2D84"/>
    <w:rsid w:val="009C3B1D"/>
    <w:rsid w:val="009C463D"/>
    <w:rsid w:val="009C6F54"/>
    <w:rsid w:val="009D1179"/>
    <w:rsid w:val="009D283C"/>
    <w:rsid w:val="009D4FBB"/>
    <w:rsid w:val="009D616C"/>
    <w:rsid w:val="009E0C38"/>
    <w:rsid w:val="009E46DE"/>
    <w:rsid w:val="009E587A"/>
    <w:rsid w:val="009E596C"/>
    <w:rsid w:val="009E71F9"/>
    <w:rsid w:val="009E7B13"/>
    <w:rsid w:val="009F04AB"/>
    <w:rsid w:val="009F050F"/>
    <w:rsid w:val="009F2860"/>
    <w:rsid w:val="009F2A43"/>
    <w:rsid w:val="009F4224"/>
    <w:rsid w:val="009F656C"/>
    <w:rsid w:val="00A01BC1"/>
    <w:rsid w:val="00A047AC"/>
    <w:rsid w:val="00A04D26"/>
    <w:rsid w:val="00A05460"/>
    <w:rsid w:val="00A055D4"/>
    <w:rsid w:val="00A05622"/>
    <w:rsid w:val="00A126EA"/>
    <w:rsid w:val="00A2146D"/>
    <w:rsid w:val="00A23BAC"/>
    <w:rsid w:val="00A24478"/>
    <w:rsid w:val="00A24569"/>
    <w:rsid w:val="00A2572D"/>
    <w:rsid w:val="00A25BD5"/>
    <w:rsid w:val="00A27B1A"/>
    <w:rsid w:val="00A27EB7"/>
    <w:rsid w:val="00A319D5"/>
    <w:rsid w:val="00A328D7"/>
    <w:rsid w:val="00A32967"/>
    <w:rsid w:val="00A33518"/>
    <w:rsid w:val="00A33CCA"/>
    <w:rsid w:val="00A34FD6"/>
    <w:rsid w:val="00A36B8D"/>
    <w:rsid w:val="00A37499"/>
    <w:rsid w:val="00A41850"/>
    <w:rsid w:val="00A421B2"/>
    <w:rsid w:val="00A4369D"/>
    <w:rsid w:val="00A446E9"/>
    <w:rsid w:val="00A47CF1"/>
    <w:rsid w:val="00A50198"/>
    <w:rsid w:val="00A51F94"/>
    <w:rsid w:val="00A5276D"/>
    <w:rsid w:val="00A52A13"/>
    <w:rsid w:val="00A52F90"/>
    <w:rsid w:val="00A53C7A"/>
    <w:rsid w:val="00A57736"/>
    <w:rsid w:val="00A6176B"/>
    <w:rsid w:val="00A61BB3"/>
    <w:rsid w:val="00A6306D"/>
    <w:rsid w:val="00A63735"/>
    <w:rsid w:val="00A64CF0"/>
    <w:rsid w:val="00A67A79"/>
    <w:rsid w:val="00A70720"/>
    <w:rsid w:val="00A74C2F"/>
    <w:rsid w:val="00A750C8"/>
    <w:rsid w:val="00A753D5"/>
    <w:rsid w:val="00A755CA"/>
    <w:rsid w:val="00A766FC"/>
    <w:rsid w:val="00A76C39"/>
    <w:rsid w:val="00A81BF4"/>
    <w:rsid w:val="00A832FF"/>
    <w:rsid w:val="00A83794"/>
    <w:rsid w:val="00A843EB"/>
    <w:rsid w:val="00A8457F"/>
    <w:rsid w:val="00A85CFB"/>
    <w:rsid w:val="00A86C5A"/>
    <w:rsid w:val="00A86CC7"/>
    <w:rsid w:val="00A86CE0"/>
    <w:rsid w:val="00A87101"/>
    <w:rsid w:val="00A87294"/>
    <w:rsid w:val="00A91707"/>
    <w:rsid w:val="00A9333F"/>
    <w:rsid w:val="00A94DD1"/>
    <w:rsid w:val="00A95F0E"/>
    <w:rsid w:val="00A96A4A"/>
    <w:rsid w:val="00AA0059"/>
    <w:rsid w:val="00AA04E1"/>
    <w:rsid w:val="00AA1A90"/>
    <w:rsid w:val="00AA299D"/>
    <w:rsid w:val="00AA431A"/>
    <w:rsid w:val="00AA4977"/>
    <w:rsid w:val="00AA4E98"/>
    <w:rsid w:val="00AA52CB"/>
    <w:rsid w:val="00AA6A50"/>
    <w:rsid w:val="00AB108B"/>
    <w:rsid w:val="00AB126D"/>
    <w:rsid w:val="00AB1A1D"/>
    <w:rsid w:val="00AB2728"/>
    <w:rsid w:val="00AB311A"/>
    <w:rsid w:val="00AB41BE"/>
    <w:rsid w:val="00AB4FB9"/>
    <w:rsid w:val="00AB67B1"/>
    <w:rsid w:val="00AB6F17"/>
    <w:rsid w:val="00AB7DF2"/>
    <w:rsid w:val="00AC20D2"/>
    <w:rsid w:val="00AC2703"/>
    <w:rsid w:val="00AC28A4"/>
    <w:rsid w:val="00AC2A32"/>
    <w:rsid w:val="00AC2C69"/>
    <w:rsid w:val="00AC310A"/>
    <w:rsid w:val="00AC359E"/>
    <w:rsid w:val="00AC3F4A"/>
    <w:rsid w:val="00AC41DD"/>
    <w:rsid w:val="00AC4A9D"/>
    <w:rsid w:val="00AC4D19"/>
    <w:rsid w:val="00AC69E4"/>
    <w:rsid w:val="00AC7803"/>
    <w:rsid w:val="00AD0076"/>
    <w:rsid w:val="00AD05AA"/>
    <w:rsid w:val="00AD08D3"/>
    <w:rsid w:val="00AD0D99"/>
    <w:rsid w:val="00AD17B8"/>
    <w:rsid w:val="00AD23EC"/>
    <w:rsid w:val="00AD2719"/>
    <w:rsid w:val="00AD2A80"/>
    <w:rsid w:val="00AD3FE0"/>
    <w:rsid w:val="00AD4677"/>
    <w:rsid w:val="00AD6624"/>
    <w:rsid w:val="00AD74C7"/>
    <w:rsid w:val="00AD7FF7"/>
    <w:rsid w:val="00AE063A"/>
    <w:rsid w:val="00AE06CD"/>
    <w:rsid w:val="00AE18FF"/>
    <w:rsid w:val="00AE344F"/>
    <w:rsid w:val="00AE3AC7"/>
    <w:rsid w:val="00AE51BF"/>
    <w:rsid w:val="00AE5698"/>
    <w:rsid w:val="00AE5954"/>
    <w:rsid w:val="00AE6036"/>
    <w:rsid w:val="00AF0961"/>
    <w:rsid w:val="00AF307B"/>
    <w:rsid w:val="00AF3459"/>
    <w:rsid w:val="00AF5047"/>
    <w:rsid w:val="00B011A7"/>
    <w:rsid w:val="00B01487"/>
    <w:rsid w:val="00B01C41"/>
    <w:rsid w:val="00B02DC6"/>
    <w:rsid w:val="00B043F6"/>
    <w:rsid w:val="00B05FBF"/>
    <w:rsid w:val="00B11BD4"/>
    <w:rsid w:val="00B1221C"/>
    <w:rsid w:val="00B13319"/>
    <w:rsid w:val="00B135B2"/>
    <w:rsid w:val="00B14870"/>
    <w:rsid w:val="00B160D1"/>
    <w:rsid w:val="00B17B34"/>
    <w:rsid w:val="00B204A4"/>
    <w:rsid w:val="00B2218A"/>
    <w:rsid w:val="00B22A59"/>
    <w:rsid w:val="00B23F3A"/>
    <w:rsid w:val="00B30525"/>
    <w:rsid w:val="00B30F1F"/>
    <w:rsid w:val="00B33451"/>
    <w:rsid w:val="00B34231"/>
    <w:rsid w:val="00B34DC1"/>
    <w:rsid w:val="00B34F54"/>
    <w:rsid w:val="00B350A3"/>
    <w:rsid w:val="00B36AE8"/>
    <w:rsid w:val="00B3700D"/>
    <w:rsid w:val="00B40814"/>
    <w:rsid w:val="00B42716"/>
    <w:rsid w:val="00B45D04"/>
    <w:rsid w:val="00B46473"/>
    <w:rsid w:val="00B46D58"/>
    <w:rsid w:val="00B47004"/>
    <w:rsid w:val="00B4721E"/>
    <w:rsid w:val="00B47532"/>
    <w:rsid w:val="00B47756"/>
    <w:rsid w:val="00B51C3A"/>
    <w:rsid w:val="00B51F5A"/>
    <w:rsid w:val="00B52334"/>
    <w:rsid w:val="00B529E0"/>
    <w:rsid w:val="00B52C4C"/>
    <w:rsid w:val="00B5331B"/>
    <w:rsid w:val="00B53B5C"/>
    <w:rsid w:val="00B54ED4"/>
    <w:rsid w:val="00B56980"/>
    <w:rsid w:val="00B5704E"/>
    <w:rsid w:val="00B570FB"/>
    <w:rsid w:val="00B60795"/>
    <w:rsid w:val="00B62959"/>
    <w:rsid w:val="00B62DB4"/>
    <w:rsid w:val="00B6391A"/>
    <w:rsid w:val="00B63DCE"/>
    <w:rsid w:val="00B648BD"/>
    <w:rsid w:val="00B64C2A"/>
    <w:rsid w:val="00B64F3D"/>
    <w:rsid w:val="00B705DA"/>
    <w:rsid w:val="00B7170C"/>
    <w:rsid w:val="00B71D0B"/>
    <w:rsid w:val="00B7435F"/>
    <w:rsid w:val="00B74508"/>
    <w:rsid w:val="00B7467B"/>
    <w:rsid w:val="00B75F78"/>
    <w:rsid w:val="00B7786A"/>
    <w:rsid w:val="00B77FE7"/>
    <w:rsid w:val="00B809AB"/>
    <w:rsid w:val="00B81EAF"/>
    <w:rsid w:val="00B8263E"/>
    <w:rsid w:val="00B8272D"/>
    <w:rsid w:val="00B856B8"/>
    <w:rsid w:val="00B87708"/>
    <w:rsid w:val="00B87E39"/>
    <w:rsid w:val="00B942BE"/>
    <w:rsid w:val="00B956D6"/>
    <w:rsid w:val="00BA0C3A"/>
    <w:rsid w:val="00BA326A"/>
    <w:rsid w:val="00BA344E"/>
    <w:rsid w:val="00BA3FCB"/>
    <w:rsid w:val="00BA632B"/>
    <w:rsid w:val="00BA66A4"/>
    <w:rsid w:val="00BA6929"/>
    <w:rsid w:val="00BB03E2"/>
    <w:rsid w:val="00BB04D7"/>
    <w:rsid w:val="00BB0683"/>
    <w:rsid w:val="00BB0F98"/>
    <w:rsid w:val="00BB359B"/>
    <w:rsid w:val="00BB39B2"/>
    <w:rsid w:val="00BB3BD9"/>
    <w:rsid w:val="00BB50FE"/>
    <w:rsid w:val="00BB76FB"/>
    <w:rsid w:val="00BC4016"/>
    <w:rsid w:val="00BC47A8"/>
    <w:rsid w:val="00BC6940"/>
    <w:rsid w:val="00BC721C"/>
    <w:rsid w:val="00BD05C8"/>
    <w:rsid w:val="00BD0C3C"/>
    <w:rsid w:val="00BD176A"/>
    <w:rsid w:val="00BD283D"/>
    <w:rsid w:val="00BD2DE1"/>
    <w:rsid w:val="00BD301B"/>
    <w:rsid w:val="00BD368B"/>
    <w:rsid w:val="00BD3B13"/>
    <w:rsid w:val="00BD3E4E"/>
    <w:rsid w:val="00BD40E9"/>
    <w:rsid w:val="00BD4B78"/>
    <w:rsid w:val="00BD566F"/>
    <w:rsid w:val="00BD5F08"/>
    <w:rsid w:val="00BE1D7D"/>
    <w:rsid w:val="00BE3BB4"/>
    <w:rsid w:val="00BE454F"/>
    <w:rsid w:val="00BE61D5"/>
    <w:rsid w:val="00BE704C"/>
    <w:rsid w:val="00BF2D52"/>
    <w:rsid w:val="00BF5803"/>
    <w:rsid w:val="00BF5B18"/>
    <w:rsid w:val="00BF632B"/>
    <w:rsid w:val="00BF63EC"/>
    <w:rsid w:val="00BF6873"/>
    <w:rsid w:val="00BF6FD3"/>
    <w:rsid w:val="00C0020A"/>
    <w:rsid w:val="00C0076E"/>
    <w:rsid w:val="00C0331F"/>
    <w:rsid w:val="00C057E4"/>
    <w:rsid w:val="00C05C5E"/>
    <w:rsid w:val="00C11581"/>
    <w:rsid w:val="00C11807"/>
    <w:rsid w:val="00C13C68"/>
    <w:rsid w:val="00C14D9B"/>
    <w:rsid w:val="00C15054"/>
    <w:rsid w:val="00C150F0"/>
    <w:rsid w:val="00C152A7"/>
    <w:rsid w:val="00C16C90"/>
    <w:rsid w:val="00C177BA"/>
    <w:rsid w:val="00C17EFC"/>
    <w:rsid w:val="00C20E8C"/>
    <w:rsid w:val="00C2393E"/>
    <w:rsid w:val="00C26B00"/>
    <w:rsid w:val="00C27196"/>
    <w:rsid w:val="00C30326"/>
    <w:rsid w:val="00C312B3"/>
    <w:rsid w:val="00C32CB2"/>
    <w:rsid w:val="00C34C00"/>
    <w:rsid w:val="00C34C95"/>
    <w:rsid w:val="00C351F4"/>
    <w:rsid w:val="00C35B4A"/>
    <w:rsid w:val="00C40462"/>
    <w:rsid w:val="00C40ED0"/>
    <w:rsid w:val="00C425F9"/>
    <w:rsid w:val="00C42FF3"/>
    <w:rsid w:val="00C43F6D"/>
    <w:rsid w:val="00C448C6"/>
    <w:rsid w:val="00C4565F"/>
    <w:rsid w:val="00C46AD6"/>
    <w:rsid w:val="00C50308"/>
    <w:rsid w:val="00C50628"/>
    <w:rsid w:val="00C50F2D"/>
    <w:rsid w:val="00C51001"/>
    <w:rsid w:val="00C51F1C"/>
    <w:rsid w:val="00C524C2"/>
    <w:rsid w:val="00C5285B"/>
    <w:rsid w:val="00C52CE9"/>
    <w:rsid w:val="00C573D4"/>
    <w:rsid w:val="00C575DE"/>
    <w:rsid w:val="00C57E08"/>
    <w:rsid w:val="00C61400"/>
    <w:rsid w:val="00C61621"/>
    <w:rsid w:val="00C619B4"/>
    <w:rsid w:val="00C620A9"/>
    <w:rsid w:val="00C62251"/>
    <w:rsid w:val="00C6261A"/>
    <w:rsid w:val="00C628A4"/>
    <w:rsid w:val="00C6344F"/>
    <w:rsid w:val="00C64B16"/>
    <w:rsid w:val="00C64EB7"/>
    <w:rsid w:val="00C66F3E"/>
    <w:rsid w:val="00C70904"/>
    <w:rsid w:val="00C71179"/>
    <w:rsid w:val="00C71C0D"/>
    <w:rsid w:val="00C71EC5"/>
    <w:rsid w:val="00C72E3B"/>
    <w:rsid w:val="00C76B77"/>
    <w:rsid w:val="00C777F0"/>
    <w:rsid w:val="00C77E5C"/>
    <w:rsid w:val="00C77F8B"/>
    <w:rsid w:val="00C80874"/>
    <w:rsid w:val="00C80A72"/>
    <w:rsid w:val="00C8236C"/>
    <w:rsid w:val="00C8461D"/>
    <w:rsid w:val="00C864FB"/>
    <w:rsid w:val="00C86DC9"/>
    <w:rsid w:val="00C86F69"/>
    <w:rsid w:val="00C87602"/>
    <w:rsid w:val="00C92C72"/>
    <w:rsid w:val="00C9321B"/>
    <w:rsid w:val="00C933FE"/>
    <w:rsid w:val="00C9470F"/>
    <w:rsid w:val="00C95162"/>
    <w:rsid w:val="00CA163A"/>
    <w:rsid w:val="00CA1F31"/>
    <w:rsid w:val="00CA3C43"/>
    <w:rsid w:val="00CA61AB"/>
    <w:rsid w:val="00CA6CED"/>
    <w:rsid w:val="00CB0289"/>
    <w:rsid w:val="00CB09CE"/>
    <w:rsid w:val="00CB0C41"/>
    <w:rsid w:val="00CB3816"/>
    <w:rsid w:val="00CB3F65"/>
    <w:rsid w:val="00CB6575"/>
    <w:rsid w:val="00CB7858"/>
    <w:rsid w:val="00CC0F1C"/>
    <w:rsid w:val="00CC1A24"/>
    <w:rsid w:val="00CC591F"/>
    <w:rsid w:val="00CC59C3"/>
    <w:rsid w:val="00CC5FEB"/>
    <w:rsid w:val="00CC632B"/>
    <w:rsid w:val="00CC6E6B"/>
    <w:rsid w:val="00CC6E73"/>
    <w:rsid w:val="00CD278A"/>
    <w:rsid w:val="00CD3F0F"/>
    <w:rsid w:val="00CD43C7"/>
    <w:rsid w:val="00CD7D87"/>
    <w:rsid w:val="00CE118C"/>
    <w:rsid w:val="00CE23E3"/>
    <w:rsid w:val="00CE3B41"/>
    <w:rsid w:val="00CE6EB3"/>
    <w:rsid w:val="00CF009F"/>
    <w:rsid w:val="00CF02FF"/>
    <w:rsid w:val="00CF21FD"/>
    <w:rsid w:val="00CF230B"/>
    <w:rsid w:val="00CF466A"/>
    <w:rsid w:val="00CF6378"/>
    <w:rsid w:val="00CF7003"/>
    <w:rsid w:val="00CF7247"/>
    <w:rsid w:val="00D00844"/>
    <w:rsid w:val="00D00B74"/>
    <w:rsid w:val="00D022CF"/>
    <w:rsid w:val="00D0530F"/>
    <w:rsid w:val="00D0642F"/>
    <w:rsid w:val="00D06AE3"/>
    <w:rsid w:val="00D10DFE"/>
    <w:rsid w:val="00D1307A"/>
    <w:rsid w:val="00D13A4A"/>
    <w:rsid w:val="00D13EFC"/>
    <w:rsid w:val="00D14C97"/>
    <w:rsid w:val="00D17124"/>
    <w:rsid w:val="00D17987"/>
    <w:rsid w:val="00D17CAE"/>
    <w:rsid w:val="00D21621"/>
    <w:rsid w:val="00D22961"/>
    <w:rsid w:val="00D24523"/>
    <w:rsid w:val="00D24B52"/>
    <w:rsid w:val="00D2754B"/>
    <w:rsid w:val="00D3130D"/>
    <w:rsid w:val="00D318AC"/>
    <w:rsid w:val="00D31AAB"/>
    <w:rsid w:val="00D331E3"/>
    <w:rsid w:val="00D33873"/>
    <w:rsid w:val="00D4057B"/>
    <w:rsid w:val="00D40D81"/>
    <w:rsid w:val="00D41344"/>
    <w:rsid w:val="00D41C2A"/>
    <w:rsid w:val="00D43284"/>
    <w:rsid w:val="00D434C8"/>
    <w:rsid w:val="00D435F1"/>
    <w:rsid w:val="00D43886"/>
    <w:rsid w:val="00D47266"/>
    <w:rsid w:val="00D47C4E"/>
    <w:rsid w:val="00D51E78"/>
    <w:rsid w:val="00D53667"/>
    <w:rsid w:val="00D552BD"/>
    <w:rsid w:val="00D565E6"/>
    <w:rsid w:val="00D56745"/>
    <w:rsid w:val="00D57CAA"/>
    <w:rsid w:val="00D601C6"/>
    <w:rsid w:val="00D61799"/>
    <w:rsid w:val="00D61FEB"/>
    <w:rsid w:val="00D627F0"/>
    <w:rsid w:val="00D640D5"/>
    <w:rsid w:val="00D64BF8"/>
    <w:rsid w:val="00D65746"/>
    <w:rsid w:val="00D6599B"/>
    <w:rsid w:val="00D741D7"/>
    <w:rsid w:val="00D75A78"/>
    <w:rsid w:val="00D7744B"/>
    <w:rsid w:val="00D77B87"/>
    <w:rsid w:val="00D82E44"/>
    <w:rsid w:val="00D835FB"/>
    <w:rsid w:val="00D83DD9"/>
    <w:rsid w:val="00D84E53"/>
    <w:rsid w:val="00D84FB8"/>
    <w:rsid w:val="00D868E4"/>
    <w:rsid w:val="00D86FDA"/>
    <w:rsid w:val="00D875E5"/>
    <w:rsid w:val="00D8773C"/>
    <w:rsid w:val="00D902FE"/>
    <w:rsid w:val="00D925A3"/>
    <w:rsid w:val="00D928C3"/>
    <w:rsid w:val="00D92B9A"/>
    <w:rsid w:val="00D94802"/>
    <w:rsid w:val="00D97887"/>
    <w:rsid w:val="00DA0998"/>
    <w:rsid w:val="00DA2E9F"/>
    <w:rsid w:val="00DA2EA3"/>
    <w:rsid w:val="00DA3CA4"/>
    <w:rsid w:val="00DA4915"/>
    <w:rsid w:val="00DA4EDD"/>
    <w:rsid w:val="00DA5911"/>
    <w:rsid w:val="00DA6280"/>
    <w:rsid w:val="00DA7B56"/>
    <w:rsid w:val="00DB024F"/>
    <w:rsid w:val="00DB08DD"/>
    <w:rsid w:val="00DB159E"/>
    <w:rsid w:val="00DB23C9"/>
    <w:rsid w:val="00DB3AD7"/>
    <w:rsid w:val="00DB437B"/>
    <w:rsid w:val="00DB5DD7"/>
    <w:rsid w:val="00DB6477"/>
    <w:rsid w:val="00DC0BF5"/>
    <w:rsid w:val="00DC0FCE"/>
    <w:rsid w:val="00DC2350"/>
    <w:rsid w:val="00DC3792"/>
    <w:rsid w:val="00DC47BB"/>
    <w:rsid w:val="00DC518C"/>
    <w:rsid w:val="00DC7AC3"/>
    <w:rsid w:val="00DD07AB"/>
    <w:rsid w:val="00DD0AAD"/>
    <w:rsid w:val="00DD1FB3"/>
    <w:rsid w:val="00DD2A9E"/>
    <w:rsid w:val="00DD395E"/>
    <w:rsid w:val="00DD4761"/>
    <w:rsid w:val="00DD5359"/>
    <w:rsid w:val="00DD6E6A"/>
    <w:rsid w:val="00DD7040"/>
    <w:rsid w:val="00DD7585"/>
    <w:rsid w:val="00DE0B5F"/>
    <w:rsid w:val="00DE0C97"/>
    <w:rsid w:val="00DE17FC"/>
    <w:rsid w:val="00DE4DD8"/>
    <w:rsid w:val="00DE57A4"/>
    <w:rsid w:val="00DE5932"/>
    <w:rsid w:val="00DE61AE"/>
    <w:rsid w:val="00DE64E5"/>
    <w:rsid w:val="00DE6581"/>
    <w:rsid w:val="00DE7D85"/>
    <w:rsid w:val="00DE7F77"/>
    <w:rsid w:val="00DF1FBF"/>
    <w:rsid w:val="00DF2BE2"/>
    <w:rsid w:val="00DF3808"/>
    <w:rsid w:val="00DF5926"/>
    <w:rsid w:val="00DF69EC"/>
    <w:rsid w:val="00E01380"/>
    <w:rsid w:val="00E02E25"/>
    <w:rsid w:val="00E041E1"/>
    <w:rsid w:val="00E05334"/>
    <w:rsid w:val="00E06B0B"/>
    <w:rsid w:val="00E07220"/>
    <w:rsid w:val="00E10621"/>
    <w:rsid w:val="00E11815"/>
    <w:rsid w:val="00E12D90"/>
    <w:rsid w:val="00E13B3F"/>
    <w:rsid w:val="00E165CE"/>
    <w:rsid w:val="00E20223"/>
    <w:rsid w:val="00E20B87"/>
    <w:rsid w:val="00E20C68"/>
    <w:rsid w:val="00E23503"/>
    <w:rsid w:val="00E25053"/>
    <w:rsid w:val="00E26D94"/>
    <w:rsid w:val="00E27D79"/>
    <w:rsid w:val="00E314D1"/>
    <w:rsid w:val="00E31889"/>
    <w:rsid w:val="00E365B9"/>
    <w:rsid w:val="00E367B1"/>
    <w:rsid w:val="00E419DD"/>
    <w:rsid w:val="00E41B57"/>
    <w:rsid w:val="00E421D2"/>
    <w:rsid w:val="00E43355"/>
    <w:rsid w:val="00E4488C"/>
    <w:rsid w:val="00E457D4"/>
    <w:rsid w:val="00E47F5C"/>
    <w:rsid w:val="00E50282"/>
    <w:rsid w:val="00E52874"/>
    <w:rsid w:val="00E5293A"/>
    <w:rsid w:val="00E534F1"/>
    <w:rsid w:val="00E54D99"/>
    <w:rsid w:val="00E55DA8"/>
    <w:rsid w:val="00E56A92"/>
    <w:rsid w:val="00E60999"/>
    <w:rsid w:val="00E60A74"/>
    <w:rsid w:val="00E60E2B"/>
    <w:rsid w:val="00E61E51"/>
    <w:rsid w:val="00E62159"/>
    <w:rsid w:val="00E62631"/>
    <w:rsid w:val="00E62839"/>
    <w:rsid w:val="00E62C56"/>
    <w:rsid w:val="00E648B4"/>
    <w:rsid w:val="00E66007"/>
    <w:rsid w:val="00E73CB9"/>
    <w:rsid w:val="00E75148"/>
    <w:rsid w:val="00E77568"/>
    <w:rsid w:val="00E77DE2"/>
    <w:rsid w:val="00E80B7E"/>
    <w:rsid w:val="00E8291E"/>
    <w:rsid w:val="00E82DB1"/>
    <w:rsid w:val="00E848F0"/>
    <w:rsid w:val="00E85EAA"/>
    <w:rsid w:val="00E87E3C"/>
    <w:rsid w:val="00E912F8"/>
    <w:rsid w:val="00E931DA"/>
    <w:rsid w:val="00E93FBC"/>
    <w:rsid w:val="00E94C64"/>
    <w:rsid w:val="00E9652A"/>
    <w:rsid w:val="00E9698E"/>
    <w:rsid w:val="00E97157"/>
    <w:rsid w:val="00EA1C3E"/>
    <w:rsid w:val="00EA31B8"/>
    <w:rsid w:val="00EA5E39"/>
    <w:rsid w:val="00EA63EB"/>
    <w:rsid w:val="00EA7AFE"/>
    <w:rsid w:val="00EB259F"/>
    <w:rsid w:val="00EB3334"/>
    <w:rsid w:val="00EB3DE6"/>
    <w:rsid w:val="00EB6FCB"/>
    <w:rsid w:val="00EB752F"/>
    <w:rsid w:val="00EC1A7D"/>
    <w:rsid w:val="00EC4FA9"/>
    <w:rsid w:val="00ED0387"/>
    <w:rsid w:val="00ED6049"/>
    <w:rsid w:val="00ED6DE9"/>
    <w:rsid w:val="00ED73E0"/>
    <w:rsid w:val="00ED79AE"/>
    <w:rsid w:val="00EE002C"/>
    <w:rsid w:val="00EE2C6C"/>
    <w:rsid w:val="00EE597A"/>
    <w:rsid w:val="00EE73F2"/>
    <w:rsid w:val="00EE76DF"/>
    <w:rsid w:val="00EF16E8"/>
    <w:rsid w:val="00EF405B"/>
    <w:rsid w:val="00EF56E8"/>
    <w:rsid w:val="00EF576F"/>
    <w:rsid w:val="00F01ACD"/>
    <w:rsid w:val="00F03189"/>
    <w:rsid w:val="00F04D4C"/>
    <w:rsid w:val="00F052A7"/>
    <w:rsid w:val="00F065CD"/>
    <w:rsid w:val="00F118E0"/>
    <w:rsid w:val="00F11B5F"/>
    <w:rsid w:val="00F15170"/>
    <w:rsid w:val="00F15842"/>
    <w:rsid w:val="00F15E1B"/>
    <w:rsid w:val="00F21263"/>
    <w:rsid w:val="00F2132E"/>
    <w:rsid w:val="00F21B56"/>
    <w:rsid w:val="00F21C1F"/>
    <w:rsid w:val="00F2241E"/>
    <w:rsid w:val="00F23EF8"/>
    <w:rsid w:val="00F24322"/>
    <w:rsid w:val="00F25618"/>
    <w:rsid w:val="00F2709D"/>
    <w:rsid w:val="00F274CA"/>
    <w:rsid w:val="00F3139A"/>
    <w:rsid w:val="00F314BC"/>
    <w:rsid w:val="00F33C07"/>
    <w:rsid w:val="00F362AF"/>
    <w:rsid w:val="00F41496"/>
    <w:rsid w:val="00F4170C"/>
    <w:rsid w:val="00F47CDD"/>
    <w:rsid w:val="00F502A6"/>
    <w:rsid w:val="00F5111A"/>
    <w:rsid w:val="00F5150D"/>
    <w:rsid w:val="00F526E1"/>
    <w:rsid w:val="00F5487D"/>
    <w:rsid w:val="00F54F6A"/>
    <w:rsid w:val="00F5771A"/>
    <w:rsid w:val="00F62596"/>
    <w:rsid w:val="00F63094"/>
    <w:rsid w:val="00F6373F"/>
    <w:rsid w:val="00F6521D"/>
    <w:rsid w:val="00F653B0"/>
    <w:rsid w:val="00F66CAE"/>
    <w:rsid w:val="00F70723"/>
    <w:rsid w:val="00F70DD3"/>
    <w:rsid w:val="00F72BA6"/>
    <w:rsid w:val="00F743D1"/>
    <w:rsid w:val="00F745AC"/>
    <w:rsid w:val="00F74B4C"/>
    <w:rsid w:val="00F75346"/>
    <w:rsid w:val="00F765D0"/>
    <w:rsid w:val="00F802E4"/>
    <w:rsid w:val="00F80956"/>
    <w:rsid w:val="00F837E5"/>
    <w:rsid w:val="00F83BAE"/>
    <w:rsid w:val="00F848A4"/>
    <w:rsid w:val="00F85FE5"/>
    <w:rsid w:val="00F8705B"/>
    <w:rsid w:val="00F90B35"/>
    <w:rsid w:val="00F945EB"/>
    <w:rsid w:val="00F95748"/>
    <w:rsid w:val="00F95EE1"/>
    <w:rsid w:val="00FA0072"/>
    <w:rsid w:val="00FA0E90"/>
    <w:rsid w:val="00FA1696"/>
    <w:rsid w:val="00FA1843"/>
    <w:rsid w:val="00FA1A12"/>
    <w:rsid w:val="00FA2CCE"/>
    <w:rsid w:val="00FA3D8F"/>
    <w:rsid w:val="00FA3F67"/>
    <w:rsid w:val="00FA55C1"/>
    <w:rsid w:val="00FA55FA"/>
    <w:rsid w:val="00FA5EB2"/>
    <w:rsid w:val="00FB0E7F"/>
    <w:rsid w:val="00FB3CD6"/>
    <w:rsid w:val="00FB49AD"/>
    <w:rsid w:val="00FB706C"/>
    <w:rsid w:val="00FB7EBD"/>
    <w:rsid w:val="00FC0948"/>
    <w:rsid w:val="00FC0B9A"/>
    <w:rsid w:val="00FC1F52"/>
    <w:rsid w:val="00FC2729"/>
    <w:rsid w:val="00FC332C"/>
    <w:rsid w:val="00FC3830"/>
    <w:rsid w:val="00FC66F6"/>
    <w:rsid w:val="00FC79ED"/>
    <w:rsid w:val="00FD0029"/>
    <w:rsid w:val="00FD0C74"/>
    <w:rsid w:val="00FD1F8F"/>
    <w:rsid w:val="00FD4DDE"/>
    <w:rsid w:val="00FD5A55"/>
    <w:rsid w:val="00FD5D05"/>
    <w:rsid w:val="00FD5DDF"/>
    <w:rsid w:val="00FE061D"/>
    <w:rsid w:val="00FE0D85"/>
    <w:rsid w:val="00FE396A"/>
    <w:rsid w:val="00FE4F22"/>
    <w:rsid w:val="00FE519A"/>
    <w:rsid w:val="00FE554B"/>
    <w:rsid w:val="00FF5484"/>
    <w:rsid w:val="00FF5A34"/>
    <w:rsid w:val="00FF5EFC"/>
    <w:rsid w:val="00FF6676"/>
    <w:rsid w:val="00FF75BC"/>
    <w:rsid w:val="00FF7D8E"/>
    <w:rsid w:val="00FF7EA2"/>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D5F03"/>
  <w15:docId w15:val="{339A49D4-7131-4A77-9C56-11F0A9AA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65A6"/>
    <w:pPr>
      <w:spacing w:after="0" w:line="288" w:lineRule="auto"/>
      <w:jc w:val="both"/>
    </w:pPr>
    <w:rPr>
      <w:rFonts w:ascii="Verdana" w:eastAsia="Times New Roman" w:hAnsi="Verdana" w:cs="Times New Roman"/>
      <w:sz w:val="20"/>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6089A"/>
    <w:pPr>
      <w:tabs>
        <w:tab w:val="center" w:pos="4320"/>
        <w:tab w:val="right" w:pos="8640"/>
      </w:tabs>
    </w:pPr>
  </w:style>
  <w:style w:type="character" w:customStyle="1" w:styleId="HlavikaChar">
    <w:name w:val="Hlavička Char"/>
    <w:basedOn w:val="Predvolenpsmoodseku"/>
    <w:link w:val="Hlavika"/>
    <w:semiHidden/>
    <w:rsid w:val="0016089A"/>
    <w:rPr>
      <w:rFonts w:ascii="Verdana" w:eastAsia="Times New Roman" w:hAnsi="Verdana" w:cs="Times New Roman"/>
      <w:sz w:val="20"/>
      <w:szCs w:val="24"/>
      <w:lang w:val="en-GB"/>
    </w:rPr>
  </w:style>
  <w:style w:type="paragraph" w:styleId="Pta">
    <w:name w:val="footer"/>
    <w:basedOn w:val="Normlny"/>
    <w:link w:val="PtaChar"/>
    <w:semiHidden/>
    <w:rsid w:val="0016089A"/>
    <w:pPr>
      <w:tabs>
        <w:tab w:val="center" w:pos="4320"/>
        <w:tab w:val="right" w:pos="8640"/>
      </w:tabs>
    </w:pPr>
  </w:style>
  <w:style w:type="character" w:customStyle="1" w:styleId="PtaChar">
    <w:name w:val="Päta Char"/>
    <w:basedOn w:val="Predvolenpsmoodseku"/>
    <w:link w:val="Pta"/>
    <w:semiHidden/>
    <w:rsid w:val="0016089A"/>
    <w:rPr>
      <w:rFonts w:ascii="Verdana" w:eastAsia="Times New Roman" w:hAnsi="Verdana" w:cs="Times New Roman"/>
      <w:sz w:val="20"/>
      <w:szCs w:val="24"/>
      <w:lang w:val="en-GB"/>
    </w:rPr>
  </w:style>
  <w:style w:type="paragraph" w:customStyle="1" w:styleId="Noparagraphstyle">
    <w:name w:val="[No paragraph style]"/>
    <w:semiHidden/>
    <w:rsid w:val="0016089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6089A"/>
  </w:style>
  <w:style w:type="paragraph" w:customStyle="1" w:styleId="BodyText-CEA">
    <w:name w:val="Body Text - CEA"/>
    <w:basedOn w:val="Normlny"/>
    <w:semiHidden/>
    <w:rsid w:val="0016089A"/>
    <w:pPr>
      <w:autoSpaceDE w:val="0"/>
      <w:autoSpaceDN w:val="0"/>
      <w:adjustRightInd w:val="0"/>
      <w:spacing w:line="24" w:lineRule="atLeast"/>
      <w:jc w:val="right"/>
      <w:textAlignment w:val="center"/>
    </w:pPr>
    <w:rPr>
      <w:rFonts w:cs="Arial"/>
      <w:b/>
      <w:color w:val="034EA2"/>
      <w:w w:val="90"/>
      <w:sz w:val="16"/>
      <w:szCs w:val="16"/>
    </w:rPr>
  </w:style>
  <w:style w:type="character" w:styleId="Zstupntext">
    <w:name w:val="Placeholder Text"/>
    <w:basedOn w:val="Predvolenpsmoodseku"/>
    <w:uiPriority w:val="99"/>
    <w:semiHidden/>
    <w:rsid w:val="0016089A"/>
    <w:rPr>
      <w:color w:val="808080"/>
    </w:rPr>
  </w:style>
  <w:style w:type="paragraph" w:customStyle="1" w:styleId="CEADraft">
    <w:name w:val="CEA Draft"/>
    <w:basedOn w:val="Normlny"/>
    <w:semiHidden/>
    <w:qFormat/>
    <w:rsid w:val="0016089A"/>
    <w:pPr>
      <w:jc w:val="right"/>
    </w:pPr>
    <w:rPr>
      <w:rFonts w:cs="Arial"/>
      <w:b/>
      <w:color w:val="034EA2"/>
      <w:sz w:val="32"/>
      <w:szCs w:val="40"/>
    </w:rPr>
  </w:style>
  <w:style w:type="paragraph" w:customStyle="1" w:styleId="CEAFooterauthorinfo">
    <w:name w:val="CEA Footer (author info)"/>
    <w:basedOn w:val="Normlny"/>
    <w:semiHidden/>
    <w:qFormat/>
    <w:rsid w:val="0016089A"/>
    <w:pPr>
      <w:autoSpaceDE w:val="0"/>
      <w:autoSpaceDN w:val="0"/>
      <w:adjustRightInd w:val="0"/>
      <w:ind w:left="546"/>
      <w:textAlignment w:val="center"/>
    </w:pPr>
    <w:rPr>
      <w:rFonts w:cs="Arial"/>
      <w:b/>
      <w:color w:val="034EA2"/>
      <w:sz w:val="16"/>
      <w:szCs w:val="16"/>
    </w:rPr>
  </w:style>
  <w:style w:type="paragraph" w:customStyle="1" w:styleId="CEALabel">
    <w:name w:val="CEA Label"/>
    <w:basedOn w:val="Normlny"/>
    <w:semiHidden/>
    <w:qFormat/>
    <w:rsid w:val="0016089A"/>
    <w:pPr>
      <w:tabs>
        <w:tab w:val="right" w:pos="360"/>
        <w:tab w:val="left" w:pos="540"/>
      </w:tabs>
      <w:autoSpaceDE w:val="0"/>
      <w:autoSpaceDN w:val="0"/>
      <w:adjustRightInd w:val="0"/>
      <w:spacing w:before="30"/>
      <w:jc w:val="right"/>
      <w:textAlignment w:val="center"/>
    </w:pPr>
    <w:rPr>
      <w:rFonts w:cs="Arial"/>
      <w:b/>
      <w:color w:val="034EA2"/>
      <w:spacing w:val="-4"/>
      <w:w w:val="90"/>
      <w:sz w:val="16"/>
      <w:szCs w:val="16"/>
    </w:rPr>
  </w:style>
  <w:style w:type="paragraph" w:customStyle="1" w:styleId="CEASubjectLine">
    <w:name w:val="CEA Subject Line"/>
    <w:basedOn w:val="Normlny"/>
    <w:semiHidden/>
    <w:qFormat/>
    <w:rsid w:val="0016089A"/>
    <w:rPr>
      <w:rFonts w:cs="Arial"/>
      <w:b/>
      <w:szCs w:val="20"/>
    </w:rPr>
  </w:style>
  <w:style w:type="paragraph" w:customStyle="1" w:styleId="CEADocumentTitle">
    <w:name w:val="CEA Document Title"/>
    <w:basedOn w:val="Hlavika"/>
    <w:semiHidden/>
    <w:qFormat/>
    <w:rsid w:val="0016089A"/>
    <w:pPr>
      <w:tabs>
        <w:tab w:val="clear" w:pos="4320"/>
        <w:tab w:val="clear" w:pos="8640"/>
        <w:tab w:val="center" w:pos="0"/>
        <w:tab w:val="right" w:pos="10440"/>
      </w:tabs>
      <w:jc w:val="right"/>
    </w:pPr>
    <w:rPr>
      <w:b/>
      <w:noProof/>
      <w:color w:val="034EA2"/>
      <w:sz w:val="40"/>
      <w:szCs w:val="40"/>
      <w:lang w:eastAsia="nl-NL"/>
    </w:rPr>
  </w:style>
  <w:style w:type="paragraph" w:customStyle="1" w:styleId="IEStandardHeading">
    <w:name w:val="IE Standard Heading"/>
    <w:basedOn w:val="Normlny"/>
    <w:qFormat/>
    <w:rsid w:val="0016089A"/>
    <w:pPr>
      <w:autoSpaceDE w:val="0"/>
      <w:autoSpaceDN w:val="0"/>
      <w:adjustRightInd w:val="0"/>
      <w:textAlignment w:val="center"/>
    </w:pPr>
    <w:rPr>
      <w:rFonts w:cs="Arial"/>
      <w:color w:val="002957"/>
      <w:szCs w:val="22"/>
    </w:rPr>
  </w:style>
  <w:style w:type="paragraph" w:styleId="Textbubliny">
    <w:name w:val="Balloon Text"/>
    <w:basedOn w:val="Normlny"/>
    <w:link w:val="TextbublinyChar"/>
    <w:uiPriority w:val="99"/>
    <w:semiHidden/>
    <w:unhideWhenUsed/>
    <w:rsid w:val="0016089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6089A"/>
    <w:rPr>
      <w:rFonts w:ascii="Tahoma" w:eastAsia="Times New Roman" w:hAnsi="Tahoma" w:cs="Tahoma"/>
      <w:sz w:val="16"/>
      <w:szCs w:val="16"/>
      <w:lang w:val="en-GB"/>
    </w:rPr>
  </w:style>
  <w:style w:type="paragraph" w:customStyle="1" w:styleId="IEBullet-Level1">
    <w:name w:val="IE Bullet - Level 1"/>
    <w:basedOn w:val="Normlny"/>
    <w:link w:val="IEBullet-Level1Char"/>
    <w:qFormat/>
    <w:rsid w:val="008C452F"/>
    <w:pPr>
      <w:numPr>
        <w:numId w:val="4"/>
      </w:numPr>
      <w:autoSpaceDE w:val="0"/>
      <w:autoSpaceDN w:val="0"/>
      <w:adjustRightInd w:val="0"/>
    </w:pPr>
    <w:rPr>
      <w:rFonts w:cs="Frutiger LT Std 45 Light"/>
      <w:color w:val="000000"/>
      <w:sz w:val="17"/>
      <w:szCs w:val="20"/>
    </w:rPr>
  </w:style>
  <w:style w:type="paragraph" w:customStyle="1" w:styleId="IEBullet-Level2">
    <w:name w:val="IE Bullet - Level 2"/>
    <w:basedOn w:val="IEBullet-Level1"/>
    <w:next w:val="IEBullet-Level3"/>
    <w:qFormat/>
    <w:rsid w:val="008C452F"/>
    <w:pPr>
      <w:numPr>
        <w:numId w:val="5"/>
      </w:numPr>
    </w:pPr>
  </w:style>
  <w:style w:type="paragraph" w:customStyle="1" w:styleId="IEBullet-Level3">
    <w:name w:val="IE Bullet - Level 3"/>
    <w:basedOn w:val="Normlny"/>
    <w:qFormat/>
    <w:rsid w:val="008C452F"/>
    <w:pPr>
      <w:numPr>
        <w:numId w:val="6"/>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1969B9"/>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969B9"/>
    <w:pPr>
      <w:jc w:val="right"/>
    </w:pPr>
    <w:rPr>
      <w:rFonts w:cs="Frutiger LT Std 55 Roman"/>
      <w:b/>
      <w:color w:val="0032FF"/>
      <w:sz w:val="40"/>
      <w:szCs w:val="40"/>
    </w:rPr>
  </w:style>
  <w:style w:type="paragraph" w:customStyle="1" w:styleId="CEAFootnote">
    <w:name w:val="CEA Footnote"/>
    <w:basedOn w:val="Normlny"/>
    <w:semiHidden/>
    <w:qFormat/>
    <w:rsid w:val="001969B9"/>
    <w:pPr>
      <w:spacing w:line="240" w:lineRule="auto"/>
    </w:pPr>
    <w:rPr>
      <w:sz w:val="16"/>
    </w:rPr>
  </w:style>
  <w:style w:type="character" w:customStyle="1" w:styleId="CEAGraphTitle">
    <w:name w:val="CEA Graph Title"/>
    <w:uiPriority w:val="1"/>
    <w:qFormat/>
    <w:rsid w:val="001969B9"/>
    <w:rPr>
      <w:rFonts w:ascii="Verdana" w:hAnsi="Verdana"/>
      <w:smallCaps w:val="0"/>
      <w:sz w:val="19"/>
      <w:lang w:val="en-GB"/>
    </w:rPr>
  </w:style>
  <w:style w:type="character" w:customStyle="1" w:styleId="CEAGraphX">
    <w:name w:val="CEA Graph X"/>
    <w:uiPriority w:val="1"/>
    <w:qFormat/>
    <w:rsid w:val="001969B9"/>
    <w:rPr>
      <w:rFonts w:ascii="Verdana" w:hAnsi="Verdana"/>
      <w:smallCaps/>
      <w:sz w:val="19"/>
      <w:lang w:val="en-GB"/>
    </w:rPr>
  </w:style>
  <w:style w:type="paragraph" w:customStyle="1" w:styleId="CEAPositionPaperTitle">
    <w:name w:val="CEA Position Paper Title"/>
    <w:basedOn w:val="Normlny"/>
    <w:semiHidden/>
    <w:qFormat/>
    <w:rsid w:val="001969B9"/>
    <w:pPr>
      <w:ind w:left="-27"/>
    </w:pPr>
    <w:rPr>
      <w:b/>
      <w:color w:val="034EA2"/>
      <w:sz w:val="32"/>
      <w:szCs w:val="32"/>
    </w:rPr>
  </w:style>
  <w:style w:type="paragraph" w:customStyle="1" w:styleId="CEAPressReleaseSubtitle">
    <w:name w:val="CEA Press Release Subtitle"/>
    <w:basedOn w:val="Normlny"/>
    <w:semiHidden/>
    <w:qFormat/>
    <w:rsid w:val="001969B9"/>
    <w:rPr>
      <w:sz w:val="22"/>
      <w:szCs w:val="22"/>
    </w:rPr>
  </w:style>
  <w:style w:type="paragraph" w:customStyle="1" w:styleId="CEAPressReleaseTitle">
    <w:name w:val="CEA Press Release Title"/>
    <w:basedOn w:val="Normlny"/>
    <w:semiHidden/>
    <w:qFormat/>
    <w:rsid w:val="001969B9"/>
    <w:pPr>
      <w:autoSpaceDE w:val="0"/>
      <w:autoSpaceDN w:val="0"/>
      <w:adjustRightInd w:val="0"/>
      <w:spacing w:line="240" w:lineRule="auto"/>
    </w:pPr>
    <w:rPr>
      <w:rFonts w:ascii="Frutiger LT Com 45 Light" w:hAnsi="Frutiger LT Com 45 Light"/>
      <w:b/>
      <w:color w:val="034EA2"/>
      <w:sz w:val="36"/>
      <w:szCs w:val="36"/>
    </w:rPr>
  </w:style>
  <w:style w:type="table" w:styleId="Mriekatabuky">
    <w:name w:val="Table Grid"/>
    <w:basedOn w:val="Normlnatabuka"/>
    <w:uiPriority w:val="59"/>
    <w:rsid w:val="00C0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Bullet-Level1Char">
    <w:name w:val="IE Bullet - Level 1 Char"/>
    <w:link w:val="IEBullet-Level1"/>
    <w:locked/>
    <w:rsid w:val="008C452F"/>
    <w:rPr>
      <w:rFonts w:ascii="Verdana" w:eastAsia="Times New Roman" w:hAnsi="Verdana" w:cs="Frutiger LT Std 45 Light"/>
      <w:color w:val="000000"/>
      <w:sz w:val="17"/>
      <w:szCs w:val="20"/>
      <w:lang w:val="en-GB"/>
    </w:rPr>
  </w:style>
  <w:style w:type="character" w:styleId="Hypertextovprepojenie">
    <w:name w:val="Hyperlink"/>
    <w:basedOn w:val="Predvolenpsmoodseku"/>
    <w:uiPriority w:val="99"/>
    <w:unhideWhenUsed/>
    <w:rsid w:val="00A37499"/>
    <w:rPr>
      <w:color w:val="0000FF" w:themeColor="hyperlink"/>
      <w:u w:val="single"/>
    </w:rPr>
  </w:style>
  <w:style w:type="character" w:styleId="Nevyrieenzmienka">
    <w:name w:val="Unresolved Mention"/>
    <w:basedOn w:val="Predvolenpsmoodseku"/>
    <w:uiPriority w:val="99"/>
    <w:semiHidden/>
    <w:unhideWhenUsed/>
    <w:rsid w:val="009F2A43"/>
    <w:rPr>
      <w:color w:val="605E5C"/>
      <w:shd w:val="clear" w:color="auto" w:fill="E1DFDD"/>
    </w:rPr>
  </w:style>
  <w:style w:type="paragraph" w:styleId="Normlnywebov">
    <w:name w:val="Normal (Web)"/>
    <w:basedOn w:val="Normlny"/>
    <w:uiPriority w:val="99"/>
    <w:semiHidden/>
    <w:unhideWhenUsed/>
    <w:rsid w:val="00A27EB7"/>
    <w:rPr>
      <w:rFonts w:ascii="Times New Roman" w:hAnsi="Times New Roman"/>
      <w:sz w:val="24"/>
    </w:rPr>
  </w:style>
  <w:style w:type="character" w:styleId="Odkaznakomentr">
    <w:name w:val="annotation reference"/>
    <w:basedOn w:val="Predvolenpsmoodseku"/>
    <w:uiPriority w:val="99"/>
    <w:semiHidden/>
    <w:unhideWhenUsed/>
    <w:rsid w:val="00A27EB7"/>
    <w:rPr>
      <w:sz w:val="16"/>
      <w:szCs w:val="16"/>
    </w:rPr>
  </w:style>
  <w:style w:type="paragraph" w:styleId="Textkomentra">
    <w:name w:val="annotation text"/>
    <w:basedOn w:val="Normlny"/>
    <w:link w:val="TextkomentraChar"/>
    <w:uiPriority w:val="99"/>
    <w:unhideWhenUsed/>
    <w:rsid w:val="00A27EB7"/>
    <w:pPr>
      <w:spacing w:line="240" w:lineRule="auto"/>
    </w:pPr>
    <w:rPr>
      <w:szCs w:val="20"/>
    </w:rPr>
  </w:style>
  <w:style w:type="character" w:customStyle="1" w:styleId="TextkomentraChar">
    <w:name w:val="Text komentára Char"/>
    <w:basedOn w:val="Predvolenpsmoodseku"/>
    <w:link w:val="Textkomentra"/>
    <w:uiPriority w:val="99"/>
    <w:rsid w:val="00A27EB7"/>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A27EB7"/>
    <w:rPr>
      <w:b/>
      <w:bCs/>
    </w:rPr>
  </w:style>
  <w:style w:type="character" w:customStyle="1" w:styleId="PredmetkomentraChar">
    <w:name w:val="Predmet komentára Char"/>
    <w:basedOn w:val="TextkomentraChar"/>
    <w:link w:val="Predmetkomentra"/>
    <w:uiPriority w:val="99"/>
    <w:semiHidden/>
    <w:rsid w:val="00A27EB7"/>
    <w:rPr>
      <w:rFonts w:ascii="Verdana" w:eastAsia="Times New Roman" w:hAnsi="Verdana" w:cs="Times New Roman"/>
      <w:b/>
      <w:bCs/>
      <w:sz w:val="20"/>
      <w:szCs w:val="20"/>
      <w:lang w:val="en-GB"/>
    </w:rPr>
  </w:style>
  <w:style w:type="paragraph" w:styleId="Textpoznmkypodiarou">
    <w:name w:val="footnote text"/>
    <w:basedOn w:val="Normlny"/>
    <w:link w:val="TextpoznmkypodiarouChar"/>
    <w:uiPriority w:val="99"/>
    <w:unhideWhenUsed/>
    <w:rsid w:val="00DF5926"/>
    <w:pPr>
      <w:spacing w:line="240" w:lineRule="auto"/>
    </w:pPr>
    <w:rPr>
      <w:szCs w:val="20"/>
    </w:rPr>
  </w:style>
  <w:style w:type="character" w:customStyle="1" w:styleId="TextpoznmkypodiarouChar">
    <w:name w:val="Text poznámky pod čiarou Char"/>
    <w:basedOn w:val="Predvolenpsmoodseku"/>
    <w:link w:val="Textpoznmkypodiarou"/>
    <w:uiPriority w:val="99"/>
    <w:rsid w:val="00DF5926"/>
    <w:rPr>
      <w:rFonts w:ascii="Verdana" w:eastAsia="Times New Roman" w:hAnsi="Verdana" w:cs="Times New Roman"/>
      <w:sz w:val="20"/>
      <w:szCs w:val="20"/>
      <w:lang w:val="en-GB"/>
    </w:rPr>
  </w:style>
  <w:style w:type="character" w:styleId="Odkaznapoznmkupodiarou">
    <w:name w:val="footnote reference"/>
    <w:basedOn w:val="Predvolenpsmoodseku"/>
    <w:uiPriority w:val="99"/>
    <w:semiHidden/>
    <w:unhideWhenUsed/>
    <w:rsid w:val="00DF5926"/>
    <w:rPr>
      <w:vertAlign w:val="superscript"/>
    </w:rPr>
  </w:style>
  <w:style w:type="character" w:styleId="PouitHypertextovPrepojenie">
    <w:name w:val="FollowedHyperlink"/>
    <w:basedOn w:val="Predvolenpsmoodseku"/>
    <w:uiPriority w:val="99"/>
    <w:semiHidden/>
    <w:unhideWhenUsed/>
    <w:rsid w:val="00735302"/>
    <w:rPr>
      <w:color w:val="800080" w:themeColor="followedHyperlink"/>
      <w:u w:val="single"/>
    </w:rPr>
  </w:style>
  <w:style w:type="paragraph" w:styleId="Revzia">
    <w:name w:val="Revision"/>
    <w:hidden/>
    <w:uiPriority w:val="99"/>
    <w:semiHidden/>
    <w:rsid w:val="007E63D8"/>
    <w:pPr>
      <w:spacing w:after="0" w:line="240" w:lineRule="auto"/>
    </w:pPr>
    <w:rPr>
      <w:rFonts w:ascii="Verdana" w:eastAsia="Times New Roman" w:hAnsi="Verdana" w:cs="Times New Roman"/>
      <w:sz w:val="20"/>
      <w:szCs w:val="24"/>
      <w:lang w:val="en-GB"/>
    </w:rPr>
  </w:style>
  <w:style w:type="paragraph" w:styleId="Odsekzoznamu">
    <w:name w:val="List Paragraph"/>
    <w:basedOn w:val="Normlny"/>
    <w:uiPriority w:val="34"/>
    <w:qFormat/>
    <w:rsid w:val="00661C4D"/>
    <w:pPr>
      <w:ind w:left="720"/>
      <w:contextualSpacing/>
    </w:pPr>
  </w:style>
  <w:style w:type="paragraph" w:styleId="PredformtovanHTML">
    <w:name w:val="HTML Preformatted"/>
    <w:basedOn w:val="Normlny"/>
    <w:link w:val="PredformtovanHTMLChar"/>
    <w:uiPriority w:val="99"/>
    <w:semiHidden/>
    <w:unhideWhenUsed/>
    <w:rsid w:val="00785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semiHidden/>
    <w:rsid w:val="0078513E"/>
    <w:rPr>
      <w:rFonts w:ascii="Courier New" w:eastAsia="Times New Roman" w:hAnsi="Courier New" w:cs="Courier New"/>
      <w:sz w:val="20"/>
      <w:szCs w:val="20"/>
    </w:rPr>
  </w:style>
  <w:style w:type="character" w:styleId="Zmienka">
    <w:name w:val="Mention"/>
    <w:basedOn w:val="Predvolenpsmoodseku"/>
    <w:uiPriority w:val="99"/>
    <w:unhideWhenUsed/>
    <w:rsid w:val="00262A5C"/>
    <w:rPr>
      <w:color w:val="2B579A"/>
      <w:shd w:val="clear" w:color="auto" w:fill="E1DFDD"/>
    </w:rPr>
  </w:style>
  <w:style w:type="paragraph" w:customStyle="1" w:styleId="IEBullet-Level30">
    <w:name w:val="_IE Bullet - Level 3"/>
    <w:basedOn w:val="Normlny"/>
    <w:qFormat/>
    <w:rsid w:val="000D0F58"/>
    <w:pPr>
      <w:autoSpaceDE w:val="0"/>
      <w:autoSpaceDN w:val="0"/>
      <w:adjustRightInd w:val="0"/>
      <w:ind w:left="1776" w:hanging="360"/>
    </w:pPr>
    <w:rPr>
      <w:rFonts w:cs="Frutiger LT Std 45 Light"/>
      <w:color w:val="000000"/>
      <w:sz w:val="1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95">
      <w:bodyDiv w:val="1"/>
      <w:marLeft w:val="0"/>
      <w:marRight w:val="0"/>
      <w:marTop w:val="0"/>
      <w:marBottom w:val="0"/>
      <w:divBdr>
        <w:top w:val="none" w:sz="0" w:space="0" w:color="auto"/>
        <w:left w:val="none" w:sz="0" w:space="0" w:color="auto"/>
        <w:bottom w:val="none" w:sz="0" w:space="0" w:color="auto"/>
        <w:right w:val="none" w:sz="0" w:space="0" w:color="auto"/>
      </w:divBdr>
    </w:div>
    <w:div w:id="67970258">
      <w:bodyDiv w:val="1"/>
      <w:marLeft w:val="0"/>
      <w:marRight w:val="0"/>
      <w:marTop w:val="0"/>
      <w:marBottom w:val="0"/>
      <w:divBdr>
        <w:top w:val="none" w:sz="0" w:space="0" w:color="auto"/>
        <w:left w:val="none" w:sz="0" w:space="0" w:color="auto"/>
        <w:bottom w:val="none" w:sz="0" w:space="0" w:color="auto"/>
        <w:right w:val="none" w:sz="0" w:space="0" w:color="auto"/>
      </w:divBdr>
    </w:div>
    <w:div w:id="157160595">
      <w:bodyDiv w:val="1"/>
      <w:marLeft w:val="0"/>
      <w:marRight w:val="0"/>
      <w:marTop w:val="0"/>
      <w:marBottom w:val="0"/>
      <w:divBdr>
        <w:top w:val="none" w:sz="0" w:space="0" w:color="auto"/>
        <w:left w:val="none" w:sz="0" w:space="0" w:color="auto"/>
        <w:bottom w:val="none" w:sz="0" w:space="0" w:color="auto"/>
        <w:right w:val="none" w:sz="0" w:space="0" w:color="auto"/>
      </w:divBdr>
    </w:div>
    <w:div w:id="363485165">
      <w:bodyDiv w:val="1"/>
      <w:marLeft w:val="0"/>
      <w:marRight w:val="0"/>
      <w:marTop w:val="0"/>
      <w:marBottom w:val="0"/>
      <w:divBdr>
        <w:top w:val="none" w:sz="0" w:space="0" w:color="auto"/>
        <w:left w:val="none" w:sz="0" w:space="0" w:color="auto"/>
        <w:bottom w:val="none" w:sz="0" w:space="0" w:color="auto"/>
        <w:right w:val="none" w:sz="0" w:space="0" w:color="auto"/>
      </w:divBdr>
    </w:div>
    <w:div w:id="371811089">
      <w:bodyDiv w:val="1"/>
      <w:marLeft w:val="0"/>
      <w:marRight w:val="0"/>
      <w:marTop w:val="0"/>
      <w:marBottom w:val="0"/>
      <w:divBdr>
        <w:top w:val="none" w:sz="0" w:space="0" w:color="auto"/>
        <w:left w:val="none" w:sz="0" w:space="0" w:color="auto"/>
        <w:bottom w:val="none" w:sz="0" w:space="0" w:color="auto"/>
        <w:right w:val="none" w:sz="0" w:space="0" w:color="auto"/>
      </w:divBdr>
    </w:div>
    <w:div w:id="655038717">
      <w:bodyDiv w:val="1"/>
      <w:marLeft w:val="0"/>
      <w:marRight w:val="0"/>
      <w:marTop w:val="0"/>
      <w:marBottom w:val="0"/>
      <w:divBdr>
        <w:top w:val="none" w:sz="0" w:space="0" w:color="auto"/>
        <w:left w:val="none" w:sz="0" w:space="0" w:color="auto"/>
        <w:bottom w:val="none" w:sz="0" w:space="0" w:color="auto"/>
        <w:right w:val="none" w:sz="0" w:space="0" w:color="auto"/>
      </w:divBdr>
    </w:div>
    <w:div w:id="727537999">
      <w:bodyDiv w:val="1"/>
      <w:marLeft w:val="0"/>
      <w:marRight w:val="0"/>
      <w:marTop w:val="0"/>
      <w:marBottom w:val="0"/>
      <w:divBdr>
        <w:top w:val="none" w:sz="0" w:space="0" w:color="auto"/>
        <w:left w:val="none" w:sz="0" w:space="0" w:color="auto"/>
        <w:bottom w:val="none" w:sz="0" w:space="0" w:color="auto"/>
        <w:right w:val="none" w:sz="0" w:space="0" w:color="auto"/>
      </w:divBdr>
    </w:div>
    <w:div w:id="730232908">
      <w:bodyDiv w:val="1"/>
      <w:marLeft w:val="0"/>
      <w:marRight w:val="0"/>
      <w:marTop w:val="0"/>
      <w:marBottom w:val="0"/>
      <w:divBdr>
        <w:top w:val="none" w:sz="0" w:space="0" w:color="auto"/>
        <w:left w:val="none" w:sz="0" w:space="0" w:color="auto"/>
        <w:bottom w:val="none" w:sz="0" w:space="0" w:color="auto"/>
        <w:right w:val="none" w:sz="0" w:space="0" w:color="auto"/>
      </w:divBdr>
    </w:div>
    <w:div w:id="873418323">
      <w:bodyDiv w:val="1"/>
      <w:marLeft w:val="0"/>
      <w:marRight w:val="0"/>
      <w:marTop w:val="0"/>
      <w:marBottom w:val="0"/>
      <w:divBdr>
        <w:top w:val="none" w:sz="0" w:space="0" w:color="auto"/>
        <w:left w:val="none" w:sz="0" w:space="0" w:color="auto"/>
        <w:bottom w:val="none" w:sz="0" w:space="0" w:color="auto"/>
        <w:right w:val="none" w:sz="0" w:space="0" w:color="auto"/>
      </w:divBdr>
    </w:div>
    <w:div w:id="1006328675">
      <w:bodyDiv w:val="1"/>
      <w:marLeft w:val="0"/>
      <w:marRight w:val="0"/>
      <w:marTop w:val="0"/>
      <w:marBottom w:val="0"/>
      <w:divBdr>
        <w:top w:val="none" w:sz="0" w:space="0" w:color="auto"/>
        <w:left w:val="none" w:sz="0" w:space="0" w:color="auto"/>
        <w:bottom w:val="none" w:sz="0" w:space="0" w:color="auto"/>
        <w:right w:val="none" w:sz="0" w:space="0" w:color="auto"/>
      </w:divBdr>
    </w:div>
    <w:div w:id="1085111684">
      <w:bodyDiv w:val="1"/>
      <w:marLeft w:val="0"/>
      <w:marRight w:val="0"/>
      <w:marTop w:val="0"/>
      <w:marBottom w:val="0"/>
      <w:divBdr>
        <w:top w:val="none" w:sz="0" w:space="0" w:color="auto"/>
        <w:left w:val="none" w:sz="0" w:space="0" w:color="auto"/>
        <w:bottom w:val="none" w:sz="0" w:space="0" w:color="auto"/>
        <w:right w:val="none" w:sz="0" w:space="0" w:color="auto"/>
      </w:divBdr>
    </w:div>
    <w:div w:id="1153183105">
      <w:bodyDiv w:val="1"/>
      <w:marLeft w:val="0"/>
      <w:marRight w:val="0"/>
      <w:marTop w:val="0"/>
      <w:marBottom w:val="0"/>
      <w:divBdr>
        <w:top w:val="none" w:sz="0" w:space="0" w:color="auto"/>
        <w:left w:val="none" w:sz="0" w:space="0" w:color="auto"/>
        <w:bottom w:val="none" w:sz="0" w:space="0" w:color="auto"/>
        <w:right w:val="none" w:sz="0" w:space="0" w:color="auto"/>
      </w:divBdr>
    </w:div>
    <w:div w:id="1340736298">
      <w:bodyDiv w:val="1"/>
      <w:marLeft w:val="0"/>
      <w:marRight w:val="0"/>
      <w:marTop w:val="0"/>
      <w:marBottom w:val="0"/>
      <w:divBdr>
        <w:top w:val="none" w:sz="0" w:space="0" w:color="auto"/>
        <w:left w:val="none" w:sz="0" w:space="0" w:color="auto"/>
        <w:bottom w:val="none" w:sz="0" w:space="0" w:color="auto"/>
        <w:right w:val="none" w:sz="0" w:space="0" w:color="auto"/>
      </w:divBdr>
    </w:div>
    <w:div w:id="1592272747">
      <w:bodyDiv w:val="1"/>
      <w:marLeft w:val="0"/>
      <w:marRight w:val="0"/>
      <w:marTop w:val="0"/>
      <w:marBottom w:val="0"/>
      <w:divBdr>
        <w:top w:val="none" w:sz="0" w:space="0" w:color="auto"/>
        <w:left w:val="none" w:sz="0" w:space="0" w:color="auto"/>
        <w:bottom w:val="none" w:sz="0" w:space="0" w:color="auto"/>
        <w:right w:val="none" w:sz="0" w:space="0" w:color="auto"/>
      </w:divBdr>
    </w:div>
    <w:div w:id="1673952883">
      <w:bodyDiv w:val="1"/>
      <w:marLeft w:val="0"/>
      <w:marRight w:val="0"/>
      <w:marTop w:val="0"/>
      <w:marBottom w:val="0"/>
      <w:divBdr>
        <w:top w:val="none" w:sz="0" w:space="0" w:color="auto"/>
        <w:left w:val="none" w:sz="0" w:space="0" w:color="auto"/>
        <w:bottom w:val="none" w:sz="0" w:space="0" w:color="auto"/>
        <w:right w:val="none" w:sz="0" w:space="0" w:color="auto"/>
      </w:divBdr>
    </w:div>
    <w:div w:id="1705448798">
      <w:bodyDiv w:val="1"/>
      <w:marLeft w:val="0"/>
      <w:marRight w:val="0"/>
      <w:marTop w:val="0"/>
      <w:marBottom w:val="0"/>
      <w:divBdr>
        <w:top w:val="none" w:sz="0" w:space="0" w:color="auto"/>
        <w:left w:val="none" w:sz="0" w:space="0" w:color="auto"/>
        <w:bottom w:val="none" w:sz="0" w:space="0" w:color="auto"/>
        <w:right w:val="none" w:sz="0" w:space="0" w:color="auto"/>
      </w:divBdr>
    </w:div>
    <w:div w:id="1742560920">
      <w:bodyDiv w:val="1"/>
      <w:marLeft w:val="0"/>
      <w:marRight w:val="0"/>
      <w:marTop w:val="0"/>
      <w:marBottom w:val="0"/>
      <w:divBdr>
        <w:top w:val="none" w:sz="0" w:space="0" w:color="auto"/>
        <w:left w:val="none" w:sz="0" w:space="0" w:color="auto"/>
        <w:bottom w:val="none" w:sz="0" w:space="0" w:color="auto"/>
        <w:right w:val="none" w:sz="0" w:space="0" w:color="auto"/>
      </w:divBdr>
    </w:div>
    <w:div w:id="1753425358">
      <w:bodyDiv w:val="1"/>
      <w:marLeft w:val="0"/>
      <w:marRight w:val="0"/>
      <w:marTop w:val="0"/>
      <w:marBottom w:val="0"/>
      <w:divBdr>
        <w:top w:val="none" w:sz="0" w:space="0" w:color="auto"/>
        <w:left w:val="none" w:sz="0" w:space="0" w:color="auto"/>
        <w:bottom w:val="none" w:sz="0" w:space="0" w:color="auto"/>
        <w:right w:val="none" w:sz="0" w:space="0" w:color="auto"/>
      </w:divBdr>
    </w:div>
    <w:div w:id="1833062398">
      <w:bodyDiv w:val="1"/>
      <w:marLeft w:val="0"/>
      <w:marRight w:val="0"/>
      <w:marTop w:val="0"/>
      <w:marBottom w:val="0"/>
      <w:divBdr>
        <w:top w:val="none" w:sz="0" w:space="0" w:color="auto"/>
        <w:left w:val="none" w:sz="0" w:space="0" w:color="auto"/>
        <w:bottom w:val="none" w:sz="0" w:space="0" w:color="auto"/>
        <w:right w:val="none" w:sz="0" w:space="0" w:color="auto"/>
      </w:divBdr>
    </w:div>
    <w:div w:id="1963803139">
      <w:bodyDiv w:val="1"/>
      <w:marLeft w:val="0"/>
      <w:marRight w:val="0"/>
      <w:marTop w:val="0"/>
      <w:marBottom w:val="0"/>
      <w:divBdr>
        <w:top w:val="none" w:sz="0" w:space="0" w:color="auto"/>
        <w:left w:val="none" w:sz="0" w:space="0" w:color="auto"/>
        <w:bottom w:val="none" w:sz="0" w:space="0" w:color="auto"/>
        <w:right w:val="none" w:sz="0" w:space="0" w:color="auto"/>
      </w:divBdr>
    </w:div>
    <w:div w:id="214237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finance/docs/law/251120-impact-assessment-sfdr_e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c.europa.eu/commission/presscorner/detail/en/qanda_25_273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ec.europa.eu/publications/commission-simplifies-transparency-rules-sustainable-financial-products_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suranceeurope.sharepoint.com/sites/extranet/Corporate%20Reporting%20%20Investments%20%20Sustainable%20Fina/2025%2FECO-CRISF-25-287.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6F5A9CD79B41628237A560F1136C6F"/>
        <w:category>
          <w:name w:val="General"/>
          <w:gallery w:val="placeholder"/>
        </w:category>
        <w:types>
          <w:type w:val="bbPlcHdr"/>
        </w:types>
        <w:behaviors>
          <w:behavior w:val="content"/>
        </w:behaviors>
        <w:guid w:val="{303B7B31-3243-47C4-A8CE-CA743B1F5DC2}"/>
      </w:docPartPr>
      <w:docPartBody>
        <w:p w:rsidR="00A72489" w:rsidRDefault="005901AA">
          <w:pPr>
            <w:pStyle w:val="FD6F5A9CD79B41628237A560F1136C6F"/>
          </w:pPr>
          <w:r w:rsidRPr="008C7EEE">
            <w:rPr>
              <w:rStyle w:val="Zstupntext"/>
            </w:rPr>
            <w:t>Click or tap here to enter text.</w:t>
          </w:r>
        </w:p>
      </w:docPartBody>
    </w:docPart>
    <w:docPart>
      <w:docPartPr>
        <w:name w:val="EFEAC30E0C4B4B78AB29DE9E603D0DCC"/>
        <w:category>
          <w:name w:val="General"/>
          <w:gallery w:val="placeholder"/>
        </w:category>
        <w:types>
          <w:type w:val="bbPlcHdr"/>
        </w:types>
        <w:behaviors>
          <w:behavior w:val="content"/>
        </w:behaviors>
        <w:guid w:val="{5292BDBF-2B4E-4501-B270-84B586011D76}"/>
      </w:docPartPr>
      <w:docPartBody>
        <w:p w:rsidR="00A72489" w:rsidRDefault="005F6EC7">
          <w:pPr>
            <w:pStyle w:val="EFEAC30E0C4B4B78AB29DE9E603D0DCC"/>
          </w:pPr>
          <w:r w:rsidRPr="00714930">
            <w:rPr>
              <w:rStyle w:val="Zstupn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alibri"/>
    <w:charset w:val="00"/>
    <w:family w:val="swiss"/>
    <w:pitch w:val="variable"/>
    <w:sig w:usb0="00000001" w:usb1="5000204A" w:usb2="00000000" w:usb3="00000000" w:csb0="0000009B"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EC7"/>
    <w:rsid w:val="00083422"/>
    <w:rsid w:val="00125A37"/>
    <w:rsid w:val="00157260"/>
    <w:rsid w:val="001F0766"/>
    <w:rsid w:val="001F3B6B"/>
    <w:rsid w:val="003278DF"/>
    <w:rsid w:val="003C10C7"/>
    <w:rsid w:val="003E28DA"/>
    <w:rsid w:val="004427E9"/>
    <w:rsid w:val="004567EF"/>
    <w:rsid w:val="004676DE"/>
    <w:rsid w:val="004914DE"/>
    <w:rsid w:val="004F379D"/>
    <w:rsid w:val="00502B73"/>
    <w:rsid w:val="0054070F"/>
    <w:rsid w:val="00556C33"/>
    <w:rsid w:val="005901AA"/>
    <w:rsid w:val="005D21B1"/>
    <w:rsid w:val="005F6EC7"/>
    <w:rsid w:val="006224AA"/>
    <w:rsid w:val="00661ED5"/>
    <w:rsid w:val="006704B4"/>
    <w:rsid w:val="00687ED9"/>
    <w:rsid w:val="006E08CC"/>
    <w:rsid w:val="00756109"/>
    <w:rsid w:val="00820A54"/>
    <w:rsid w:val="0083038C"/>
    <w:rsid w:val="00882D50"/>
    <w:rsid w:val="008F031C"/>
    <w:rsid w:val="00931FEF"/>
    <w:rsid w:val="00981EE1"/>
    <w:rsid w:val="009A5F5F"/>
    <w:rsid w:val="009D348E"/>
    <w:rsid w:val="009E0A14"/>
    <w:rsid w:val="00A467DB"/>
    <w:rsid w:val="00A47A5F"/>
    <w:rsid w:val="00A72489"/>
    <w:rsid w:val="00AB1078"/>
    <w:rsid w:val="00AD0D99"/>
    <w:rsid w:val="00B02DC6"/>
    <w:rsid w:val="00B16236"/>
    <w:rsid w:val="00B17031"/>
    <w:rsid w:val="00B417A4"/>
    <w:rsid w:val="00BC5215"/>
    <w:rsid w:val="00C33672"/>
    <w:rsid w:val="00C64645"/>
    <w:rsid w:val="00C67B6A"/>
    <w:rsid w:val="00C92C72"/>
    <w:rsid w:val="00C96AA8"/>
    <w:rsid w:val="00CC0E72"/>
    <w:rsid w:val="00CD0058"/>
    <w:rsid w:val="00CF009F"/>
    <w:rsid w:val="00CF4325"/>
    <w:rsid w:val="00D07D88"/>
    <w:rsid w:val="00D1472C"/>
    <w:rsid w:val="00D92B7A"/>
    <w:rsid w:val="00DB4D24"/>
    <w:rsid w:val="00E30A5C"/>
    <w:rsid w:val="00E41B57"/>
    <w:rsid w:val="00E60E2B"/>
    <w:rsid w:val="00EA541D"/>
    <w:rsid w:val="00F12596"/>
    <w:rsid w:val="00F25618"/>
    <w:rsid w:val="00F674CA"/>
    <w:rsid w:val="00FB2AA4"/>
    <w:rsid w:val="00FC2729"/>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5901AA"/>
    <w:rPr>
      <w:color w:val="808080"/>
    </w:rPr>
  </w:style>
  <w:style w:type="paragraph" w:customStyle="1" w:styleId="FD6F5A9CD79B41628237A560F1136C6F">
    <w:name w:val="FD6F5A9CD79B41628237A560F1136C6F"/>
    <w:pPr>
      <w:spacing w:after="160" w:line="278" w:lineRule="auto"/>
    </w:pPr>
    <w:rPr>
      <w:kern w:val="2"/>
      <w:sz w:val="24"/>
      <w:szCs w:val="24"/>
      <w14:ligatures w14:val="standardContextual"/>
    </w:rPr>
  </w:style>
  <w:style w:type="paragraph" w:customStyle="1" w:styleId="EFEAC30E0C4B4B78AB29DE9E603D0DCC">
    <w:name w:val="EFEAC30E0C4B4B78AB29DE9E603D0DC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adline xmlns="ddee4349-d6c5-476b-a1c6-d791a1a12d6c" xsi:nil="true"/>
    <Feedback_x0020_type xmlns="ddee4349-d6c5-476b-a1c6-d791a1a12d6c" xsi:nil="true"/>
    <Allow_x0020_uploads xmlns="ddee4349-d6c5-476b-a1c6-d791a1a12d6c" xsi:nil="true"/>
    <Allow_x0020_comments xmlns="ddee4349-d6c5-476b-a1c6-d791a1a12d6c" xsi:nil="true"/>
    <Leading_x0020_document xmlns="ddee4349-d6c5-476b-a1c6-d791a1a12d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0CA08016993649B987301C6C20DE93" ma:contentTypeVersion="11" ma:contentTypeDescription="Create a new document." ma:contentTypeScope="" ma:versionID="90c8d23e10d607de339fdd7daf04cbb9">
  <xsd:schema xmlns:xsd="http://www.w3.org/2001/XMLSchema" xmlns:xs="http://www.w3.org/2001/XMLSchema" xmlns:p="http://schemas.microsoft.com/office/2006/metadata/properties" xmlns:ns2="ddee4349-d6c5-476b-a1c6-d791a1a12d6c" xmlns:ns3="efa07f0a-2279-4397-9381-96c735bff43a" targetNamespace="http://schemas.microsoft.com/office/2006/metadata/properties" ma:root="true" ma:fieldsID="db1fb622a675d0a495285117ff8a52a1" ns2:_="" ns3:_="">
    <xsd:import namespace="ddee4349-d6c5-476b-a1c6-d791a1a12d6c"/>
    <xsd:import namespace="efa07f0a-2279-4397-9381-96c735bff43a"/>
    <xsd:element name="properties">
      <xsd:complexType>
        <xsd:sequence>
          <xsd:element name="documentManagement">
            <xsd:complexType>
              <xsd:all>
                <xsd:element ref="ns2:Feedback_x0020_type" minOccurs="0"/>
                <xsd:element ref="ns2:Allow_x0020_uploads" minOccurs="0"/>
                <xsd:element ref="ns2:Allow_x0020_comments" minOccurs="0"/>
                <xsd:element ref="ns2:Deadline" minOccurs="0"/>
                <xsd:element ref="ns2:Leading_x0020_document"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e4349-d6c5-476b-a1c6-d791a1a12d6c" elementFormDefault="qualified">
    <xsd:import namespace="http://schemas.microsoft.com/office/2006/documentManagement/types"/>
    <xsd:import namespace="http://schemas.microsoft.com/office/infopath/2007/PartnerControls"/>
    <xsd:element name="Feedback_x0020_type" ma:index="8" nillable="true" ma:displayName="Feedback type" ma:internalName="Feedback_x0020_type">
      <xsd:simpleType>
        <xsd:restriction base="dms:Text"/>
      </xsd:simpleType>
    </xsd:element>
    <xsd:element name="Allow_x0020_uploads" ma:index="9" nillable="true" ma:displayName="Allow uploads" ma:internalName="Allow_x0020_uploads">
      <xsd:simpleType>
        <xsd:restriction base="dms:Boolean"/>
      </xsd:simpleType>
    </xsd:element>
    <xsd:element name="Allow_x0020_comments" ma:index="10" nillable="true" ma:displayName="Allow comments" ma:internalName="Allow_x0020_comments">
      <xsd:simpleType>
        <xsd:restriction base="dms:Boolean"/>
      </xsd:simpleType>
    </xsd:element>
    <xsd:element name="Deadline" ma:index="11" nillable="true" ma:displayName="Deadline" ma:internalName="Deadline">
      <xsd:simpleType>
        <xsd:restriction base="dms:DateTime"/>
      </xsd:simpleType>
    </xsd:element>
    <xsd:element name="Leading_x0020_document" ma:index="12" nillable="true" ma:displayName="Leading document" ma:internalName="Leading_x0020_document">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a07f0a-2279-4397-9381-96c735bff4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E8AC2-BC04-484A-AE5F-6753D3DE5469}">
  <ds:schemaRefs>
    <ds:schemaRef ds:uri="http://schemas.microsoft.com/office/2006/metadata/properties"/>
    <ds:schemaRef ds:uri="http://schemas.microsoft.com/office/infopath/2007/PartnerControls"/>
    <ds:schemaRef ds:uri="ddee4349-d6c5-476b-a1c6-d791a1a12d6c"/>
  </ds:schemaRefs>
</ds:datastoreItem>
</file>

<file path=customXml/itemProps2.xml><?xml version="1.0" encoding="utf-8"?>
<ds:datastoreItem xmlns:ds="http://schemas.openxmlformats.org/officeDocument/2006/customXml" ds:itemID="{80D543F7-D990-4A6E-8CB8-19DE2D01605D}">
  <ds:schemaRefs>
    <ds:schemaRef ds:uri="http://schemas.microsoft.com/sharepoint/v3/contenttype/forms"/>
  </ds:schemaRefs>
</ds:datastoreItem>
</file>

<file path=customXml/itemProps3.xml><?xml version="1.0" encoding="utf-8"?>
<ds:datastoreItem xmlns:ds="http://schemas.openxmlformats.org/officeDocument/2006/customXml" ds:itemID="{94B11C07-183C-46F8-8BE7-41EE19E75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e4349-d6c5-476b-a1c6-d791a1a12d6c"/>
    <ds:schemaRef ds:uri="efa07f0a-2279-4397-9381-96c735bff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E09D75-F009-4B9E-BD47-BE2B6EEE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4376</Words>
  <Characters>24945</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Updated assessment of the legislative proposal for the SFDR review</vt:lpstr>
    </vt:vector>
  </TitlesOfParts>
  <Company>Insurance Europe</Company>
  <LinksUpToDate>false</LinksUpToDate>
  <CharactersWithSpaces>29263</CharactersWithSpaces>
  <SharedDoc>false</SharedDoc>
  <HLinks>
    <vt:vector size="24" baseType="variant">
      <vt:variant>
        <vt:i4>589838</vt:i4>
      </vt:variant>
      <vt:variant>
        <vt:i4>9</vt:i4>
      </vt:variant>
      <vt:variant>
        <vt:i4>0</vt:i4>
      </vt:variant>
      <vt:variant>
        <vt:i4>5</vt:i4>
      </vt:variant>
      <vt:variant>
        <vt:lpwstr>https://insuranceeurope.sharepoint.com/sites/extranet/Corporate Reporting  Investments  Sustainable Fina/2025%2FECO-CRISF-25-287.pdf</vt:lpwstr>
      </vt:variant>
      <vt:variant>
        <vt:lpwstr/>
      </vt:variant>
      <vt:variant>
        <vt:i4>786537</vt:i4>
      </vt:variant>
      <vt:variant>
        <vt:i4>6</vt:i4>
      </vt:variant>
      <vt:variant>
        <vt:i4>0</vt:i4>
      </vt:variant>
      <vt:variant>
        <vt:i4>5</vt:i4>
      </vt:variant>
      <vt:variant>
        <vt:lpwstr>https://ec.europa.eu/finance/docs/law/251120-impact-assessment-sfdr_en.pdf</vt:lpwstr>
      </vt:variant>
      <vt:variant>
        <vt:lpwstr/>
      </vt:variant>
      <vt:variant>
        <vt:i4>786501</vt:i4>
      </vt:variant>
      <vt:variant>
        <vt:i4>3</vt:i4>
      </vt:variant>
      <vt:variant>
        <vt:i4>0</vt:i4>
      </vt:variant>
      <vt:variant>
        <vt:i4>5</vt:i4>
      </vt:variant>
      <vt:variant>
        <vt:lpwstr>https://ec.europa.eu/commission/presscorner/detail/en/qanda_25_2737</vt:lpwstr>
      </vt:variant>
      <vt:variant>
        <vt:lpwstr/>
      </vt:variant>
      <vt:variant>
        <vt:i4>3342346</vt:i4>
      </vt:variant>
      <vt:variant>
        <vt:i4>0</vt:i4>
      </vt:variant>
      <vt:variant>
        <vt:i4>0</vt:i4>
      </vt:variant>
      <vt:variant>
        <vt:i4>5</vt:i4>
      </vt:variant>
      <vt:variant>
        <vt:lpwstr>https://finance.ec.europa.eu/publications/commission-simplifies-transparency-rules-sustainable-financial-products_en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assessment of the legislative proposal for the SFDR review</dc:title>
  <dc:subject/>
  <dc:creator>Insurance Europe</dc:creator>
  <cp:keywords/>
  <cp:lastModifiedBy>Jozef Bachnicek</cp:lastModifiedBy>
  <cp:revision>2</cp:revision>
  <dcterms:created xsi:type="dcterms:W3CDTF">2025-12-04T11:18:00Z</dcterms:created>
  <dcterms:modified xsi:type="dcterms:W3CDTF">2025-12-04T11:18:00Z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0x010100F10CA08016993649B987301C6C20DE93</vt:lpwstr>
  </property>
  <property fmtid="{D5CDD505-2E9C-101B-9397-08002B2CF9AE}" pid="3" name="_dlc_DocIdItemGuid">
    <vt:lpwstr>807015e5-4965-44a9-a54b-51b6e9b5700a</vt:lpwstr>
  </property>
  <property fmtid="{D5CDD505-2E9C-101B-9397-08002B2CF9AE}" pid="4" name="docLang">
    <vt:lpwstr>en</vt:lpwstr>
  </property>
</Properties>
</file>