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4FAD2" w14:textId="79D204CA" w:rsidR="00E06306" w:rsidRPr="005F5C38" w:rsidRDefault="00E06306" w:rsidP="00E07EA2">
      <w:pPr>
        <w:jc w:val="both"/>
        <w:rPr>
          <w:rFonts w:ascii="Source Sans Pro" w:hAnsi="Source Sans Pro"/>
          <w:b/>
          <w:bCs/>
          <w:color w:val="0070C0"/>
          <w:sz w:val="22"/>
          <w:lang w:val="en-GB"/>
        </w:rPr>
      </w:pPr>
      <w:bookmarkStart w:id="0" w:name="_GoBack"/>
      <w:bookmarkEnd w:id="0"/>
      <w:r w:rsidRPr="005F5C38">
        <w:rPr>
          <w:rFonts w:ascii="Source Sans Pro" w:hAnsi="Source Sans Pro"/>
          <w:b/>
          <w:bCs/>
          <w:color w:val="0070C0"/>
          <w:sz w:val="22"/>
          <w:lang w:val="en-GB"/>
        </w:rPr>
        <w:t xml:space="preserve">To </w:t>
      </w:r>
      <w:r w:rsidR="000700CE">
        <w:rPr>
          <w:rFonts w:ascii="Source Sans Pro" w:hAnsi="Source Sans Pro"/>
          <w:b/>
          <w:bCs/>
          <w:color w:val="0070C0"/>
          <w:sz w:val="22"/>
          <w:lang w:val="en-GB"/>
        </w:rPr>
        <w:t>XXX</w:t>
      </w:r>
      <w:r w:rsidR="000700CE" w:rsidRPr="005F5C38">
        <w:rPr>
          <w:rFonts w:ascii="Source Sans Pro" w:hAnsi="Source Sans Pro"/>
          <w:b/>
          <w:bCs/>
          <w:color w:val="0070C0"/>
          <w:sz w:val="22"/>
          <w:lang w:val="en-GB"/>
        </w:rPr>
        <w:t xml:space="preserve"> </w:t>
      </w:r>
    </w:p>
    <w:p w14:paraId="1BBEAD69" w14:textId="07156FD7" w:rsidR="000B5796" w:rsidRPr="000B5796" w:rsidRDefault="000B5796" w:rsidP="005F5C38">
      <w:pPr>
        <w:jc w:val="right"/>
        <w:rPr>
          <w:rFonts w:ascii="Source Sans Pro" w:hAnsi="Source Sans Pro"/>
          <w:b/>
          <w:bCs/>
          <w:color w:val="0070C0"/>
          <w:sz w:val="22"/>
          <w:lang w:val="en-GB"/>
        </w:rPr>
      </w:pPr>
      <w:r w:rsidRPr="000B5796">
        <w:rPr>
          <w:rFonts w:ascii="Source Sans Pro" w:hAnsi="Source Sans Pro"/>
          <w:b/>
          <w:bCs/>
          <w:color w:val="0070C0"/>
          <w:sz w:val="22"/>
          <w:lang w:val="en-GB"/>
        </w:rPr>
        <w:t>April xx</w:t>
      </w:r>
    </w:p>
    <w:p w14:paraId="4D50CE13" w14:textId="5F11E3F6" w:rsidR="000B5796" w:rsidRPr="005F5C38" w:rsidRDefault="00446650" w:rsidP="00E07EA2">
      <w:pPr>
        <w:jc w:val="both"/>
        <w:rPr>
          <w:rFonts w:ascii="Source Sans Pro" w:hAnsi="Source Sans Pro"/>
          <w:sz w:val="22"/>
          <w:lang w:val="en-GB"/>
        </w:rPr>
      </w:pPr>
      <w:r>
        <w:rPr>
          <w:rFonts w:ascii="Source Sans Pro" w:hAnsi="Source Sans Pro"/>
          <w:sz w:val="22"/>
          <w:lang w:val="en-GB"/>
        </w:rPr>
        <w:t xml:space="preserve">Insurance </w:t>
      </w:r>
      <w:r w:rsidR="009D7874">
        <w:rPr>
          <w:rFonts w:ascii="Source Sans Pro" w:hAnsi="Source Sans Pro"/>
          <w:sz w:val="22"/>
          <w:lang w:val="en-GB"/>
        </w:rPr>
        <w:t>i</w:t>
      </w:r>
      <w:r>
        <w:rPr>
          <w:rFonts w:ascii="Source Sans Pro" w:hAnsi="Source Sans Pro"/>
          <w:sz w:val="22"/>
          <w:lang w:val="en-GB"/>
        </w:rPr>
        <w:t xml:space="preserve">ndustry </w:t>
      </w:r>
      <w:r w:rsidR="000B5796" w:rsidRPr="005F5C38">
        <w:rPr>
          <w:rFonts w:ascii="Source Sans Pro" w:hAnsi="Source Sans Pro"/>
          <w:sz w:val="22"/>
          <w:lang w:val="en-GB"/>
        </w:rPr>
        <w:t xml:space="preserve">views on </w:t>
      </w:r>
      <w:r w:rsidR="009D7874">
        <w:rPr>
          <w:rFonts w:ascii="Source Sans Pro" w:hAnsi="Source Sans Pro"/>
          <w:sz w:val="22"/>
          <w:lang w:val="en-GB"/>
        </w:rPr>
        <w:t xml:space="preserve">a </w:t>
      </w:r>
      <w:r>
        <w:rPr>
          <w:rFonts w:ascii="Source Sans Pro" w:hAnsi="Source Sans Pro"/>
          <w:sz w:val="22"/>
          <w:lang w:val="en-GB"/>
        </w:rPr>
        <w:t xml:space="preserve">generalised </w:t>
      </w:r>
      <w:r w:rsidR="009D7874">
        <w:rPr>
          <w:rFonts w:ascii="Source Sans Pro" w:hAnsi="Source Sans Pro"/>
          <w:sz w:val="22"/>
          <w:lang w:val="en-GB"/>
        </w:rPr>
        <w:t xml:space="preserve">EU </w:t>
      </w:r>
      <w:r>
        <w:rPr>
          <w:rFonts w:ascii="Source Sans Pro" w:hAnsi="Source Sans Pro"/>
          <w:sz w:val="22"/>
          <w:lang w:val="en-GB"/>
        </w:rPr>
        <w:t>ban on dividends</w:t>
      </w:r>
    </w:p>
    <w:p w14:paraId="27BA50A4" w14:textId="282C40DD" w:rsidR="00A30A15" w:rsidRPr="000B5796" w:rsidRDefault="00B17CE8" w:rsidP="007178BB">
      <w:pPr>
        <w:jc w:val="both"/>
        <w:rPr>
          <w:rFonts w:ascii="Source Sans Pro" w:hAnsi="Source Sans Pro"/>
          <w:b/>
          <w:bCs/>
          <w:color w:val="0070C0"/>
          <w:sz w:val="22"/>
          <w:lang w:val="en-GB"/>
        </w:rPr>
      </w:pPr>
      <w:r w:rsidRPr="005F5C38">
        <w:rPr>
          <w:rFonts w:ascii="Source Sans Pro" w:hAnsi="Source Sans Pro"/>
          <w:b/>
          <w:bCs/>
          <w:color w:val="0070C0"/>
          <w:sz w:val="22"/>
          <w:lang w:val="en-GB"/>
        </w:rPr>
        <w:t>Dear Sir/Madam</w:t>
      </w:r>
    </w:p>
    <w:p w14:paraId="2B58CEEE" w14:textId="3A035DAE" w:rsidR="00D91984" w:rsidRPr="000B5796" w:rsidRDefault="00FA3818" w:rsidP="007178BB">
      <w:pPr>
        <w:pStyle w:val="Normlnywebov"/>
        <w:spacing w:before="0" w:beforeAutospacing="0" w:after="0" w:afterAutospacing="0" w:line="288" w:lineRule="auto"/>
        <w:jc w:val="both"/>
        <w:rPr>
          <w:rFonts w:ascii="Source Sans Pro" w:hAnsi="Source Sans Pro"/>
        </w:rPr>
      </w:pPr>
      <w:r w:rsidRPr="000B5796">
        <w:rPr>
          <w:rFonts w:ascii="Source Sans Pro" w:hAnsi="Source Sans Pro"/>
        </w:rPr>
        <w:t>In response to the COVID-19 pandemic, t</w:t>
      </w:r>
      <w:r w:rsidR="00BF1CF6" w:rsidRPr="000B5796">
        <w:rPr>
          <w:rFonts w:ascii="Source Sans Pro" w:hAnsi="Source Sans Pro"/>
        </w:rPr>
        <w:t xml:space="preserve">he European Commission and governments across Europe are taking action to protect citizens and support the economy. </w:t>
      </w:r>
      <w:r w:rsidR="00A333FD">
        <w:rPr>
          <w:rFonts w:ascii="Source Sans Pro" w:hAnsi="Source Sans Pro"/>
        </w:rPr>
        <w:t>I</w:t>
      </w:r>
      <w:r w:rsidR="00A333FD" w:rsidRPr="000B5796">
        <w:rPr>
          <w:rFonts w:ascii="Source Sans Pro" w:hAnsi="Source Sans Pro"/>
        </w:rPr>
        <w:t>n these difficult times</w:t>
      </w:r>
      <w:r w:rsidR="00A333FD">
        <w:rPr>
          <w:rFonts w:ascii="Source Sans Pro" w:hAnsi="Source Sans Pro"/>
        </w:rPr>
        <w:t>,</w:t>
      </w:r>
      <w:r w:rsidR="00A333FD" w:rsidRPr="000B5796">
        <w:rPr>
          <w:rFonts w:ascii="Source Sans Pro" w:hAnsi="Source Sans Pro"/>
        </w:rPr>
        <w:t xml:space="preserve"> </w:t>
      </w:r>
      <w:r w:rsidR="00A333FD">
        <w:rPr>
          <w:rFonts w:ascii="Source Sans Pro" w:hAnsi="Source Sans Pro"/>
        </w:rPr>
        <w:t>i</w:t>
      </w:r>
      <w:r w:rsidR="00A333FD" w:rsidRPr="000B5796">
        <w:rPr>
          <w:rFonts w:ascii="Source Sans Pro" w:hAnsi="Source Sans Pro"/>
        </w:rPr>
        <w:t xml:space="preserve">nsurers </w:t>
      </w:r>
      <w:r w:rsidR="00A333FD">
        <w:rPr>
          <w:rFonts w:ascii="Source Sans Pro" w:hAnsi="Source Sans Pro"/>
        </w:rPr>
        <w:t>have also taken significant</w:t>
      </w:r>
      <w:r w:rsidR="0030319B">
        <w:rPr>
          <w:rFonts w:ascii="Source Sans Pro" w:hAnsi="Source Sans Pro"/>
        </w:rPr>
        <w:t xml:space="preserve"> measures and initiatives</w:t>
      </w:r>
      <w:r w:rsidR="00A333FD">
        <w:rPr>
          <w:rFonts w:ascii="Source Sans Pro" w:hAnsi="Source Sans Pro"/>
        </w:rPr>
        <w:t xml:space="preserve"> </w:t>
      </w:r>
      <w:r w:rsidR="00D95B6E" w:rsidRPr="000B5796">
        <w:rPr>
          <w:rFonts w:ascii="Source Sans Pro" w:hAnsi="Source Sans Pro"/>
        </w:rPr>
        <w:t>to continue to serve their customers</w:t>
      </w:r>
      <w:r w:rsidR="00190E39" w:rsidRPr="000B5796">
        <w:rPr>
          <w:rFonts w:ascii="Source Sans Pro" w:hAnsi="Source Sans Pro"/>
        </w:rPr>
        <w:t xml:space="preserve"> and</w:t>
      </w:r>
      <w:r w:rsidR="00147ADD" w:rsidRPr="000B5796">
        <w:rPr>
          <w:rFonts w:ascii="Source Sans Pro" w:hAnsi="Source Sans Pro"/>
        </w:rPr>
        <w:t xml:space="preserve"> </w:t>
      </w:r>
      <w:r w:rsidR="00896877" w:rsidRPr="000B5796">
        <w:rPr>
          <w:rFonts w:ascii="Source Sans Pro" w:hAnsi="Source Sans Pro"/>
        </w:rPr>
        <w:t xml:space="preserve">to </w:t>
      </w:r>
      <w:r w:rsidR="00147ADD" w:rsidRPr="000B5796">
        <w:rPr>
          <w:rFonts w:ascii="Source Sans Pro" w:hAnsi="Source Sans Pro"/>
        </w:rPr>
        <w:t>support businesses and the economy</w:t>
      </w:r>
      <w:r w:rsidR="00D95B6E" w:rsidRPr="000B5796">
        <w:rPr>
          <w:rFonts w:ascii="Source Sans Pro" w:hAnsi="Source Sans Pro"/>
        </w:rPr>
        <w:t xml:space="preserve">.  </w:t>
      </w:r>
    </w:p>
    <w:p w14:paraId="755D447A" w14:textId="77777777" w:rsidR="00D91984" w:rsidRPr="000B5796" w:rsidRDefault="00D91984" w:rsidP="007178BB">
      <w:pPr>
        <w:pStyle w:val="Normlnywebov"/>
        <w:spacing w:before="0" w:beforeAutospacing="0" w:after="0" w:afterAutospacing="0" w:line="288" w:lineRule="auto"/>
        <w:jc w:val="both"/>
        <w:rPr>
          <w:rFonts w:ascii="Source Sans Pro" w:hAnsi="Source Sans Pro"/>
        </w:rPr>
      </w:pPr>
    </w:p>
    <w:p w14:paraId="7904E23C" w14:textId="028A3B57" w:rsidR="00273FDE" w:rsidRPr="000B5796" w:rsidRDefault="00596D1D" w:rsidP="007178BB">
      <w:pPr>
        <w:pStyle w:val="Normlnywebov"/>
        <w:spacing w:before="0" w:beforeAutospacing="0" w:after="0" w:afterAutospacing="0" w:line="288" w:lineRule="auto"/>
        <w:jc w:val="both"/>
        <w:rPr>
          <w:rFonts w:ascii="Source Sans Pro" w:hAnsi="Source Sans Pro"/>
        </w:rPr>
      </w:pPr>
      <w:r w:rsidRPr="000B5796">
        <w:rPr>
          <w:rFonts w:ascii="Source Sans Pro" w:hAnsi="Source Sans Pro"/>
        </w:rPr>
        <w:t xml:space="preserve">The European insurance industry therefore </w:t>
      </w:r>
      <w:r w:rsidR="00450FF1" w:rsidRPr="000B5796">
        <w:rPr>
          <w:rFonts w:ascii="Source Sans Pro" w:hAnsi="Source Sans Pro"/>
        </w:rPr>
        <w:t xml:space="preserve">appreciated EIOPA’s 17 March </w:t>
      </w:r>
      <w:r w:rsidR="002657E9" w:rsidRPr="000B5796">
        <w:rPr>
          <w:rFonts w:ascii="Source Sans Pro" w:hAnsi="Source Sans Pro"/>
        </w:rPr>
        <w:t xml:space="preserve">and 1 April </w:t>
      </w:r>
      <w:r w:rsidR="00450FF1" w:rsidRPr="000B5796">
        <w:rPr>
          <w:rFonts w:ascii="Source Sans Pro" w:hAnsi="Source Sans Pro"/>
        </w:rPr>
        <w:t>statement</w:t>
      </w:r>
      <w:r w:rsidR="002657E9" w:rsidRPr="000B5796">
        <w:rPr>
          <w:rFonts w:ascii="Source Sans Pro" w:hAnsi="Source Sans Pro"/>
        </w:rPr>
        <w:t>s</w:t>
      </w:r>
      <w:r w:rsidR="00450FF1" w:rsidRPr="000B5796">
        <w:rPr>
          <w:rFonts w:ascii="Source Sans Pro" w:hAnsi="Source Sans Pro"/>
        </w:rPr>
        <w:t xml:space="preserve"> </w:t>
      </w:r>
      <w:r w:rsidR="002657E9" w:rsidRPr="000B5796">
        <w:rPr>
          <w:rFonts w:ascii="Source Sans Pro" w:hAnsi="Source Sans Pro"/>
        </w:rPr>
        <w:t xml:space="preserve">underlining the </w:t>
      </w:r>
      <w:r w:rsidR="00897632" w:rsidRPr="000B5796">
        <w:rPr>
          <w:rFonts w:ascii="Source Sans Pro" w:hAnsi="Source Sans Pro"/>
        </w:rPr>
        <w:t>strong solvency position of the</w:t>
      </w:r>
      <w:r w:rsidR="002657E9" w:rsidRPr="000B5796">
        <w:rPr>
          <w:rFonts w:ascii="Source Sans Pro" w:hAnsi="Source Sans Pro"/>
        </w:rPr>
        <w:t xml:space="preserve"> industry </w:t>
      </w:r>
      <w:r w:rsidR="00897632" w:rsidRPr="000B5796">
        <w:rPr>
          <w:rFonts w:ascii="Source Sans Pro" w:hAnsi="Source Sans Pro"/>
        </w:rPr>
        <w:t>and</w:t>
      </w:r>
      <w:r w:rsidR="002D573A" w:rsidRPr="000B5796">
        <w:rPr>
          <w:rFonts w:ascii="Source Sans Pro" w:hAnsi="Source Sans Pro"/>
        </w:rPr>
        <w:t xml:space="preserve"> </w:t>
      </w:r>
      <w:r w:rsidR="001B41AE" w:rsidRPr="000B5796">
        <w:rPr>
          <w:rFonts w:ascii="Source Sans Pro" w:hAnsi="Source Sans Pro"/>
        </w:rPr>
        <w:t>acknowledg</w:t>
      </w:r>
      <w:r w:rsidR="00897632" w:rsidRPr="000B5796">
        <w:rPr>
          <w:rFonts w:ascii="Source Sans Pro" w:hAnsi="Source Sans Pro"/>
        </w:rPr>
        <w:t>ing</w:t>
      </w:r>
      <w:r w:rsidR="001B41AE" w:rsidRPr="000B5796">
        <w:rPr>
          <w:rFonts w:ascii="Source Sans Pro" w:hAnsi="Source Sans Pro"/>
        </w:rPr>
        <w:t xml:space="preserve"> the various steps </w:t>
      </w:r>
      <w:r w:rsidR="00224861" w:rsidRPr="000B5796">
        <w:rPr>
          <w:rFonts w:ascii="Source Sans Pro" w:hAnsi="Source Sans Pro"/>
        </w:rPr>
        <w:t xml:space="preserve">insurers have </w:t>
      </w:r>
      <w:r w:rsidR="00450FF1" w:rsidRPr="000B5796">
        <w:rPr>
          <w:rFonts w:ascii="Source Sans Pro" w:hAnsi="Source Sans Pro"/>
        </w:rPr>
        <w:t xml:space="preserve">been </w:t>
      </w:r>
      <w:r w:rsidR="00224861" w:rsidRPr="000B5796">
        <w:rPr>
          <w:rFonts w:ascii="Source Sans Pro" w:hAnsi="Source Sans Pro"/>
        </w:rPr>
        <w:t>tak</w:t>
      </w:r>
      <w:r w:rsidR="00450FF1" w:rsidRPr="000B5796">
        <w:rPr>
          <w:rFonts w:ascii="Source Sans Pro" w:hAnsi="Source Sans Pro"/>
        </w:rPr>
        <w:t>ing</w:t>
      </w:r>
      <w:r w:rsidR="00224861" w:rsidRPr="000B5796">
        <w:rPr>
          <w:rFonts w:ascii="Source Sans Pro" w:hAnsi="Source Sans Pro"/>
        </w:rPr>
        <w:t xml:space="preserve"> to </w:t>
      </w:r>
      <w:r w:rsidR="006C7B3B" w:rsidRPr="000B5796">
        <w:rPr>
          <w:rFonts w:ascii="Source Sans Pro" w:hAnsi="Source Sans Pro"/>
        </w:rPr>
        <w:t>show flexibility to their</w:t>
      </w:r>
      <w:r w:rsidR="00224861" w:rsidRPr="000B5796">
        <w:rPr>
          <w:rFonts w:ascii="Source Sans Pro" w:hAnsi="Source Sans Pro"/>
        </w:rPr>
        <w:t xml:space="preserve"> customers</w:t>
      </w:r>
      <w:r w:rsidR="00273FDE" w:rsidRPr="000B5796">
        <w:rPr>
          <w:rFonts w:ascii="Source Sans Pro" w:hAnsi="Source Sans Pro"/>
        </w:rPr>
        <w:t xml:space="preserve">. </w:t>
      </w:r>
      <w:r w:rsidR="00273FDE" w:rsidRPr="003E7D8F">
        <w:rPr>
          <w:rFonts w:ascii="Source Sans Pro" w:hAnsi="Source Sans Pro"/>
        </w:rPr>
        <w:t>We also welcomed EIOPA’s</w:t>
      </w:r>
      <w:r w:rsidR="00FA056A" w:rsidRPr="003E7D8F">
        <w:rPr>
          <w:rFonts w:ascii="Source Sans Pro" w:hAnsi="Source Sans Pro"/>
        </w:rPr>
        <w:t xml:space="preserve"> highlighting </w:t>
      </w:r>
      <w:r w:rsidR="00273FDE" w:rsidRPr="00CE372E">
        <w:rPr>
          <w:rFonts w:ascii="Source Sans Pro" w:hAnsi="Source Sans Pro"/>
        </w:rPr>
        <w:t xml:space="preserve">of </w:t>
      </w:r>
      <w:r w:rsidR="00FA056A" w:rsidRPr="001C4F43">
        <w:rPr>
          <w:rFonts w:ascii="Source Sans Pro" w:hAnsi="Source Sans Pro"/>
        </w:rPr>
        <w:t xml:space="preserve">the threat that would be posed to the industry and policyholders </w:t>
      </w:r>
      <w:r w:rsidR="00A333FD" w:rsidRPr="001C4F43">
        <w:rPr>
          <w:rFonts w:ascii="Source Sans Pro" w:hAnsi="Source Sans Pro"/>
        </w:rPr>
        <w:t xml:space="preserve">should </w:t>
      </w:r>
      <w:r w:rsidR="00FA056A" w:rsidRPr="00A04891">
        <w:rPr>
          <w:rFonts w:ascii="Source Sans Pro" w:hAnsi="Source Sans Pro"/>
        </w:rPr>
        <w:t xml:space="preserve">retroactive coverage of </w:t>
      </w:r>
      <w:r w:rsidR="00365101" w:rsidRPr="00A04891">
        <w:rPr>
          <w:rFonts w:ascii="Source Sans Pro" w:hAnsi="Source Sans Pro"/>
        </w:rPr>
        <w:t xml:space="preserve">uninsured </w:t>
      </w:r>
      <w:r w:rsidR="00FA056A" w:rsidRPr="00A04891">
        <w:rPr>
          <w:rFonts w:ascii="Source Sans Pro" w:hAnsi="Source Sans Pro"/>
        </w:rPr>
        <w:t xml:space="preserve">claims </w:t>
      </w:r>
      <w:r w:rsidR="00365101" w:rsidRPr="00A04891">
        <w:rPr>
          <w:rFonts w:ascii="Source Sans Pro" w:hAnsi="Source Sans Pro"/>
        </w:rPr>
        <w:t xml:space="preserve">be </w:t>
      </w:r>
      <w:r w:rsidR="00273FDE" w:rsidRPr="00A04891">
        <w:rPr>
          <w:rFonts w:ascii="Source Sans Pro" w:hAnsi="Source Sans Pro"/>
        </w:rPr>
        <w:t>imposed</w:t>
      </w:r>
      <w:r w:rsidR="00365101" w:rsidRPr="00A04891">
        <w:rPr>
          <w:rFonts w:ascii="Source Sans Pro" w:hAnsi="Source Sans Pro"/>
        </w:rPr>
        <w:t xml:space="preserve"> on the industry</w:t>
      </w:r>
      <w:r w:rsidR="00224861" w:rsidRPr="00A04891">
        <w:rPr>
          <w:rFonts w:ascii="Source Sans Pro" w:hAnsi="Source Sans Pro"/>
        </w:rPr>
        <w:t>.</w:t>
      </w:r>
      <w:r w:rsidRPr="000B5796">
        <w:rPr>
          <w:rFonts w:ascii="Source Sans Pro" w:hAnsi="Source Sans Pro"/>
        </w:rPr>
        <w:t xml:space="preserve"> </w:t>
      </w:r>
    </w:p>
    <w:p w14:paraId="58732AC5" w14:textId="77777777" w:rsidR="00273FDE" w:rsidRPr="000B5796" w:rsidRDefault="00273FDE" w:rsidP="007178BB">
      <w:pPr>
        <w:pStyle w:val="Normlnywebov"/>
        <w:spacing w:before="0" w:beforeAutospacing="0" w:after="0" w:afterAutospacing="0" w:line="288" w:lineRule="auto"/>
        <w:jc w:val="both"/>
        <w:rPr>
          <w:rFonts w:ascii="Source Sans Pro" w:hAnsi="Source Sans Pro"/>
        </w:rPr>
      </w:pPr>
    </w:p>
    <w:p w14:paraId="59BF391F" w14:textId="7F7B56D3" w:rsidR="00210D36" w:rsidRPr="000B5796" w:rsidRDefault="00D43941" w:rsidP="007178BB">
      <w:pPr>
        <w:pStyle w:val="Normlnywebov"/>
        <w:spacing w:before="0" w:beforeAutospacing="0" w:after="0" w:afterAutospacing="0" w:line="288" w:lineRule="auto"/>
        <w:jc w:val="both"/>
        <w:rPr>
          <w:rFonts w:ascii="Source Sans Pro" w:hAnsi="Source Sans Pro"/>
        </w:rPr>
      </w:pPr>
      <w:bookmarkStart w:id="1" w:name="_Hlk37235356"/>
      <w:r w:rsidRPr="000B5796">
        <w:rPr>
          <w:rFonts w:ascii="Source Sans Pro" w:hAnsi="Source Sans Pro"/>
        </w:rPr>
        <w:t xml:space="preserve">While all efforts to coordinate </w:t>
      </w:r>
      <w:r w:rsidR="00D34168">
        <w:rPr>
          <w:rFonts w:ascii="Source Sans Pro" w:hAnsi="Source Sans Pro"/>
        </w:rPr>
        <w:t>m</w:t>
      </w:r>
      <w:r w:rsidRPr="000B5796">
        <w:rPr>
          <w:rFonts w:ascii="Source Sans Pro" w:hAnsi="Source Sans Pro"/>
        </w:rPr>
        <w:t xml:space="preserve">ember </w:t>
      </w:r>
      <w:r w:rsidR="00D34168">
        <w:rPr>
          <w:rFonts w:ascii="Source Sans Pro" w:hAnsi="Source Sans Pro"/>
        </w:rPr>
        <w:t>s</w:t>
      </w:r>
      <w:r w:rsidRPr="000B5796">
        <w:rPr>
          <w:rFonts w:ascii="Source Sans Pro" w:hAnsi="Source Sans Pro"/>
        </w:rPr>
        <w:t xml:space="preserve">tates’ responses are highly appreciated, </w:t>
      </w:r>
      <w:r w:rsidR="0030319B" w:rsidRPr="000B5796">
        <w:rPr>
          <w:rFonts w:ascii="Source Sans Pro" w:hAnsi="Source Sans Pro"/>
        </w:rPr>
        <w:t xml:space="preserve">EIOPA’s </w:t>
      </w:r>
      <w:r w:rsidR="00D34168">
        <w:rPr>
          <w:rFonts w:ascii="Source Sans Pro" w:hAnsi="Source Sans Pro"/>
        </w:rPr>
        <w:t xml:space="preserve">2 </w:t>
      </w:r>
      <w:r w:rsidR="0030319B" w:rsidRPr="000B5796">
        <w:rPr>
          <w:rFonts w:ascii="Source Sans Pro" w:hAnsi="Source Sans Pro"/>
        </w:rPr>
        <w:t>April</w:t>
      </w:r>
      <w:r w:rsidR="0030319B">
        <w:rPr>
          <w:rFonts w:ascii="Source Sans Pro" w:hAnsi="Source Sans Pro"/>
        </w:rPr>
        <w:t xml:space="preserve"> </w:t>
      </w:r>
      <w:r w:rsidR="0030319B" w:rsidRPr="000B5796">
        <w:rPr>
          <w:rFonts w:ascii="Source Sans Pro" w:hAnsi="Source Sans Pro"/>
        </w:rPr>
        <w:t xml:space="preserve">statement </w:t>
      </w:r>
      <w:r w:rsidR="00AB1EF0">
        <w:rPr>
          <w:rFonts w:ascii="Source Sans Pro" w:hAnsi="Source Sans Pro"/>
        </w:rPr>
        <w:t>calling</w:t>
      </w:r>
      <w:r w:rsidR="0030319B" w:rsidRPr="000B5796">
        <w:rPr>
          <w:rFonts w:ascii="Source Sans Pro" w:hAnsi="Source Sans Pro"/>
        </w:rPr>
        <w:t xml:space="preserve"> </w:t>
      </w:r>
      <w:r w:rsidR="0030319B">
        <w:rPr>
          <w:rFonts w:ascii="Source Sans Pro" w:hAnsi="Source Sans Pro"/>
        </w:rPr>
        <w:t>for</w:t>
      </w:r>
      <w:r w:rsidR="0030319B" w:rsidRPr="000B5796">
        <w:rPr>
          <w:rFonts w:ascii="Source Sans Pro" w:hAnsi="Source Sans Pro"/>
        </w:rPr>
        <w:t xml:space="preserve"> </w:t>
      </w:r>
      <w:r w:rsidR="00D34168">
        <w:rPr>
          <w:rFonts w:ascii="Source Sans Pro" w:hAnsi="Source Sans Pro"/>
        </w:rPr>
        <w:t xml:space="preserve">the </w:t>
      </w:r>
      <w:r w:rsidR="0030319B">
        <w:rPr>
          <w:rFonts w:ascii="Source Sans Pro" w:hAnsi="Source Sans Pro"/>
        </w:rPr>
        <w:t>suspen</w:t>
      </w:r>
      <w:r w:rsidR="00D34168">
        <w:rPr>
          <w:rFonts w:ascii="Source Sans Pro" w:hAnsi="Source Sans Pro"/>
        </w:rPr>
        <w:t>sion of</w:t>
      </w:r>
      <w:r w:rsidR="0030319B">
        <w:rPr>
          <w:rFonts w:ascii="Source Sans Pro" w:hAnsi="Source Sans Pro"/>
        </w:rPr>
        <w:t xml:space="preserve"> </w:t>
      </w:r>
      <w:r w:rsidR="0030319B" w:rsidRPr="000B5796">
        <w:rPr>
          <w:rFonts w:ascii="Source Sans Pro" w:hAnsi="Source Sans Pro"/>
        </w:rPr>
        <w:t xml:space="preserve">dividend distribution </w:t>
      </w:r>
      <w:r w:rsidR="0030319B">
        <w:rPr>
          <w:rFonts w:ascii="Source Sans Pro" w:hAnsi="Source Sans Pro"/>
        </w:rPr>
        <w:t xml:space="preserve">to shareholders, </w:t>
      </w:r>
      <w:r w:rsidR="0030319B" w:rsidRPr="000B5796">
        <w:rPr>
          <w:rFonts w:ascii="Source Sans Pro" w:hAnsi="Source Sans Pro"/>
        </w:rPr>
        <w:t>regardless of the solvency and liquidity positions of individual companies</w:t>
      </w:r>
      <w:r w:rsidR="0030319B">
        <w:rPr>
          <w:rFonts w:ascii="Source Sans Pro" w:hAnsi="Source Sans Pro"/>
        </w:rPr>
        <w:t>,</w:t>
      </w:r>
      <w:r w:rsidR="0030319B" w:rsidRPr="000B5796">
        <w:rPr>
          <w:rFonts w:ascii="Source Sans Pro" w:hAnsi="Source Sans Pro"/>
        </w:rPr>
        <w:t xml:space="preserve"> raises </w:t>
      </w:r>
      <w:r w:rsidR="0030319B">
        <w:rPr>
          <w:rFonts w:ascii="Source Sans Pro" w:hAnsi="Source Sans Pro"/>
        </w:rPr>
        <w:t>significant concerns. We believe this statement</w:t>
      </w:r>
      <w:r w:rsidRPr="000B5796">
        <w:rPr>
          <w:rFonts w:ascii="Source Sans Pro" w:hAnsi="Source Sans Pro"/>
        </w:rPr>
        <w:t xml:space="preserve"> is introduc</w:t>
      </w:r>
      <w:r w:rsidR="00401BA0">
        <w:rPr>
          <w:rFonts w:ascii="Source Sans Pro" w:hAnsi="Source Sans Pro"/>
        </w:rPr>
        <w:t>ing</w:t>
      </w:r>
      <w:r w:rsidRPr="000B5796">
        <w:rPr>
          <w:rFonts w:ascii="Source Sans Pro" w:hAnsi="Source Sans Pro"/>
        </w:rPr>
        <w:t xml:space="preserve"> a </w:t>
      </w:r>
      <w:r w:rsidR="00D34168">
        <w:rPr>
          <w:rFonts w:ascii="Source Sans Pro" w:hAnsi="Source Sans Pro"/>
        </w:rPr>
        <w:t>great deal of</w:t>
      </w:r>
      <w:r w:rsidRPr="000B5796">
        <w:rPr>
          <w:rFonts w:ascii="Source Sans Pro" w:hAnsi="Source Sans Pro"/>
        </w:rPr>
        <w:t xml:space="preserve"> confusion </w:t>
      </w:r>
      <w:r w:rsidR="0030319B">
        <w:rPr>
          <w:rFonts w:ascii="Source Sans Pro" w:hAnsi="Source Sans Pro"/>
        </w:rPr>
        <w:t>among</w:t>
      </w:r>
      <w:r w:rsidRPr="000B5796">
        <w:rPr>
          <w:rFonts w:ascii="Source Sans Pro" w:hAnsi="Source Sans Pro"/>
        </w:rPr>
        <w:t xml:space="preserve"> market</w:t>
      </w:r>
      <w:r w:rsidR="0030319B">
        <w:rPr>
          <w:rFonts w:ascii="Source Sans Pro" w:hAnsi="Source Sans Pro"/>
        </w:rPr>
        <w:t xml:space="preserve"> </w:t>
      </w:r>
      <w:r w:rsidR="001601CF">
        <w:rPr>
          <w:rFonts w:ascii="Source Sans Pro" w:hAnsi="Source Sans Pro"/>
        </w:rPr>
        <w:t>players</w:t>
      </w:r>
      <w:r w:rsidRPr="000B5796">
        <w:rPr>
          <w:rFonts w:ascii="Source Sans Pro" w:hAnsi="Source Sans Pro"/>
        </w:rPr>
        <w:t xml:space="preserve">. </w:t>
      </w:r>
      <w:r w:rsidR="001601CF">
        <w:rPr>
          <w:rFonts w:ascii="Source Sans Pro" w:hAnsi="Source Sans Pro"/>
        </w:rPr>
        <w:t xml:space="preserve">In our view, </w:t>
      </w:r>
      <w:r w:rsidR="00FF36C0">
        <w:rPr>
          <w:rFonts w:ascii="Source Sans Pro" w:hAnsi="Source Sans Pro"/>
        </w:rPr>
        <w:t>following</w:t>
      </w:r>
      <w:r w:rsidR="0030319B">
        <w:rPr>
          <w:rFonts w:ascii="Source Sans Pro" w:hAnsi="Source Sans Pro"/>
        </w:rPr>
        <w:t xml:space="preserve"> the</w:t>
      </w:r>
      <w:r w:rsidRPr="000B5796">
        <w:rPr>
          <w:rFonts w:ascii="Source Sans Pro" w:hAnsi="Source Sans Pro"/>
        </w:rPr>
        <w:t xml:space="preserve"> Solvency </w:t>
      </w:r>
      <w:r w:rsidR="00FF36C0">
        <w:rPr>
          <w:rFonts w:ascii="Source Sans Pro" w:hAnsi="Source Sans Pro"/>
        </w:rPr>
        <w:t>II</w:t>
      </w:r>
      <w:r w:rsidRPr="000B5796">
        <w:rPr>
          <w:rFonts w:ascii="Source Sans Pro" w:hAnsi="Source Sans Pro"/>
        </w:rPr>
        <w:t xml:space="preserve"> rules means </w:t>
      </w:r>
      <w:r w:rsidR="00AB1EF0">
        <w:rPr>
          <w:rFonts w:ascii="Source Sans Pro" w:hAnsi="Source Sans Pro"/>
        </w:rPr>
        <w:t xml:space="preserve">national authorities </w:t>
      </w:r>
      <w:r w:rsidR="0030319B">
        <w:rPr>
          <w:rFonts w:ascii="Source Sans Pro" w:hAnsi="Source Sans Pro"/>
        </w:rPr>
        <w:t>acknowledg</w:t>
      </w:r>
      <w:r w:rsidR="00FF36C0">
        <w:rPr>
          <w:rFonts w:ascii="Source Sans Pro" w:hAnsi="Source Sans Pro"/>
        </w:rPr>
        <w:t>ing</w:t>
      </w:r>
      <w:r w:rsidR="0030319B">
        <w:rPr>
          <w:rFonts w:ascii="Source Sans Pro" w:hAnsi="Source Sans Pro"/>
        </w:rPr>
        <w:t xml:space="preserve"> </w:t>
      </w:r>
      <w:r w:rsidRPr="000B5796">
        <w:rPr>
          <w:rFonts w:ascii="Source Sans Pro" w:hAnsi="Source Sans Pro"/>
        </w:rPr>
        <w:t xml:space="preserve">financial strength </w:t>
      </w:r>
      <w:r w:rsidR="0030319B">
        <w:rPr>
          <w:rFonts w:ascii="Source Sans Pro" w:hAnsi="Source Sans Pro"/>
        </w:rPr>
        <w:t>o</w:t>
      </w:r>
      <w:r w:rsidR="00401BA0">
        <w:rPr>
          <w:rFonts w:ascii="Source Sans Pro" w:hAnsi="Source Sans Pro"/>
        </w:rPr>
        <w:t>n</w:t>
      </w:r>
      <w:r w:rsidR="008B3398">
        <w:rPr>
          <w:rFonts w:ascii="Source Sans Pro" w:hAnsi="Source Sans Pro"/>
        </w:rPr>
        <w:t xml:space="preserve"> </w:t>
      </w:r>
      <w:r w:rsidR="00401BA0">
        <w:rPr>
          <w:rFonts w:ascii="Source Sans Pro" w:hAnsi="Source Sans Pro"/>
        </w:rPr>
        <w:t>a company</w:t>
      </w:r>
      <w:r w:rsidR="00FF36C0">
        <w:rPr>
          <w:rFonts w:ascii="Source Sans Pro" w:hAnsi="Source Sans Pro"/>
        </w:rPr>
        <w:t>-</w:t>
      </w:r>
      <w:r w:rsidR="00401BA0">
        <w:rPr>
          <w:rFonts w:ascii="Source Sans Pro" w:hAnsi="Source Sans Pro"/>
        </w:rPr>
        <w:t>by</w:t>
      </w:r>
      <w:r w:rsidR="00FF36C0">
        <w:rPr>
          <w:rFonts w:ascii="Source Sans Pro" w:hAnsi="Source Sans Pro"/>
        </w:rPr>
        <w:t>-</w:t>
      </w:r>
      <w:r w:rsidR="00401BA0">
        <w:rPr>
          <w:rFonts w:ascii="Source Sans Pro" w:hAnsi="Source Sans Pro"/>
        </w:rPr>
        <w:t>company basis</w:t>
      </w:r>
      <w:r w:rsidR="0030319B">
        <w:rPr>
          <w:rFonts w:ascii="Source Sans Pro" w:hAnsi="Source Sans Pro"/>
        </w:rPr>
        <w:t xml:space="preserve"> </w:t>
      </w:r>
      <w:r w:rsidRPr="000B5796">
        <w:rPr>
          <w:rFonts w:ascii="Source Sans Pro" w:hAnsi="Source Sans Pro"/>
        </w:rPr>
        <w:t xml:space="preserve">and </w:t>
      </w:r>
      <w:r w:rsidR="00AB1EF0">
        <w:rPr>
          <w:rFonts w:ascii="Source Sans Pro" w:hAnsi="Source Sans Pro"/>
        </w:rPr>
        <w:t>therefore perform</w:t>
      </w:r>
      <w:r w:rsidR="00FF36C0">
        <w:rPr>
          <w:rFonts w:ascii="Source Sans Pro" w:hAnsi="Source Sans Pro"/>
        </w:rPr>
        <w:t>ing</w:t>
      </w:r>
      <w:r w:rsidR="00AB1EF0">
        <w:rPr>
          <w:rFonts w:ascii="Source Sans Pro" w:hAnsi="Source Sans Pro"/>
        </w:rPr>
        <w:t xml:space="preserve"> </w:t>
      </w:r>
      <w:r w:rsidR="0030319B">
        <w:rPr>
          <w:rFonts w:ascii="Source Sans Pro" w:hAnsi="Source Sans Pro"/>
        </w:rPr>
        <w:t>individual assessment</w:t>
      </w:r>
      <w:r w:rsidR="00FF36C0">
        <w:rPr>
          <w:rFonts w:ascii="Source Sans Pro" w:hAnsi="Source Sans Pro"/>
        </w:rPr>
        <w:t>s</w:t>
      </w:r>
      <w:r w:rsidR="0030319B">
        <w:rPr>
          <w:rFonts w:ascii="Source Sans Pro" w:hAnsi="Source Sans Pro"/>
        </w:rPr>
        <w:t xml:space="preserve"> of their </w:t>
      </w:r>
      <w:r w:rsidRPr="000B5796">
        <w:rPr>
          <w:rFonts w:ascii="Source Sans Pro" w:hAnsi="Source Sans Pro"/>
        </w:rPr>
        <w:t xml:space="preserve">dividend </w:t>
      </w:r>
      <w:r w:rsidR="0030319B">
        <w:rPr>
          <w:rFonts w:ascii="Source Sans Pro" w:hAnsi="Source Sans Pro"/>
        </w:rPr>
        <w:t xml:space="preserve">payment </w:t>
      </w:r>
      <w:r w:rsidRPr="000B5796">
        <w:rPr>
          <w:rFonts w:ascii="Source Sans Pro" w:hAnsi="Source Sans Pro"/>
        </w:rPr>
        <w:t xml:space="preserve">capacity. </w:t>
      </w:r>
      <w:r w:rsidR="00AB1EF0">
        <w:rPr>
          <w:rFonts w:ascii="Source Sans Pro" w:hAnsi="Source Sans Pro"/>
        </w:rPr>
        <w:t>This</w:t>
      </w:r>
      <w:r w:rsidR="0030319B">
        <w:rPr>
          <w:rFonts w:ascii="Source Sans Pro" w:hAnsi="Source Sans Pro"/>
        </w:rPr>
        <w:t xml:space="preserve"> </w:t>
      </w:r>
      <w:r w:rsidRPr="000B5796">
        <w:rPr>
          <w:rFonts w:ascii="Source Sans Pro" w:hAnsi="Source Sans Pro"/>
        </w:rPr>
        <w:t>would</w:t>
      </w:r>
      <w:r w:rsidR="001601CF">
        <w:rPr>
          <w:rFonts w:ascii="Source Sans Pro" w:hAnsi="Source Sans Pro"/>
        </w:rPr>
        <w:t xml:space="preserve"> also</w:t>
      </w:r>
      <w:r w:rsidRPr="000B5796">
        <w:rPr>
          <w:rFonts w:ascii="Source Sans Pro" w:hAnsi="Source Sans Pro"/>
        </w:rPr>
        <w:t xml:space="preserve"> lead to</w:t>
      </w:r>
      <w:r w:rsidR="0042324B">
        <w:rPr>
          <w:rFonts w:ascii="Source Sans Pro" w:hAnsi="Source Sans Pro"/>
        </w:rPr>
        <w:t xml:space="preserve"> </w:t>
      </w:r>
      <w:r w:rsidRPr="000B5796">
        <w:rPr>
          <w:rFonts w:ascii="Source Sans Pro" w:hAnsi="Source Sans Pro"/>
        </w:rPr>
        <w:t>a co</w:t>
      </w:r>
      <w:r w:rsidR="00AB1EF0">
        <w:rPr>
          <w:rFonts w:ascii="Source Sans Pro" w:hAnsi="Source Sans Pro"/>
        </w:rPr>
        <w:t>herent</w:t>
      </w:r>
      <w:r w:rsidR="001601CF">
        <w:rPr>
          <w:rFonts w:ascii="Source Sans Pro" w:hAnsi="Source Sans Pro"/>
        </w:rPr>
        <w:t xml:space="preserve"> and consistent</w:t>
      </w:r>
      <w:r w:rsidR="00AB1EF0">
        <w:rPr>
          <w:rFonts w:ascii="Source Sans Pro" w:hAnsi="Source Sans Pro"/>
        </w:rPr>
        <w:t xml:space="preserve"> </w:t>
      </w:r>
      <w:r w:rsidRPr="000B5796">
        <w:rPr>
          <w:rFonts w:ascii="Source Sans Pro" w:hAnsi="Source Sans Pro"/>
        </w:rPr>
        <w:t>European</w:t>
      </w:r>
      <w:r w:rsidR="00AB1EF0">
        <w:rPr>
          <w:rFonts w:ascii="Source Sans Pro" w:hAnsi="Source Sans Pro"/>
        </w:rPr>
        <w:t xml:space="preserve"> </w:t>
      </w:r>
      <w:r w:rsidRPr="000B5796">
        <w:rPr>
          <w:rFonts w:ascii="Source Sans Pro" w:hAnsi="Source Sans Pro"/>
        </w:rPr>
        <w:t xml:space="preserve">approach </w:t>
      </w:r>
      <w:r w:rsidR="001601CF">
        <w:rPr>
          <w:rFonts w:ascii="Source Sans Pro" w:hAnsi="Source Sans Pro"/>
        </w:rPr>
        <w:t>through convergent supervision practi</w:t>
      </w:r>
      <w:r w:rsidR="0042324B">
        <w:rPr>
          <w:rFonts w:ascii="Source Sans Pro" w:hAnsi="Source Sans Pro"/>
        </w:rPr>
        <w:t>c</w:t>
      </w:r>
      <w:r w:rsidR="001601CF">
        <w:rPr>
          <w:rFonts w:ascii="Source Sans Pro" w:hAnsi="Source Sans Pro"/>
        </w:rPr>
        <w:t>es</w:t>
      </w:r>
      <w:r w:rsidR="0030319B">
        <w:rPr>
          <w:rFonts w:ascii="Source Sans Pro" w:hAnsi="Source Sans Pro"/>
        </w:rPr>
        <w:t>.</w:t>
      </w:r>
      <w:r w:rsidR="008B3398">
        <w:rPr>
          <w:rFonts w:ascii="Source Sans Pro" w:hAnsi="Source Sans Pro"/>
        </w:rPr>
        <w:t xml:space="preserve"> </w:t>
      </w:r>
      <w:r w:rsidR="00A04891">
        <w:rPr>
          <w:rFonts w:ascii="Source Sans Pro" w:hAnsi="Source Sans Pro"/>
        </w:rPr>
        <w:t xml:space="preserve"> </w:t>
      </w:r>
      <w:bookmarkEnd w:id="1"/>
      <w:r w:rsidR="007C2688" w:rsidRPr="000B5796">
        <w:rPr>
          <w:rFonts w:ascii="Source Sans Pro" w:hAnsi="Source Sans Pro"/>
        </w:rPr>
        <w:t>It is important to note that not</w:t>
      </w:r>
      <w:r w:rsidR="00210D36" w:rsidRPr="000B5796">
        <w:rPr>
          <w:rFonts w:ascii="Source Sans Pro" w:hAnsi="Source Sans Pro"/>
        </w:rPr>
        <w:t xml:space="preserve"> all </w:t>
      </w:r>
      <w:r w:rsidR="00D316E5" w:rsidRPr="000B5796">
        <w:rPr>
          <w:rFonts w:ascii="Source Sans Pro" w:hAnsi="Source Sans Pro"/>
        </w:rPr>
        <w:t xml:space="preserve">national </w:t>
      </w:r>
      <w:r w:rsidR="00210D36" w:rsidRPr="000B5796">
        <w:rPr>
          <w:rFonts w:ascii="Source Sans Pro" w:hAnsi="Source Sans Pro"/>
        </w:rPr>
        <w:t xml:space="preserve">supervisors see a need for industry-wide postponement of dividends and a number </w:t>
      </w:r>
      <w:r w:rsidR="00D40BA6" w:rsidRPr="000B5796">
        <w:rPr>
          <w:rFonts w:ascii="Source Sans Pro" w:hAnsi="Source Sans Pro"/>
        </w:rPr>
        <w:t xml:space="preserve">of them </w:t>
      </w:r>
      <w:r w:rsidR="00210D36" w:rsidRPr="000B5796">
        <w:rPr>
          <w:rFonts w:ascii="Source Sans Pro" w:hAnsi="Source Sans Pro"/>
        </w:rPr>
        <w:t xml:space="preserve">will </w:t>
      </w:r>
      <w:r w:rsidR="007C2688" w:rsidRPr="000B5796">
        <w:rPr>
          <w:rFonts w:ascii="Source Sans Pro" w:hAnsi="Source Sans Pro"/>
        </w:rPr>
        <w:t xml:space="preserve">rightfully </w:t>
      </w:r>
      <w:r w:rsidR="00210D36" w:rsidRPr="000B5796">
        <w:rPr>
          <w:rFonts w:ascii="Source Sans Pro" w:hAnsi="Source Sans Pro"/>
        </w:rPr>
        <w:t xml:space="preserve">take into account the individual situation of insurers, especially their </w:t>
      </w:r>
      <w:r w:rsidR="00AB1EF0">
        <w:rPr>
          <w:rFonts w:ascii="Source Sans Pro" w:hAnsi="Source Sans Pro"/>
        </w:rPr>
        <w:t xml:space="preserve">current or foreseen </w:t>
      </w:r>
      <w:r w:rsidR="00210D36" w:rsidRPr="000B5796">
        <w:rPr>
          <w:rFonts w:ascii="Source Sans Pro" w:hAnsi="Source Sans Pro"/>
        </w:rPr>
        <w:t>risk-bearing capacity</w:t>
      </w:r>
      <w:r w:rsidR="0042324B">
        <w:rPr>
          <w:rFonts w:ascii="Source Sans Pro" w:hAnsi="Source Sans Pro"/>
        </w:rPr>
        <w:t>,</w:t>
      </w:r>
      <w:r w:rsidR="00AB1EF0">
        <w:rPr>
          <w:rFonts w:ascii="Source Sans Pro" w:hAnsi="Source Sans Pro"/>
        </w:rPr>
        <w:t xml:space="preserve"> to form their opinion</w:t>
      </w:r>
      <w:r w:rsidR="00210D36" w:rsidRPr="000B5796">
        <w:rPr>
          <w:rFonts w:ascii="Source Sans Pro" w:hAnsi="Source Sans Pro"/>
        </w:rPr>
        <w:t>.</w:t>
      </w:r>
      <w:r w:rsidR="005C3882" w:rsidRPr="000B5796">
        <w:rPr>
          <w:rFonts w:ascii="Source Sans Pro" w:hAnsi="Source Sans Pro"/>
        </w:rPr>
        <w:t xml:space="preserve"> </w:t>
      </w:r>
    </w:p>
    <w:p w14:paraId="516EC8F0" w14:textId="77777777" w:rsidR="00973FE4" w:rsidRPr="000B5796" w:rsidRDefault="00973FE4" w:rsidP="007178BB">
      <w:pPr>
        <w:pStyle w:val="Normlnywebov"/>
        <w:spacing w:before="0" w:beforeAutospacing="0" w:after="0" w:afterAutospacing="0" w:line="288" w:lineRule="auto"/>
        <w:jc w:val="both"/>
        <w:rPr>
          <w:rFonts w:ascii="Source Sans Pro" w:hAnsi="Source Sans Pro"/>
        </w:rPr>
      </w:pPr>
    </w:p>
    <w:p w14:paraId="3AA9D797" w14:textId="4CA69D24" w:rsidR="00973FE4" w:rsidRPr="000B5796" w:rsidRDefault="001601CF" w:rsidP="007178BB">
      <w:pPr>
        <w:pStyle w:val="Normlnywebov"/>
        <w:spacing w:before="0" w:beforeAutospacing="0" w:after="0" w:afterAutospacing="0" w:line="288" w:lineRule="auto"/>
        <w:jc w:val="both"/>
        <w:rPr>
          <w:rFonts w:ascii="Source Sans Pro" w:hAnsi="Source Sans Pro"/>
        </w:rPr>
      </w:pPr>
      <w:r>
        <w:rPr>
          <w:rFonts w:ascii="Source Sans Pro" w:hAnsi="Source Sans Pro"/>
        </w:rPr>
        <w:t>In addition,</w:t>
      </w:r>
      <w:r w:rsidR="00914FD2" w:rsidRPr="000B5796">
        <w:rPr>
          <w:rFonts w:ascii="Source Sans Pro" w:hAnsi="Source Sans Pro"/>
        </w:rPr>
        <w:t xml:space="preserve"> the latest EIOPA statement</w:t>
      </w:r>
      <w:r>
        <w:rPr>
          <w:rFonts w:ascii="Source Sans Pro" w:hAnsi="Source Sans Pro"/>
        </w:rPr>
        <w:t xml:space="preserve"> calls for</w:t>
      </w:r>
      <w:r w:rsidR="00D43941" w:rsidRPr="000B5796">
        <w:rPr>
          <w:rFonts w:ascii="Source Sans Pro" w:hAnsi="Source Sans Pro"/>
        </w:rPr>
        <w:t xml:space="preserve"> the following remarks</w:t>
      </w:r>
      <w:r w:rsidR="00914FD2" w:rsidRPr="000B5796">
        <w:rPr>
          <w:rFonts w:ascii="Source Sans Pro" w:hAnsi="Source Sans Pro"/>
        </w:rPr>
        <w:t>:</w:t>
      </w:r>
    </w:p>
    <w:p w14:paraId="16D703DD" w14:textId="329EBD12" w:rsidR="00973FE4" w:rsidRPr="007A247B" w:rsidRDefault="00973FE4" w:rsidP="007178BB">
      <w:pPr>
        <w:pStyle w:val="Normlnywebov"/>
        <w:spacing w:before="0" w:beforeAutospacing="0" w:after="0" w:afterAutospacing="0" w:line="288" w:lineRule="auto"/>
        <w:jc w:val="both"/>
        <w:rPr>
          <w:rFonts w:ascii="Source Sans Pro" w:hAnsi="Source Sans Pro"/>
          <w:sz w:val="16"/>
          <w:szCs w:val="16"/>
        </w:rPr>
      </w:pPr>
    </w:p>
    <w:p w14:paraId="285D3E8D" w14:textId="1DD636ED" w:rsidR="00AB1856" w:rsidRPr="001C4F43" w:rsidRDefault="00AB1856" w:rsidP="00AF42FC">
      <w:pPr>
        <w:pStyle w:val="Normlnywebov"/>
        <w:numPr>
          <w:ilvl w:val="0"/>
          <w:numId w:val="3"/>
        </w:numPr>
        <w:spacing w:before="0" w:beforeAutospacing="0" w:after="0" w:afterAutospacing="0" w:line="288" w:lineRule="auto"/>
        <w:jc w:val="both"/>
        <w:rPr>
          <w:rFonts w:ascii="Verdana" w:hAnsi="Verdana"/>
          <w:sz w:val="24"/>
          <w:szCs w:val="24"/>
        </w:rPr>
      </w:pPr>
      <w:r w:rsidRPr="00B26392">
        <w:rPr>
          <w:rFonts w:ascii="Verdana" w:hAnsi="Verdana"/>
          <w:b/>
          <w:bCs/>
          <w:sz w:val="20"/>
          <w:szCs w:val="20"/>
        </w:rPr>
        <w:t>Companies set their dividend policy and make dividend decisions very carefully</w:t>
      </w:r>
      <w:r w:rsidRPr="001C4F43">
        <w:rPr>
          <w:rFonts w:ascii="Verdana" w:hAnsi="Verdana"/>
          <w:sz w:val="20"/>
          <w:szCs w:val="20"/>
        </w:rPr>
        <w:t>, taking into account their solvency levels, business plan, risk profile and risk appetite, as well as any significant events that could have a material impact (such as COVID-19). They also take into account their shareholders, who often include pension funds which expect and need dividends to meet their own commitments to pay pensions</w:t>
      </w:r>
      <w:r w:rsidR="00A66731">
        <w:rPr>
          <w:rFonts w:ascii="Verdana" w:hAnsi="Verdana"/>
          <w:sz w:val="20"/>
          <w:szCs w:val="20"/>
        </w:rPr>
        <w:t>.</w:t>
      </w:r>
    </w:p>
    <w:p w14:paraId="71CDF030" w14:textId="77777777" w:rsidR="00AF42FC" w:rsidRPr="00B0038B" w:rsidRDefault="00AF42FC" w:rsidP="001C4F43">
      <w:pPr>
        <w:pStyle w:val="Normlnywebov"/>
        <w:spacing w:before="0" w:beforeAutospacing="0" w:after="0" w:afterAutospacing="0" w:line="288" w:lineRule="auto"/>
        <w:ind w:left="720"/>
        <w:jc w:val="both"/>
        <w:rPr>
          <w:rFonts w:ascii="Verdana" w:hAnsi="Verdana"/>
          <w:sz w:val="17"/>
          <w:szCs w:val="17"/>
        </w:rPr>
      </w:pPr>
    </w:p>
    <w:p w14:paraId="42AD1034" w14:textId="16247EAF" w:rsidR="004A3958" w:rsidRPr="000D3A42" w:rsidRDefault="004A3958" w:rsidP="000D3A42">
      <w:pPr>
        <w:pStyle w:val="Normlnywebov"/>
        <w:numPr>
          <w:ilvl w:val="0"/>
          <w:numId w:val="3"/>
        </w:numPr>
        <w:spacing w:after="240" w:afterAutospacing="0"/>
        <w:jc w:val="both"/>
        <w:rPr>
          <w:rFonts w:ascii="Source Sans Pro" w:hAnsi="Source Sans Pro"/>
        </w:rPr>
      </w:pPr>
      <w:r w:rsidRPr="000D3A42">
        <w:rPr>
          <w:rFonts w:ascii="Source Sans Pro" w:hAnsi="Source Sans Pro"/>
        </w:rPr>
        <w:t>The EIOPA statement disregards the</w:t>
      </w:r>
      <w:r w:rsidRPr="000D3A42" w:rsidDel="00F63692">
        <w:rPr>
          <w:rFonts w:ascii="Source Sans Pro" w:hAnsi="Source Sans Pro"/>
        </w:rPr>
        <w:t xml:space="preserve"> </w:t>
      </w:r>
      <w:r w:rsidRPr="000D3A42">
        <w:rPr>
          <w:rFonts w:ascii="Source Sans Pro" w:hAnsi="Source Sans Pro"/>
        </w:rPr>
        <w:t>Solvency II</w:t>
      </w:r>
      <w:r w:rsidRPr="000D3A42" w:rsidDel="00F63692">
        <w:rPr>
          <w:rFonts w:ascii="Source Sans Pro" w:hAnsi="Source Sans Pro"/>
        </w:rPr>
        <w:t xml:space="preserve"> </w:t>
      </w:r>
      <w:r w:rsidRPr="000D3A42">
        <w:rPr>
          <w:rFonts w:ascii="Source Sans Pro" w:hAnsi="Source Sans Pro"/>
        </w:rPr>
        <w:t>R</w:t>
      </w:r>
      <w:r w:rsidRPr="000D3A42" w:rsidDel="00F63692">
        <w:rPr>
          <w:rFonts w:ascii="Source Sans Pro" w:hAnsi="Source Sans Pro"/>
        </w:rPr>
        <w:t>egulation</w:t>
      </w:r>
      <w:r w:rsidRPr="000D3A42">
        <w:rPr>
          <w:rFonts w:ascii="Source Sans Pro" w:hAnsi="Source Sans Pro"/>
        </w:rPr>
        <w:t xml:space="preserve">, which provides for an automatic suspension of dividends only where the SCR is breached or when the distributions would lead to non-compliance. </w:t>
      </w:r>
      <w:r w:rsidR="00E06306" w:rsidRPr="000D3A42">
        <w:rPr>
          <w:rFonts w:ascii="Source Sans Pro" w:hAnsi="Source Sans Pro"/>
          <w:b/>
          <w:bCs/>
        </w:rPr>
        <w:t>EIOPA is</w:t>
      </w:r>
      <w:r w:rsidR="00BD17B6" w:rsidRPr="000D3A42">
        <w:rPr>
          <w:rFonts w:ascii="Source Sans Pro" w:hAnsi="Source Sans Pro"/>
          <w:b/>
          <w:bCs/>
        </w:rPr>
        <w:t xml:space="preserve"> </w:t>
      </w:r>
      <w:r w:rsidRPr="000D3A42">
        <w:rPr>
          <w:rFonts w:ascii="Source Sans Pro" w:hAnsi="Source Sans Pro"/>
          <w:b/>
          <w:bCs/>
        </w:rPr>
        <w:t xml:space="preserve">this </w:t>
      </w:r>
      <w:r w:rsidR="00E06306" w:rsidRPr="000D3A42">
        <w:rPr>
          <w:rFonts w:ascii="Source Sans Pro" w:hAnsi="Source Sans Pro"/>
          <w:b/>
          <w:bCs/>
        </w:rPr>
        <w:t xml:space="preserve">conveying distrust toward Solvency </w:t>
      </w:r>
      <w:r w:rsidR="007A5081" w:rsidRPr="000D3A42">
        <w:rPr>
          <w:rFonts w:ascii="Source Sans Pro" w:hAnsi="Source Sans Pro"/>
          <w:b/>
          <w:bCs/>
        </w:rPr>
        <w:t>II</w:t>
      </w:r>
      <w:r w:rsidR="00E06306" w:rsidRPr="000D3A42">
        <w:rPr>
          <w:rFonts w:ascii="Source Sans Pro" w:hAnsi="Source Sans Pro"/>
          <w:b/>
          <w:bCs/>
        </w:rPr>
        <w:t xml:space="preserve"> by setting a new minimum solvency ratio far above 100%</w:t>
      </w:r>
      <w:r w:rsidR="00E06306" w:rsidRPr="000D3A42">
        <w:rPr>
          <w:rFonts w:ascii="Source Sans Pro" w:hAnsi="Source Sans Pro"/>
        </w:rPr>
        <w:t xml:space="preserve"> of the risk-based, market-responsive and forward-</w:t>
      </w:r>
      <w:r w:rsidR="00E06306" w:rsidRPr="000D3A42">
        <w:rPr>
          <w:rFonts w:ascii="Source Sans Pro" w:hAnsi="Source Sans Pro"/>
        </w:rPr>
        <w:lastRenderedPageBreak/>
        <w:t>looking Solvency Capital Requirement (SCR). The industry entered the C</w:t>
      </w:r>
      <w:r w:rsidR="007A5081" w:rsidRPr="000D3A42">
        <w:rPr>
          <w:rFonts w:ascii="Source Sans Pro" w:hAnsi="Source Sans Pro"/>
        </w:rPr>
        <w:t>OVID</w:t>
      </w:r>
      <w:r w:rsidR="00E06306" w:rsidRPr="000D3A42">
        <w:rPr>
          <w:rFonts w:ascii="Source Sans Pro" w:hAnsi="Source Sans Pro"/>
        </w:rPr>
        <w:t>-19 upheaval with an average SCR ratio of 227%</w:t>
      </w:r>
      <w:r w:rsidR="007A5081" w:rsidRPr="000D3A42">
        <w:rPr>
          <w:rFonts w:ascii="Source Sans Pro" w:hAnsi="Source Sans Pro"/>
        </w:rPr>
        <w:t>,</w:t>
      </w:r>
      <w:r w:rsidR="00E06306" w:rsidRPr="000D3A42">
        <w:rPr>
          <w:rFonts w:ascii="Source Sans Pro" w:hAnsi="Source Sans Pro"/>
        </w:rPr>
        <w:t xml:space="preserve"> according to the latest public figure (Q3 2019). EIOPA noted on 17 March that its most recent stress tests have shown the sector to be well capitalised and able to withstand severe shocks. </w:t>
      </w:r>
    </w:p>
    <w:p w14:paraId="49010A44" w14:textId="71F65570" w:rsidR="00AF42FC" w:rsidRPr="00414BAB" w:rsidRDefault="00AF42FC" w:rsidP="000D3A42">
      <w:pPr>
        <w:pStyle w:val="Normlnywebov"/>
        <w:spacing w:before="0" w:beforeAutospacing="0" w:after="0" w:afterAutospacing="0" w:line="288" w:lineRule="auto"/>
        <w:jc w:val="both"/>
        <w:rPr>
          <w:rFonts w:ascii="Source Sans Pro" w:hAnsi="Source Sans Pro"/>
          <w:sz w:val="2"/>
          <w:szCs w:val="2"/>
          <w:highlight w:val="yellow"/>
        </w:rPr>
      </w:pPr>
    </w:p>
    <w:p w14:paraId="02BECB98" w14:textId="443AB0A4" w:rsidR="00E06306" w:rsidRPr="000B5796" w:rsidRDefault="00E06306" w:rsidP="007178BB">
      <w:pPr>
        <w:pStyle w:val="Normlnywebov"/>
        <w:numPr>
          <w:ilvl w:val="0"/>
          <w:numId w:val="3"/>
        </w:numPr>
        <w:spacing w:after="240" w:afterAutospacing="0"/>
        <w:jc w:val="both"/>
        <w:rPr>
          <w:rFonts w:ascii="Source Sans Pro" w:hAnsi="Source Sans Pro"/>
        </w:rPr>
      </w:pPr>
      <w:r w:rsidRPr="005F5C38">
        <w:rPr>
          <w:rFonts w:ascii="Source Sans Pro" w:hAnsi="Source Sans Pro"/>
          <w:b/>
          <w:bCs/>
        </w:rPr>
        <w:t>In its last statement, EIOPA rightfully highlighted the need to take care of customers, and yet a (temporary) waiver of dividend payments may increase uncertainty at times of market stress and can trigger adverse consequences</w:t>
      </w:r>
      <w:r w:rsidR="00D87E16">
        <w:rPr>
          <w:rFonts w:ascii="Source Sans Pro" w:hAnsi="Source Sans Pro"/>
          <w:b/>
          <w:bCs/>
        </w:rPr>
        <w:t>,</w:t>
      </w:r>
      <w:r w:rsidRPr="005F5C38">
        <w:rPr>
          <w:rFonts w:ascii="Source Sans Pro" w:hAnsi="Source Sans Pro"/>
          <w:b/>
          <w:bCs/>
        </w:rPr>
        <w:t xml:space="preserve"> especially for customers.</w:t>
      </w:r>
      <w:r w:rsidRPr="000B5796">
        <w:rPr>
          <w:rFonts w:ascii="Source Sans Pro" w:hAnsi="Source Sans Pro"/>
        </w:rPr>
        <w:t xml:space="preserve"> In this context, the soundness of the insurance sector</w:t>
      </w:r>
      <w:r w:rsidR="00D87E16">
        <w:rPr>
          <w:rFonts w:ascii="Source Sans Pro" w:hAnsi="Source Sans Pro"/>
        </w:rPr>
        <w:t>,</w:t>
      </w:r>
      <w:r w:rsidRPr="000B5796">
        <w:rPr>
          <w:rFonts w:ascii="Source Sans Pro" w:hAnsi="Source Sans Pro"/>
        </w:rPr>
        <w:t xml:space="preserve"> especially in times of crisis</w:t>
      </w:r>
      <w:r w:rsidR="00D87E16">
        <w:rPr>
          <w:rFonts w:ascii="Source Sans Pro" w:hAnsi="Source Sans Pro"/>
        </w:rPr>
        <w:t>,</w:t>
      </w:r>
      <w:r w:rsidRPr="000B5796">
        <w:rPr>
          <w:rFonts w:ascii="Source Sans Pro" w:hAnsi="Source Sans Pro"/>
        </w:rPr>
        <w:t xml:space="preserve"> is an important </w:t>
      </w:r>
      <w:r w:rsidR="00D87E16">
        <w:rPr>
          <w:rFonts w:ascii="Source Sans Pro" w:hAnsi="Source Sans Pro"/>
        </w:rPr>
        <w:t>signal</w:t>
      </w:r>
      <w:r w:rsidR="00D87E16" w:rsidRPr="000B5796">
        <w:rPr>
          <w:rFonts w:ascii="Source Sans Pro" w:hAnsi="Source Sans Pro"/>
        </w:rPr>
        <w:t xml:space="preserve"> </w:t>
      </w:r>
      <w:r w:rsidRPr="000B5796">
        <w:rPr>
          <w:rFonts w:ascii="Source Sans Pro" w:hAnsi="Source Sans Pro"/>
        </w:rPr>
        <w:t>of stability for the public. The capacity for dividend distributions is the clearest signal from companies to shareholders and the public that they are safe and can be a positive signal of stability in otherwise uncertain times.</w:t>
      </w:r>
    </w:p>
    <w:p w14:paraId="759CFA7F" w14:textId="6A150CA5" w:rsidR="00E06306" w:rsidRPr="000B5796" w:rsidRDefault="00E06306" w:rsidP="007178BB">
      <w:pPr>
        <w:pStyle w:val="Normlnywebov"/>
        <w:numPr>
          <w:ilvl w:val="0"/>
          <w:numId w:val="3"/>
        </w:numPr>
        <w:spacing w:before="0" w:beforeAutospacing="0" w:after="0" w:afterAutospacing="0" w:line="288" w:lineRule="auto"/>
        <w:jc w:val="both"/>
        <w:rPr>
          <w:rFonts w:ascii="Source Sans Pro" w:hAnsi="Source Sans Pro"/>
        </w:rPr>
      </w:pPr>
      <w:r w:rsidRPr="000B5796">
        <w:rPr>
          <w:rFonts w:ascii="Source Sans Pro" w:hAnsi="Source Sans Pro"/>
        </w:rPr>
        <w:t xml:space="preserve">While EU institutions are expected to make sure that no nationalistic measure is taken, </w:t>
      </w:r>
      <w:r w:rsidRPr="000B5796">
        <w:rPr>
          <w:rFonts w:ascii="Source Sans Pro" w:hAnsi="Source Sans Pro"/>
          <w:b/>
          <w:bCs/>
        </w:rPr>
        <w:t>EIOPA</w:t>
      </w:r>
      <w:r w:rsidR="00480F54">
        <w:rPr>
          <w:rFonts w:ascii="Source Sans Pro" w:hAnsi="Source Sans Pro"/>
          <w:b/>
          <w:bCs/>
        </w:rPr>
        <w:t>’s</w:t>
      </w:r>
      <w:r w:rsidRPr="000B5796">
        <w:rPr>
          <w:rFonts w:ascii="Source Sans Pro" w:hAnsi="Source Sans Pro"/>
          <w:b/>
          <w:bCs/>
        </w:rPr>
        <w:t xml:space="preserve"> statement on intragroup dividends can prove detrimental to the swift and economic allocation of liquidity and capital buffers where they are most needed</w:t>
      </w:r>
      <w:r w:rsidRPr="000B5796">
        <w:rPr>
          <w:rFonts w:ascii="Source Sans Pro" w:hAnsi="Source Sans Pro"/>
        </w:rPr>
        <w:t xml:space="preserve">. This also </w:t>
      </w:r>
      <w:r w:rsidR="00F63692">
        <w:rPr>
          <w:rFonts w:ascii="Source Sans Pro" w:hAnsi="Source Sans Pro"/>
        </w:rPr>
        <w:t>goes</w:t>
      </w:r>
      <w:r w:rsidR="00F63692" w:rsidRPr="000B5796">
        <w:rPr>
          <w:rFonts w:ascii="Source Sans Pro" w:hAnsi="Source Sans Pro"/>
        </w:rPr>
        <w:t xml:space="preserve"> </w:t>
      </w:r>
      <w:r w:rsidRPr="000B5796">
        <w:rPr>
          <w:rFonts w:ascii="Source Sans Pro" w:hAnsi="Source Sans Pro"/>
        </w:rPr>
        <w:t xml:space="preserve">against the progress made over </w:t>
      </w:r>
      <w:r w:rsidR="00480F54">
        <w:rPr>
          <w:rFonts w:ascii="Source Sans Pro" w:hAnsi="Source Sans Pro"/>
        </w:rPr>
        <w:t>recent</w:t>
      </w:r>
      <w:r w:rsidRPr="000B5796">
        <w:rPr>
          <w:rFonts w:ascii="Source Sans Pro" w:hAnsi="Source Sans Pro"/>
        </w:rPr>
        <w:t xml:space="preserve"> years in coordinating </w:t>
      </w:r>
      <w:r w:rsidR="00480F54">
        <w:rPr>
          <w:rFonts w:ascii="Source Sans Pro" w:hAnsi="Source Sans Pro"/>
        </w:rPr>
        <w:t xml:space="preserve">the </w:t>
      </w:r>
      <w:r w:rsidRPr="000B5796">
        <w:rPr>
          <w:rFonts w:ascii="Source Sans Pro" w:hAnsi="Source Sans Pro"/>
        </w:rPr>
        <w:t>actions of EU supervisors</w:t>
      </w:r>
      <w:r w:rsidR="00F63692">
        <w:rPr>
          <w:rFonts w:ascii="Source Sans Pro" w:hAnsi="Source Sans Pro"/>
        </w:rPr>
        <w:t xml:space="preserve"> through </w:t>
      </w:r>
      <w:r w:rsidRPr="000B5796">
        <w:rPr>
          <w:rFonts w:ascii="Source Sans Pro" w:hAnsi="Source Sans Pro"/>
        </w:rPr>
        <w:t>colleges</w:t>
      </w:r>
      <w:r w:rsidR="008961E2">
        <w:rPr>
          <w:rFonts w:ascii="Source Sans Pro" w:hAnsi="Source Sans Pro"/>
        </w:rPr>
        <w:t>. There</w:t>
      </w:r>
      <w:r w:rsidRPr="000B5796">
        <w:rPr>
          <w:rFonts w:ascii="Source Sans Pro" w:hAnsi="Source Sans Pro"/>
        </w:rPr>
        <w:t xml:space="preserve"> should be enough confidence among supervisors to avoid behaviours </w:t>
      </w:r>
      <w:r w:rsidR="008961E2">
        <w:rPr>
          <w:rFonts w:ascii="Source Sans Pro" w:hAnsi="Source Sans Pro"/>
        </w:rPr>
        <w:t>such as</w:t>
      </w:r>
      <w:r w:rsidR="008961E2" w:rsidRPr="000B5796">
        <w:rPr>
          <w:rFonts w:ascii="Source Sans Pro" w:hAnsi="Source Sans Pro"/>
        </w:rPr>
        <w:t xml:space="preserve"> </w:t>
      </w:r>
      <w:r w:rsidRPr="000B5796">
        <w:rPr>
          <w:rFonts w:ascii="Source Sans Pro" w:hAnsi="Source Sans Pro"/>
        </w:rPr>
        <w:t>the ones observed during the 2008 crisis.</w:t>
      </w:r>
      <w:r w:rsidR="00F63692">
        <w:rPr>
          <w:rFonts w:ascii="Source Sans Pro" w:hAnsi="Source Sans Pro"/>
        </w:rPr>
        <w:t xml:space="preserve"> </w:t>
      </w:r>
      <w:r w:rsidRPr="000B5796">
        <w:rPr>
          <w:rFonts w:ascii="Source Sans Pro" w:hAnsi="Source Sans Pro"/>
        </w:rPr>
        <w:t xml:space="preserve"> Any measure preventing financial flows within a group, or even simply making them difficult, can create solvency or liquidity issues. More globally, EIOPA</w:t>
      </w:r>
      <w:r w:rsidR="00987FC7">
        <w:rPr>
          <w:rFonts w:ascii="Source Sans Pro" w:hAnsi="Source Sans Pro"/>
        </w:rPr>
        <w:t>’s</w:t>
      </w:r>
      <w:r w:rsidRPr="000B5796">
        <w:rPr>
          <w:rFonts w:ascii="Source Sans Pro" w:hAnsi="Source Sans Pro"/>
        </w:rPr>
        <w:t xml:space="preserve"> statement on intragroup dividends is unravelling the benefits and credibility of the Capital Market</w:t>
      </w:r>
      <w:r w:rsidR="00987FC7">
        <w:rPr>
          <w:rFonts w:ascii="Source Sans Pro" w:hAnsi="Source Sans Pro"/>
        </w:rPr>
        <w:t>s</w:t>
      </w:r>
      <w:r w:rsidRPr="000B5796">
        <w:rPr>
          <w:rFonts w:ascii="Source Sans Pro" w:hAnsi="Source Sans Pro"/>
        </w:rPr>
        <w:t xml:space="preserve"> Union</w:t>
      </w:r>
      <w:r w:rsidR="00987FC7">
        <w:rPr>
          <w:rFonts w:ascii="Source Sans Pro" w:hAnsi="Source Sans Pro"/>
        </w:rPr>
        <w:t>,</w:t>
      </w:r>
      <w:r w:rsidRPr="000B5796">
        <w:rPr>
          <w:rFonts w:ascii="Source Sans Pro" w:hAnsi="Source Sans Pro"/>
        </w:rPr>
        <w:t xml:space="preserve"> whose aim </w:t>
      </w:r>
      <w:r w:rsidR="00987FC7">
        <w:rPr>
          <w:rFonts w:ascii="Source Sans Pro" w:hAnsi="Source Sans Pro"/>
        </w:rPr>
        <w:t>is</w:t>
      </w:r>
      <w:r w:rsidR="00987FC7" w:rsidRPr="000B5796">
        <w:rPr>
          <w:rFonts w:ascii="Source Sans Pro" w:hAnsi="Source Sans Pro"/>
        </w:rPr>
        <w:t xml:space="preserve"> </w:t>
      </w:r>
      <w:r w:rsidRPr="000B5796">
        <w:rPr>
          <w:rFonts w:ascii="Source Sans Pro" w:hAnsi="Source Sans Pro"/>
        </w:rPr>
        <w:t>to allow the free flow of cashflows within the single market.</w:t>
      </w:r>
      <w:r w:rsidRPr="005F5C38">
        <w:rPr>
          <w:rFonts w:ascii="Source Sans Pro" w:hAnsi="Source Sans Pro"/>
        </w:rPr>
        <w:t xml:space="preserve"> </w:t>
      </w:r>
    </w:p>
    <w:p w14:paraId="2242C031" w14:textId="77777777" w:rsidR="00E06306" w:rsidRPr="00041E1E" w:rsidRDefault="00E06306" w:rsidP="007178BB">
      <w:pPr>
        <w:pStyle w:val="Normlnywebov"/>
        <w:spacing w:before="0" w:beforeAutospacing="0" w:after="0" w:afterAutospacing="0" w:line="288" w:lineRule="auto"/>
        <w:ind w:left="360"/>
        <w:jc w:val="both"/>
        <w:rPr>
          <w:rFonts w:ascii="Source Sans Pro" w:hAnsi="Source Sans Pro"/>
          <w:sz w:val="2"/>
          <w:szCs w:val="2"/>
        </w:rPr>
      </w:pPr>
    </w:p>
    <w:p w14:paraId="5D2ECC80" w14:textId="56D1A2AE" w:rsidR="008B3398" w:rsidRPr="000B5796" w:rsidRDefault="008B3398" w:rsidP="008B3398">
      <w:pPr>
        <w:pStyle w:val="Normlnywebov"/>
        <w:numPr>
          <w:ilvl w:val="0"/>
          <w:numId w:val="3"/>
        </w:numPr>
        <w:spacing w:after="240" w:afterAutospacing="0"/>
        <w:jc w:val="both"/>
        <w:rPr>
          <w:rFonts w:ascii="Source Sans Pro" w:hAnsi="Source Sans Pro"/>
        </w:rPr>
      </w:pPr>
      <w:r w:rsidRPr="005F5C38">
        <w:rPr>
          <w:rFonts w:ascii="Source Sans Pro" w:hAnsi="Source Sans Pro"/>
          <w:b/>
          <w:bCs/>
        </w:rPr>
        <w:t>EIOPA</w:t>
      </w:r>
      <w:r w:rsidR="00987FC7">
        <w:rPr>
          <w:rFonts w:ascii="Source Sans Pro" w:hAnsi="Source Sans Pro"/>
          <w:b/>
          <w:bCs/>
        </w:rPr>
        <w:t>’s</w:t>
      </w:r>
      <w:r w:rsidRPr="005F5C38">
        <w:rPr>
          <w:rFonts w:ascii="Source Sans Pro" w:hAnsi="Source Sans Pro"/>
          <w:b/>
          <w:bCs/>
        </w:rPr>
        <w:t xml:space="preserve"> statement </w:t>
      </w:r>
      <w:r>
        <w:rPr>
          <w:rFonts w:ascii="Source Sans Pro" w:hAnsi="Source Sans Pro"/>
          <w:b/>
          <w:bCs/>
        </w:rPr>
        <w:t xml:space="preserve">also </w:t>
      </w:r>
      <w:r w:rsidRPr="005F5C38">
        <w:rPr>
          <w:rFonts w:ascii="Source Sans Pro" w:hAnsi="Source Sans Pro"/>
          <w:b/>
          <w:bCs/>
        </w:rPr>
        <w:t xml:space="preserve">has pro-cyclical market implications </w:t>
      </w:r>
      <w:r w:rsidR="00987FC7">
        <w:rPr>
          <w:rFonts w:ascii="Source Sans Pro" w:hAnsi="Source Sans Pro"/>
          <w:b/>
          <w:bCs/>
        </w:rPr>
        <w:t>as it</w:t>
      </w:r>
      <w:r w:rsidRPr="005F5C38">
        <w:rPr>
          <w:rFonts w:ascii="Source Sans Pro" w:hAnsi="Source Sans Pro"/>
          <w:b/>
          <w:bCs/>
        </w:rPr>
        <w:t xml:space="preserve"> encourag</w:t>
      </w:r>
      <w:r w:rsidR="00987FC7">
        <w:rPr>
          <w:rFonts w:ascii="Source Sans Pro" w:hAnsi="Source Sans Pro"/>
          <w:b/>
          <w:bCs/>
        </w:rPr>
        <w:t>es</w:t>
      </w:r>
      <w:r w:rsidRPr="005F5C38">
        <w:rPr>
          <w:rFonts w:ascii="Source Sans Pro" w:hAnsi="Source Sans Pro"/>
          <w:b/>
          <w:bCs/>
        </w:rPr>
        <w:t xml:space="preserve"> investors to withdraw capital from the European insurance sector</w:t>
      </w:r>
      <w:r w:rsidRPr="000B5796">
        <w:rPr>
          <w:rFonts w:ascii="Source Sans Pro" w:hAnsi="Source Sans Pro"/>
        </w:rPr>
        <w:t xml:space="preserve">. It </w:t>
      </w:r>
      <w:r w:rsidR="00987FC7">
        <w:rPr>
          <w:rFonts w:ascii="Source Sans Pro" w:hAnsi="Source Sans Pro"/>
        </w:rPr>
        <w:t>should be remembered</w:t>
      </w:r>
      <w:r w:rsidRPr="000B5796">
        <w:rPr>
          <w:rFonts w:ascii="Source Sans Pro" w:hAnsi="Source Sans Pro"/>
        </w:rPr>
        <w:t xml:space="preserve"> that Article 28 of the Solvency </w:t>
      </w:r>
      <w:r w:rsidR="00987FC7">
        <w:rPr>
          <w:rFonts w:ascii="Source Sans Pro" w:hAnsi="Source Sans Pro"/>
        </w:rPr>
        <w:t>II</w:t>
      </w:r>
      <w:r w:rsidRPr="000B5796">
        <w:rPr>
          <w:rFonts w:ascii="Source Sans Pro" w:hAnsi="Source Sans Pro"/>
        </w:rPr>
        <w:t xml:space="preserve"> </w:t>
      </w:r>
      <w:r w:rsidR="00987FC7">
        <w:rPr>
          <w:rFonts w:ascii="Source Sans Pro" w:hAnsi="Source Sans Pro"/>
        </w:rPr>
        <w:t>D</w:t>
      </w:r>
      <w:r w:rsidRPr="000B5796">
        <w:rPr>
          <w:rFonts w:ascii="Source Sans Pro" w:hAnsi="Source Sans Pro"/>
        </w:rPr>
        <w:t>irective provides that “In times of exceptional movements in the financial markets, supervisory authorities shall take into account the potential pro-cyclical effects of their actions.”</w:t>
      </w:r>
    </w:p>
    <w:p w14:paraId="37BC1EC5" w14:textId="6121BCD6" w:rsidR="00973FE4" w:rsidRPr="00B26392" w:rsidRDefault="00A62F99" w:rsidP="00B26392">
      <w:pPr>
        <w:pStyle w:val="Normlnywebov"/>
        <w:numPr>
          <w:ilvl w:val="0"/>
          <w:numId w:val="3"/>
        </w:numPr>
        <w:spacing w:after="240" w:afterAutospacing="0"/>
        <w:jc w:val="both"/>
        <w:rPr>
          <w:rFonts w:ascii="Source Sans Pro" w:hAnsi="Source Sans Pro"/>
        </w:rPr>
      </w:pPr>
      <w:r w:rsidRPr="00B26392">
        <w:rPr>
          <w:rFonts w:ascii="Source Sans Pro" w:hAnsi="Source Sans Pro"/>
          <w:b/>
          <w:bCs/>
        </w:rPr>
        <w:t>T</w:t>
      </w:r>
      <w:r w:rsidR="00973FE4" w:rsidRPr="00B26392">
        <w:rPr>
          <w:rFonts w:ascii="Source Sans Pro" w:hAnsi="Source Sans Pro"/>
          <w:b/>
          <w:bCs/>
        </w:rPr>
        <w:t>he EIOPA statement largely cop</w:t>
      </w:r>
      <w:r w:rsidR="006306F3" w:rsidRPr="00B26392">
        <w:rPr>
          <w:rFonts w:ascii="Source Sans Pro" w:hAnsi="Source Sans Pro"/>
          <w:b/>
          <w:bCs/>
        </w:rPr>
        <w:t>ies</w:t>
      </w:r>
      <w:r w:rsidR="002E53E2" w:rsidRPr="00B26392">
        <w:rPr>
          <w:rFonts w:ascii="Source Sans Pro" w:hAnsi="Source Sans Pro"/>
          <w:b/>
          <w:bCs/>
        </w:rPr>
        <w:t>,</w:t>
      </w:r>
      <w:r w:rsidR="00973FE4" w:rsidRPr="00B26392">
        <w:rPr>
          <w:rFonts w:ascii="Source Sans Pro" w:hAnsi="Source Sans Pro"/>
          <w:b/>
          <w:bCs/>
        </w:rPr>
        <w:t xml:space="preserve"> </w:t>
      </w:r>
      <w:r w:rsidR="00914FD2" w:rsidRPr="00B26392">
        <w:rPr>
          <w:rFonts w:ascii="Source Sans Pro" w:hAnsi="Source Sans Pro"/>
          <w:b/>
          <w:bCs/>
        </w:rPr>
        <w:t>and indeed goes beyond</w:t>
      </w:r>
      <w:r w:rsidR="002E53E2" w:rsidRPr="00B26392">
        <w:rPr>
          <w:rFonts w:ascii="Source Sans Pro" w:hAnsi="Source Sans Pro"/>
          <w:b/>
          <w:bCs/>
        </w:rPr>
        <w:t>,</w:t>
      </w:r>
      <w:r w:rsidR="00914FD2" w:rsidRPr="00B26392">
        <w:rPr>
          <w:rFonts w:ascii="Source Sans Pro" w:hAnsi="Source Sans Pro"/>
          <w:b/>
          <w:bCs/>
        </w:rPr>
        <w:t xml:space="preserve"> the ECB recommendations for the </w:t>
      </w:r>
      <w:r w:rsidR="002E53E2" w:rsidRPr="004E71B5">
        <w:rPr>
          <w:rFonts w:ascii="Source Sans Pro" w:hAnsi="Source Sans Pro"/>
          <w:b/>
          <w:bCs/>
        </w:rPr>
        <w:t>e</w:t>
      </w:r>
      <w:r w:rsidR="00914FD2" w:rsidRPr="004E71B5">
        <w:rPr>
          <w:rFonts w:ascii="Source Sans Pro" w:hAnsi="Source Sans Pro"/>
          <w:b/>
          <w:bCs/>
        </w:rPr>
        <w:t>uro-area banking sector</w:t>
      </w:r>
      <w:r w:rsidR="00B41496" w:rsidRPr="004E71B5">
        <w:rPr>
          <w:rFonts w:ascii="Source Sans Pro" w:hAnsi="Source Sans Pro"/>
        </w:rPr>
        <w:t>, despite</w:t>
      </w:r>
      <w:r w:rsidR="00B0038B" w:rsidRPr="004E71B5">
        <w:rPr>
          <w:rFonts w:ascii="Source Sans Pro" w:hAnsi="Source Sans Pro"/>
        </w:rPr>
        <w:t xml:space="preserve"> the </w:t>
      </w:r>
      <w:r w:rsidR="006E4915" w:rsidRPr="004E71B5">
        <w:rPr>
          <w:rFonts w:ascii="Source Sans Pro" w:hAnsi="Source Sans Pro"/>
        </w:rPr>
        <w:t xml:space="preserve">situation of the two </w:t>
      </w:r>
      <w:r w:rsidR="00B0038B" w:rsidRPr="004E71B5">
        <w:rPr>
          <w:rFonts w:ascii="Source Sans Pro" w:hAnsi="Source Sans Pro"/>
        </w:rPr>
        <w:t xml:space="preserve">sectors not </w:t>
      </w:r>
      <w:r w:rsidR="00B41496" w:rsidRPr="004E71B5">
        <w:rPr>
          <w:rFonts w:ascii="Source Sans Pro" w:hAnsi="Source Sans Pro"/>
        </w:rPr>
        <w:t xml:space="preserve">being </w:t>
      </w:r>
      <w:r w:rsidR="00B0038B" w:rsidRPr="004E71B5">
        <w:rPr>
          <w:rFonts w:ascii="Source Sans Pro" w:hAnsi="Source Sans Pro"/>
        </w:rPr>
        <w:t xml:space="preserve">comparable. The dividend restrictions </w:t>
      </w:r>
      <w:r w:rsidR="00B41496" w:rsidRPr="004E71B5">
        <w:rPr>
          <w:rFonts w:ascii="Source Sans Pro" w:hAnsi="Source Sans Pro"/>
        </w:rPr>
        <w:t xml:space="preserve">placed on </w:t>
      </w:r>
      <w:r w:rsidR="00B0038B" w:rsidRPr="004E71B5">
        <w:rPr>
          <w:rFonts w:ascii="Source Sans Pro" w:hAnsi="Source Sans Pro"/>
        </w:rPr>
        <w:t xml:space="preserve">banks ensure that the capital relief and support </w:t>
      </w:r>
      <w:r w:rsidR="006E4915" w:rsidRPr="004E71B5">
        <w:rPr>
          <w:rFonts w:ascii="Source Sans Pro" w:hAnsi="Source Sans Pro"/>
        </w:rPr>
        <w:t xml:space="preserve">given to </w:t>
      </w:r>
      <w:r w:rsidR="00B0038B" w:rsidRPr="004E71B5">
        <w:rPr>
          <w:rFonts w:ascii="Source Sans Pro" w:hAnsi="Source Sans Pro"/>
        </w:rPr>
        <w:t xml:space="preserve">the banking sector </w:t>
      </w:r>
      <w:r w:rsidR="0017260C" w:rsidRPr="004E71B5">
        <w:rPr>
          <w:rFonts w:ascii="Source Sans Pro" w:hAnsi="Source Sans Pro"/>
        </w:rPr>
        <w:t>is exclusively used</w:t>
      </w:r>
      <w:r w:rsidR="00B0038B" w:rsidRPr="004E71B5">
        <w:rPr>
          <w:rFonts w:ascii="Source Sans Pro" w:hAnsi="Source Sans Pro"/>
        </w:rPr>
        <w:t xml:space="preserve"> to</w:t>
      </w:r>
      <w:r w:rsidR="002C6A26" w:rsidRPr="004E71B5">
        <w:rPr>
          <w:rFonts w:ascii="Source Sans Pro" w:hAnsi="Source Sans Pro"/>
        </w:rPr>
        <w:t xml:space="preserve"> </w:t>
      </w:r>
      <w:r w:rsidR="002C6A26" w:rsidRPr="00B26392">
        <w:rPr>
          <w:rFonts w:ascii="Source Sans Pro" w:hAnsi="Source Sans Pro"/>
        </w:rPr>
        <w:t>boost banks’ capacity to absorb losses and support lending to households, small businesses and corporates during the coronavirus</w:t>
      </w:r>
      <w:r w:rsidR="00B82111" w:rsidRPr="00B26392">
        <w:rPr>
          <w:rFonts w:ascii="Source Sans Pro" w:hAnsi="Source Sans Pro"/>
        </w:rPr>
        <w:t xml:space="preserve"> pandemic</w:t>
      </w:r>
      <w:r w:rsidR="00B0038B" w:rsidRPr="00B26392">
        <w:rPr>
          <w:rFonts w:ascii="Source Sans Pro" w:hAnsi="Source Sans Pro"/>
        </w:rPr>
        <w:t xml:space="preserve">. </w:t>
      </w:r>
      <w:r w:rsidR="00AF42FC" w:rsidRPr="00B26392">
        <w:rPr>
          <w:rFonts w:ascii="Source Sans Pro" w:hAnsi="Source Sans Pro"/>
        </w:rPr>
        <w:t xml:space="preserve"> </w:t>
      </w:r>
      <w:r w:rsidR="005A0708" w:rsidRPr="00B26392">
        <w:rPr>
          <w:rFonts w:ascii="Source Sans Pro" w:hAnsi="Source Sans Pro"/>
        </w:rPr>
        <w:t>N</w:t>
      </w:r>
      <w:r w:rsidR="00B0038B" w:rsidRPr="00B26392">
        <w:rPr>
          <w:rFonts w:ascii="Source Sans Pro" w:hAnsi="Source Sans Pro"/>
        </w:rPr>
        <w:t xml:space="preserve">o such </w:t>
      </w:r>
      <w:r w:rsidR="007C2688" w:rsidRPr="00B26392">
        <w:rPr>
          <w:rFonts w:ascii="Source Sans Pro" w:hAnsi="Source Sans Pro"/>
        </w:rPr>
        <w:t>capital relief</w:t>
      </w:r>
      <w:r w:rsidR="00EE1062" w:rsidRPr="00B26392">
        <w:rPr>
          <w:rFonts w:ascii="Source Sans Pro" w:hAnsi="Source Sans Pro"/>
        </w:rPr>
        <w:t xml:space="preserve"> </w:t>
      </w:r>
      <w:r w:rsidR="00B0038B" w:rsidRPr="00B26392">
        <w:rPr>
          <w:rFonts w:ascii="Source Sans Pro" w:hAnsi="Source Sans Pro"/>
        </w:rPr>
        <w:t>ha</w:t>
      </w:r>
      <w:r w:rsidR="00EE1062" w:rsidRPr="00B26392">
        <w:rPr>
          <w:rFonts w:ascii="Source Sans Pro" w:hAnsi="Source Sans Pro"/>
        </w:rPr>
        <w:t>s</w:t>
      </w:r>
      <w:r w:rsidR="00B0038B" w:rsidRPr="00B26392">
        <w:rPr>
          <w:rFonts w:ascii="Source Sans Pro" w:hAnsi="Source Sans Pro"/>
        </w:rPr>
        <w:t xml:space="preserve"> </w:t>
      </w:r>
      <w:r w:rsidR="00EE1062" w:rsidRPr="00B26392">
        <w:rPr>
          <w:rFonts w:ascii="Source Sans Pro" w:hAnsi="Source Sans Pro"/>
        </w:rPr>
        <w:t xml:space="preserve">been </w:t>
      </w:r>
      <w:r w:rsidR="00914FD2" w:rsidRPr="00B26392">
        <w:rPr>
          <w:rFonts w:ascii="Source Sans Pro" w:hAnsi="Source Sans Pro"/>
        </w:rPr>
        <w:t xml:space="preserve">offered </w:t>
      </w:r>
      <w:r w:rsidR="005A0708" w:rsidRPr="00B26392">
        <w:rPr>
          <w:rFonts w:ascii="Source Sans Pro" w:hAnsi="Source Sans Pro"/>
        </w:rPr>
        <w:t>to insurers</w:t>
      </w:r>
      <w:r w:rsidR="002E53E2" w:rsidRPr="004E71B5">
        <w:rPr>
          <w:rFonts w:ascii="Source Sans Pro" w:hAnsi="Source Sans Pro"/>
        </w:rPr>
        <w:t>,</w:t>
      </w:r>
      <w:r w:rsidR="007C2688" w:rsidRPr="004E71B5">
        <w:rPr>
          <w:rFonts w:ascii="Source Sans Pro" w:hAnsi="Source Sans Pro"/>
        </w:rPr>
        <w:t xml:space="preserve"> nor has it been requested by the industry</w:t>
      </w:r>
      <w:r w:rsidR="00B0038B" w:rsidRPr="004E71B5">
        <w:rPr>
          <w:rFonts w:ascii="Source Sans Pro" w:hAnsi="Source Sans Pro"/>
        </w:rPr>
        <w:t>.</w:t>
      </w:r>
    </w:p>
    <w:p w14:paraId="1F782633" w14:textId="77777777" w:rsidR="00B0038B" w:rsidRPr="000B5796" w:rsidRDefault="00B0038B" w:rsidP="000417E9">
      <w:pPr>
        <w:pStyle w:val="Normlnywebov"/>
        <w:spacing w:before="0" w:beforeAutospacing="0" w:after="0" w:afterAutospacing="0" w:line="288" w:lineRule="auto"/>
        <w:rPr>
          <w:rFonts w:ascii="Source Sans Pro" w:hAnsi="Source Sans Pro"/>
        </w:rPr>
      </w:pPr>
    </w:p>
    <w:p w14:paraId="3695BACA" w14:textId="2DDEE545" w:rsidR="00E06306" w:rsidRPr="005F5C38" w:rsidRDefault="00E06306" w:rsidP="000417E9">
      <w:pPr>
        <w:pStyle w:val="Default"/>
        <w:rPr>
          <w:rFonts w:ascii="Source Sans Pro" w:hAnsi="Source Sans Pro"/>
          <w:sz w:val="22"/>
          <w:szCs w:val="22"/>
        </w:rPr>
      </w:pPr>
      <w:r w:rsidRPr="005F5C38">
        <w:rPr>
          <w:rFonts w:ascii="Source Sans Pro" w:hAnsi="Source Sans Pro"/>
          <w:sz w:val="22"/>
          <w:szCs w:val="22"/>
        </w:rPr>
        <w:t xml:space="preserve">We would welcome the opportunity to discuss this topic with you. </w:t>
      </w:r>
    </w:p>
    <w:p w14:paraId="756D7F37" w14:textId="77777777" w:rsidR="00BD17B6" w:rsidRDefault="00BD17B6" w:rsidP="000417E9">
      <w:pPr>
        <w:pStyle w:val="Normlnywebov"/>
        <w:spacing w:before="0" w:beforeAutospacing="0" w:after="0" w:afterAutospacing="0" w:line="288" w:lineRule="auto"/>
        <w:rPr>
          <w:rFonts w:ascii="Source Sans Pro" w:hAnsi="Source Sans Pro"/>
        </w:rPr>
      </w:pPr>
    </w:p>
    <w:p w14:paraId="5AB3B34B" w14:textId="0D684D63" w:rsidR="00DC7761" w:rsidRPr="000B5796" w:rsidRDefault="00E06306" w:rsidP="000417E9">
      <w:pPr>
        <w:pStyle w:val="Normlnywebov"/>
        <w:spacing w:before="0" w:beforeAutospacing="0" w:after="0" w:afterAutospacing="0" w:line="288" w:lineRule="auto"/>
        <w:rPr>
          <w:rFonts w:ascii="Source Sans Pro" w:hAnsi="Source Sans Pro"/>
          <w:bCs/>
        </w:rPr>
      </w:pPr>
      <w:r w:rsidRPr="005F5C38">
        <w:rPr>
          <w:rFonts w:ascii="Source Sans Pro" w:hAnsi="Source Sans Pro"/>
        </w:rPr>
        <w:t>Best regards,</w:t>
      </w:r>
    </w:p>
    <w:p w14:paraId="0D44F3C6" w14:textId="6D9D2100" w:rsidR="007E5400" w:rsidRPr="000B5796" w:rsidRDefault="00491349" w:rsidP="000417E9">
      <w:pPr>
        <w:pStyle w:val="Normlnywebov"/>
        <w:spacing w:before="0" w:beforeAutospacing="0" w:after="0" w:afterAutospacing="0" w:line="288" w:lineRule="auto"/>
        <w:rPr>
          <w:rFonts w:ascii="Source Sans Pro" w:hAnsi="Source Sans Pro"/>
        </w:rPr>
      </w:pPr>
      <w:r w:rsidRPr="000B5796">
        <w:rPr>
          <w:rFonts w:ascii="Source Sans Pro" w:hAnsi="Source Sans Pro"/>
          <w:bCs/>
        </w:rPr>
        <w:tab/>
      </w:r>
    </w:p>
    <w:sectPr w:rsidR="007E5400" w:rsidRPr="000B579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44FA6" w14:textId="77777777" w:rsidR="00900C74" w:rsidRDefault="00900C74" w:rsidP="0064120E">
      <w:pPr>
        <w:spacing w:after="0" w:line="240" w:lineRule="auto"/>
      </w:pPr>
      <w:r>
        <w:separator/>
      </w:r>
    </w:p>
  </w:endnote>
  <w:endnote w:type="continuationSeparator" w:id="0">
    <w:p w14:paraId="252AAA7A" w14:textId="77777777" w:rsidR="00900C74" w:rsidRDefault="00900C74" w:rsidP="0064120E">
      <w:pPr>
        <w:spacing w:after="0" w:line="240" w:lineRule="auto"/>
      </w:pPr>
      <w:r>
        <w:continuationSeparator/>
      </w:r>
    </w:p>
  </w:endnote>
  <w:endnote w:type="continuationNotice" w:id="1">
    <w:p w14:paraId="14877793" w14:textId="77777777" w:rsidR="00900C74" w:rsidRDefault="00900C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0F652" w14:textId="77777777" w:rsidR="00900C74" w:rsidRDefault="00900C7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BD973" w14:textId="77777777" w:rsidR="00900C74" w:rsidRDefault="00900C74">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6EAF9" w14:textId="77777777" w:rsidR="00900C74" w:rsidRDefault="00900C7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6241A" w14:textId="77777777" w:rsidR="00900C74" w:rsidRDefault="00900C74" w:rsidP="0064120E">
      <w:pPr>
        <w:spacing w:after="0" w:line="240" w:lineRule="auto"/>
      </w:pPr>
      <w:r>
        <w:separator/>
      </w:r>
    </w:p>
  </w:footnote>
  <w:footnote w:type="continuationSeparator" w:id="0">
    <w:p w14:paraId="7BE3DB39" w14:textId="77777777" w:rsidR="00900C74" w:rsidRDefault="00900C74" w:rsidP="0064120E">
      <w:pPr>
        <w:spacing w:after="0" w:line="240" w:lineRule="auto"/>
      </w:pPr>
      <w:r>
        <w:continuationSeparator/>
      </w:r>
    </w:p>
  </w:footnote>
  <w:footnote w:type="continuationNotice" w:id="1">
    <w:p w14:paraId="0493F9BF" w14:textId="77777777" w:rsidR="00900C74" w:rsidRDefault="00900C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A78EA" w14:textId="77777777" w:rsidR="00900C74" w:rsidRDefault="00900C7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6787984"/>
      <w:docPartObj>
        <w:docPartGallery w:val="Watermarks"/>
        <w:docPartUnique/>
      </w:docPartObj>
    </w:sdtPr>
    <w:sdtEndPr/>
    <w:sdtContent>
      <w:p w14:paraId="0A73E372" w14:textId="2F593F98" w:rsidR="00900C74" w:rsidRDefault="00860D28">
        <w:pPr>
          <w:pStyle w:val="Hlavika"/>
        </w:pPr>
        <w:r>
          <w:rPr>
            <w:noProof/>
          </w:rPr>
          <w:pict w14:anchorId="2F913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E91BC" w14:textId="77777777" w:rsidR="00900C74" w:rsidRDefault="00900C7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611C7"/>
    <w:multiLevelType w:val="hybridMultilevel"/>
    <w:tmpl w:val="52A26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13209E"/>
    <w:multiLevelType w:val="hybridMultilevel"/>
    <w:tmpl w:val="FC3EA0EC"/>
    <w:lvl w:ilvl="0" w:tplc="7E18EBE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2D7490"/>
    <w:multiLevelType w:val="hybridMultilevel"/>
    <w:tmpl w:val="F1ACF636"/>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1E50FC9"/>
    <w:multiLevelType w:val="hybridMultilevel"/>
    <w:tmpl w:val="BAC49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2F3770"/>
    <w:multiLevelType w:val="hybridMultilevel"/>
    <w:tmpl w:val="2AE870A6"/>
    <w:lvl w:ilvl="0" w:tplc="7E18EBE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5321FB"/>
    <w:multiLevelType w:val="hybridMultilevel"/>
    <w:tmpl w:val="6D2CA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367B46"/>
    <w:multiLevelType w:val="hybridMultilevel"/>
    <w:tmpl w:val="E88267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A15"/>
    <w:rsid w:val="00023591"/>
    <w:rsid w:val="000402B2"/>
    <w:rsid w:val="000417E9"/>
    <w:rsid w:val="00041B9F"/>
    <w:rsid w:val="00041E1E"/>
    <w:rsid w:val="000700CE"/>
    <w:rsid w:val="000A6FBE"/>
    <w:rsid w:val="000B187C"/>
    <w:rsid w:val="000B5796"/>
    <w:rsid w:val="000B6114"/>
    <w:rsid w:val="000C5D50"/>
    <w:rsid w:val="000D3A42"/>
    <w:rsid w:val="000D5E50"/>
    <w:rsid w:val="000F330E"/>
    <w:rsid w:val="000F54A6"/>
    <w:rsid w:val="000F6DAD"/>
    <w:rsid w:val="0011439B"/>
    <w:rsid w:val="001159EE"/>
    <w:rsid w:val="00137F2B"/>
    <w:rsid w:val="00144010"/>
    <w:rsid w:val="00147ADD"/>
    <w:rsid w:val="00150B9B"/>
    <w:rsid w:val="00151E5E"/>
    <w:rsid w:val="001601CF"/>
    <w:rsid w:val="00160651"/>
    <w:rsid w:val="00172085"/>
    <w:rsid w:val="0017260C"/>
    <w:rsid w:val="001906C9"/>
    <w:rsid w:val="00190E39"/>
    <w:rsid w:val="001A4696"/>
    <w:rsid w:val="001B41AE"/>
    <w:rsid w:val="001C4F43"/>
    <w:rsid w:val="001D448B"/>
    <w:rsid w:val="00210D36"/>
    <w:rsid w:val="00224861"/>
    <w:rsid w:val="00244195"/>
    <w:rsid w:val="00251D39"/>
    <w:rsid w:val="00264BEE"/>
    <w:rsid w:val="002657E9"/>
    <w:rsid w:val="00266164"/>
    <w:rsid w:val="00273FDE"/>
    <w:rsid w:val="00282B03"/>
    <w:rsid w:val="00290F79"/>
    <w:rsid w:val="002A1B65"/>
    <w:rsid w:val="002C6A26"/>
    <w:rsid w:val="002D3029"/>
    <w:rsid w:val="002D573A"/>
    <w:rsid w:val="002E53E2"/>
    <w:rsid w:val="0030319B"/>
    <w:rsid w:val="0033361C"/>
    <w:rsid w:val="003457EC"/>
    <w:rsid w:val="0035567B"/>
    <w:rsid w:val="00365101"/>
    <w:rsid w:val="003711EB"/>
    <w:rsid w:val="0039184D"/>
    <w:rsid w:val="003A0F36"/>
    <w:rsid w:val="003A75E4"/>
    <w:rsid w:val="003B4C98"/>
    <w:rsid w:val="003D0A4F"/>
    <w:rsid w:val="003E7D8F"/>
    <w:rsid w:val="00401BA0"/>
    <w:rsid w:val="00414BAB"/>
    <w:rsid w:val="0042324B"/>
    <w:rsid w:val="00440FEE"/>
    <w:rsid w:val="00446650"/>
    <w:rsid w:val="00450FF1"/>
    <w:rsid w:val="00455412"/>
    <w:rsid w:val="004751B7"/>
    <w:rsid w:val="00480F54"/>
    <w:rsid w:val="00491349"/>
    <w:rsid w:val="004A3958"/>
    <w:rsid w:val="004C2E8C"/>
    <w:rsid w:val="004E71B5"/>
    <w:rsid w:val="00522D89"/>
    <w:rsid w:val="005544BC"/>
    <w:rsid w:val="0055677A"/>
    <w:rsid w:val="00567267"/>
    <w:rsid w:val="00567CD2"/>
    <w:rsid w:val="005718DD"/>
    <w:rsid w:val="00596D1D"/>
    <w:rsid w:val="005A0708"/>
    <w:rsid w:val="005A7642"/>
    <w:rsid w:val="005B0022"/>
    <w:rsid w:val="005C3882"/>
    <w:rsid w:val="005D5B02"/>
    <w:rsid w:val="005E6141"/>
    <w:rsid w:val="005F1B8E"/>
    <w:rsid w:val="005F3709"/>
    <w:rsid w:val="005F5C38"/>
    <w:rsid w:val="00606EB5"/>
    <w:rsid w:val="006306F3"/>
    <w:rsid w:val="006353C4"/>
    <w:rsid w:val="006357C7"/>
    <w:rsid w:val="00637019"/>
    <w:rsid w:val="00637D70"/>
    <w:rsid w:val="0064120E"/>
    <w:rsid w:val="00676A77"/>
    <w:rsid w:val="00685675"/>
    <w:rsid w:val="00694458"/>
    <w:rsid w:val="006C5506"/>
    <w:rsid w:val="006C7B3B"/>
    <w:rsid w:val="006C7C21"/>
    <w:rsid w:val="006D1617"/>
    <w:rsid w:val="006E4915"/>
    <w:rsid w:val="00700068"/>
    <w:rsid w:val="007178BB"/>
    <w:rsid w:val="0075013C"/>
    <w:rsid w:val="00752B91"/>
    <w:rsid w:val="00787C9D"/>
    <w:rsid w:val="007918ED"/>
    <w:rsid w:val="00792370"/>
    <w:rsid w:val="007A03B8"/>
    <w:rsid w:val="007A247B"/>
    <w:rsid w:val="007A5081"/>
    <w:rsid w:val="007B1673"/>
    <w:rsid w:val="007C2688"/>
    <w:rsid w:val="007E5400"/>
    <w:rsid w:val="007F74A7"/>
    <w:rsid w:val="00826F2E"/>
    <w:rsid w:val="00830FE8"/>
    <w:rsid w:val="0085413A"/>
    <w:rsid w:val="00860D28"/>
    <w:rsid w:val="00865075"/>
    <w:rsid w:val="00872E1B"/>
    <w:rsid w:val="00873DD5"/>
    <w:rsid w:val="0088352F"/>
    <w:rsid w:val="008961E2"/>
    <w:rsid w:val="00896877"/>
    <w:rsid w:val="00897632"/>
    <w:rsid w:val="008B3398"/>
    <w:rsid w:val="00900C74"/>
    <w:rsid w:val="00903D55"/>
    <w:rsid w:val="00914FD2"/>
    <w:rsid w:val="009262B9"/>
    <w:rsid w:val="00944504"/>
    <w:rsid w:val="00944EF3"/>
    <w:rsid w:val="00951FFA"/>
    <w:rsid w:val="00957CD9"/>
    <w:rsid w:val="00971C83"/>
    <w:rsid w:val="00973FE4"/>
    <w:rsid w:val="00976796"/>
    <w:rsid w:val="00985F91"/>
    <w:rsid w:val="009867F8"/>
    <w:rsid w:val="009873DC"/>
    <w:rsid w:val="00987FC7"/>
    <w:rsid w:val="00994149"/>
    <w:rsid w:val="009A0FCB"/>
    <w:rsid w:val="009A5C45"/>
    <w:rsid w:val="009B60DE"/>
    <w:rsid w:val="009C0B79"/>
    <w:rsid w:val="009D7874"/>
    <w:rsid w:val="009E16DE"/>
    <w:rsid w:val="009E67F4"/>
    <w:rsid w:val="009F656F"/>
    <w:rsid w:val="00A04891"/>
    <w:rsid w:val="00A30A15"/>
    <w:rsid w:val="00A32221"/>
    <w:rsid w:val="00A333FD"/>
    <w:rsid w:val="00A344BF"/>
    <w:rsid w:val="00A50391"/>
    <w:rsid w:val="00A60142"/>
    <w:rsid w:val="00A60DE8"/>
    <w:rsid w:val="00A62F99"/>
    <w:rsid w:val="00A66731"/>
    <w:rsid w:val="00A850E3"/>
    <w:rsid w:val="00A8666C"/>
    <w:rsid w:val="00AB1856"/>
    <w:rsid w:val="00AB1EF0"/>
    <w:rsid w:val="00AB611A"/>
    <w:rsid w:val="00AC6D6C"/>
    <w:rsid w:val="00AD1A32"/>
    <w:rsid w:val="00AE765D"/>
    <w:rsid w:val="00AF42FC"/>
    <w:rsid w:val="00B0038B"/>
    <w:rsid w:val="00B17CE8"/>
    <w:rsid w:val="00B26392"/>
    <w:rsid w:val="00B41496"/>
    <w:rsid w:val="00B41E28"/>
    <w:rsid w:val="00B54330"/>
    <w:rsid w:val="00B758E4"/>
    <w:rsid w:val="00B80641"/>
    <w:rsid w:val="00B82111"/>
    <w:rsid w:val="00BB551A"/>
    <w:rsid w:val="00BD17B6"/>
    <w:rsid w:val="00BD7F0F"/>
    <w:rsid w:val="00BF1CF6"/>
    <w:rsid w:val="00C252B1"/>
    <w:rsid w:val="00C86136"/>
    <w:rsid w:val="00C86EC7"/>
    <w:rsid w:val="00C9676B"/>
    <w:rsid w:val="00CA6DE1"/>
    <w:rsid w:val="00CC133A"/>
    <w:rsid w:val="00CD134B"/>
    <w:rsid w:val="00CD7C32"/>
    <w:rsid w:val="00CE372E"/>
    <w:rsid w:val="00D20F77"/>
    <w:rsid w:val="00D316E5"/>
    <w:rsid w:val="00D34168"/>
    <w:rsid w:val="00D3498A"/>
    <w:rsid w:val="00D40BA6"/>
    <w:rsid w:val="00D42368"/>
    <w:rsid w:val="00D43941"/>
    <w:rsid w:val="00D57144"/>
    <w:rsid w:val="00D6040F"/>
    <w:rsid w:val="00D70809"/>
    <w:rsid w:val="00D87E16"/>
    <w:rsid w:val="00D91984"/>
    <w:rsid w:val="00D95B6E"/>
    <w:rsid w:val="00DA5A54"/>
    <w:rsid w:val="00DC7761"/>
    <w:rsid w:val="00DE406E"/>
    <w:rsid w:val="00DE528C"/>
    <w:rsid w:val="00E06306"/>
    <w:rsid w:val="00E07EA2"/>
    <w:rsid w:val="00E30A5D"/>
    <w:rsid w:val="00E41ED9"/>
    <w:rsid w:val="00E421E2"/>
    <w:rsid w:val="00E46BEF"/>
    <w:rsid w:val="00E54CCC"/>
    <w:rsid w:val="00E849A6"/>
    <w:rsid w:val="00E92A51"/>
    <w:rsid w:val="00E931B3"/>
    <w:rsid w:val="00EC1255"/>
    <w:rsid w:val="00EC2B64"/>
    <w:rsid w:val="00EE1062"/>
    <w:rsid w:val="00EE527D"/>
    <w:rsid w:val="00F1333E"/>
    <w:rsid w:val="00F20376"/>
    <w:rsid w:val="00F2685A"/>
    <w:rsid w:val="00F31053"/>
    <w:rsid w:val="00F43FCD"/>
    <w:rsid w:val="00F61577"/>
    <w:rsid w:val="00F63692"/>
    <w:rsid w:val="00F66384"/>
    <w:rsid w:val="00F72BD5"/>
    <w:rsid w:val="00F8705B"/>
    <w:rsid w:val="00FA056A"/>
    <w:rsid w:val="00FA3818"/>
    <w:rsid w:val="00FA41DC"/>
    <w:rsid w:val="00FB1164"/>
    <w:rsid w:val="00FB467C"/>
    <w:rsid w:val="00FE7C71"/>
    <w:rsid w:val="00FF36C0"/>
    <w:rsid w:val="00FF48C7"/>
    <w:rsid w:val="00FF745A"/>
  </w:rsids>
  <m:mathPr>
    <m:mathFont m:val="Cambria Math"/>
    <m:brkBin m:val="before"/>
    <m:brkBinSub m:val="--"/>
    <m:smallFrac m:val="0"/>
    <m:dispDef/>
    <m:lMargin m:val="0"/>
    <m:rMargin m:val="0"/>
    <m:defJc m:val="centerGroup"/>
    <m:wrapIndent m:val="1440"/>
    <m:intLim m:val="subSup"/>
    <m:naryLim m:val="undOvr"/>
  </m:mathPr>
  <w:themeFontLang w:val="fr-B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EF88E9"/>
  <w15:chartTrackingRefBased/>
  <w15:docId w15:val="{B2B973CD-9770-4468-A240-0F70357F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8705B"/>
    <w:pPr>
      <w:spacing w:line="288" w:lineRule="auto"/>
    </w:pPr>
    <w:rPr>
      <w:rFonts w:ascii="Verdana" w:hAnsi="Verdana"/>
      <w:sz w:val="17"/>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973FE4"/>
    <w:pPr>
      <w:spacing w:before="100" w:beforeAutospacing="1" w:after="100" w:afterAutospacing="1" w:line="240" w:lineRule="auto"/>
    </w:pPr>
    <w:rPr>
      <w:rFonts w:ascii="Calibri" w:hAnsi="Calibri" w:cs="Calibri"/>
      <w:sz w:val="22"/>
      <w:lang w:val="en-GB" w:eastAsia="en-GB"/>
    </w:rPr>
  </w:style>
  <w:style w:type="character" w:styleId="Odkaznakomentr">
    <w:name w:val="annotation reference"/>
    <w:basedOn w:val="Predvolenpsmoodseku"/>
    <w:uiPriority w:val="99"/>
    <w:semiHidden/>
    <w:unhideWhenUsed/>
    <w:rsid w:val="00B0038B"/>
    <w:rPr>
      <w:sz w:val="16"/>
      <w:szCs w:val="16"/>
    </w:rPr>
  </w:style>
  <w:style w:type="paragraph" w:styleId="Textkomentra">
    <w:name w:val="annotation text"/>
    <w:basedOn w:val="Normlny"/>
    <w:link w:val="TextkomentraChar"/>
    <w:uiPriority w:val="99"/>
    <w:semiHidden/>
    <w:unhideWhenUsed/>
    <w:rsid w:val="00B0038B"/>
    <w:pPr>
      <w:spacing w:line="240" w:lineRule="auto"/>
    </w:pPr>
    <w:rPr>
      <w:sz w:val="20"/>
      <w:szCs w:val="20"/>
    </w:rPr>
  </w:style>
  <w:style w:type="character" w:customStyle="1" w:styleId="TextkomentraChar">
    <w:name w:val="Text komentára Char"/>
    <w:basedOn w:val="Predvolenpsmoodseku"/>
    <w:link w:val="Textkomentra"/>
    <w:uiPriority w:val="99"/>
    <w:semiHidden/>
    <w:rsid w:val="00B0038B"/>
    <w:rPr>
      <w:rFonts w:ascii="Verdana" w:hAnsi="Verdana"/>
      <w:sz w:val="20"/>
      <w:szCs w:val="20"/>
    </w:rPr>
  </w:style>
  <w:style w:type="paragraph" w:styleId="Predmetkomentra">
    <w:name w:val="annotation subject"/>
    <w:basedOn w:val="Textkomentra"/>
    <w:next w:val="Textkomentra"/>
    <w:link w:val="PredmetkomentraChar"/>
    <w:uiPriority w:val="99"/>
    <w:semiHidden/>
    <w:unhideWhenUsed/>
    <w:rsid w:val="00B0038B"/>
    <w:rPr>
      <w:b/>
      <w:bCs/>
    </w:rPr>
  </w:style>
  <w:style w:type="character" w:customStyle="1" w:styleId="PredmetkomentraChar">
    <w:name w:val="Predmet komentára Char"/>
    <w:basedOn w:val="TextkomentraChar"/>
    <w:link w:val="Predmetkomentra"/>
    <w:uiPriority w:val="99"/>
    <w:semiHidden/>
    <w:rsid w:val="00B0038B"/>
    <w:rPr>
      <w:rFonts w:ascii="Verdana" w:hAnsi="Verdana"/>
      <w:b/>
      <w:bCs/>
      <w:sz w:val="20"/>
      <w:szCs w:val="20"/>
    </w:rPr>
  </w:style>
  <w:style w:type="paragraph" w:styleId="Textbubliny">
    <w:name w:val="Balloon Text"/>
    <w:basedOn w:val="Normlny"/>
    <w:link w:val="TextbublinyChar"/>
    <w:uiPriority w:val="99"/>
    <w:semiHidden/>
    <w:unhideWhenUsed/>
    <w:rsid w:val="00B0038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0038B"/>
    <w:rPr>
      <w:rFonts w:ascii="Segoe UI" w:hAnsi="Segoe UI" w:cs="Segoe UI"/>
      <w:sz w:val="18"/>
      <w:szCs w:val="18"/>
    </w:rPr>
  </w:style>
  <w:style w:type="paragraph" w:styleId="Odsekzoznamu">
    <w:name w:val="List Paragraph"/>
    <w:basedOn w:val="Normlny"/>
    <w:uiPriority w:val="34"/>
    <w:qFormat/>
    <w:rsid w:val="0017260C"/>
    <w:pPr>
      <w:ind w:left="720"/>
      <w:contextualSpacing/>
    </w:pPr>
  </w:style>
  <w:style w:type="character" w:styleId="Hypertextovprepojenie">
    <w:name w:val="Hyperlink"/>
    <w:basedOn w:val="Predvolenpsmoodseku"/>
    <w:uiPriority w:val="99"/>
    <w:semiHidden/>
    <w:unhideWhenUsed/>
    <w:rsid w:val="00F31053"/>
    <w:rPr>
      <w:color w:val="0563C1"/>
      <w:u w:val="single"/>
    </w:rPr>
  </w:style>
  <w:style w:type="paragraph" w:styleId="Revzia">
    <w:name w:val="Revision"/>
    <w:hidden/>
    <w:uiPriority w:val="99"/>
    <w:semiHidden/>
    <w:rsid w:val="0033361C"/>
    <w:pPr>
      <w:spacing w:after="0" w:line="240" w:lineRule="auto"/>
    </w:pPr>
    <w:rPr>
      <w:rFonts w:ascii="Verdana" w:hAnsi="Verdana"/>
      <w:sz w:val="17"/>
    </w:rPr>
  </w:style>
  <w:style w:type="paragraph" w:styleId="Textpoznmkypodiarou">
    <w:name w:val="footnote text"/>
    <w:basedOn w:val="Normlny"/>
    <w:link w:val="TextpoznmkypodiarouChar"/>
    <w:uiPriority w:val="99"/>
    <w:semiHidden/>
    <w:unhideWhenUsed/>
    <w:rsid w:val="0064120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64120E"/>
    <w:rPr>
      <w:rFonts w:ascii="Verdana" w:hAnsi="Verdana"/>
      <w:sz w:val="20"/>
      <w:szCs w:val="20"/>
    </w:rPr>
  </w:style>
  <w:style w:type="character" w:styleId="Odkaznapoznmkupodiarou">
    <w:name w:val="footnote reference"/>
    <w:basedOn w:val="Predvolenpsmoodseku"/>
    <w:uiPriority w:val="99"/>
    <w:semiHidden/>
    <w:unhideWhenUsed/>
    <w:rsid w:val="0064120E"/>
    <w:rPr>
      <w:vertAlign w:val="superscript"/>
    </w:rPr>
  </w:style>
  <w:style w:type="paragraph" w:styleId="Hlavika">
    <w:name w:val="header"/>
    <w:basedOn w:val="Normlny"/>
    <w:link w:val="HlavikaChar"/>
    <w:uiPriority w:val="99"/>
    <w:unhideWhenUsed/>
    <w:rsid w:val="00FB1164"/>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FB1164"/>
    <w:rPr>
      <w:rFonts w:ascii="Verdana" w:hAnsi="Verdana"/>
      <w:sz w:val="17"/>
    </w:rPr>
  </w:style>
  <w:style w:type="paragraph" w:styleId="Pta">
    <w:name w:val="footer"/>
    <w:basedOn w:val="Normlny"/>
    <w:link w:val="PtaChar"/>
    <w:uiPriority w:val="99"/>
    <w:unhideWhenUsed/>
    <w:rsid w:val="00FB1164"/>
    <w:pPr>
      <w:tabs>
        <w:tab w:val="center" w:pos="4513"/>
        <w:tab w:val="right" w:pos="9026"/>
      </w:tabs>
      <w:spacing w:after="0" w:line="240" w:lineRule="auto"/>
    </w:pPr>
  </w:style>
  <w:style w:type="character" w:customStyle="1" w:styleId="PtaChar">
    <w:name w:val="Päta Char"/>
    <w:basedOn w:val="Predvolenpsmoodseku"/>
    <w:link w:val="Pta"/>
    <w:uiPriority w:val="99"/>
    <w:rsid w:val="00FB1164"/>
    <w:rPr>
      <w:rFonts w:ascii="Verdana" w:hAnsi="Verdana"/>
      <w:sz w:val="17"/>
    </w:rPr>
  </w:style>
  <w:style w:type="paragraph" w:customStyle="1" w:styleId="Default">
    <w:name w:val="Default"/>
    <w:rsid w:val="00E06306"/>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35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ublished Documents" ma:contentTypeID="0x0101000FCF08F96A5A2F428D34FBFBBCC0A573" ma:contentTypeVersion="0" ma:contentTypeDescription="Published Documents Content types for Insurance Europe" ma:contentTypeScope="" ma:versionID="5e78fb665628ea15f5ff0aab78559a20">
  <xsd:schema xmlns:xsd="http://www.w3.org/2001/XMLSchema" xmlns:xs="http://www.w3.org/2001/XMLSchema" xmlns:p="http://schemas.microsoft.com/office/2006/metadata/properties" xmlns:ns2="e092deee-a6f6-4f89-8a6c-e2a43e9fb5cf" xmlns:ns3="$ListId:PublishedDocuments;" xmlns:ns4="34d7415f-f1a4-44df-8e35-2ceaafd480dc" xmlns:ns5="0db322c1-ecdf-4c8f-bade-e13d7e7097d4" xmlns:ns6="70f7eb82-310d-4963-bf1e-a4c2a37fd81c" targetNamespace="http://schemas.microsoft.com/office/2006/metadata/properties" ma:root="true" ma:fieldsID="b1f8455f3cc5d4230a6a0b3884076d77" ns2:_="" ns3:_="" ns4:_="" ns5:_="" ns6:_="">
    <xsd:import namespace="e092deee-a6f6-4f89-8a6c-e2a43e9fb5cf"/>
    <xsd:import namespace="$ListId:PublishedDocuments;"/>
    <xsd:import namespace="34d7415f-f1a4-44df-8e35-2ceaafd480dc"/>
    <xsd:import namespace="0db322c1-ecdf-4c8f-bade-e13d7e7097d4"/>
    <xsd:import namespace="70f7eb82-310d-4963-bf1e-a4c2a37fd81c"/>
    <xsd:element name="properties">
      <xsd:complexType>
        <xsd:sequence>
          <xsd:element name="documentManagement">
            <xsd:complexType>
              <xsd:all>
                <xsd:element ref="ns2:AllowComments" minOccurs="0"/>
                <xsd:element ref="ns2:Validated" minOccurs="0"/>
                <xsd:element ref="ns2:ValidationComment" minOccurs="0"/>
                <xsd:element ref="ns3:Can_x0020_be_x0020_edited" minOccurs="0"/>
                <xsd:element ref="ns3:Linked_x0020_files" minOccurs="0"/>
                <xsd:element ref="ns4:Type_x0020_of_x0020_document" minOccurs="0"/>
                <xsd:element ref="ns5:Deadline" minOccurs="0"/>
                <xsd:element ref="ns6:Type_x0020_of_x0020_memo" minOccurs="0"/>
                <xsd:element ref="ns6:Display_x0020_validated_x0020_documents_x0020_library_x0020_button" minOccurs="0"/>
                <xsd:element ref="ns5:isAnnex" minOccurs="0"/>
                <xsd:element ref="ns5:Uploa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2deee-a6f6-4f89-8a6c-e2a43e9fb5cf"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xsd:simpleType>
        <xsd:restriction base="dms:Boolean"/>
      </xsd:simpleType>
    </xsd:element>
    <xsd:element name="Validated" ma:index="9" nillable="true" ma:displayName="Validated" ma:default="0" ma:internalName="Validated">
      <xsd:simpleType>
        <xsd:restriction base="dms:Boolean"/>
      </xsd:simpleType>
    </xsd:element>
    <xsd:element name="ValidationComment" ma:index="10" nillable="true" ma:displayName="ValidationComment" ma:internalName="Validation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ListId:PublishedDocuments;" elementFormDefault="qualified">
    <xsd:import namespace="http://schemas.microsoft.com/office/2006/documentManagement/types"/>
    <xsd:import namespace="http://schemas.microsoft.com/office/infopath/2007/PartnerControls"/>
    <xsd:element name="Can_x0020_be_x0020_edited" ma:index="11" nillable="true" ma:displayName="Can be edited" ma:default="0" ma:internalName="Can_x0020_be_x0020_edited">
      <xsd:simpleType>
        <xsd:restriction base="dms:Boolean"/>
      </xsd:simpleType>
    </xsd:element>
    <xsd:element name="Linked_x0020_files" ma:index="12" nillable="true" ma:displayName="Linked files" ma:internalName="Linked_x0020_fil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d7415f-f1a4-44df-8e35-2ceaafd480dc" elementFormDefault="qualified">
    <xsd:import namespace="http://schemas.microsoft.com/office/2006/documentManagement/types"/>
    <xsd:import namespace="http://schemas.microsoft.com/office/infopath/2007/PartnerControls"/>
    <xsd:element name="Type_x0020_of_x0020_document" ma:index="13" nillable="true" ma:displayName="Type of document" ma:format="Dropdown" ma:internalName="Type_x0020_of_x0020_document">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0db322c1-ecdf-4c8f-bade-e13d7e7097d4" elementFormDefault="qualified">
    <xsd:import namespace="http://schemas.microsoft.com/office/2006/documentManagement/types"/>
    <xsd:import namespace="http://schemas.microsoft.com/office/infopath/2007/PartnerControls"/>
    <xsd:element name="Deadline" ma:index="14" nillable="true" ma:displayName="Deadline" ma:format="DateTime" ma:internalName="Deadline">
      <xsd:simpleType>
        <xsd:restriction base="dms:DateTime"/>
      </xsd:simpleType>
    </xsd:element>
    <xsd:element name="isAnnex" ma:index="17" nillable="true" ma:displayName="isAnnex" ma:internalName="isAnnex">
      <xsd:simpleType>
        <xsd:restriction base="dms:Text"/>
      </xsd:simpleType>
    </xsd:element>
    <xsd:element name="Uploads" ma:index="18" nillable="true" ma:displayName="Uploads" ma:internalName="Upload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f7eb82-310d-4963-bf1e-a4c2a37fd81c" elementFormDefault="qualified">
    <xsd:import namespace="http://schemas.microsoft.com/office/2006/documentManagement/types"/>
    <xsd:import namespace="http://schemas.microsoft.com/office/infopath/2007/PartnerControls"/>
    <xsd:element name="Type_x0020_of_x0020_memo" ma:index="15" nillable="true" ma:displayName="Type of memo" ma:format="Dropdown" ma:internalName="Type_x0020_of_x0020_memo">
      <xsd:simpleType>
        <xsd:restriction base="dms:Choice">
          <xsd:enumeration value="information"/>
          <xsd:enumeration value="action"/>
        </xsd:restriction>
      </xsd:simpleType>
    </xsd:element>
    <xsd:element name="Display_x0020_validated_x0020_documents_x0020_library_x0020_button" ma:index="16" nillable="true" ma:displayName="Display validated documents library button" ma:default="0" ma:internalName="Display_x0020_validated_x0020_documents_x0020_library_x0020_butt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alidationComment xmlns="e092deee-a6f6-4f89-8a6c-e2a43e9fb5cf" xsi:nil="true"/>
    <isAnnex xmlns="0db322c1-ecdf-4c8f-bade-e13d7e7097d4">True</isAnnex>
    <Can_x0020_be_x0020_edited xmlns="$ListId:PublishedDocuments;">false</Can_x0020_be_x0020_edited>
    <Type_x0020_of_x0020_document xmlns="34d7415f-f1a4-44df-8e35-2ceaafd480dc" xsi:nil="true"/>
    <AllowComments xmlns="e092deee-a6f6-4f89-8a6c-e2a43e9fb5cf">false</AllowComments>
    <Validated xmlns="e092deee-a6f6-4f89-8a6c-e2a43e9fb5cf">false</Validated>
    <Linked_x0020_files xmlns="$ListId:PublishedDocuments;" xsi:nil="true"/>
    <Deadline xmlns="0db322c1-ecdf-4c8f-bade-e13d7e7097d4" xsi:nil="true"/>
    <Uploads xmlns="0db322c1-ecdf-4c8f-bade-e13d7e7097d4">false</Uploads>
    <Type_x0020_of_x0020_memo xmlns="70f7eb82-310d-4963-bf1e-a4c2a37fd81c" xsi:nil="true"/>
    <Display_x0020_validated_x0020_documents_x0020_library_x0020_button xmlns="70f7eb82-310d-4963-bf1e-a4c2a37fd81c">false</Display_x0020_validated_x0020_documents_x0020_library_x0020_butt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EB4AD-E263-487B-9F0B-084C0D01E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2deee-a6f6-4f89-8a6c-e2a43e9fb5cf"/>
    <ds:schemaRef ds:uri="$ListId:PublishedDocuments;"/>
    <ds:schemaRef ds:uri="34d7415f-f1a4-44df-8e35-2ceaafd480dc"/>
    <ds:schemaRef ds:uri="0db322c1-ecdf-4c8f-bade-e13d7e7097d4"/>
    <ds:schemaRef ds:uri="70f7eb82-310d-4963-bf1e-a4c2a37fd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4ED94C-A1D3-4CD9-8205-9BD6CB0ED5BE}">
  <ds:schemaRefs>
    <ds:schemaRef ds:uri="70f7eb82-310d-4963-bf1e-a4c2a37fd81c"/>
    <ds:schemaRef ds:uri="http://purl.org/dc/terms/"/>
    <ds:schemaRef ds:uri="$ListId:PublishedDocuments;"/>
    <ds:schemaRef ds:uri="http://schemas.microsoft.com/office/2006/documentManagement/types"/>
    <ds:schemaRef ds:uri="http://purl.org/dc/elements/1.1/"/>
    <ds:schemaRef ds:uri="e092deee-a6f6-4f89-8a6c-e2a43e9fb5cf"/>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0db322c1-ecdf-4c8f-bade-e13d7e7097d4"/>
    <ds:schemaRef ds:uri="34d7415f-f1a4-44df-8e35-2ceaafd480dc"/>
    <ds:schemaRef ds:uri="http://purl.org/dc/dcmitype/"/>
  </ds:schemaRefs>
</ds:datastoreItem>
</file>

<file path=customXml/itemProps3.xml><?xml version="1.0" encoding="utf-8"?>
<ds:datastoreItem xmlns:ds="http://schemas.openxmlformats.org/officeDocument/2006/customXml" ds:itemID="{39E7AF88-2272-402C-A929-18972611DA4E}">
  <ds:schemaRefs>
    <ds:schemaRef ds:uri="http://schemas.microsoft.com/sharepoint/v3/contenttype/forms"/>
  </ds:schemaRefs>
</ds:datastoreItem>
</file>

<file path=customXml/itemProps4.xml><?xml version="1.0" encoding="utf-8"?>
<ds:datastoreItem xmlns:ds="http://schemas.openxmlformats.org/officeDocument/2006/customXml" ds:itemID="{A83AB28B-4F66-4272-9EC3-556208233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4652</Characters>
  <Application>Microsoft Office Word</Application>
  <DocSecurity>4</DocSecurity>
  <Lines>38</Lines>
  <Paragraphs>10</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Draft statement on dividends</vt:lpstr>
      <vt:lpstr>Draft statement on dividends</vt:lpstr>
      <vt:lpstr>Draft statement on dividends</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Draft dividend letter</dc:title>
  <dc:subject/>
  <dc:creator>MIK</dc:creator>
  <cp:keywords/>
  <dc:description/>
  <cp:lastModifiedBy>Bachníček Jozef</cp:lastModifiedBy>
  <cp:revision>2</cp:revision>
  <dcterms:created xsi:type="dcterms:W3CDTF">2020-04-09T09:14:00Z</dcterms:created>
  <dcterms:modified xsi:type="dcterms:W3CDTF">2020-04-09T09:14:00Z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0x0101000FCF08F96A5A2F428D34FBFBBCC0A573</vt:lpwstr>
  </property>
  <property fmtid="{D5CDD505-2E9C-101B-9397-08002B2CF9AE}" pid="3" name="MSIP_Label_724780b5-9b6f-48c0-bacb-de7ed96313a2_Enabled">
    <vt:lpwstr>True</vt:lpwstr>
  </property>
  <property fmtid="{D5CDD505-2E9C-101B-9397-08002B2CF9AE}" pid="4" name="MSIP_Label_724780b5-9b6f-48c0-bacb-de7ed96313a2_SiteId">
    <vt:lpwstr>396b38cc-aa65-492b-bb0e-3d94ed25a97b</vt:lpwstr>
  </property>
  <property fmtid="{D5CDD505-2E9C-101B-9397-08002B2CF9AE}" pid="5" name="MSIP_Label_724780b5-9b6f-48c0-bacb-de7ed96313a2_Owner">
    <vt:lpwstr>dora.elamri@axa.com</vt:lpwstr>
  </property>
  <property fmtid="{D5CDD505-2E9C-101B-9397-08002B2CF9AE}" pid="6" name="MSIP_Label_724780b5-9b6f-48c0-bacb-de7ed96313a2_SetDate">
    <vt:lpwstr>2020-04-07T18:14:11.5176611Z</vt:lpwstr>
  </property>
  <property fmtid="{D5CDD505-2E9C-101B-9397-08002B2CF9AE}" pid="7" name="MSIP_Label_724780b5-9b6f-48c0-bacb-de7ed96313a2_Name">
    <vt:lpwstr>GIE_AXA_Internal</vt:lpwstr>
  </property>
  <property fmtid="{D5CDD505-2E9C-101B-9397-08002B2CF9AE}" pid="8" name="MSIP_Label_724780b5-9b6f-48c0-bacb-de7ed96313a2_Application">
    <vt:lpwstr>Microsoft Azure Information Protection</vt:lpwstr>
  </property>
  <property fmtid="{D5CDD505-2E9C-101B-9397-08002B2CF9AE}" pid="9" name="MSIP_Label_724780b5-9b6f-48c0-bacb-de7ed96313a2_Extended_MSFT_Method">
    <vt:lpwstr>Automatic</vt:lpwstr>
  </property>
  <property fmtid="{D5CDD505-2E9C-101B-9397-08002B2CF9AE}" pid="10" name="Sensitivity">
    <vt:lpwstr>GIE_AXA_Internal</vt:lpwstr>
  </property>
  <property fmtid="{D5CDD505-2E9C-101B-9397-08002B2CF9AE}" pid="11" name="Reference">
    <vt:lpwstr>EXCO-20-056</vt:lpwstr>
  </property>
</Properties>
</file>