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56AA" w14:textId="77777777" w:rsidR="00D710A5" w:rsidRPr="00661635" w:rsidRDefault="00D710A5" w:rsidP="00D710A5">
      <w:pPr>
        <w:widowControl/>
        <w:spacing w:after="0" w:line="240" w:lineRule="auto"/>
        <w:jc w:val="center"/>
        <w:rPr>
          <w:rFonts w:ascii="Times New Roman" w:hAnsi="Times New Roman" w:cs="Calibri"/>
          <w:b/>
          <w:caps/>
          <w:sz w:val="28"/>
          <w:szCs w:val="28"/>
        </w:rPr>
      </w:pPr>
      <w:r w:rsidRPr="00661635">
        <w:rPr>
          <w:rFonts w:ascii="Times New Roman" w:hAnsi="Times New Roman" w:cs="Calibri"/>
          <w:b/>
          <w:caps/>
          <w:sz w:val="28"/>
          <w:szCs w:val="28"/>
        </w:rPr>
        <w:t>vznesené Pripomienky v rámci medzirezortného pripomienkového konania</w:t>
      </w:r>
    </w:p>
    <w:p w14:paraId="3F5CB710" w14:textId="77777777" w:rsidR="002F00DB" w:rsidRPr="005A1161" w:rsidRDefault="002F00DB" w:rsidP="00D710A5">
      <w:pPr>
        <w:widowControl/>
        <w:spacing w:after="0" w:line="240" w:lineRule="auto"/>
        <w:jc w:val="center"/>
        <w:rPr>
          <w:rFonts w:ascii="Times New Roman" w:hAnsi="Times New Roman" w:cs="Calibri"/>
          <w:b/>
          <w:caps/>
          <w:sz w:val="20"/>
          <w:szCs w:val="20"/>
        </w:rPr>
      </w:pPr>
    </w:p>
    <w:p w14:paraId="62E7ABAA" w14:textId="77777777" w:rsidR="003D383F" w:rsidRDefault="003D383F">
      <w:pPr>
        <w:jc w:val="center"/>
        <w:divId w:val="694968322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Opatrenie Ministerstva financií Slovenskej republiky č. MF/011078/2021-74, ktorým sa mení a dopĺňa opatrenie Ministerstva financií Slovenskej republiky č. MF/25918/2011-74, ktorým sa ustanovuje rozsah, spôsob, miesto a termíny ukladania výkazu vybraných údajov z individuálnej účtovnej závierky pre účtovné jednotky, ktorými sú poisťovne, pobočky zahraničnej poisťovne, zaisťovne, pobočky zahraničnej zaisťovne, Slovenská kancelária poisťovateľov a Exportno-importná banka Slovenskej republiky v znení neskorších predpisov</w:t>
      </w:r>
    </w:p>
    <w:p w14:paraId="6CB18434" w14:textId="77777777" w:rsidR="00D710A5" w:rsidRPr="005A1161" w:rsidRDefault="00D710A5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p w14:paraId="7129AADC" w14:textId="77777777" w:rsidR="00BA14D6" w:rsidRPr="005A1161" w:rsidRDefault="00BA14D6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tbl>
      <w:tblPr>
        <w:tblW w:w="14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7943"/>
      </w:tblGrid>
      <w:tr w:rsidR="00D710A5" w:rsidRPr="005A1161" w14:paraId="3DDD6A15" w14:textId="77777777" w:rsidTr="00087ADB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68CB062" w14:textId="77777777" w:rsidR="00D710A5" w:rsidRPr="00772C99" w:rsidRDefault="0087529A" w:rsidP="00F10D72">
            <w:pPr>
              <w:widowControl/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772C99">
              <w:rPr>
                <w:rFonts w:ascii="Times New Roman" w:hAnsi="Times New Roman" w:cs="Calibri"/>
                <w:sz w:val="25"/>
                <w:szCs w:val="25"/>
              </w:rPr>
              <w:t>Počet vznesených pripomienok, z toho zásadných</w:t>
            </w: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3E57802F" w14:textId="77777777" w:rsidR="00D710A5" w:rsidRPr="005A1161" w:rsidRDefault="003D383F" w:rsidP="003D383F">
            <w:pPr>
              <w:widowControl/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3 / 0</w:t>
            </w:r>
          </w:p>
        </w:tc>
      </w:tr>
    </w:tbl>
    <w:p w14:paraId="723B8DC1" w14:textId="77777777" w:rsidR="00D710A5" w:rsidRPr="005A1161" w:rsidRDefault="00D710A5" w:rsidP="00D710A5">
      <w:pPr>
        <w:pStyle w:val="Zkladntext"/>
        <w:widowControl/>
        <w:jc w:val="both"/>
        <w:rPr>
          <w:b w:val="0"/>
          <w:bCs w:val="0"/>
          <w:color w:val="000000"/>
          <w:sz w:val="20"/>
          <w:szCs w:val="20"/>
        </w:rPr>
      </w:pPr>
    </w:p>
    <w:p w14:paraId="71BA150E" w14:textId="77777777" w:rsidR="003D383F" w:rsidRDefault="003D383F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8492"/>
        <w:gridCol w:w="1415"/>
      </w:tblGrid>
      <w:tr w:rsidR="003D383F" w14:paraId="1F78D80E" w14:textId="77777777">
        <w:trPr>
          <w:divId w:val="71898084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6A251" w14:textId="77777777" w:rsidR="003D383F" w:rsidRDefault="003D383F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Subjekt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DA405" w14:textId="77777777" w:rsidR="003D383F" w:rsidRDefault="003D383F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Pripomienka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9F5D6" w14:textId="77777777" w:rsidR="003D383F" w:rsidRDefault="003D383F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Typ</w:t>
            </w:r>
          </w:p>
        </w:tc>
      </w:tr>
      <w:tr w:rsidR="003D383F" w14:paraId="707D4B2A" w14:textId="77777777">
        <w:trPr>
          <w:divId w:val="71898084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0550BC" w14:textId="77777777" w:rsidR="003D383F" w:rsidRDefault="003D383F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734F8" w14:textId="77777777" w:rsidR="003D383F" w:rsidRDefault="003D383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Vysvetlivky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doplniť do vysvetliviek spôsob vykazovania nehnuteľností (napr. Investície do nehnuteľností majú byť vykázané v niektorom riadku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A.B.n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, podľa spôsobu ocenenia, a nehnuteľnosti, ktoré nie sú investície, v riadku A.G.) Odôvodnenie: Zo štruktúry výkazu nie je úplne zrejmé, v ktorých riadkoch majú byť nehnuteľnosti vykazované.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7E947" w14:textId="77777777" w:rsidR="003D383F" w:rsidRDefault="003D383F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O</w:t>
            </w:r>
          </w:p>
        </w:tc>
      </w:tr>
      <w:tr w:rsidR="003D383F" w14:paraId="14DA4F7A" w14:textId="77777777">
        <w:trPr>
          <w:divId w:val="71898084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98C90" w14:textId="77777777" w:rsidR="003D383F" w:rsidRDefault="003D383F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21EFF" w14:textId="77777777" w:rsidR="003D383F" w:rsidRDefault="003D383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vysvetlivky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doplniť do vysvetliviek informáciu „Očakávané kreditné straty (ECL) sa vykazujú v riadku P.P“. Odôvodnenie: Z vysvetlivky č.10 nie je jasné, v ktorom riadku sa majú ECL vykázať. Prípadne aj zvážiť, či do výkazu nemá byť vrátený riadok P.P.4 Očakávané kreditné straty.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BD654" w14:textId="77777777" w:rsidR="003D383F" w:rsidRDefault="003D383F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O</w:t>
            </w:r>
          </w:p>
        </w:tc>
      </w:tr>
      <w:tr w:rsidR="003D383F" w14:paraId="61AE9D16" w14:textId="77777777">
        <w:trPr>
          <w:divId w:val="71898084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7B192" w14:textId="77777777" w:rsidR="003D383F" w:rsidRDefault="003D383F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3F500" w14:textId="77777777" w:rsidR="003D383F" w:rsidRDefault="003D383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časť II.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V časti II. Vybrané údaje z nákladov a výnosov navrhujeme prehodnotiť rozsah riadkov, ktoré majú byť členené do stĺpcov 5.-7. a 8.-9. Odôvodnenie: Niektoré náklady a výnosy (napr. 12. Skutočné náklady priamo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nepriraditeľné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na skupiny poistných zmlúv) môže byť problematické vykazovať v požadovanej štruktúre.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AB500" w14:textId="77777777" w:rsidR="003D383F" w:rsidRDefault="003D383F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O</w:t>
            </w:r>
          </w:p>
        </w:tc>
      </w:tr>
    </w:tbl>
    <w:p w14:paraId="02CD37E7" w14:textId="77777777" w:rsidR="00DD1B41" w:rsidRDefault="00DD1B41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</w:tblGrid>
      <w:tr w:rsidR="006173E4" w:rsidRPr="00F44C37" w14:paraId="55668D4C" w14:textId="77777777" w:rsidTr="00C27AC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5E64368" w14:textId="77777777" w:rsidR="006173E4" w:rsidRPr="00772C99" w:rsidRDefault="006173E4" w:rsidP="00C27ACD">
            <w:pPr>
              <w:pStyle w:val="Zkladntext"/>
              <w:widowControl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3DB49FE3" w14:textId="77777777" w:rsidR="006173E4" w:rsidRPr="00772C99" w:rsidRDefault="006173E4" w:rsidP="00C27ACD">
            <w:pPr>
              <w:pStyle w:val="Zkladntext"/>
              <w:widowControl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772C99">
              <w:rPr>
                <w:b w:val="0"/>
                <w:color w:val="000000"/>
                <w:sz w:val="22"/>
                <w:szCs w:val="22"/>
              </w:rPr>
              <w:t>Vysvetlivky  k použitým skratkám v tabuľke:</w:t>
            </w:r>
          </w:p>
        </w:tc>
      </w:tr>
      <w:tr w:rsidR="006173E4" w:rsidRPr="00F44C37" w14:paraId="04415850" w14:textId="77777777" w:rsidTr="00C27AC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A478189" w14:textId="77777777" w:rsidR="006173E4" w:rsidRPr="00772C99" w:rsidRDefault="006173E4" w:rsidP="00C27ACD">
            <w:pPr>
              <w:pStyle w:val="Zkladntext"/>
              <w:widowControl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772C99">
              <w:rPr>
                <w:b w:val="0"/>
                <w:color w:val="000000"/>
                <w:sz w:val="22"/>
                <w:szCs w:val="22"/>
              </w:rPr>
              <w:t>O – obyčajná</w:t>
            </w:r>
          </w:p>
        </w:tc>
      </w:tr>
      <w:tr w:rsidR="006173E4" w:rsidRPr="00F44C37" w14:paraId="5B03C1DB" w14:textId="77777777" w:rsidTr="00C27AC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9E5ABFC" w14:textId="77777777" w:rsidR="006173E4" w:rsidRPr="00772C99" w:rsidRDefault="006173E4" w:rsidP="00C27ACD">
            <w:pPr>
              <w:pStyle w:val="Zkladntext"/>
              <w:widowControl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772C99">
              <w:rPr>
                <w:b w:val="0"/>
                <w:color w:val="000000"/>
                <w:sz w:val="22"/>
                <w:szCs w:val="22"/>
              </w:rPr>
              <w:t>Z – zásadná</w:t>
            </w:r>
          </w:p>
        </w:tc>
      </w:tr>
    </w:tbl>
    <w:p w14:paraId="3A30CA32" w14:textId="77777777" w:rsidR="006173E4" w:rsidRPr="005A1161" w:rsidRDefault="006173E4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sectPr w:rsidR="006173E4" w:rsidRPr="005A1161">
      <w:pgSz w:w="15840" w:h="12240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3B0"/>
    <w:rsid w:val="000144C3"/>
    <w:rsid w:val="00027C7D"/>
    <w:rsid w:val="000B3F57"/>
    <w:rsid w:val="002C2B40"/>
    <w:rsid w:val="002F00DB"/>
    <w:rsid w:val="00327A2D"/>
    <w:rsid w:val="003A35EB"/>
    <w:rsid w:val="003C009A"/>
    <w:rsid w:val="003D383F"/>
    <w:rsid w:val="004C083B"/>
    <w:rsid w:val="005A1161"/>
    <w:rsid w:val="006173E4"/>
    <w:rsid w:val="00661635"/>
    <w:rsid w:val="006A0E56"/>
    <w:rsid w:val="00761851"/>
    <w:rsid w:val="00772C99"/>
    <w:rsid w:val="00773CE7"/>
    <w:rsid w:val="008461A5"/>
    <w:rsid w:val="0087529A"/>
    <w:rsid w:val="008F1A80"/>
    <w:rsid w:val="00A56287"/>
    <w:rsid w:val="00AA4FD0"/>
    <w:rsid w:val="00B3505E"/>
    <w:rsid w:val="00B50E2A"/>
    <w:rsid w:val="00B51490"/>
    <w:rsid w:val="00BA14D6"/>
    <w:rsid w:val="00D02827"/>
    <w:rsid w:val="00D17ED7"/>
    <w:rsid w:val="00D463B0"/>
    <w:rsid w:val="00D710A5"/>
    <w:rsid w:val="00DD1B41"/>
    <w:rsid w:val="00DF7EB5"/>
    <w:rsid w:val="00F10D72"/>
    <w:rsid w:val="00F44C37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2055"/>
  <w15:docId w15:val="{AF804C02-421F-44F6-B8BA-223D2411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10A5"/>
    <w:pPr>
      <w:widowControl w:val="0"/>
      <w:adjustRightInd w:val="0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10A5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0A5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character" w:styleId="Vrazn">
    <w:name w:val="Strong"/>
    <w:basedOn w:val="Predvolenpsmoodseku"/>
    <w:uiPriority w:val="22"/>
    <w:qFormat/>
    <w:rsid w:val="00D710A5"/>
    <w:rPr>
      <w:rFonts w:ascii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10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710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710A5"/>
    <w:rPr>
      <w:rFonts w:ascii="Calibri" w:eastAsia="Times New Roman" w:hAnsi="Calibri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A0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0E56"/>
    <w:rPr>
      <w:rFonts w:ascii="Calibri" w:eastAsia="Times New Roman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E56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Tlačová zostava pripomienok"/>
    <f:field ref="objsubject" par="" edit="true" text="Tlačová zostava pripomienok"/>
    <f:field ref="objcreatedby" par="" text="Administrator, System"/>
    <f:field ref="objcreatedat" par="" text="9.11.2021 18:53:23"/>
    <f:field ref="objchangedby" par="" text="Administrator, System"/>
    <f:field ref="objmodifiedat" par="" text="9.11.2021 18:53:26"/>
    <f:field ref="doc_FSCFOLIO_1_1001_FieldDocumentNumber" par="" text=""/>
    <f:field ref="doc_FSCFOLIO_1_1001_FieldSubject" par="" edit="true" text="Tlačová zostava pripomieno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E5E45A8C-F0A4-48AC-993B-CE7BC887F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Lubos Kubus</dc:creator>
  <cp:lastModifiedBy>ms.slx.P.fscsrv</cp:lastModifiedBy>
  <cp:revision>2</cp:revision>
  <dcterms:created xsi:type="dcterms:W3CDTF">2021-11-09T17:53:00Z</dcterms:created>
  <dcterms:modified xsi:type="dcterms:W3CDTF">2021-11-09T17:53:00Z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opatrenia č. MF/011078/2021-74, ktorým sa mení a dopĺňa opatrenie Ministerstva financií Slovenskej republiky z 8. decembra 2011 č. MF/25918/2011-74, ktorým sa ustanovuje rozsah, spôsob, miesto a termíny ukladania výkazu vybraných údajov z&amp;nbsp;individuálnej&amp;nbsp; účtovnej závierky&amp;nbsp; pre účtovné jednotky, ktorými sú poisťovne, pobočky zahraničnej poisťovne, zaisťovne, pobočky zahraničnej zaisťovne, Slovenská kancelária poisťovateľov a Exportno-importná banka Slovenskej republiky v znení neskorších predpisov, informovaná prostredníctvom predbežnej informácie.&lt;/p&gt;&lt;p style="text-align: justify;"&gt;&amp;nbsp;&lt;/p&gt;&lt;p style="text-align: justify;"&gt;&amp;nbsp;&lt;/p&gt;&lt;p style="text-align: justify;"&gt;K&amp;nbsp;predbežnej informácii č. PI/2021/154 neboli predložené žiadne pripomienky zo strany verejnosti.&lt;/p&gt;</vt:lpwstr>
  </property>
  <property fmtid="{D5CDD505-2E9C-101B-9397-08002B2CF9AE}" pid="3" name="FSC#SKEDITIONSLOVLEX@103.510:typpredpis">
    <vt:lpwstr>Opatrenie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Účtovníctvo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Ingrid Šalkovičová</vt:lpwstr>
  </property>
  <property fmtid="{D5CDD505-2E9C-101B-9397-08002B2CF9AE}" pid="11" name="FSC#SKEDITIONSLOVLEX@103.510:zodppredkladatel">
    <vt:lpwstr>Igor Matovič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 č. MF/011078/2021-74, ktorým sa mení a dopĺňa opatrenie Ministerstva financií Slovenskej republiky č. MF/25918/2011-74, ktorým sa ustanovuje rozsah, spôsob, miesto a termíny ukladania výkazu vybraných údajov z individuálnej účtovnej závierky pre účtovné </vt:lpwstr>
  </property>
  <property fmtid="{D5CDD505-2E9C-101B-9397-08002B2CF9AE}" pid="14" name="FSC#SKEDITIONSLOVLEX@103.510:nazovpredpis1">
    <vt:lpwstr>jednotky, ktorými sú poisťovne, pobočky zahraničnej poisťovne, zaisťovne, pobočky zahraničnej zaisťovne, Slovenská kancelária poisťovateľov a Exportno-importná banka Slovenskej republiky v znení neskorších predpisov</vt:lpwstr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financií Slovenskej republiky</vt:lpwstr>
  </property>
  <property fmtid="{D5CDD505-2E9C-101B-9397-08002B2CF9AE}" pid="19" name="FSC#SKEDITIONSLOVLEX@103.510:pripomienkovatelia">
    <vt:lpwstr>Ministerstvo financií Slovenskej republiky, Ministerstvo financií Slovenskej republiky</vt:lpwstr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Plán práce na rok 2021</vt:lpwstr>
  </property>
  <property fmtid="{D5CDD505-2E9C-101B-9397-08002B2CF9AE}" pid="22" name="FSC#SKEDITIONSLOVLEX@103.510:plnynazovpredpis">
    <vt:lpwstr> Opatrenie Ministerstva financií Slovenskej republiky č. MF/011078/2021-74, ktorým sa mení a dopĺňa opatrenie Ministerstva financií Slovenskej republiky č. MF/25918/2011-74, ktorým sa ustanovuje rozsah, spôsob, miesto a termíny ukladania výkazu vybraných </vt:lpwstr>
  </property>
  <property fmtid="{D5CDD505-2E9C-101B-9397-08002B2CF9AE}" pid="23" name="FSC#SKEDITIONSLOVLEX@103.510:plnynazovpredpis1">
    <vt:lpwstr>údajov z individuálnej účtovnej závierky pre účtovné jednotky, ktorými sú poisťovne, pobočky zahraničnej poisťovne, zaisťovne, pobočky zahraničnej zaisťovne, Slovenská kancelária poisťovateľov a Exportno-importná banka Slovenskej republiky v znení neskor</vt:lpwstr>
  </property>
  <property fmtid="{D5CDD505-2E9C-101B-9397-08002B2CF9AE}" pid="24" name="FSC#SKEDITIONSLOVLEX@103.510:plnynazovpredpis2">
    <vt:lpwstr>ších predpisov</vt:lpwstr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MF/011078/2021-74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LP/2021/597</vt:lpwstr>
  </property>
  <property fmtid="{D5CDD505-2E9C-101B-9397-08002B2CF9AE}" pid="36" name="FSC#SKEDITIONSLOVLEX@103.510:typsprievdok">
    <vt:lpwstr/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/>
  </property>
  <property fmtid="{D5CDD505-2E9C-101B-9397-08002B2CF9AE}" pid="45" name="FSC#SKEDITIONSLOVLEX@103.510:AttrStrListDocPropPrimarnePravoEU">
    <vt:lpwstr/>
  </property>
  <property fmtid="{D5CDD505-2E9C-101B-9397-08002B2CF9AE}" pid="46" name="FSC#SKEDITIONSLOVLEX@103.510:AttrStrListDocPropSekundarneLegPravoPO">
    <vt:lpwstr/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/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/>
  </property>
  <property fmtid="{D5CDD505-2E9C-101B-9397-08002B2CF9AE}" pid="54" name="FSC#SKEDITIONSLOVLEX@103.510:AttrStrListDocPropInfoUzPreberanePP">
    <vt:lpwstr/>
  </property>
  <property fmtid="{D5CDD505-2E9C-101B-9397-08002B2CF9AE}" pid="55" name="FSC#SKEDITIONSLOVLEX@103.510:AttrStrListDocPropStupenZlucitelnostiPP">
    <vt:lpwstr/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/>
  </property>
  <property fmtid="{D5CDD505-2E9C-101B-9397-08002B2CF9AE}" pid="58" name="FSC#SKEDITIONSLOVLEX@103.510:AttrDateDocPropUkonceniePKK">
    <vt:lpwstr/>
  </property>
  <property fmtid="{D5CDD505-2E9C-101B-9397-08002B2CF9AE}" pid="59" name="FSC#SKEDITIONSLOVLEX@103.510:AttrStrDocPropVplyvRozpocetVS">
    <vt:lpwstr/>
  </property>
  <property fmtid="{D5CDD505-2E9C-101B-9397-08002B2CF9AE}" pid="60" name="FSC#SKEDITIONSLOVLEX@103.510:AttrStrDocPropVplyvPodnikatelskeProstr">
    <vt:lpwstr/>
  </property>
  <property fmtid="{D5CDD505-2E9C-101B-9397-08002B2CF9AE}" pid="61" name="FSC#SKEDITIONSLOVLEX@103.510:AttrStrDocPropVplyvSocialny">
    <vt:lpwstr/>
  </property>
  <property fmtid="{D5CDD505-2E9C-101B-9397-08002B2CF9AE}" pid="62" name="FSC#SKEDITIONSLOVLEX@103.510:AttrStrDocPropVplyvNaZivotProstr">
    <vt:lpwstr/>
  </property>
  <property fmtid="{D5CDD505-2E9C-101B-9397-08002B2CF9AE}" pid="63" name="FSC#SKEDITIONSLOVLEX@103.510:AttrStrDocPropVplyvNaInformatizaciu">
    <vt:lpwstr/>
  </property>
  <property fmtid="{D5CDD505-2E9C-101B-9397-08002B2CF9AE}" pid="64" name="FSC#SKEDITIONSLOVLEX@103.510:AttrStrListDocPropPoznamkaVplyv">
    <vt:lpwstr/>
  </property>
  <property fmtid="{D5CDD505-2E9C-101B-9397-08002B2CF9AE}" pid="65" name="FSC#SKEDITIONSLOVLEX@103.510:AttrStrListDocPropAltRiesenia">
    <vt:lpwstr/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/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/>
  </property>
  <property fmtid="{D5CDD505-2E9C-101B-9397-08002B2CF9AE}" pid="141" name="FSC#SKEDITIONSLOVLEX@103.510:funkciaZodpPredAkuzativ">
    <vt:lpwstr/>
  </property>
  <property fmtid="{D5CDD505-2E9C-101B-9397-08002B2CF9AE}" pid="142" name="FSC#SKEDITIONSLOVLEX@103.510:funkciaZodpPredDativ">
    <vt:lpwstr/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Igor Matovič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>&lt;p style="text-align: justify;"&gt;Návrh opatrenia Ministerstva financií Slovenskej republiky č. MF/011078/2021-74, ktorým sa mení a dopĺňa opatrenie Ministerstva financií Slovenskej republiky č. MF/25918/2011-74, ktorým sa ustanovuje rozsah, spôsob, miesto a&amp;nbsp;termíny ukladania výkazu vybraných údajov z&amp;nbsp;individuálnej &amp;nbsp;účtovnej závierky pre účtovné jednotky, ktorými sú poisťovne, pobočky zahraničnej poisťovne, zaisťovne, pobočky zahraničnej zaisťovne, Slovenská kancelária poisťovateľov a&amp;nbsp;Exportno-importná banka Slovenskej republiky v&amp;nbsp;znení neskorších predpisov, sa predkladá v&amp;nbsp;súlade s § 17a ods. 7 zákona č. 431/2002 Z. z. o&amp;nbsp;účtovníctve v&amp;nbsp;znení zákona č.&amp;nbsp;547/2011 Z. z., ktorým sa splnomocňuje Ministerstvo financií Slovenskej republiky k&amp;nbsp;vydaniu tohto opatrenia.&lt;/p&gt;&lt;p style="text-align: justify;"&gt;V&amp;nbsp;predkladanom návrhu opatrenia sú zapracované úpravy vyplývajúce z&amp;nbsp;prijatia nového medzinárodného štandardu finančného vykazovania 17 (ďalej len „IFRS 17“) a z požiadaviek Národnej banky Slovenska. &amp;nbsp;Navrhuje sa nové znenie výkazu vybraných údajov z&amp;nbsp;dôvodu, že súčasne platné znenie výkazu vybraných údajov nezohľadňuje požiadavky v súlade IFRS 17.&lt;/p&gt;&lt;p style="text-align: justify;"&gt;&amp;nbsp;&lt;/p&gt;&lt;p style="text-align: justify;"&gt;Účinnosť tohto opatrenia navrhujeme od 1. marca 2022. Navrhuje sa dlhšia legisvakančná lehota z&amp;nbsp;dôvodu náročnej aplikácie&amp;nbsp; nového medzinárodného štandardu finančného vykazovania IFRS 17, následného zostavenia účtovnej závierky a&amp;nbsp;z&amp;nbsp;nej vyplývajúcich vybraných údajov podľa požiadaviek tohto opatrenia.&lt;/p&gt;&lt;p style="text-align: justify;"&gt;Predkladaný návrh opatrenia je v&amp;nbsp;súlade s&amp;nbsp;Ústavou Slovenskej republiky,&amp;nbsp;ústavnými zákonmi, s nálezmi Ústavného súdu Slovenskej republiky, inými zákonmi a všeobecne záväznými právnymi predpismi a&amp;nbsp;medzinárodnými zmluvami, ktorými je Slovenská republika viazaná ako aj v&amp;nbsp;súlade s&amp;nbsp;právom Európskej únie.&lt;/p&gt;&lt;p style="text-align: justify;"&gt;&amp;nbsp;&lt;/p&gt;&lt;p style="text-align: justify;"&gt;Tak ako je uvedené v&amp;nbsp;doložke vybraných vplyvov, predkladaný návrh opatrenia nevyžaduje a&amp;nbsp;nezakladá žiadne nároky na rozpočet verejnej správy, nemá sociálne vplyvy, vplyvy na životné prostredie, na informatizáciu spoločnosti, ani vplyvy na služby verejnej správy pre občana a ani vplyv na manželstvo, rodičovstvo a rodinu. Predkladaný návrh opatrenia bude mať vplyv na podnikateľské prostredie.&lt;/p&gt;&lt;p style="text-align: justify;"&gt;&amp;nbsp;&lt;/p&gt;&lt;p style="text-align: justify;"&gt;Predkladaný návrh opatrenia nie je predmetom vnútrokomunitárneho pripomienkového konania.&lt;/p&gt;</vt:lpwstr>
  </property>
  <property fmtid="{D5CDD505-2E9C-101B-9397-08002B2CF9AE}" pid="149" name="FSC#COOSYSTEM@1.1:Container">
    <vt:lpwstr>COO.2145.1000.3.4653579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9. 11. 2021</vt:lpwstr>
  </property>
</Properties>
</file>