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B3" w:rsidRPr="00DE6504" w:rsidRDefault="00ED0048" w:rsidP="00F373CC">
      <w:pPr>
        <w:jc w:val="center"/>
        <w:rPr>
          <w:rFonts w:asciiTheme="minorHAnsi" w:hAnsiTheme="minorHAnsi"/>
          <w:b/>
          <w:sz w:val="22"/>
          <w:szCs w:val="22"/>
        </w:rPr>
      </w:pPr>
      <w:r w:rsidRPr="00DE6504">
        <w:rPr>
          <w:rFonts w:asciiTheme="minorHAnsi" w:hAnsiTheme="minorHAnsi"/>
          <w:b/>
          <w:sz w:val="22"/>
          <w:szCs w:val="22"/>
        </w:rPr>
        <w:t>Konzultácia</w:t>
      </w:r>
      <w:r w:rsidR="00F373CC" w:rsidRPr="00DE6504">
        <w:rPr>
          <w:rFonts w:asciiTheme="minorHAnsi" w:hAnsiTheme="minorHAnsi"/>
          <w:b/>
          <w:sz w:val="22"/>
          <w:szCs w:val="22"/>
        </w:rPr>
        <w:t xml:space="preserve">: návrh zákona </w:t>
      </w:r>
      <w:r w:rsidR="008C6C4A" w:rsidRPr="00DE6504">
        <w:rPr>
          <w:rFonts w:asciiTheme="minorHAnsi" w:hAnsiTheme="minorHAnsi"/>
          <w:b/>
          <w:sz w:val="22"/>
          <w:szCs w:val="22"/>
        </w:rPr>
        <w:t>č. 595/2003 Z.</w:t>
      </w:r>
      <w:r w:rsidR="00691977" w:rsidRPr="00DE6504">
        <w:rPr>
          <w:rFonts w:asciiTheme="minorHAnsi" w:hAnsiTheme="minorHAnsi"/>
          <w:b/>
          <w:sz w:val="22"/>
          <w:szCs w:val="22"/>
        </w:rPr>
        <w:t xml:space="preserve"> </w:t>
      </w:r>
      <w:r w:rsidR="008C6C4A" w:rsidRPr="00DE6504">
        <w:rPr>
          <w:rFonts w:asciiTheme="minorHAnsi" w:hAnsiTheme="minorHAnsi"/>
          <w:b/>
          <w:sz w:val="22"/>
          <w:szCs w:val="22"/>
        </w:rPr>
        <w:t xml:space="preserve">z. </w:t>
      </w:r>
      <w:r w:rsidR="00026858" w:rsidRPr="00DE6504">
        <w:rPr>
          <w:rFonts w:asciiTheme="minorHAnsi" w:hAnsiTheme="minorHAnsi"/>
          <w:b/>
          <w:sz w:val="22"/>
          <w:szCs w:val="22"/>
        </w:rPr>
        <w:t>o</w:t>
      </w:r>
      <w:r w:rsidR="008C6C4A" w:rsidRPr="00DE6504">
        <w:rPr>
          <w:rFonts w:asciiTheme="minorHAnsi" w:hAnsiTheme="minorHAnsi"/>
          <w:b/>
          <w:sz w:val="22"/>
          <w:szCs w:val="22"/>
        </w:rPr>
        <w:t xml:space="preserve"> dani z príjmov </w:t>
      </w:r>
      <w:r w:rsidR="007D0357" w:rsidRPr="00DE6504">
        <w:rPr>
          <w:rFonts w:asciiTheme="minorHAnsi" w:hAnsiTheme="minorHAnsi"/>
          <w:b/>
          <w:sz w:val="22"/>
          <w:szCs w:val="22"/>
        </w:rPr>
        <w:t>v znení neskorších predpisov</w:t>
      </w:r>
    </w:p>
    <w:p w:rsidR="00F373CC" w:rsidRPr="00DE6504" w:rsidRDefault="00EA143D">
      <w:pPr>
        <w:rPr>
          <w:rFonts w:asciiTheme="minorHAnsi" w:hAnsiTheme="minorHAnsi"/>
          <w:b/>
          <w:sz w:val="22"/>
          <w:szCs w:val="22"/>
          <w:u w:val="single"/>
        </w:rPr>
      </w:pPr>
      <w:r w:rsidRPr="00DE6504">
        <w:rPr>
          <w:rFonts w:asciiTheme="minorHAnsi" w:hAnsiTheme="minorHAnsi"/>
          <w:b/>
          <w:sz w:val="22"/>
          <w:szCs w:val="22"/>
          <w:u w:val="single"/>
        </w:rPr>
        <w:t>Pripomienky k novele</w:t>
      </w:r>
      <w:r w:rsidR="00F373CC" w:rsidRPr="00DE6504">
        <w:rPr>
          <w:rFonts w:asciiTheme="minorHAnsi" w:hAnsiTheme="minorHAnsi"/>
          <w:b/>
          <w:sz w:val="22"/>
          <w:szCs w:val="22"/>
          <w:u w:val="single"/>
        </w:rPr>
        <w:t xml:space="preserve"> zákona</w:t>
      </w:r>
    </w:p>
    <w:p w:rsidR="00F373CC" w:rsidRPr="00DE6504" w:rsidRDefault="00F373CC">
      <w:pPr>
        <w:rPr>
          <w:rFonts w:asciiTheme="minorHAnsi" w:hAnsi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3086"/>
        <w:gridCol w:w="4211"/>
        <w:gridCol w:w="5628"/>
      </w:tblGrid>
      <w:tr w:rsidR="001F277F" w:rsidRPr="00DE6504" w:rsidTr="008C7B12">
        <w:tc>
          <w:tcPr>
            <w:tcW w:w="1069" w:type="dxa"/>
          </w:tcPr>
          <w:p w:rsidR="001F277F" w:rsidRPr="00DE6504" w:rsidRDefault="00ED0048" w:rsidP="00691977">
            <w:pPr>
              <w:rPr>
                <w:rFonts w:asciiTheme="minorHAnsi" w:hAnsiTheme="minorHAnsi"/>
                <w:sz w:val="22"/>
                <w:szCs w:val="22"/>
              </w:rPr>
            </w:pPr>
            <w:r w:rsidRPr="00DE6504">
              <w:rPr>
                <w:rFonts w:asciiTheme="minorHAnsi" w:hAnsiTheme="minorHAnsi"/>
                <w:sz w:val="22"/>
                <w:szCs w:val="22"/>
              </w:rPr>
              <w:t>Poradové číslo</w:t>
            </w:r>
          </w:p>
        </w:tc>
        <w:tc>
          <w:tcPr>
            <w:tcW w:w="3110" w:type="dxa"/>
          </w:tcPr>
          <w:p w:rsidR="00ED0048" w:rsidRPr="00DE6504" w:rsidRDefault="00ED0048" w:rsidP="00691977">
            <w:pPr>
              <w:rPr>
                <w:rFonts w:asciiTheme="minorHAnsi" w:hAnsiTheme="minorHAnsi"/>
                <w:sz w:val="22"/>
                <w:szCs w:val="22"/>
              </w:rPr>
            </w:pPr>
            <w:r w:rsidRPr="00DE6504">
              <w:rPr>
                <w:rFonts w:asciiTheme="minorHAnsi" w:hAnsiTheme="minorHAnsi"/>
                <w:sz w:val="22"/>
                <w:szCs w:val="22"/>
              </w:rPr>
              <w:t>Označenie ustanovenia</w:t>
            </w:r>
          </w:p>
          <w:p w:rsidR="001F277F" w:rsidRPr="00DE6504" w:rsidRDefault="00ED0048" w:rsidP="00691977">
            <w:pPr>
              <w:rPr>
                <w:rFonts w:asciiTheme="minorHAnsi" w:hAnsiTheme="minorHAnsi"/>
                <w:sz w:val="22"/>
                <w:szCs w:val="22"/>
              </w:rPr>
            </w:pPr>
            <w:r w:rsidRPr="00DE6504">
              <w:rPr>
                <w:rFonts w:asciiTheme="minorHAnsi" w:hAnsiTheme="minorHAnsi"/>
                <w:sz w:val="22"/>
                <w:szCs w:val="22"/>
              </w:rPr>
              <w:t>§ ...ods....</w:t>
            </w:r>
          </w:p>
        </w:tc>
        <w:tc>
          <w:tcPr>
            <w:tcW w:w="4302" w:type="dxa"/>
          </w:tcPr>
          <w:p w:rsidR="001F277F" w:rsidRPr="00DE6504" w:rsidRDefault="001F277F">
            <w:pPr>
              <w:rPr>
                <w:rFonts w:asciiTheme="minorHAnsi" w:hAnsiTheme="minorHAnsi"/>
                <w:sz w:val="22"/>
                <w:szCs w:val="22"/>
              </w:rPr>
            </w:pPr>
            <w:r w:rsidRPr="00DE6504">
              <w:rPr>
                <w:rFonts w:asciiTheme="minorHAnsi" w:hAnsiTheme="minorHAnsi"/>
                <w:sz w:val="22"/>
                <w:szCs w:val="22"/>
              </w:rPr>
              <w:t>Znenie pripomienky</w:t>
            </w:r>
          </w:p>
        </w:tc>
        <w:tc>
          <w:tcPr>
            <w:tcW w:w="5739" w:type="dxa"/>
          </w:tcPr>
          <w:p w:rsidR="001F277F" w:rsidRPr="00DE6504" w:rsidRDefault="001F277F">
            <w:pPr>
              <w:rPr>
                <w:rFonts w:asciiTheme="minorHAnsi" w:hAnsiTheme="minorHAnsi"/>
                <w:sz w:val="22"/>
                <w:szCs w:val="22"/>
              </w:rPr>
            </w:pPr>
            <w:r w:rsidRPr="00DE6504">
              <w:rPr>
                <w:rFonts w:asciiTheme="minorHAnsi" w:hAnsiTheme="minorHAnsi"/>
                <w:sz w:val="22"/>
                <w:szCs w:val="22"/>
              </w:rPr>
              <w:t>Odôvodnenie</w:t>
            </w:r>
          </w:p>
        </w:tc>
      </w:tr>
      <w:tr w:rsidR="006F7805" w:rsidRPr="00DE6504" w:rsidTr="008C7B12">
        <w:tc>
          <w:tcPr>
            <w:tcW w:w="1069" w:type="dxa"/>
          </w:tcPr>
          <w:p w:rsidR="006F7805" w:rsidRPr="00DE6504" w:rsidRDefault="008C7B12" w:rsidP="004B0224">
            <w:pPr>
              <w:rPr>
                <w:rFonts w:asciiTheme="minorHAnsi" w:hAnsiTheme="minorHAnsi"/>
                <w:sz w:val="22"/>
                <w:szCs w:val="22"/>
              </w:rPr>
            </w:pPr>
            <w:r w:rsidRPr="00DE6504">
              <w:rPr>
                <w:rFonts w:asciiTheme="minorHAnsi" w:hAnsiTheme="minorHAnsi"/>
                <w:sz w:val="22"/>
                <w:szCs w:val="22"/>
              </w:rPr>
              <w:t>1</w:t>
            </w:r>
          </w:p>
        </w:tc>
        <w:tc>
          <w:tcPr>
            <w:tcW w:w="3110" w:type="dxa"/>
          </w:tcPr>
          <w:p w:rsidR="006F7805" w:rsidRPr="00DE6504" w:rsidRDefault="006F7805" w:rsidP="00E44283">
            <w:pPr>
              <w:rPr>
                <w:rFonts w:asciiTheme="minorHAnsi" w:hAnsiTheme="minorHAnsi"/>
                <w:sz w:val="22"/>
                <w:szCs w:val="22"/>
              </w:rPr>
            </w:pPr>
            <w:r w:rsidRPr="00DE6504">
              <w:rPr>
                <w:rFonts w:asciiTheme="minorHAnsi" w:hAnsiTheme="minorHAnsi"/>
                <w:sz w:val="22"/>
                <w:szCs w:val="22"/>
              </w:rPr>
              <w:t>§20 ods.</w:t>
            </w:r>
            <w:r w:rsidR="00EF13BE" w:rsidRPr="00DE6504">
              <w:rPr>
                <w:rFonts w:asciiTheme="minorHAnsi" w:hAnsiTheme="minorHAnsi"/>
                <w:sz w:val="22"/>
                <w:szCs w:val="22"/>
              </w:rPr>
              <w:t xml:space="preserve"> </w:t>
            </w:r>
            <w:r w:rsidR="00E44283" w:rsidRPr="00DE6504">
              <w:rPr>
                <w:rFonts w:asciiTheme="minorHAnsi" w:hAnsiTheme="minorHAnsi"/>
                <w:sz w:val="22"/>
                <w:szCs w:val="22"/>
              </w:rPr>
              <w:t>23</w:t>
            </w:r>
            <w:r w:rsidR="00EF13BE" w:rsidRPr="00DE6504">
              <w:rPr>
                <w:rFonts w:asciiTheme="minorHAnsi" w:hAnsiTheme="minorHAnsi"/>
                <w:sz w:val="22"/>
                <w:szCs w:val="22"/>
              </w:rPr>
              <w:t xml:space="preserve"> </w:t>
            </w:r>
          </w:p>
        </w:tc>
        <w:tc>
          <w:tcPr>
            <w:tcW w:w="4302" w:type="dxa"/>
          </w:tcPr>
          <w:p w:rsidR="006F7805" w:rsidRPr="00DE6504" w:rsidRDefault="006F7805" w:rsidP="00E44283">
            <w:pPr>
              <w:rPr>
                <w:rFonts w:asciiTheme="minorHAnsi" w:hAnsiTheme="minorHAnsi"/>
                <w:sz w:val="22"/>
                <w:szCs w:val="22"/>
              </w:rPr>
            </w:pPr>
            <w:r w:rsidRPr="00DE6504">
              <w:rPr>
                <w:rFonts w:asciiTheme="minorHAnsi" w:hAnsiTheme="minorHAnsi"/>
                <w:sz w:val="22"/>
                <w:szCs w:val="22"/>
              </w:rPr>
              <w:t xml:space="preserve">Navrhujeme do §20 </w:t>
            </w:r>
            <w:r w:rsidR="00E44283" w:rsidRPr="00DE6504">
              <w:rPr>
                <w:rFonts w:asciiTheme="minorHAnsi" w:hAnsiTheme="minorHAnsi"/>
                <w:sz w:val="22"/>
                <w:szCs w:val="22"/>
              </w:rPr>
              <w:t xml:space="preserve"> pridať odsek 23 s nasledovným znením:</w:t>
            </w:r>
          </w:p>
          <w:p w:rsidR="00E44283" w:rsidRPr="00DE6504" w:rsidRDefault="00E44283" w:rsidP="00E44283">
            <w:pPr>
              <w:rPr>
                <w:rFonts w:asciiTheme="minorHAnsi" w:hAnsiTheme="minorHAnsi"/>
                <w:sz w:val="22"/>
                <w:szCs w:val="22"/>
              </w:rPr>
            </w:pPr>
          </w:p>
          <w:p w:rsidR="00E44283" w:rsidRPr="00DE6504" w:rsidRDefault="00E44283" w:rsidP="00E44283">
            <w:pPr>
              <w:rPr>
                <w:rFonts w:asciiTheme="minorHAnsi" w:hAnsiTheme="minorHAnsi"/>
                <w:sz w:val="22"/>
                <w:szCs w:val="22"/>
              </w:rPr>
            </w:pPr>
            <w:r w:rsidRPr="00DE6504">
              <w:rPr>
                <w:rFonts w:asciiTheme="minorHAnsi" w:hAnsiTheme="minorHAnsi"/>
                <w:sz w:val="22"/>
                <w:szCs w:val="22"/>
              </w:rPr>
              <w:t xml:space="preserve">„(23) Pre účely odseku 2, písmená b), d), e) f) a g) sa pohľadávka považuje za nepremlčanú pokiaľ bola nepremlčanou počas aspoň jedného dňa zdaňovacieho obdobia. </w:t>
            </w:r>
          </w:p>
        </w:tc>
        <w:tc>
          <w:tcPr>
            <w:tcW w:w="5739" w:type="dxa"/>
          </w:tcPr>
          <w:p w:rsidR="00B37E91" w:rsidRPr="00DE6504" w:rsidRDefault="00E44283" w:rsidP="00E44283">
            <w:pPr>
              <w:rPr>
                <w:rFonts w:asciiTheme="minorHAnsi" w:hAnsiTheme="minorHAnsi"/>
                <w:sz w:val="22"/>
                <w:szCs w:val="22"/>
              </w:rPr>
            </w:pPr>
            <w:r w:rsidRPr="00DE6504">
              <w:rPr>
                <w:rFonts w:asciiTheme="minorHAnsi" w:hAnsiTheme="minorHAnsi"/>
                <w:sz w:val="22"/>
                <w:szCs w:val="22"/>
              </w:rPr>
              <w:t xml:space="preserve">Ustanovenia </w:t>
            </w:r>
            <w:r w:rsidR="00FF3F81" w:rsidRPr="00DE6504">
              <w:rPr>
                <w:rFonts w:asciiTheme="minorHAnsi" w:hAnsiTheme="minorHAnsi"/>
                <w:sz w:val="22"/>
                <w:szCs w:val="22"/>
              </w:rPr>
              <w:t>§</w:t>
            </w:r>
            <w:r w:rsidR="00B37E91" w:rsidRPr="00DE6504">
              <w:rPr>
                <w:rFonts w:asciiTheme="minorHAnsi" w:hAnsiTheme="minorHAnsi"/>
                <w:sz w:val="22"/>
                <w:szCs w:val="22"/>
              </w:rPr>
              <w:t xml:space="preserve">20 </w:t>
            </w:r>
            <w:r w:rsidR="00FF3F81" w:rsidRPr="00DE6504">
              <w:rPr>
                <w:rFonts w:asciiTheme="minorHAnsi" w:hAnsiTheme="minorHAnsi"/>
                <w:sz w:val="22"/>
                <w:szCs w:val="22"/>
              </w:rPr>
              <w:t>vymedzuj</w:t>
            </w:r>
            <w:r w:rsidRPr="00DE6504">
              <w:rPr>
                <w:rFonts w:asciiTheme="minorHAnsi" w:hAnsiTheme="minorHAnsi"/>
                <w:sz w:val="22"/>
                <w:szCs w:val="22"/>
              </w:rPr>
              <w:t>ú</w:t>
            </w:r>
            <w:r w:rsidR="00FF3F81" w:rsidRPr="00DE6504">
              <w:rPr>
                <w:rFonts w:asciiTheme="minorHAnsi" w:hAnsiTheme="minorHAnsi"/>
                <w:sz w:val="22"/>
                <w:szCs w:val="22"/>
              </w:rPr>
              <w:t xml:space="preserve"> v ktorých prípadoch</w:t>
            </w:r>
            <w:r w:rsidR="001462ED" w:rsidRPr="00DE6504">
              <w:rPr>
                <w:rFonts w:asciiTheme="minorHAnsi" w:hAnsiTheme="minorHAnsi"/>
                <w:sz w:val="22"/>
                <w:szCs w:val="22"/>
              </w:rPr>
              <w:t xml:space="preserve"> je tvorba opravných polož</w:t>
            </w:r>
            <w:r w:rsidR="00FF3F81" w:rsidRPr="00DE6504">
              <w:rPr>
                <w:rFonts w:asciiTheme="minorHAnsi" w:hAnsiTheme="minorHAnsi"/>
                <w:sz w:val="22"/>
                <w:szCs w:val="22"/>
              </w:rPr>
              <w:t xml:space="preserve">iek </w:t>
            </w:r>
            <w:r w:rsidR="008C3B6C" w:rsidRPr="00DE6504">
              <w:rPr>
                <w:rFonts w:asciiTheme="minorHAnsi" w:hAnsiTheme="minorHAnsi"/>
                <w:sz w:val="22"/>
                <w:szCs w:val="22"/>
              </w:rPr>
              <w:t>uz</w:t>
            </w:r>
            <w:r w:rsidR="001462ED" w:rsidRPr="00DE6504">
              <w:rPr>
                <w:rFonts w:asciiTheme="minorHAnsi" w:hAnsiTheme="minorHAnsi"/>
                <w:sz w:val="22"/>
                <w:szCs w:val="22"/>
              </w:rPr>
              <w:t xml:space="preserve">naná za daňový výdavok. </w:t>
            </w:r>
            <w:r w:rsidR="00B37E91" w:rsidRPr="00DE6504">
              <w:rPr>
                <w:rFonts w:asciiTheme="minorHAnsi" w:hAnsiTheme="minorHAnsi"/>
                <w:sz w:val="22"/>
                <w:szCs w:val="22"/>
              </w:rPr>
              <w:t xml:space="preserve">V prípade niektorých opravných položiek je podmienkou to, aby pohľadávky boli nepremlčané.   </w:t>
            </w:r>
          </w:p>
          <w:p w:rsidR="00B37E91" w:rsidRPr="00DE6504" w:rsidRDefault="00B37E91" w:rsidP="00E44283">
            <w:pPr>
              <w:rPr>
                <w:rFonts w:asciiTheme="minorHAnsi" w:hAnsiTheme="minorHAnsi"/>
                <w:sz w:val="22"/>
                <w:szCs w:val="22"/>
              </w:rPr>
            </w:pPr>
          </w:p>
          <w:p w:rsidR="00B37E91" w:rsidRPr="00DE6504" w:rsidRDefault="001462ED" w:rsidP="00B37E91">
            <w:pPr>
              <w:rPr>
                <w:rFonts w:asciiTheme="minorHAnsi" w:hAnsiTheme="minorHAnsi"/>
                <w:sz w:val="22"/>
                <w:szCs w:val="22"/>
              </w:rPr>
            </w:pPr>
            <w:r w:rsidRPr="00DE6504">
              <w:rPr>
                <w:rFonts w:asciiTheme="minorHAnsi" w:hAnsiTheme="minorHAnsi"/>
                <w:sz w:val="22"/>
                <w:szCs w:val="22"/>
              </w:rPr>
              <w:t xml:space="preserve">Možnosť zahrnutia  tvorby </w:t>
            </w:r>
            <w:r w:rsidR="004474AE" w:rsidRPr="00DE6504">
              <w:rPr>
                <w:rFonts w:asciiTheme="minorHAnsi" w:hAnsiTheme="minorHAnsi"/>
                <w:sz w:val="22"/>
                <w:szCs w:val="22"/>
              </w:rPr>
              <w:t>opravných položiek</w:t>
            </w:r>
            <w:r w:rsidRPr="00DE6504">
              <w:rPr>
                <w:rFonts w:asciiTheme="minorHAnsi" w:hAnsiTheme="minorHAnsi"/>
                <w:sz w:val="22"/>
                <w:szCs w:val="22"/>
              </w:rPr>
              <w:t xml:space="preserve"> k predmetným nepremlčaný</w:t>
            </w:r>
            <w:r w:rsidR="00EF13BE" w:rsidRPr="00DE6504">
              <w:rPr>
                <w:rFonts w:asciiTheme="minorHAnsi" w:hAnsiTheme="minorHAnsi"/>
                <w:sz w:val="22"/>
                <w:szCs w:val="22"/>
              </w:rPr>
              <w:t>m pohľadávkam do daňových výdavkov</w:t>
            </w:r>
            <w:r w:rsidRPr="00DE6504">
              <w:rPr>
                <w:rFonts w:asciiTheme="minorHAnsi" w:hAnsiTheme="minorHAnsi"/>
                <w:sz w:val="22"/>
                <w:szCs w:val="22"/>
              </w:rPr>
              <w:t xml:space="preserve"> je </w:t>
            </w:r>
            <w:r w:rsidR="00B37E91" w:rsidRPr="00DE6504">
              <w:rPr>
                <w:rFonts w:asciiTheme="minorHAnsi" w:hAnsiTheme="minorHAnsi"/>
                <w:sz w:val="22"/>
                <w:szCs w:val="22"/>
              </w:rPr>
              <w:t xml:space="preserve">napríklad v odseku 4 a 14 </w:t>
            </w:r>
            <w:r w:rsidRPr="00DE6504">
              <w:rPr>
                <w:rFonts w:asciiTheme="minorHAnsi" w:hAnsiTheme="minorHAnsi"/>
                <w:sz w:val="22"/>
                <w:szCs w:val="22"/>
              </w:rPr>
              <w:t>podmienená  uplynutím zákonom  stanoveného počtu dní od doby splatnosti pohľadávky.</w:t>
            </w:r>
            <w:r w:rsidR="00EF13BE" w:rsidRPr="00DE6504">
              <w:rPr>
                <w:rFonts w:asciiTheme="minorHAnsi" w:hAnsiTheme="minorHAnsi"/>
                <w:sz w:val="22"/>
                <w:szCs w:val="22"/>
              </w:rPr>
              <w:t xml:space="preserve"> </w:t>
            </w:r>
            <w:r w:rsidR="00FF3F81" w:rsidRPr="00DE6504">
              <w:rPr>
                <w:rFonts w:asciiTheme="minorHAnsi" w:hAnsiTheme="minorHAnsi"/>
                <w:sz w:val="22"/>
                <w:szCs w:val="22"/>
              </w:rPr>
              <w:t xml:space="preserve">Podľa striktného </w:t>
            </w:r>
            <w:r w:rsidR="00B37E91" w:rsidRPr="00DE6504">
              <w:rPr>
                <w:rFonts w:asciiTheme="minorHAnsi" w:hAnsiTheme="minorHAnsi"/>
                <w:sz w:val="22"/>
                <w:szCs w:val="22"/>
              </w:rPr>
              <w:t xml:space="preserve">výkladu </w:t>
            </w:r>
            <w:r w:rsidR="00FF3F81" w:rsidRPr="00DE6504">
              <w:rPr>
                <w:rFonts w:asciiTheme="minorHAnsi" w:hAnsiTheme="minorHAnsi"/>
                <w:sz w:val="22"/>
                <w:szCs w:val="22"/>
              </w:rPr>
              <w:t>súčasného</w:t>
            </w:r>
            <w:r w:rsidRPr="00DE6504">
              <w:rPr>
                <w:rFonts w:asciiTheme="minorHAnsi" w:hAnsiTheme="minorHAnsi"/>
                <w:sz w:val="22"/>
                <w:szCs w:val="22"/>
              </w:rPr>
              <w:t xml:space="preserve"> znenia </w:t>
            </w:r>
            <w:r w:rsidR="00C60444" w:rsidRPr="00DE6504">
              <w:rPr>
                <w:rFonts w:asciiTheme="minorHAnsi" w:hAnsiTheme="minorHAnsi"/>
                <w:sz w:val="22"/>
                <w:szCs w:val="22"/>
              </w:rPr>
              <w:t xml:space="preserve">zákona </w:t>
            </w:r>
            <w:r w:rsidR="00EF13BE" w:rsidRPr="00DE6504">
              <w:rPr>
                <w:rFonts w:asciiTheme="minorHAnsi" w:hAnsiTheme="minorHAnsi"/>
                <w:sz w:val="22"/>
                <w:szCs w:val="22"/>
              </w:rPr>
              <w:t xml:space="preserve"> </w:t>
            </w:r>
            <w:r w:rsidRPr="00DE6504">
              <w:rPr>
                <w:rFonts w:asciiTheme="minorHAnsi" w:hAnsiTheme="minorHAnsi"/>
                <w:sz w:val="22"/>
                <w:szCs w:val="22"/>
              </w:rPr>
              <w:t>v prí</w:t>
            </w:r>
            <w:r w:rsidR="00EF13BE" w:rsidRPr="00DE6504">
              <w:rPr>
                <w:rFonts w:asciiTheme="minorHAnsi" w:hAnsiTheme="minorHAnsi"/>
                <w:sz w:val="22"/>
                <w:szCs w:val="22"/>
              </w:rPr>
              <w:t>pade pohľad</w:t>
            </w:r>
            <w:r w:rsidR="004474AE" w:rsidRPr="00DE6504">
              <w:rPr>
                <w:rFonts w:asciiTheme="minorHAnsi" w:hAnsiTheme="minorHAnsi"/>
                <w:sz w:val="22"/>
                <w:szCs w:val="22"/>
              </w:rPr>
              <w:t>á</w:t>
            </w:r>
            <w:r w:rsidR="00EF13BE" w:rsidRPr="00DE6504">
              <w:rPr>
                <w:rFonts w:asciiTheme="minorHAnsi" w:hAnsiTheme="minorHAnsi"/>
                <w:sz w:val="22"/>
                <w:szCs w:val="22"/>
              </w:rPr>
              <w:t>vok s troj</w:t>
            </w:r>
            <w:r w:rsidRPr="00DE6504">
              <w:rPr>
                <w:rFonts w:asciiTheme="minorHAnsi" w:hAnsiTheme="minorHAnsi"/>
                <w:sz w:val="22"/>
                <w:szCs w:val="22"/>
              </w:rPr>
              <w:t>roč</w:t>
            </w:r>
            <w:r w:rsidR="00EF13BE" w:rsidRPr="00DE6504">
              <w:rPr>
                <w:rFonts w:asciiTheme="minorHAnsi" w:hAnsiTheme="minorHAnsi"/>
                <w:sz w:val="22"/>
                <w:szCs w:val="22"/>
              </w:rPr>
              <w:t xml:space="preserve">nou </w:t>
            </w:r>
            <w:r w:rsidRPr="00DE6504">
              <w:rPr>
                <w:rFonts w:asciiTheme="minorHAnsi" w:hAnsiTheme="minorHAnsi"/>
                <w:sz w:val="22"/>
                <w:szCs w:val="22"/>
              </w:rPr>
              <w:t>premlč</w:t>
            </w:r>
            <w:r w:rsidR="004474AE" w:rsidRPr="00DE6504">
              <w:rPr>
                <w:rFonts w:asciiTheme="minorHAnsi" w:hAnsiTheme="minorHAnsi"/>
                <w:sz w:val="22"/>
                <w:szCs w:val="22"/>
              </w:rPr>
              <w:t>acou dobou</w:t>
            </w:r>
            <w:r w:rsidR="00FF3F81" w:rsidRPr="00DE6504">
              <w:rPr>
                <w:rFonts w:asciiTheme="minorHAnsi" w:hAnsiTheme="minorHAnsi"/>
                <w:sz w:val="22"/>
                <w:szCs w:val="22"/>
              </w:rPr>
              <w:t>,</w:t>
            </w:r>
            <w:r w:rsidR="004474AE" w:rsidRPr="00DE6504">
              <w:rPr>
                <w:rFonts w:asciiTheme="minorHAnsi" w:hAnsiTheme="minorHAnsi"/>
                <w:sz w:val="22"/>
                <w:szCs w:val="22"/>
              </w:rPr>
              <w:t xml:space="preserve"> </w:t>
            </w:r>
            <w:r w:rsidRPr="00DE6504">
              <w:rPr>
                <w:rFonts w:asciiTheme="minorHAnsi" w:hAnsiTheme="minorHAnsi"/>
                <w:sz w:val="22"/>
                <w:szCs w:val="22"/>
              </w:rPr>
              <w:t>daňovní</w:t>
            </w:r>
            <w:r w:rsidR="004474AE" w:rsidRPr="00DE6504">
              <w:rPr>
                <w:rFonts w:asciiTheme="minorHAnsi" w:hAnsiTheme="minorHAnsi"/>
                <w:sz w:val="22"/>
                <w:szCs w:val="22"/>
              </w:rPr>
              <w:t xml:space="preserve">k môže </w:t>
            </w:r>
            <w:r w:rsidRPr="00DE6504">
              <w:rPr>
                <w:rFonts w:asciiTheme="minorHAnsi" w:hAnsiTheme="minorHAnsi"/>
                <w:sz w:val="22"/>
                <w:szCs w:val="22"/>
              </w:rPr>
              <w:t xml:space="preserve">tvoriť 100% </w:t>
            </w:r>
            <w:r w:rsidR="004474AE" w:rsidRPr="00DE6504">
              <w:rPr>
                <w:rFonts w:asciiTheme="minorHAnsi" w:hAnsiTheme="minorHAnsi"/>
                <w:sz w:val="22"/>
                <w:szCs w:val="22"/>
              </w:rPr>
              <w:t xml:space="preserve">daňovo uznateľnú opravnú položku </w:t>
            </w:r>
            <w:r w:rsidRPr="00DE6504">
              <w:rPr>
                <w:rFonts w:asciiTheme="minorHAnsi" w:hAnsiTheme="minorHAnsi"/>
                <w:sz w:val="22"/>
                <w:szCs w:val="22"/>
              </w:rPr>
              <w:t xml:space="preserve">najskôr </w:t>
            </w:r>
            <w:r w:rsidR="004474AE" w:rsidRPr="00DE6504">
              <w:rPr>
                <w:rFonts w:asciiTheme="minorHAnsi" w:hAnsiTheme="minorHAnsi"/>
                <w:sz w:val="22"/>
                <w:szCs w:val="22"/>
              </w:rPr>
              <w:t>1080 dní od splatnosti pohľadávky</w:t>
            </w:r>
            <w:r w:rsidR="008D6E44" w:rsidRPr="00DE6504">
              <w:rPr>
                <w:rFonts w:asciiTheme="minorHAnsi" w:hAnsiTheme="minorHAnsi"/>
                <w:sz w:val="22"/>
                <w:szCs w:val="22"/>
              </w:rPr>
              <w:t xml:space="preserve">, najneskôr však </w:t>
            </w:r>
            <w:r w:rsidRPr="00DE6504">
              <w:rPr>
                <w:rFonts w:asciiTheme="minorHAnsi" w:hAnsiTheme="minorHAnsi"/>
                <w:sz w:val="22"/>
                <w:szCs w:val="22"/>
              </w:rPr>
              <w:t>do doby prem</w:t>
            </w:r>
            <w:r w:rsidR="004474AE" w:rsidRPr="00DE6504">
              <w:rPr>
                <w:rFonts w:asciiTheme="minorHAnsi" w:hAnsiTheme="minorHAnsi"/>
                <w:sz w:val="22"/>
                <w:szCs w:val="22"/>
              </w:rPr>
              <w:t>lčania, čo je 1095 dní. Tzn. daňovník má 15 dní na tvor</w:t>
            </w:r>
            <w:r w:rsidRPr="00DE6504">
              <w:rPr>
                <w:rFonts w:asciiTheme="minorHAnsi" w:hAnsiTheme="minorHAnsi"/>
                <w:sz w:val="22"/>
                <w:szCs w:val="22"/>
              </w:rPr>
              <w:t xml:space="preserve">bu </w:t>
            </w:r>
            <w:r w:rsidR="004474AE" w:rsidRPr="00DE6504">
              <w:rPr>
                <w:rFonts w:asciiTheme="minorHAnsi" w:hAnsiTheme="minorHAnsi"/>
                <w:sz w:val="22"/>
                <w:szCs w:val="22"/>
              </w:rPr>
              <w:t>opravnej položky</w:t>
            </w:r>
            <w:r w:rsidR="00D122BE">
              <w:rPr>
                <w:rFonts w:asciiTheme="minorHAnsi" w:hAnsiTheme="minorHAnsi"/>
                <w:sz w:val="22"/>
                <w:szCs w:val="22"/>
              </w:rPr>
              <w:t xml:space="preserve"> pri dodržaní časové</w:t>
            </w:r>
            <w:r w:rsidRPr="00DE6504">
              <w:rPr>
                <w:rFonts w:asciiTheme="minorHAnsi" w:hAnsiTheme="minorHAnsi"/>
                <w:sz w:val="22"/>
                <w:szCs w:val="22"/>
              </w:rPr>
              <w:t xml:space="preserve">ho testu </w:t>
            </w:r>
            <w:r w:rsidR="004474AE" w:rsidRPr="00DE6504">
              <w:rPr>
                <w:rFonts w:asciiTheme="minorHAnsi" w:hAnsiTheme="minorHAnsi"/>
                <w:sz w:val="22"/>
                <w:szCs w:val="22"/>
              </w:rPr>
              <w:t>v súlade s ustanovením v</w:t>
            </w:r>
            <w:r w:rsidR="00FF3F81" w:rsidRPr="00DE6504">
              <w:rPr>
                <w:rFonts w:asciiTheme="minorHAnsi" w:hAnsiTheme="minorHAnsi"/>
                <w:sz w:val="22"/>
                <w:szCs w:val="22"/>
              </w:rPr>
              <w:t> </w:t>
            </w:r>
            <w:r w:rsidR="004474AE" w:rsidRPr="00DE6504">
              <w:rPr>
                <w:rFonts w:asciiTheme="minorHAnsi" w:hAnsiTheme="minorHAnsi"/>
                <w:sz w:val="22"/>
                <w:szCs w:val="22"/>
              </w:rPr>
              <w:t>zákone</w:t>
            </w:r>
            <w:r w:rsidR="00FF3F81" w:rsidRPr="00DE6504">
              <w:rPr>
                <w:rFonts w:asciiTheme="minorHAnsi" w:hAnsiTheme="minorHAnsi"/>
                <w:sz w:val="22"/>
                <w:szCs w:val="22"/>
              </w:rPr>
              <w:t>, resp.</w:t>
            </w:r>
            <w:r w:rsidR="004474AE" w:rsidRPr="00DE6504">
              <w:rPr>
                <w:rFonts w:asciiTheme="minorHAnsi" w:hAnsiTheme="minorHAnsi"/>
                <w:sz w:val="22"/>
                <w:szCs w:val="22"/>
              </w:rPr>
              <w:t xml:space="preserve"> k predmetným pohľadávkam daňovník nemôže vytvárať daňov</w:t>
            </w:r>
            <w:r w:rsidR="00FF3F81" w:rsidRPr="00DE6504">
              <w:rPr>
                <w:rFonts w:asciiTheme="minorHAnsi" w:hAnsiTheme="minorHAnsi"/>
                <w:sz w:val="22"/>
                <w:szCs w:val="22"/>
              </w:rPr>
              <w:t xml:space="preserve">é opravné položky  bez </w:t>
            </w:r>
            <w:r w:rsidRPr="00DE6504">
              <w:rPr>
                <w:rFonts w:asciiTheme="minorHAnsi" w:hAnsiTheme="minorHAnsi"/>
                <w:sz w:val="22"/>
                <w:szCs w:val="22"/>
              </w:rPr>
              <w:t>priebe</w:t>
            </w:r>
            <w:r w:rsidR="00FF3F81" w:rsidRPr="00DE6504">
              <w:rPr>
                <w:rFonts w:asciiTheme="minorHAnsi" w:hAnsiTheme="minorHAnsi"/>
                <w:sz w:val="22"/>
                <w:szCs w:val="22"/>
              </w:rPr>
              <w:t xml:space="preserve">žného vedenia </w:t>
            </w:r>
            <w:r w:rsidR="008D6E44" w:rsidRPr="00DE6504">
              <w:rPr>
                <w:rFonts w:asciiTheme="minorHAnsi" w:hAnsiTheme="minorHAnsi"/>
                <w:sz w:val="22"/>
                <w:szCs w:val="22"/>
              </w:rPr>
              <w:t>dennej</w:t>
            </w:r>
            <w:r w:rsidRPr="00DE6504">
              <w:rPr>
                <w:rFonts w:asciiTheme="minorHAnsi" w:hAnsiTheme="minorHAnsi"/>
                <w:sz w:val="22"/>
                <w:szCs w:val="22"/>
              </w:rPr>
              <w:t xml:space="preserve"> </w:t>
            </w:r>
            <w:r w:rsidR="008D6E44" w:rsidRPr="00DE6504">
              <w:rPr>
                <w:rFonts w:asciiTheme="minorHAnsi" w:hAnsiTheme="minorHAnsi"/>
                <w:sz w:val="22"/>
                <w:szCs w:val="22"/>
              </w:rPr>
              <w:t>evidencie pre daňové účely</w:t>
            </w:r>
            <w:r w:rsidRPr="00DE6504">
              <w:rPr>
                <w:rFonts w:asciiTheme="minorHAnsi" w:hAnsiTheme="minorHAnsi"/>
                <w:sz w:val="22"/>
                <w:szCs w:val="22"/>
              </w:rPr>
              <w:t xml:space="preserve">, čo je  z procesného a administratívneho </w:t>
            </w:r>
            <w:r w:rsidR="008D6E44" w:rsidRPr="00DE6504">
              <w:rPr>
                <w:rFonts w:asciiTheme="minorHAnsi" w:hAnsiTheme="minorHAnsi"/>
                <w:sz w:val="22"/>
                <w:szCs w:val="22"/>
              </w:rPr>
              <w:t xml:space="preserve">hľadiska pre veľkých daňovníkov </w:t>
            </w:r>
            <w:r w:rsidR="004474AE" w:rsidRPr="00DE6504">
              <w:rPr>
                <w:rFonts w:asciiTheme="minorHAnsi" w:hAnsiTheme="minorHAnsi"/>
                <w:sz w:val="22"/>
                <w:szCs w:val="22"/>
              </w:rPr>
              <w:t>nemožné, nerelevantné</w:t>
            </w:r>
            <w:r w:rsidRPr="00DE6504">
              <w:rPr>
                <w:rFonts w:asciiTheme="minorHAnsi" w:hAnsiTheme="minorHAnsi"/>
                <w:sz w:val="22"/>
                <w:szCs w:val="22"/>
              </w:rPr>
              <w:t>.</w:t>
            </w:r>
          </w:p>
          <w:p w:rsidR="00B37E91" w:rsidRPr="00DE6504" w:rsidRDefault="00B37E91" w:rsidP="00B37E91">
            <w:pPr>
              <w:rPr>
                <w:rFonts w:asciiTheme="minorHAnsi" w:hAnsiTheme="minorHAnsi"/>
                <w:sz w:val="22"/>
                <w:szCs w:val="22"/>
              </w:rPr>
            </w:pPr>
          </w:p>
          <w:p w:rsidR="006F7805" w:rsidRPr="00DE6504" w:rsidRDefault="00B37E91" w:rsidP="00B37E91">
            <w:pPr>
              <w:rPr>
                <w:rFonts w:asciiTheme="minorHAnsi" w:hAnsiTheme="minorHAnsi"/>
                <w:sz w:val="22"/>
                <w:szCs w:val="22"/>
              </w:rPr>
            </w:pPr>
            <w:r w:rsidRPr="00DE6504">
              <w:rPr>
                <w:rFonts w:asciiTheme="minorHAnsi" w:hAnsiTheme="minorHAnsi"/>
                <w:sz w:val="22"/>
                <w:szCs w:val="22"/>
              </w:rPr>
              <w:t>Preto navrhujem stanoviť, že je dostatočné splniť podmienku nepremlčania v priebehu  zdaňovacieho obdobia (</w:t>
            </w:r>
            <w:proofErr w:type="spellStart"/>
            <w:r w:rsidRPr="00DE6504">
              <w:rPr>
                <w:rFonts w:asciiTheme="minorHAnsi" w:hAnsiTheme="minorHAnsi"/>
                <w:sz w:val="22"/>
                <w:szCs w:val="22"/>
              </w:rPr>
              <w:t>t.j</w:t>
            </w:r>
            <w:proofErr w:type="spellEnd"/>
            <w:r w:rsidRPr="00DE6504">
              <w:rPr>
                <w:rFonts w:asciiTheme="minorHAnsi" w:hAnsiTheme="minorHAnsi"/>
                <w:sz w:val="22"/>
                <w:szCs w:val="22"/>
              </w:rPr>
              <w:t xml:space="preserve">. aspoň jeden deň) a teda túto podmienku nie je nutné skúmať v momente tvorby opravnej položky alebo ku koncu zdaňovacieho obdobia. </w:t>
            </w:r>
          </w:p>
          <w:p w:rsidR="00C5390B" w:rsidRPr="00DE6504" w:rsidRDefault="00C5390B" w:rsidP="00B37E91">
            <w:pPr>
              <w:rPr>
                <w:rFonts w:asciiTheme="minorHAnsi" w:hAnsiTheme="minorHAnsi"/>
                <w:sz w:val="22"/>
                <w:szCs w:val="22"/>
              </w:rPr>
            </w:pPr>
          </w:p>
        </w:tc>
      </w:tr>
      <w:tr w:rsidR="006F7805" w:rsidRPr="00DE6504" w:rsidTr="008C7B12">
        <w:tc>
          <w:tcPr>
            <w:tcW w:w="1069" w:type="dxa"/>
          </w:tcPr>
          <w:p w:rsidR="006F7805" w:rsidRPr="00DE6504" w:rsidRDefault="008C7B12" w:rsidP="004B0224">
            <w:pPr>
              <w:rPr>
                <w:rFonts w:asciiTheme="minorHAnsi" w:hAnsiTheme="minorHAnsi"/>
                <w:sz w:val="22"/>
                <w:szCs w:val="22"/>
              </w:rPr>
            </w:pPr>
            <w:r w:rsidRPr="00DE6504">
              <w:rPr>
                <w:rFonts w:asciiTheme="minorHAnsi" w:hAnsiTheme="minorHAnsi"/>
                <w:sz w:val="22"/>
                <w:szCs w:val="22"/>
              </w:rPr>
              <w:lastRenderedPageBreak/>
              <w:t>2</w:t>
            </w:r>
          </w:p>
        </w:tc>
        <w:tc>
          <w:tcPr>
            <w:tcW w:w="3110" w:type="dxa"/>
          </w:tcPr>
          <w:p w:rsidR="006F7805" w:rsidRPr="00DE6504" w:rsidRDefault="006F7805" w:rsidP="00C60444">
            <w:pPr>
              <w:rPr>
                <w:rFonts w:asciiTheme="minorHAnsi" w:hAnsiTheme="minorHAnsi"/>
                <w:b/>
                <w:sz w:val="22"/>
                <w:szCs w:val="22"/>
              </w:rPr>
            </w:pPr>
            <w:r w:rsidRPr="00DE6504">
              <w:rPr>
                <w:rFonts w:asciiTheme="minorHAnsi" w:hAnsiTheme="minorHAnsi"/>
                <w:sz w:val="22"/>
                <w:szCs w:val="22"/>
              </w:rPr>
              <w:t>§19 ods. 2 písm. r)</w:t>
            </w:r>
            <w:r w:rsidR="003A1322" w:rsidRPr="00DE6504">
              <w:rPr>
                <w:rFonts w:asciiTheme="minorHAnsi" w:hAnsiTheme="minorHAnsi"/>
                <w:sz w:val="22"/>
                <w:szCs w:val="22"/>
              </w:rPr>
              <w:t xml:space="preserve"> </w:t>
            </w:r>
          </w:p>
        </w:tc>
        <w:tc>
          <w:tcPr>
            <w:tcW w:w="4302" w:type="dxa"/>
          </w:tcPr>
          <w:p w:rsidR="00C60444" w:rsidRPr="00DE6504" w:rsidRDefault="00C60444" w:rsidP="008C13D9">
            <w:pPr>
              <w:rPr>
                <w:rFonts w:asciiTheme="minorHAnsi" w:hAnsiTheme="minorHAnsi"/>
                <w:sz w:val="22"/>
                <w:szCs w:val="22"/>
              </w:rPr>
            </w:pPr>
            <w:r w:rsidRPr="00DE6504">
              <w:rPr>
                <w:rFonts w:asciiTheme="minorHAnsi" w:hAnsiTheme="minorHAnsi"/>
                <w:sz w:val="22"/>
                <w:szCs w:val="22"/>
              </w:rPr>
              <w:t>Navrhujeme</w:t>
            </w:r>
            <w:r w:rsidR="00B37E91" w:rsidRPr="00DE6504">
              <w:rPr>
                <w:rFonts w:asciiTheme="minorHAnsi" w:hAnsiTheme="minorHAnsi"/>
                <w:sz w:val="22"/>
                <w:szCs w:val="22"/>
              </w:rPr>
              <w:t xml:space="preserve"> do</w:t>
            </w:r>
            <w:r w:rsidRPr="00DE6504">
              <w:rPr>
                <w:rFonts w:asciiTheme="minorHAnsi" w:hAnsiTheme="minorHAnsi"/>
                <w:sz w:val="22"/>
                <w:szCs w:val="22"/>
              </w:rPr>
              <w:t xml:space="preserve"> písmeno r) doplniť </w:t>
            </w:r>
            <w:r w:rsidR="00B37E91" w:rsidRPr="00DE6504">
              <w:rPr>
                <w:rFonts w:asciiTheme="minorHAnsi" w:hAnsiTheme="minorHAnsi"/>
                <w:sz w:val="22"/>
                <w:szCs w:val="22"/>
              </w:rPr>
              <w:t xml:space="preserve">text </w:t>
            </w:r>
            <w:r w:rsidRPr="00DE6504">
              <w:rPr>
                <w:rFonts w:asciiTheme="minorHAnsi" w:hAnsiTheme="minorHAnsi"/>
                <w:sz w:val="22"/>
                <w:szCs w:val="22"/>
              </w:rPr>
              <w:t xml:space="preserve">tak, aby bolo zrejmé, že „pre posúdenie daňového výdavku je rozhodujúce či by </w:t>
            </w:r>
            <w:r w:rsidR="008C13D9" w:rsidRPr="00DE6504">
              <w:rPr>
                <w:rFonts w:asciiTheme="minorHAnsi" w:hAnsiTheme="minorHAnsi"/>
                <w:sz w:val="22"/>
                <w:szCs w:val="22"/>
              </w:rPr>
              <w:t xml:space="preserve">bola </w:t>
            </w:r>
            <w:r w:rsidRPr="00DE6504">
              <w:rPr>
                <w:rFonts w:asciiTheme="minorHAnsi" w:hAnsiTheme="minorHAnsi"/>
                <w:sz w:val="22"/>
                <w:szCs w:val="22"/>
              </w:rPr>
              <w:t xml:space="preserve">opravná položka uznaná za daňových výdavok a nie to, či opravná položka ako daňový výdavok </w:t>
            </w:r>
            <w:r w:rsidR="00B37E91" w:rsidRPr="00DE6504">
              <w:rPr>
                <w:rFonts w:asciiTheme="minorHAnsi" w:hAnsiTheme="minorHAnsi"/>
                <w:sz w:val="22"/>
                <w:szCs w:val="22"/>
              </w:rPr>
              <w:t xml:space="preserve">skutočne </w:t>
            </w:r>
            <w:r w:rsidRPr="00DE6504">
              <w:rPr>
                <w:rFonts w:asciiTheme="minorHAnsi" w:hAnsiTheme="minorHAnsi"/>
                <w:sz w:val="22"/>
                <w:szCs w:val="22"/>
              </w:rPr>
              <w:t xml:space="preserve">uznaná bola.“ </w:t>
            </w:r>
          </w:p>
        </w:tc>
        <w:tc>
          <w:tcPr>
            <w:tcW w:w="5739" w:type="dxa"/>
          </w:tcPr>
          <w:p w:rsidR="00C60444" w:rsidRPr="00DE6504" w:rsidRDefault="00C60444" w:rsidP="00C60444">
            <w:pPr>
              <w:rPr>
                <w:rFonts w:asciiTheme="minorHAnsi" w:hAnsiTheme="minorHAnsi"/>
                <w:sz w:val="22"/>
                <w:szCs w:val="22"/>
              </w:rPr>
            </w:pPr>
            <w:r w:rsidRPr="00DE6504">
              <w:rPr>
                <w:rFonts w:asciiTheme="minorHAnsi" w:hAnsiTheme="minorHAnsi"/>
                <w:sz w:val="22"/>
                <w:szCs w:val="22"/>
              </w:rPr>
              <w:t xml:space="preserve">Návrh nadväzuje na bod </w:t>
            </w:r>
            <w:r w:rsidR="008C7B12" w:rsidRPr="00DE6504">
              <w:rPr>
                <w:rFonts w:asciiTheme="minorHAnsi" w:hAnsiTheme="minorHAnsi"/>
                <w:sz w:val="22"/>
                <w:szCs w:val="22"/>
              </w:rPr>
              <w:t xml:space="preserve">1 </w:t>
            </w:r>
            <w:r w:rsidRPr="00DE6504">
              <w:rPr>
                <w:rFonts w:asciiTheme="minorHAnsi" w:hAnsiTheme="minorHAnsi"/>
                <w:sz w:val="22"/>
                <w:szCs w:val="22"/>
              </w:rPr>
              <w:t xml:space="preserve">v snahe zjednotiť výklad pri odpise pohľadávky najmä v súvislosti s premlčaním a taktiež v snahe nediskriminovať daňovníkov, ktorí pre účely zjednodušenia posudzujú účtovné opravné položky ako nedaňový náklad a až pri odpise pohľadávky skúmajú daňovú </w:t>
            </w:r>
            <w:proofErr w:type="spellStart"/>
            <w:r w:rsidRPr="00DE6504">
              <w:rPr>
                <w:rFonts w:asciiTheme="minorHAnsi" w:hAnsiTheme="minorHAnsi"/>
                <w:sz w:val="22"/>
                <w:szCs w:val="22"/>
              </w:rPr>
              <w:t>uznateľnosť</w:t>
            </w:r>
            <w:proofErr w:type="spellEnd"/>
            <w:r w:rsidRPr="00DE6504">
              <w:rPr>
                <w:rFonts w:asciiTheme="minorHAnsi" w:hAnsiTheme="minorHAnsi"/>
                <w:sz w:val="22"/>
                <w:szCs w:val="22"/>
              </w:rPr>
              <w:t xml:space="preserve"> vzhľadom na to, že </w:t>
            </w:r>
            <w:r w:rsidR="00FE5F3C" w:rsidRPr="00DE6504">
              <w:rPr>
                <w:rFonts w:asciiTheme="minorHAnsi" w:hAnsiTheme="minorHAnsi"/>
                <w:sz w:val="22"/>
                <w:szCs w:val="22"/>
              </w:rPr>
              <w:t>uznanie opravnej položky ako daňového nákladu je len možnosťou a nie povinnosťou daňovníka</w:t>
            </w:r>
            <w:r w:rsidR="00B37E91" w:rsidRPr="00DE6504">
              <w:rPr>
                <w:rFonts w:asciiTheme="minorHAnsi" w:hAnsiTheme="minorHAnsi"/>
                <w:sz w:val="22"/>
                <w:szCs w:val="22"/>
              </w:rPr>
              <w:t xml:space="preserve"> a títo daňovníci priebežne odvádzajú do štátneho rozpočtu vyššiu daň počas tvorby opravných položiek</w:t>
            </w:r>
            <w:r w:rsidR="00FE5F3C" w:rsidRPr="00DE6504">
              <w:rPr>
                <w:rFonts w:asciiTheme="minorHAnsi" w:hAnsiTheme="minorHAnsi"/>
                <w:sz w:val="22"/>
                <w:szCs w:val="22"/>
              </w:rPr>
              <w:t xml:space="preserve">. </w:t>
            </w:r>
          </w:p>
          <w:p w:rsidR="00B37E91" w:rsidRPr="00DE6504" w:rsidRDefault="00B37E91" w:rsidP="00C60444">
            <w:pPr>
              <w:rPr>
                <w:rFonts w:asciiTheme="minorHAnsi" w:hAnsiTheme="minorHAnsi"/>
                <w:sz w:val="22"/>
                <w:szCs w:val="22"/>
              </w:rPr>
            </w:pPr>
          </w:p>
          <w:p w:rsidR="00D0250D" w:rsidRPr="00DE6504" w:rsidRDefault="00C60444" w:rsidP="00D0250D">
            <w:pPr>
              <w:rPr>
                <w:rFonts w:asciiTheme="minorHAnsi" w:hAnsiTheme="minorHAnsi"/>
                <w:sz w:val="22"/>
                <w:szCs w:val="22"/>
              </w:rPr>
            </w:pPr>
            <w:r w:rsidRPr="00DE6504">
              <w:rPr>
                <w:rFonts w:asciiTheme="minorHAnsi" w:hAnsiTheme="minorHAnsi"/>
                <w:sz w:val="22"/>
                <w:szCs w:val="22"/>
              </w:rPr>
              <w:t xml:space="preserve"> </w:t>
            </w:r>
            <w:r w:rsidR="00B37E91" w:rsidRPr="00DE6504">
              <w:rPr>
                <w:rFonts w:asciiTheme="minorHAnsi" w:hAnsiTheme="minorHAnsi"/>
                <w:sz w:val="22"/>
                <w:szCs w:val="22"/>
              </w:rPr>
              <w:t xml:space="preserve">Zároveň v prípade doplnenia §20 ods. 23 ako je navrhované vyššie bude aj pri odpise pohľadávky </w:t>
            </w:r>
            <w:r w:rsidR="00D0250D" w:rsidRPr="00DE6504">
              <w:rPr>
                <w:rFonts w:asciiTheme="minorHAnsi" w:hAnsiTheme="minorHAnsi"/>
                <w:sz w:val="22"/>
                <w:szCs w:val="22"/>
              </w:rPr>
              <w:t>podľa tohto písmena r) zrejmé, že splnenie podmienky premlčania je dostatočné splniť v priebehu zdaňovacieho obdobia. Podobne ako pri tvorbe opravných položiek vznikajú situácie, kde daňovo účinný odpis pohľadávky je možné urobiť len v priebehu 15 dní pričom čo nie je reálne najmä pre veľkých daňovníkov.</w:t>
            </w:r>
          </w:p>
          <w:p w:rsidR="006F7805" w:rsidRPr="00DE6504" w:rsidRDefault="00D0250D" w:rsidP="00D0250D">
            <w:pPr>
              <w:rPr>
                <w:rFonts w:asciiTheme="minorHAnsi" w:hAnsiTheme="minorHAnsi"/>
                <w:sz w:val="22"/>
                <w:szCs w:val="22"/>
              </w:rPr>
            </w:pPr>
            <w:r w:rsidRPr="00DE6504">
              <w:rPr>
                <w:rFonts w:asciiTheme="minorHAnsi" w:hAnsiTheme="minorHAnsi"/>
                <w:sz w:val="22"/>
                <w:szCs w:val="22"/>
              </w:rPr>
              <w:t xml:space="preserve"> </w:t>
            </w:r>
          </w:p>
        </w:tc>
      </w:tr>
      <w:tr w:rsidR="008C7B12" w:rsidRPr="00DE6504" w:rsidTr="008C7B12">
        <w:tc>
          <w:tcPr>
            <w:tcW w:w="1069" w:type="dxa"/>
          </w:tcPr>
          <w:p w:rsidR="008C7B12" w:rsidRPr="00DE6504" w:rsidRDefault="008C7B12">
            <w:pPr>
              <w:rPr>
                <w:rFonts w:asciiTheme="minorHAnsi" w:hAnsiTheme="minorHAnsi"/>
                <w:sz w:val="22"/>
                <w:szCs w:val="22"/>
              </w:rPr>
            </w:pPr>
            <w:r w:rsidRPr="00DE6504">
              <w:rPr>
                <w:rFonts w:asciiTheme="minorHAnsi" w:hAnsiTheme="minorHAnsi"/>
                <w:sz w:val="22"/>
                <w:szCs w:val="22"/>
              </w:rPr>
              <w:t>3</w:t>
            </w:r>
          </w:p>
        </w:tc>
        <w:tc>
          <w:tcPr>
            <w:tcW w:w="3110" w:type="dxa"/>
          </w:tcPr>
          <w:p w:rsidR="008C7B12" w:rsidRPr="00DE6504" w:rsidRDefault="00997A71" w:rsidP="00F91A04">
            <w:pPr>
              <w:rPr>
                <w:rFonts w:asciiTheme="minorHAnsi" w:hAnsiTheme="minorHAnsi"/>
                <w:sz w:val="22"/>
                <w:szCs w:val="22"/>
              </w:rPr>
            </w:pPr>
            <w:r>
              <w:rPr>
                <w:rFonts w:asciiTheme="minorHAnsi" w:hAnsiTheme="minorHAnsi"/>
                <w:sz w:val="22"/>
                <w:szCs w:val="22"/>
              </w:rPr>
              <w:t>§20, ods. 8 písm.</w:t>
            </w:r>
            <w:bookmarkStart w:id="0" w:name="_GoBack"/>
            <w:bookmarkEnd w:id="0"/>
          </w:p>
        </w:tc>
        <w:tc>
          <w:tcPr>
            <w:tcW w:w="4302" w:type="dxa"/>
          </w:tcPr>
          <w:p w:rsidR="008C7B12" w:rsidRPr="00DE6504" w:rsidRDefault="008C7B12" w:rsidP="00093D69">
            <w:pPr>
              <w:rPr>
                <w:rFonts w:asciiTheme="minorHAnsi" w:hAnsiTheme="minorHAnsi"/>
                <w:sz w:val="22"/>
                <w:szCs w:val="22"/>
              </w:rPr>
            </w:pPr>
            <w:r w:rsidRPr="00DE6504">
              <w:rPr>
                <w:rFonts w:asciiTheme="minorHAnsi" w:hAnsiTheme="minorHAnsi"/>
                <w:sz w:val="22"/>
                <w:szCs w:val="22"/>
              </w:rPr>
              <w:t xml:space="preserve">Navrhujeme na koniec odseku 8 </w:t>
            </w:r>
            <w:r w:rsidR="00994517">
              <w:rPr>
                <w:rFonts w:asciiTheme="minorHAnsi" w:hAnsiTheme="minorHAnsi"/>
                <w:sz w:val="22"/>
                <w:szCs w:val="22"/>
              </w:rPr>
              <w:t>d</w:t>
            </w:r>
            <w:r w:rsidR="00994517" w:rsidRPr="00DE6504">
              <w:rPr>
                <w:rFonts w:asciiTheme="minorHAnsi" w:hAnsiTheme="minorHAnsi"/>
                <w:sz w:val="22"/>
                <w:szCs w:val="22"/>
              </w:rPr>
              <w:t>oplniť</w:t>
            </w:r>
            <w:r w:rsidR="00994517">
              <w:rPr>
                <w:rFonts w:asciiTheme="minorHAnsi" w:hAnsiTheme="minorHAnsi"/>
                <w:sz w:val="22"/>
                <w:szCs w:val="22"/>
              </w:rPr>
              <w:t xml:space="preserve"> </w:t>
            </w:r>
            <w:r w:rsidR="000671C3">
              <w:rPr>
                <w:rFonts w:asciiTheme="minorHAnsi" w:hAnsiTheme="minorHAnsi"/>
                <w:sz w:val="22"/>
                <w:szCs w:val="22"/>
              </w:rPr>
              <w:t>vetu</w:t>
            </w:r>
            <w:r w:rsidRPr="00DE6504">
              <w:rPr>
                <w:rFonts w:asciiTheme="minorHAnsi" w:hAnsiTheme="minorHAnsi"/>
                <w:sz w:val="22"/>
                <w:szCs w:val="22"/>
              </w:rPr>
              <w:t>:</w:t>
            </w:r>
          </w:p>
          <w:p w:rsidR="008C7B12" w:rsidRPr="00DE6504" w:rsidRDefault="008C7B12" w:rsidP="00093D69">
            <w:pPr>
              <w:rPr>
                <w:rFonts w:asciiTheme="minorHAnsi" w:hAnsiTheme="minorHAnsi"/>
                <w:sz w:val="22"/>
                <w:szCs w:val="22"/>
              </w:rPr>
            </w:pPr>
          </w:p>
          <w:p w:rsidR="008C7B12" w:rsidRPr="00DE6504" w:rsidRDefault="008C7B12" w:rsidP="008C7B12">
            <w:pPr>
              <w:rPr>
                <w:rFonts w:asciiTheme="minorHAnsi" w:hAnsiTheme="minorHAnsi"/>
                <w:sz w:val="22"/>
                <w:szCs w:val="22"/>
              </w:rPr>
            </w:pPr>
            <w:r w:rsidRPr="00DE6504">
              <w:rPr>
                <w:rFonts w:asciiTheme="minorHAnsi" w:hAnsiTheme="minorHAnsi"/>
                <w:sz w:val="22"/>
                <w:szCs w:val="22"/>
              </w:rPr>
              <w:t>„Podiel zaisťovateľa na tvorbe a použití rezervy na poistné plnenie vzniknuté a nenahlásené v bežnom účtovnom období sa posudzuje rovnako ako samotná technická rezerva na poistné plnenia z poistných udalostí vzniknutých a nenahlásených v bežnom účtovnom období.“</w:t>
            </w:r>
          </w:p>
        </w:tc>
        <w:tc>
          <w:tcPr>
            <w:tcW w:w="5739" w:type="dxa"/>
          </w:tcPr>
          <w:p w:rsidR="008C7B12" w:rsidRPr="00DE6504" w:rsidRDefault="008C7B12" w:rsidP="00872B94">
            <w:pPr>
              <w:rPr>
                <w:rFonts w:asciiTheme="minorHAnsi" w:hAnsiTheme="minorHAnsi"/>
                <w:sz w:val="22"/>
                <w:szCs w:val="22"/>
              </w:rPr>
            </w:pPr>
            <w:r w:rsidRPr="00DE6504">
              <w:rPr>
                <w:rFonts w:asciiTheme="minorHAnsi" w:hAnsiTheme="minorHAnsi"/>
                <w:sz w:val="22"/>
                <w:szCs w:val="22"/>
              </w:rPr>
              <w:t xml:space="preserve">Technická rezerva na poistné plnenia z poistných udalostí vzniknutých a nenahlásených v bežnom účtovnom období je daňovo neuznateľnou rezervou. V praxi sa však pri tvorbe tejto rezervy zohľadňuje aj existujúce zaistenie </w:t>
            </w:r>
            <w:proofErr w:type="spellStart"/>
            <w:r w:rsidRPr="00DE6504">
              <w:rPr>
                <w:rFonts w:asciiTheme="minorHAnsi" w:hAnsiTheme="minorHAnsi"/>
                <w:sz w:val="22"/>
                <w:szCs w:val="22"/>
              </w:rPr>
              <w:t>t.j</w:t>
            </w:r>
            <w:proofErr w:type="spellEnd"/>
            <w:r w:rsidRPr="00DE6504">
              <w:rPr>
                <w:rFonts w:asciiTheme="minorHAnsi" w:hAnsiTheme="minorHAnsi"/>
                <w:sz w:val="22"/>
                <w:szCs w:val="22"/>
              </w:rPr>
              <w:t xml:space="preserve">. účtuje sa aj podiel zaisťovateľa na tvorbe a použití rezervy na poistné plnenie vzniknuté a nenahlásené v bežnom účtovnom období. Z dôvodu jednoznačnosti navrhujeme upraviť zákon tak, aby bolo zrejmé, že pre podiel zaisťovateľa na tejto technickej rezerve platia rovnaké pravidlá ako pre samotnú rezervu </w:t>
            </w:r>
            <w:proofErr w:type="spellStart"/>
            <w:r w:rsidRPr="00DE6504">
              <w:rPr>
                <w:rFonts w:asciiTheme="minorHAnsi" w:hAnsiTheme="minorHAnsi"/>
                <w:sz w:val="22"/>
                <w:szCs w:val="22"/>
              </w:rPr>
              <w:t>t.j</w:t>
            </w:r>
            <w:proofErr w:type="spellEnd"/>
            <w:r w:rsidRPr="00DE6504">
              <w:rPr>
                <w:rFonts w:asciiTheme="minorHAnsi" w:hAnsiTheme="minorHAnsi"/>
                <w:sz w:val="22"/>
                <w:szCs w:val="22"/>
              </w:rPr>
              <w:t xml:space="preserve">. ide o daňovo neuznateľnú rezervu. </w:t>
            </w:r>
          </w:p>
          <w:p w:rsidR="008C7B12" w:rsidRPr="00DE6504" w:rsidRDefault="008C7B12" w:rsidP="00872B94">
            <w:pPr>
              <w:rPr>
                <w:rFonts w:asciiTheme="minorHAnsi" w:hAnsiTheme="minorHAnsi"/>
                <w:sz w:val="22"/>
                <w:szCs w:val="22"/>
              </w:rPr>
            </w:pPr>
          </w:p>
          <w:p w:rsidR="008C7B12" w:rsidRPr="00DE6504" w:rsidRDefault="008C7B12" w:rsidP="00D07F60">
            <w:pPr>
              <w:rPr>
                <w:rFonts w:asciiTheme="minorHAnsi" w:hAnsiTheme="minorHAnsi"/>
                <w:sz w:val="22"/>
                <w:szCs w:val="22"/>
              </w:rPr>
            </w:pPr>
          </w:p>
        </w:tc>
      </w:tr>
      <w:tr w:rsidR="008C7B12" w:rsidRPr="00DE6504" w:rsidTr="008C7B12">
        <w:tc>
          <w:tcPr>
            <w:tcW w:w="1069" w:type="dxa"/>
          </w:tcPr>
          <w:p w:rsidR="008C7B12" w:rsidRPr="00DE6504" w:rsidRDefault="008C7B12">
            <w:pPr>
              <w:rPr>
                <w:rFonts w:asciiTheme="minorHAnsi" w:hAnsiTheme="minorHAnsi"/>
                <w:sz w:val="22"/>
                <w:szCs w:val="22"/>
              </w:rPr>
            </w:pPr>
            <w:r w:rsidRPr="00DE6504">
              <w:rPr>
                <w:rFonts w:asciiTheme="minorHAnsi" w:hAnsiTheme="minorHAnsi"/>
                <w:sz w:val="22"/>
                <w:szCs w:val="22"/>
              </w:rPr>
              <w:t>4.</w:t>
            </w:r>
          </w:p>
        </w:tc>
        <w:tc>
          <w:tcPr>
            <w:tcW w:w="3110" w:type="dxa"/>
          </w:tcPr>
          <w:p w:rsidR="008C7B12" w:rsidRPr="00DE6504" w:rsidRDefault="008C7B12" w:rsidP="00F91A04">
            <w:pPr>
              <w:rPr>
                <w:rFonts w:asciiTheme="minorHAnsi" w:hAnsiTheme="minorHAnsi"/>
                <w:sz w:val="22"/>
                <w:szCs w:val="22"/>
              </w:rPr>
            </w:pPr>
            <w:r w:rsidRPr="00DE6504">
              <w:rPr>
                <w:rFonts w:asciiTheme="minorHAnsi" w:hAnsiTheme="minorHAnsi" w:cstheme="minorHAnsi"/>
                <w:color w:val="000000"/>
                <w:sz w:val="22"/>
                <w:szCs w:val="22"/>
              </w:rPr>
              <w:t>§</w:t>
            </w:r>
            <w:r w:rsidRPr="00DE6504">
              <w:rPr>
                <w:rFonts w:asciiTheme="minorHAnsi" w:hAnsiTheme="minorHAnsi"/>
                <w:color w:val="000000"/>
                <w:sz w:val="22"/>
                <w:szCs w:val="22"/>
              </w:rPr>
              <w:t>17, odsek 1, písm. c)</w:t>
            </w:r>
          </w:p>
        </w:tc>
        <w:tc>
          <w:tcPr>
            <w:tcW w:w="4302" w:type="dxa"/>
          </w:tcPr>
          <w:p w:rsidR="008C7B12" w:rsidRPr="00DE6504" w:rsidRDefault="008C7B12" w:rsidP="008C7B12">
            <w:pPr>
              <w:jc w:val="both"/>
              <w:rPr>
                <w:rFonts w:asciiTheme="minorHAnsi" w:hAnsiTheme="minorHAnsi"/>
                <w:color w:val="000000"/>
                <w:sz w:val="22"/>
                <w:szCs w:val="22"/>
              </w:rPr>
            </w:pPr>
            <w:r w:rsidRPr="00DE6504">
              <w:rPr>
                <w:rFonts w:asciiTheme="minorHAnsi" w:hAnsiTheme="minorHAnsi"/>
                <w:color w:val="000000"/>
                <w:sz w:val="22"/>
                <w:szCs w:val="22"/>
              </w:rPr>
              <w:t xml:space="preserve">Navrhujeme zrušiť povinnosť poisťovní upravovať výsledok hospodárenia vykázaný </w:t>
            </w:r>
            <w:r w:rsidRPr="00DE6504">
              <w:rPr>
                <w:rFonts w:asciiTheme="minorHAnsi" w:hAnsiTheme="minorHAnsi"/>
                <w:color w:val="000000"/>
                <w:sz w:val="22"/>
                <w:szCs w:val="22"/>
              </w:rPr>
              <w:lastRenderedPageBreak/>
              <w:t xml:space="preserve">podľa IFRS na základ dane podľa </w:t>
            </w:r>
            <w:r w:rsidRPr="00DE6504">
              <w:rPr>
                <w:rFonts w:asciiTheme="minorHAnsi" w:hAnsiTheme="minorHAnsi" w:cstheme="minorHAnsi"/>
                <w:color w:val="000000"/>
                <w:sz w:val="22"/>
                <w:szCs w:val="22"/>
              </w:rPr>
              <w:t>§</w:t>
            </w:r>
            <w:r w:rsidRPr="00DE6504">
              <w:rPr>
                <w:rFonts w:asciiTheme="minorHAnsi" w:hAnsiTheme="minorHAnsi"/>
                <w:color w:val="000000"/>
                <w:sz w:val="22"/>
                <w:szCs w:val="22"/>
              </w:rPr>
              <w:t xml:space="preserve">17, odsek 1, písm. c) Zákona  a pri stanovení základu dane vychádzať z výsledku hospodárenia podľa medzinárodných štandardov.  Tento výsledok hospodárenia by následne podliehal úpravám, ktoré sú stanovené priamo v Zákone (pripočítateľné a odpočítateľné položky ako napríklad opravné položky, odpisy atď.). V Zákone zároveň bude potrebné zmeniť niekoľko ďalších ustanovení (napr. </w:t>
            </w:r>
            <w:r w:rsidRPr="00DE6504">
              <w:rPr>
                <w:rFonts w:asciiTheme="minorHAnsi" w:hAnsiTheme="minorHAnsi" w:cstheme="minorHAnsi"/>
                <w:color w:val="000000"/>
                <w:sz w:val="22"/>
                <w:szCs w:val="22"/>
              </w:rPr>
              <w:t>§ 20 odsek 8) a prípadne pridať nové ustanovenia.</w:t>
            </w:r>
          </w:p>
          <w:p w:rsidR="008C7B12" w:rsidRPr="00DE6504" w:rsidRDefault="008C7B12" w:rsidP="00093D69">
            <w:pPr>
              <w:rPr>
                <w:rFonts w:asciiTheme="minorHAnsi" w:hAnsiTheme="minorHAnsi"/>
                <w:sz w:val="22"/>
                <w:szCs w:val="22"/>
              </w:rPr>
            </w:pPr>
          </w:p>
        </w:tc>
        <w:tc>
          <w:tcPr>
            <w:tcW w:w="5739" w:type="dxa"/>
          </w:tcPr>
          <w:p w:rsidR="008C7B12" w:rsidRPr="00DE6504" w:rsidRDefault="008C7B12" w:rsidP="008C7B12">
            <w:pPr>
              <w:jc w:val="both"/>
              <w:rPr>
                <w:rFonts w:asciiTheme="minorHAnsi" w:hAnsiTheme="minorHAnsi"/>
                <w:color w:val="000000"/>
                <w:sz w:val="22"/>
                <w:szCs w:val="22"/>
              </w:rPr>
            </w:pPr>
            <w:r w:rsidRPr="00DE6504">
              <w:rPr>
                <w:rFonts w:asciiTheme="minorHAnsi" w:hAnsiTheme="minorHAnsi"/>
                <w:color w:val="000000"/>
                <w:sz w:val="22"/>
                <w:szCs w:val="22"/>
              </w:rPr>
              <w:lastRenderedPageBreak/>
              <w:t xml:space="preserve">V zmysle </w:t>
            </w:r>
            <w:r w:rsidRPr="00DE6504">
              <w:rPr>
                <w:rFonts w:asciiTheme="minorHAnsi" w:hAnsiTheme="minorHAnsi" w:cstheme="minorHAnsi"/>
                <w:color w:val="000000"/>
                <w:sz w:val="22"/>
                <w:szCs w:val="22"/>
              </w:rPr>
              <w:t>§</w:t>
            </w:r>
            <w:r w:rsidRPr="00DE6504">
              <w:rPr>
                <w:rFonts w:asciiTheme="minorHAnsi" w:hAnsiTheme="minorHAnsi"/>
                <w:color w:val="000000"/>
                <w:sz w:val="22"/>
                <w:szCs w:val="22"/>
              </w:rPr>
              <w:t xml:space="preserve">17, odsek 1, písm. c) zákona č. 595/2003 </w:t>
            </w:r>
            <w:proofErr w:type="spellStart"/>
            <w:r w:rsidRPr="00DE6504">
              <w:rPr>
                <w:rFonts w:asciiTheme="minorHAnsi" w:hAnsiTheme="minorHAnsi"/>
                <w:color w:val="000000"/>
                <w:sz w:val="22"/>
                <w:szCs w:val="22"/>
              </w:rPr>
              <w:t>Z.z</w:t>
            </w:r>
            <w:proofErr w:type="spellEnd"/>
            <w:r w:rsidRPr="00DE6504">
              <w:rPr>
                <w:rFonts w:asciiTheme="minorHAnsi" w:hAnsiTheme="minorHAnsi"/>
                <w:color w:val="000000"/>
                <w:sz w:val="22"/>
                <w:szCs w:val="22"/>
              </w:rPr>
              <w:t xml:space="preserve">. o dani z príjmov v znení neskorších predpisov (ďalej „Zákon“) je </w:t>
            </w:r>
            <w:r w:rsidRPr="00DE6504">
              <w:rPr>
                <w:rFonts w:asciiTheme="minorHAnsi" w:hAnsiTheme="minorHAnsi"/>
                <w:color w:val="000000"/>
                <w:sz w:val="22"/>
                <w:szCs w:val="22"/>
              </w:rPr>
              <w:lastRenderedPageBreak/>
              <w:t xml:space="preserve">daňovník, ktorý výsledok hospodárenia vykazuje v individuálnej účtovnej závierke podľa medzinárodných štandardov pre finančné výkazníctvo (ďalej „IFRS“), povinný stanoviť základ dane: </w:t>
            </w:r>
          </w:p>
          <w:p w:rsidR="008C7B12" w:rsidRPr="00DE6504" w:rsidRDefault="008C7B12" w:rsidP="008C7B12">
            <w:pPr>
              <w:pStyle w:val="Odsekzoznamu"/>
              <w:numPr>
                <w:ilvl w:val="0"/>
                <w:numId w:val="10"/>
              </w:numPr>
              <w:contextualSpacing/>
              <w:jc w:val="both"/>
              <w:rPr>
                <w:rFonts w:asciiTheme="minorHAnsi" w:hAnsiTheme="minorHAnsi"/>
                <w:color w:val="000000"/>
                <w:sz w:val="22"/>
                <w:szCs w:val="22"/>
              </w:rPr>
            </w:pPr>
            <w:r w:rsidRPr="00DE6504">
              <w:rPr>
                <w:rFonts w:asciiTheme="minorHAnsi" w:hAnsiTheme="minorHAnsi"/>
                <w:color w:val="000000"/>
                <w:sz w:val="22"/>
                <w:szCs w:val="22"/>
              </w:rPr>
              <w:t xml:space="preserve">buď v zmysle opatrenia MFSR č. MF/011053/2006-72 (ďalej „Opatrenie“) alebo  </w:t>
            </w:r>
          </w:p>
          <w:p w:rsidR="008C7B12" w:rsidRPr="00DE6504" w:rsidRDefault="008C7B12" w:rsidP="008C7B12">
            <w:pPr>
              <w:pStyle w:val="Odsekzoznamu"/>
              <w:numPr>
                <w:ilvl w:val="0"/>
                <w:numId w:val="10"/>
              </w:numPr>
              <w:contextualSpacing/>
              <w:jc w:val="both"/>
              <w:rPr>
                <w:rFonts w:asciiTheme="minorHAnsi" w:hAnsiTheme="minorHAnsi"/>
                <w:color w:val="000000"/>
                <w:sz w:val="22"/>
                <w:szCs w:val="22"/>
              </w:rPr>
            </w:pPr>
            <w:r w:rsidRPr="00DE6504">
              <w:rPr>
                <w:rFonts w:asciiTheme="minorHAnsi" w:hAnsiTheme="minorHAnsi"/>
                <w:color w:val="000000"/>
                <w:sz w:val="22"/>
                <w:szCs w:val="22"/>
              </w:rPr>
              <w:t>z výsledku hospodárenia, ktorý by dosiahol, ak by účtoval v sústave podvojného účtovníctva.</w:t>
            </w:r>
          </w:p>
          <w:p w:rsidR="008C7B12" w:rsidRPr="00DE6504" w:rsidRDefault="008C7B12" w:rsidP="008C7B12">
            <w:pPr>
              <w:jc w:val="both"/>
              <w:rPr>
                <w:rFonts w:asciiTheme="minorHAnsi" w:hAnsiTheme="minorHAnsi"/>
                <w:color w:val="000000"/>
                <w:sz w:val="22"/>
                <w:szCs w:val="22"/>
              </w:rPr>
            </w:pPr>
          </w:p>
          <w:p w:rsidR="008C7B12" w:rsidRPr="00DE6504" w:rsidRDefault="008C7B12" w:rsidP="008C7B12">
            <w:pPr>
              <w:rPr>
                <w:rFonts w:asciiTheme="minorHAnsi" w:hAnsiTheme="minorHAnsi"/>
                <w:color w:val="000000"/>
                <w:sz w:val="22"/>
                <w:szCs w:val="22"/>
              </w:rPr>
            </w:pPr>
            <w:r w:rsidRPr="00DE6504">
              <w:rPr>
                <w:rFonts w:asciiTheme="minorHAnsi" w:hAnsiTheme="minorHAnsi"/>
                <w:color w:val="000000"/>
                <w:sz w:val="22"/>
                <w:szCs w:val="22"/>
              </w:rPr>
              <w:t>Pri výpočte úprav hospodárskeho výsledku pritom Opatrenie odkazuje na rozdiely medzi IFRS a postupmi účtovania, podľa ktorých by daňovníci postupovali, ak by nepostupovali podľa IFRS. Pri poisťovniach sú to postupy  účtovania z 3. decembra 2002 č. 2212/2002-92, ktoré boli naposledy novelizované v decembri 2004 (ďalej len „Staré postupy účtovania“).</w:t>
            </w:r>
          </w:p>
          <w:p w:rsidR="008C7B12" w:rsidRPr="00DE6504" w:rsidRDefault="008C7B12" w:rsidP="008C7B12">
            <w:pPr>
              <w:jc w:val="both"/>
              <w:rPr>
                <w:rFonts w:asciiTheme="minorHAnsi" w:hAnsiTheme="minorHAnsi"/>
                <w:color w:val="000000"/>
                <w:sz w:val="22"/>
                <w:szCs w:val="22"/>
              </w:rPr>
            </w:pPr>
            <w:r w:rsidRPr="00DE6504">
              <w:rPr>
                <w:rFonts w:asciiTheme="minorHAnsi" w:hAnsiTheme="minorHAnsi"/>
                <w:color w:val="000000"/>
                <w:sz w:val="22"/>
                <w:szCs w:val="22"/>
              </w:rPr>
              <w:t xml:space="preserve">Poisťovne (ako aj ostatné subjekty verejného záujmu podľa  </w:t>
            </w:r>
            <w:r w:rsidRPr="00DE6504">
              <w:rPr>
                <w:rFonts w:asciiTheme="minorHAnsi" w:hAnsiTheme="minorHAnsi" w:cstheme="minorHAnsi"/>
                <w:color w:val="000000"/>
                <w:sz w:val="22"/>
                <w:szCs w:val="22"/>
              </w:rPr>
              <w:t xml:space="preserve">§17 zákona o účtovníctve) </w:t>
            </w:r>
            <w:r w:rsidRPr="00DE6504">
              <w:rPr>
                <w:rFonts w:asciiTheme="minorHAnsi" w:hAnsiTheme="minorHAnsi"/>
                <w:color w:val="000000"/>
                <w:sz w:val="22"/>
                <w:szCs w:val="22"/>
              </w:rPr>
              <w:t xml:space="preserve">majú od 1.1.2006 zákonnú povinnosť vykazovať výsledok hospodárenia podľa IFRS. Prepočet z IFRS na iný výsledok hospodárenia pre daňové účely pre nich predstavuje dodatočnú administratívnu záťaž. Vzhľadom na to, že IFRS sa postupne rozvíjajú a pribúdajú nové štandardy, dostávajú sa poisťovne do situácií, kedy nie je možné stanoviť postup podľa Starých postupov účtovania alebo je to veľmi náročné keďže ide o legislatívu, ktorá už nie je aplikovaná v praxi (účtovníctvo poisťovní je v súčasnosti vedené len podľa IFRS). Komentáre, vysvetlenia, metodické pokyny či metodické usmernenia v tejto oblasti sú zastarané, neaktuálne. Z tohto dôvodu sú nejasné a nejednotné stanoviská a názory pri porovnávaní  Starých účtovných štandardov s novými štandardami IFRS , tak zo strany daňovníkov, ako aj zo strany daňovej správy. </w:t>
            </w:r>
          </w:p>
          <w:p w:rsidR="008C7B12" w:rsidRPr="00DE6504" w:rsidRDefault="008C7B12" w:rsidP="008C7B12">
            <w:pPr>
              <w:jc w:val="both"/>
              <w:rPr>
                <w:rFonts w:asciiTheme="minorHAnsi" w:hAnsiTheme="minorHAnsi"/>
                <w:color w:val="000000"/>
                <w:sz w:val="22"/>
                <w:szCs w:val="22"/>
              </w:rPr>
            </w:pPr>
            <w:r w:rsidRPr="00DE6504">
              <w:rPr>
                <w:rFonts w:asciiTheme="minorHAnsi" w:hAnsiTheme="minorHAnsi"/>
                <w:color w:val="000000"/>
                <w:sz w:val="22"/>
                <w:szCs w:val="22"/>
              </w:rPr>
              <w:lastRenderedPageBreak/>
              <w:t xml:space="preserve">Daňová správa aj daňovník musia každý nový IFRS štandard analyzovať,  porozumieť zmene oproti existujúcemu IFRS štandardu a následne ešte aj identifikovať rozdiely v účtovaní účtovných prípadov podľa nového štandardu IFRS oproti účtovaniu podľa Starých postupov účtovania, aby sa dali identifikovať rozdiely, o ktoré je potrebné upraviť základ dane. </w:t>
            </w:r>
          </w:p>
          <w:p w:rsidR="008C7B12" w:rsidRPr="00DE6504" w:rsidRDefault="008C7B12" w:rsidP="008C7B12">
            <w:pPr>
              <w:jc w:val="both"/>
              <w:rPr>
                <w:rFonts w:asciiTheme="minorHAnsi" w:hAnsiTheme="minorHAnsi"/>
                <w:color w:val="000000"/>
                <w:sz w:val="22"/>
                <w:szCs w:val="22"/>
              </w:rPr>
            </w:pPr>
          </w:p>
          <w:p w:rsidR="008C7B12" w:rsidRPr="00DE6504" w:rsidRDefault="008C7B12" w:rsidP="008C7B12">
            <w:pPr>
              <w:rPr>
                <w:rFonts w:asciiTheme="minorHAnsi" w:hAnsiTheme="minorHAnsi"/>
                <w:color w:val="000000"/>
                <w:sz w:val="22"/>
                <w:szCs w:val="22"/>
              </w:rPr>
            </w:pPr>
            <w:r w:rsidRPr="00DE6504">
              <w:rPr>
                <w:rFonts w:asciiTheme="minorHAnsi" w:hAnsiTheme="minorHAnsi"/>
                <w:color w:val="000000"/>
                <w:sz w:val="22"/>
                <w:szCs w:val="22"/>
              </w:rPr>
              <w:t>Rozdielne posúdenia zo strany daňovníka a daňovej správy môže  viesť k rozsiahlym, technicky a časovo náročným sporom. Pri tom je zároveň zrejmé, že zo strany daňovníkov nie je snaha o obchádzanie zákona. Hospodársky výsledok podľa IFRS u poisťovní podlieha nielen zákonnému auditu, ale aj dohľadu zo strany Národnej banky Slovenska.  Naproti tomu upravený hospodársky výsledok v zmysle Starých postupov účtovania nie je kontrolovaný nikým, okrem daňovej správy.</w:t>
            </w:r>
          </w:p>
          <w:p w:rsidR="008C7B12" w:rsidRPr="00DE6504" w:rsidRDefault="006C006D" w:rsidP="008C7B12">
            <w:pPr>
              <w:rPr>
                <w:rFonts w:asciiTheme="minorHAnsi" w:hAnsiTheme="minorHAnsi"/>
                <w:sz w:val="22"/>
                <w:szCs w:val="22"/>
              </w:rPr>
            </w:pPr>
            <w:r w:rsidRPr="00DE6504">
              <w:rPr>
                <w:rFonts w:asciiTheme="minorHAnsi" w:hAnsiTheme="minorHAnsi"/>
                <w:sz w:val="22"/>
                <w:szCs w:val="22"/>
              </w:rPr>
              <w:t>Situácia sa stane ešte komplikovanejšou po zavedení nového štandardu IFRS 17 Poistné zmluvy.</w:t>
            </w:r>
          </w:p>
          <w:p w:rsidR="006C006D" w:rsidRPr="00DE6504" w:rsidRDefault="006C006D" w:rsidP="006C006D">
            <w:pPr>
              <w:rPr>
                <w:rFonts w:asciiTheme="minorHAnsi" w:hAnsiTheme="minorHAnsi"/>
                <w:sz w:val="22"/>
                <w:szCs w:val="22"/>
              </w:rPr>
            </w:pPr>
            <w:r w:rsidRPr="00DE6504">
              <w:rPr>
                <w:rFonts w:asciiTheme="minorHAnsi" w:hAnsiTheme="minorHAnsi"/>
                <w:sz w:val="22"/>
                <w:szCs w:val="22"/>
              </w:rPr>
              <w:t xml:space="preserve">Zrušenie povinnosti upravovať hospodársky výsledok dosiahnutý podľa IFRS (v spojení s úpravami v definíciách daňových výdavkov) povedie k výraznému zníženiu administratívnej záťaže tak pre daňovníkov ako aj pre daňovú správu, spojenej so zisťovaním rozdielov medzi IFRS a Starými postupmi účtovania, resp. s vedením účtovníctva tak podľa IFRS, ako aj podľa Starých postupov účtovania. </w:t>
            </w:r>
          </w:p>
          <w:p w:rsidR="006C006D" w:rsidRPr="00DE6504" w:rsidRDefault="006C006D" w:rsidP="008C7B12">
            <w:pPr>
              <w:rPr>
                <w:rFonts w:asciiTheme="minorHAnsi" w:hAnsiTheme="minorHAnsi"/>
                <w:sz w:val="22"/>
                <w:szCs w:val="22"/>
              </w:rPr>
            </w:pPr>
          </w:p>
        </w:tc>
      </w:tr>
      <w:tr w:rsidR="00E2710B" w:rsidRPr="00DE6504" w:rsidTr="008C7B12">
        <w:tc>
          <w:tcPr>
            <w:tcW w:w="1069" w:type="dxa"/>
          </w:tcPr>
          <w:p w:rsidR="00E2710B" w:rsidRPr="00DE6504" w:rsidRDefault="00E2710B">
            <w:pPr>
              <w:rPr>
                <w:rFonts w:asciiTheme="minorHAnsi" w:hAnsiTheme="minorHAnsi"/>
                <w:sz w:val="22"/>
                <w:szCs w:val="22"/>
              </w:rPr>
            </w:pPr>
            <w:r w:rsidRPr="00DE6504">
              <w:rPr>
                <w:rFonts w:asciiTheme="minorHAnsi" w:hAnsiTheme="minorHAnsi"/>
                <w:sz w:val="22"/>
                <w:szCs w:val="22"/>
              </w:rPr>
              <w:lastRenderedPageBreak/>
              <w:t>5.</w:t>
            </w:r>
          </w:p>
        </w:tc>
        <w:tc>
          <w:tcPr>
            <w:tcW w:w="3110" w:type="dxa"/>
          </w:tcPr>
          <w:p w:rsidR="00E2710B" w:rsidRPr="00DE6504" w:rsidRDefault="00DE6504" w:rsidP="00F91A04">
            <w:pPr>
              <w:rPr>
                <w:rFonts w:asciiTheme="minorHAnsi" w:hAnsiTheme="minorHAnsi" w:cstheme="minorHAnsi"/>
                <w:color w:val="000000"/>
                <w:sz w:val="22"/>
                <w:szCs w:val="22"/>
              </w:rPr>
            </w:pPr>
            <w:r w:rsidRPr="00DE6504">
              <w:rPr>
                <w:rFonts w:asciiTheme="minorHAnsi" w:hAnsiTheme="minorHAnsi" w:cs="Arial"/>
                <w:sz w:val="22"/>
                <w:szCs w:val="22"/>
              </w:rPr>
              <w:t>§</w:t>
            </w:r>
            <w:r w:rsidR="00E2710B" w:rsidRPr="00DE6504">
              <w:rPr>
                <w:rFonts w:asciiTheme="minorHAnsi" w:hAnsiTheme="minorHAnsi" w:cs="Arial"/>
                <w:sz w:val="22"/>
                <w:szCs w:val="22"/>
              </w:rPr>
              <w:t>19, odsek 2, písmeno h)</w:t>
            </w:r>
          </w:p>
        </w:tc>
        <w:tc>
          <w:tcPr>
            <w:tcW w:w="4302" w:type="dxa"/>
          </w:tcPr>
          <w:p w:rsidR="00E2710B" w:rsidRPr="00DE6504" w:rsidRDefault="00DE6504" w:rsidP="008C7B12">
            <w:pPr>
              <w:jc w:val="both"/>
              <w:rPr>
                <w:rFonts w:asciiTheme="minorHAnsi" w:hAnsiTheme="minorHAnsi"/>
                <w:color w:val="000000"/>
                <w:sz w:val="22"/>
                <w:szCs w:val="22"/>
              </w:rPr>
            </w:pPr>
            <w:r w:rsidRPr="00DE6504">
              <w:rPr>
                <w:rFonts w:asciiTheme="minorHAnsi" w:hAnsiTheme="minorHAnsi"/>
                <w:color w:val="000000"/>
                <w:sz w:val="22"/>
                <w:szCs w:val="22"/>
              </w:rPr>
              <w:t>Navrhujeme doplniť bod 6. (a pôvodný bod 6. prečíslovať ako 7.): 6.</w:t>
            </w:r>
            <w:r w:rsidRPr="00DE6504">
              <w:rPr>
                <w:rFonts w:asciiTheme="minorHAnsi" w:hAnsiTheme="minorHAnsi"/>
                <w:sz w:val="22"/>
                <w:szCs w:val="22"/>
              </w:rPr>
              <w:t xml:space="preserve"> súd výkon rozhodnutia zastaví z dôvodu, že priebeh výkonu rozhodnutia ukazuje, že výťažok, ktorý sa ním dosiahne, nepostačí na krytie jeho trov alebo majetok dlžníka nepostačuje na krytie </w:t>
            </w:r>
            <w:r w:rsidRPr="00DE6504">
              <w:rPr>
                <w:rFonts w:asciiTheme="minorHAnsi" w:hAnsiTheme="minorHAnsi"/>
                <w:sz w:val="22"/>
                <w:szCs w:val="22"/>
              </w:rPr>
              <w:lastRenderedPageBreak/>
              <w:t xml:space="preserve">nákladov exekučného konania, a to aj pri ostatných pohľadávkach evidovaných daňovníkom voči tomu istému dlžníkovi, </w:t>
            </w:r>
            <w:r w:rsidRPr="00DE6504">
              <w:rPr>
                <w:rFonts w:asciiTheme="minorHAnsi" w:hAnsiTheme="minorHAnsi"/>
                <w:sz w:val="22"/>
                <w:szCs w:val="22"/>
              </w:rPr>
              <w:br/>
            </w:r>
          </w:p>
        </w:tc>
        <w:tc>
          <w:tcPr>
            <w:tcW w:w="5739" w:type="dxa"/>
          </w:tcPr>
          <w:p w:rsidR="00DE6504" w:rsidRPr="00DE6504" w:rsidRDefault="00DE6504" w:rsidP="00DE6504">
            <w:pPr>
              <w:jc w:val="both"/>
              <w:rPr>
                <w:rFonts w:asciiTheme="minorHAnsi" w:hAnsiTheme="minorHAnsi" w:cs="Arial"/>
                <w:sz w:val="22"/>
                <w:szCs w:val="22"/>
              </w:rPr>
            </w:pPr>
            <w:r w:rsidRPr="00DE6504">
              <w:rPr>
                <w:rFonts w:asciiTheme="minorHAnsi" w:hAnsiTheme="minorHAnsi" w:cs="Arial"/>
                <w:sz w:val="22"/>
                <w:szCs w:val="22"/>
              </w:rPr>
              <w:lastRenderedPageBreak/>
              <w:t>V exekúciách začatých pred 1.4.2017 stále platí zastavenie exekúcie súdom takže toto znenie paragrafu 19, odsek 2, písmeno h), je potrebné upraviť a povoliť daňový odpis pohľadávky či rozhodne súd (staré konania) alebo exekútor (nové konania).</w:t>
            </w:r>
          </w:p>
          <w:p w:rsidR="00E2710B" w:rsidRPr="00DE6504" w:rsidRDefault="00DE6504" w:rsidP="00DE6504">
            <w:pPr>
              <w:jc w:val="both"/>
              <w:rPr>
                <w:rFonts w:asciiTheme="minorHAnsi" w:hAnsiTheme="minorHAnsi"/>
                <w:color w:val="000000"/>
                <w:sz w:val="22"/>
                <w:szCs w:val="22"/>
              </w:rPr>
            </w:pPr>
            <w:r w:rsidRPr="00DE6504">
              <w:rPr>
                <w:rFonts w:asciiTheme="minorHAnsi" w:hAnsiTheme="minorHAnsi" w:cs="Arial"/>
                <w:sz w:val="22"/>
                <w:szCs w:val="22"/>
              </w:rPr>
              <w:lastRenderedPageBreak/>
              <w:t xml:space="preserve">  </w:t>
            </w:r>
            <w:r w:rsidRPr="00DE6504">
              <w:rPr>
                <w:rFonts w:asciiTheme="minorHAnsi" w:hAnsiTheme="minorHAnsi"/>
                <w:sz w:val="22"/>
                <w:szCs w:val="22"/>
              </w:rPr>
              <w:t xml:space="preserve"> </w:t>
            </w:r>
            <w:r w:rsidRPr="00DE6504">
              <w:rPr>
                <w:rFonts w:asciiTheme="minorHAnsi" w:hAnsiTheme="minorHAnsi"/>
                <w:sz w:val="22"/>
                <w:szCs w:val="22"/>
              </w:rPr>
              <w:br/>
            </w:r>
          </w:p>
        </w:tc>
      </w:tr>
      <w:tr w:rsidR="00E2710B" w:rsidRPr="00DE6504" w:rsidTr="008C7B12">
        <w:tc>
          <w:tcPr>
            <w:tcW w:w="1069" w:type="dxa"/>
          </w:tcPr>
          <w:p w:rsidR="00E2710B" w:rsidRPr="00DE6504" w:rsidRDefault="00DE6504">
            <w:pPr>
              <w:rPr>
                <w:rFonts w:asciiTheme="minorHAnsi" w:hAnsiTheme="minorHAnsi"/>
                <w:sz w:val="22"/>
                <w:szCs w:val="22"/>
              </w:rPr>
            </w:pPr>
            <w:r w:rsidRPr="00DE6504">
              <w:rPr>
                <w:rFonts w:asciiTheme="minorHAnsi" w:hAnsiTheme="minorHAnsi"/>
                <w:sz w:val="22"/>
                <w:szCs w:val="22"/>
              </w:rPr>
              <w:lastRenderedPageBreak/>
              <w:t>6.</w:t>
            </w:r>
          </w:p>
        </w:tc>
        <w:tc>
          <w:tcPr>
            <w:tcW w:w="3110" w:type="dxa"/>
          </w:tcPr>
          <w:p w:rsidR="00E2710B" w:rsidRPr="00DE6504" w:rsidRDefault="00DE6504" w:rsidP="00F91A04">
            <w:pPr>
              <w:rPr>
                <w:rFonts w:asciiTheme="minorHAnsi" w:hAnsiTheme="minorHAnsi" w:cstheme="minorHAnsi"/>
                <w:color w:val="000000"/>
                <w:sz w:val="22"/>
                <w:szCs w:val="22"/>
              </w:rPr>
            </w:pPr>
            <w:r w:rsidRPr="00DE6504">
              <w:rPr>
                <w:rFonts w:asciiTheme="minorHAnsi" w:hAnsiTheme="minorHAnsi" w:cs="Arial"/>
                <w:b/>
                <w:bCs/>
                <w:sz w:val="22"/>
                <w:szCs w:val="22"/>
              </w:rPr>
              <w:t>pripravovaná novela exekučného poriadku</w:t>
            </w:r>
            <w:r w:rsidRPr="00DE6504">
              <w:rPr>
                <w:rFonts w:asciiTheme="minorHAnsi" w:hAnsiTheme="minorHAnsi"/>
                <w:sz w:val="22"/>
                <w:szCs w:val="22"/>
              </w:rPr>
              <w:t xml:space="preserve"> </w:t>
            </w:r>
            <w:r w:rsidRPr="00DE6504">
              <w:rPr>
                <w:rFonts w:asciiTheme="minorHAnsi" w:hAnsiTheme="minorHAnsi"/>
                <w:sz w:val="22"/>
                <w:szCs w:val="22"/>
              </w:rPr>
              <w:br/>
            </w:r>
            <w:r w:rsidRPr="00DE6504">
              <w:rPr>
                <w:rFonts w:asciiTheme="minorHAnsi" w:hAnsiTheme="minorHAnsi"/>
                <w:sz w:val="22"/>
                <w:szCs w:val="22"/>
              </w:rPr>
              <w:br/>
            </w:r>
            <w:hyperlink r:id="rId8" w:history="1">
              <w:r w:rsidRPr="00DE6504">
                <w:rPr>
                  <w:rStyle w:val="Hypertextovprepojenie"/>
                  <w:rFonts w:asciiTheme="minorHAnsi" w:hAnsiTheme="minorHAnsi" w:cs="Arial"/>
                  <w:sz w:val="22"/>
                  <w:szCs w:val="22"/>
                </w:rPr>
                <w:t>https://www.slov-lex.sk/legislativne-procesy/SK/LP/2018/763</w:t>
              </w:r>
            </w:hyperlink>
          </w:p>
        </w:tc>
        <w:tc>
          <w:tcPr>
            <w:tcW w:w="4302" w:type="dxa"/>
          </w:tcPr>
          <w:p w:rsidR="00E2710B" w:rsidRPr="00DE6504" w:rsidRDefault="00DE6504" w:rsidP="008C7B12">
            <w:pPr>
              <w:jc w:val="both"/>
              <w:rPr>
                <w:rFonts w:asciiTheme="minorHAnsi" w:hAnsiTheme="minorHAnsi"/>
                <w:color w:val="000000"/>
                <w:sz w:val="22"/>
                <w:szCs w:val="22"/>
              </w:rPr>
            </w:pPr>
            <w:r w:rsidRPr="00DE6504">
              <w:rPr>
                <w:rFonts w:asciiTheme="minorHAnsi" w:hAnsiTheme="minorHAnsi" w:cs="Arial"/>
                <w:sz w:val="22"/>
                <w:szCs w:val="22"/>
              </w:rPr>
              <w:t>Navrhujeme, aby zákon o dani z príjmov reflektoval, že ak sa opr</w:t>
            </w:r>
            <w:r w:rsidR="0034485A">
              <w:rPr>
                <w:rFonts w:asciiTheme="minorHAnsi" w:hAnsiTheme="minorHAnsi" w:cs="Arial"/>
                <w:sz w:val="22"/>
                <w:szCs w:val="22"/>
              </w:rPr>
              <w:t>á</w:t>
            </w:r>
            <w:r w:rsidRPr="00DE6504">
              <w:rPr>
                <w:rFonts w:asciiTheme="minorHAnsi" w:hAnsiTheme="minorHAnsi" w:cs="Arial"/>
                <w:sz w:val="22"/>
                <w:szCs w:val="22"/>
              </w:rPr>
              <w:t>vnený po komerčnej úvahe rozhodne nepodať opätovný návrh na vykonanie exekúcie, aby odpis takejto pohľadávky bol daňovo uznaným odpisom.</w:t>
            </w:r>
          </w:p>
        </w:tc>
        <w:tc>
          <w:tcPr>
            <w:tcW w:w="5739" w:type="dxa"/>
          </w:tcPr>
          <w:p w:rsidR="00DE6504" w:rsidRPr="00DE6504" w:rsidRDefault="00DE6504" w:rsidP="008C7B12">
            <w:pPr>
              <w:jc w:val="both"/>
              <w:rPr>
                <w:rFonts w:asciiTheme="minorHAnsi" w:hAnsiTheme="minorHAnsi" w:cs="Arial"/>
                <w:sz w:val="22"/>
                <w:szCs w:val="22"/>
              </w:rPr>
            </w:pPr>
            <w:r w:rsidRPr="00DE6504">
              <w:rPr>
                <w:rFonts w:asciiTheme="minorHAnsi" w:hAnsiTheme="minorHAnsi" w:cs="Arial"/>
                <w:sz w:val="22"/>
                <w:szCs w:val="22"/>
              </w:rPr>
              <w:t xml:space="preserve">V zmysle dôvodovej správy pripravovaného návrhu: </w:t>
            </w:r>
          </w:p>
          <w:p w:rsidR="00E2710B" w:rsidRPr="00DE6504" w:rsidRDefault="00DE6504" w:rsidP="008C7B12">
            <w:pPr>
              <w:jc w:val="both"/>
              <w:rPr>
                <w:rFonts w:asciiTheme="minorHAnsi" w:hAnsiTheme="minorHAnsi"/>
                <w:color w:val="000000"/>
                <w:sz w:val="22"/>
                <w:szCs w:val="22"/>
              </w:rPr>
            </w:pPr>
            <w:r w:rsidRPr="00DE6504">
              <w:rPr>
                <w:rFonts w:asciiTheme="minorHAnsi" w:hAnsiTheme="minorHAnsi" w:cs="Arial"/>
                <w:i/>
                <w:iCs/>
                <w:sz w:val="22"/>
                <w:szCs w:val="22"/>
              </w:rPr>
              <w:t xml:space="preserve">Najvýznamnejším cieľom návrhu zákona je preto zmeniť v tejto oblasti „pravidlá hry“ a odhaliť nemajetné exekúcie, ktoré majú byť z tohto dôvodu ukončené. Ambíciou návrhu zákona je preto zavedenie osobitného procesného mechanizmu zastavenia tzv. starých (nemajetných) exekúcií priamo zo zákona, pričom technické otázky súvisiace s ukončením exekučných konaní sa navrhuje zveriť súdnemu exekútorovi (koncepčne ide o obdobu riešenia už aplikovanú v exekučných konaniach začatých od 1. apríla 2017). Obdobný procesný režim zastavenia tzv. starých (nemajetných) exekúcií sa navrhuje použiť aj na prípady dôvodov pre zastavenie exekúcie, ak oprávnený alebo povinný zanikol bez právneho nástupcu, zastavenie exekúcie navrhol oprávnený, či v prípadoch, ak z dôvodu účinkov vyhlásenia konkurzu na majetok povinného resp. oddlženia povinného nastal dôvod pre ich zastavenie. </w:t>
            </w:r>
            <w:r w:rsidRPr="00DE6504">
              <w:rPr>
                <w:rFonts w:asciiTheme="minorHAnsi" w:hAnsiTheme="minorHAnsi" w:cs="Arial"/>
                <w:i/>
                <w:iCs/>
                <w:sz w:val="22"/>
                <w:szCs w:val="22"/>
                <w:u w:val="single"/>
              </w:rPr>
              <w:t xml:space="preserve">Návrh zákona súčasne dáva oprávnenému možnosť komerčnej úvahy, či je opodstatnené podať opätovný návrh na vykonanie exekúcie, avšak už podľa súčasne platných a účinných právnych predpisov. </w:t>
            </w:r>
            <w:r w:rsidRPr="00DE6504">
              <w:rPr>
                <w:rFonts w:asciiTheme="minorHAnsi" w:hAnsiTheme="minorHAnsi"/>
                <w:sz w:val="22"/>
                <w:szCs w:val="22"/>
              </w:rPr>
              <w:br/>
            </w:r>
            <w:r w:rsidRPr="00DE6504">
              <w:rPr>
                <w:rFonts w:asciiTheme="minorHAnsi" w:hAnsiTheme="minorHAnsi"/>
                <w:sz w:val="22"/>
                <w:szCs w:val="22"/>
              </w:rPr>
              <w:br/>
            </w:r>
          </w:p>
        </w:tc>
      </w:tr>
      <w:tr w:rsidR="0080026B" w:rsidRPr="00DE6504" w:rsidTr="008C7B12">
        <w:tc>
          <w:tcPr>
            <w:tcW w:w="1069" w:type="dxa"/>
          </w:tcPr>
          <w:p w:rsidR="0080026B" w:rsidRPr="00DE6504" w:rsidRDefault="0080026B">
            <w:pPr>
              <w:rPr>
                <w:rFonts w:asciiTheme="minorHAnsi" w:hAnsiTheme="minorHAnsi"/>
                <w:sz w:val="22"/>
                <w:szCs w:val="22"/>
              </w:rPr>
            </w:pPr>
            <w:r>
              <w:rPr>
                <w:rFonts w:asciiTheme="minorHAnsi" w:hAnsiTheme="minorHAnsi"/>
                <w:sz w:val="22"/>
                <w:szCs w:val="22"/>
              </w:rPr>
              <w:t>7.</w:t>
            </w:r>
          </w:p>
        </w:tc>
        <w:tc>
          <w:tcPr>
            <w:tcW w:w="3110" w:type="dxa"/>
          </w:tcPr>
          <w:p w:rsidR="0080026B" w:rsidRPr="00355DD8" w:rsidRDefault="00355DD8" w:rsidP="00F91A04">
            <w:pPr>
              <w:rPr>
                <w:rFonts w:asciiTheme="minorHAnsi" w:hAnsiTheme="minorHAnsi" w:cs="Arial"/>
                <w:bCs/>
                <w:sz w:val="22"/>
                <w:szCs w:val="22"/>
              </w:rPr>
            </w:pPr>
            <w:r w:rsidRPr="00355DD8">
              <w:rPr>
                <w:rFonts w:asciiTheme="minorHAnsi" w:hAnsiTheme="minorHAnsi" w:cs="Arial"/>
                <w:bCs/>
                <w:sz w:val="22"/>
                <w:szCs w:val="22"/>
              </w:rPr>
              <w:t>K zákonu ako celku</w:t>
            </w:r>
          </w:p>
        </w:tc>
        <w:tc>
          <w:tcPr>
            <w:tcW w:w="4302" w:type="dxa"/>
          </w:tcPr>
          <w:p w:rsidR="0080026B" w:rsidRPr="00DE6504" w:rsidRDefault="0080026B" w:rsidP="008C7B12">
            <w:pPr>
              <w:jc w:val="both"/>
              <w:rPr>
                <w:rFonts w:asciiTheme="minorHAnsi" w:hAnsiTheme="minorHAnsi" w:cs="Arial"/>
                <w:sz w:val="22"/>
                <w:szCs w:val="22"/>
              </w:rPr>
            </w:pPr>
            <w:r>
              <w:rPr>
                <w:rFonts w:asciiTheme="minorHAnsi" w:hAnsiTheme="minorHAnsi" w:cs="Arial"/>
                <w:sz w:val="22"/>
                <w:szCs w:val="22"/>
              </w:rPr>
              <w:t>Zatraktívniť dobrovoľné životné poistenia (najmä dôchodkové poistenia) formou poskytnutia daňových úľav poistníkom.</w:t>
            </w:r>
          </w:p>
        </w:tc>
        <w:tc>
          <w:tcPr>
            <w:tcW w:w="5739" w:type="dxa"/>
          </w:tcPr>
          <w:p w:rsidR="0080026B" w:rsidRPr="00DE6504" w:rsidRDefault="0080026B" w:rsidP="008C7B12">
            <w:pPr>
              <w:jc w:val="both"/>
              <w:rPr>
                <w:rFonts w:asciiTheme="minorHAnsi" w:hAnsiTheme="minorHAnsi" w:cs="Arial"/>
                <w:sz w:val="22"/>
                <w:szCs w:val="22"/>
              </w:rPr>
            </w:pPr>
            <w:r>
              <w:rPr>
                <w:rFonts w:asciiTheme="minorHAnsi" w:hAnsiTheme="minorHAnsi" w:cs="Arial"/>
                <w:sz w:val="22"/>
                <w:szCs w:val="22"/>
              </w:rPr>
              <w:t>Dobrovoľné životné poistenia znižujú riziko poistených (prípadne ich pozostalých), že budú odkázaní na rôzne sociálne dávky</w:t>
            </w:r>
            <w:r w:rsidR="00B85D39">
              <w:rPr>
                <w:rFonts w:asciiTheme="minorHAnsi" w:hAnsiTheme="minorHAnsi" w:cs="Arial"/>
                <w:sz w:val="22"/>
                <w:szCs w:val="22"/>
              </w:rPr>
              <w:t xml:space="preserve"> </w:t>
            </w:r>
            <w:r w:rsidR="008B2EB7">
              <w:rPr>
                <w:rFonts w:asciiTheme="minorHAnsi" w:hAnsiTheme="minorHAnsi" w:cs="Arial"/>
                <w:sz w:val="22"/>
                <w:szCs w:val="22"/>
              </w:rPr>
              <w:t>od štátu</w:t>
            </w:r>
            <w:r>
              <w:rPr>
                <w:rFonts w:asciiTheme="minorHAnsi" w:hAnsiTheme="minorHAnsi" w:cs="Arial"/>
                <w:sz w:val="22"/>
                <w:szCs w:val="22"/>
              </w:rPr>
              <w:t>.</w:t>
            </w:r>
          </w:p>
        </w:tc>
      </w:tr>
    </w:tbl>
    <w:p w:rsidR="00246BC3" w:rsidRDefault="00246BC3">
      <w:pPr>
        <w:rPr>
          <w:rFonts w:asciiTheme="minorHAnsi" w:hAnsiTheme="minorHAnsi"/>
          <w:i/>
          <w:sz w:val="22"/>
          <w:szCs w:val="22"/>
        </w:rPr>
      </w:pPr>
    </w:p>
    <w:p w:rsidR="006F7805" w:rsidRDefault="006F7805" w:rsidP="006F7805">
      <w:pPr>
        <w:rPr>
          <w:rFonts w:asciiTheme="minorHAnsi" w:hAnsiTheme="minorHAnsi"/>
          <w:i/>
          <w:sz w:val="22"/>
          <w:szCs w:val="22"/>
        </w:rPr>
      </w:pPr>
    </w:p>
    <w:p w:rsidR="008C3B6C" w:rsidRPr="00363481" w:rsidRDefault="008C3B6C" w:rsidP="00363481">
      <w:pPr>
        <w:rPr>
          <w:rFonts w:asciiTheme="minorHAnsi" w:hAnsiTheme="minorHAnsi"/>
          <w:i/>
          <w:sz w:val="22"/>
          <w:szCs w:val="22"/>
        </w:rPr>
      </w:pPr>
    </w:p>
    <w:sectPr w:rsidR="008C3B6C" w:rsidRPr="00363481" w:rsidSect="00F373CC">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1A" w:rsidRDefault="00A52F1A" w:rsidP="006704B8">
      <w:r>
        <w:separator/>
      </w:r>
    </w:p>
  </w:endnote>
  <w:endnote w:type="continuationSeparator" w:id="0">
    <w:p w:rsidR="00A52F1A" w:rsidRDefault="00A52F1A" w:rsidP="0067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547"/>
      <w:docPartObj>
        <w:docPartGallery w:val="Page Numbers (Bottom of Page)"/>
        <w:docPartUnique/>
      </w:docPartObj>
    </w:sdtPr>
    <w:sdtEndPr/>
    <w:sdtContent>
      <w:p w:rsidR="006E33D0" w:rsidRDefault="00F252B3">
        <w:pPr>
          <w:pStyle w:val="Pta"/>
          <w:jc w:val="center"/>
        </w:pPr>
        <w:r>
          <w:fldChar w:fldCharType="begin"/>
        </w:r>
        <w:r>
          <w:instrText xml:space="preserve"> PAGE   \* MERGEFORMAT </w:instrText>
        </w:r>
        <w:r>
          <w:fldChar w:fldCharType="separate"/>
        </w:r>
        <w:r w:rsidR="00997A71">
          <w:rPr>
            <w:noProof/>
          </w:rPr>
          <w:t>5</w:t>
        </w:r>
        <w:r>
          <w:rPr>
            <w:noProof/>
          </w:rPr>
          <w:fldChar w:fldCharType="end"/>
        </w:r>
      </w:p>
    </w:sdtContent>
  </w:sdt>
  <w:p w:rsidR="006E33D0" w:rsidRDefault="006E33D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1A" w:rsidRDefault="00A52F1A" w:rsidP="006704B8">
      <w:r>
        <w:separator/>
      </w:r>
    </w:p>
  </w:footnote>
  <w:footnote w:type="continuationSeparator" w:id="0">
    <w:p w:rsidR="00A52F1A" w:rsidRDefault="00A52F1A" w:rsidP="00670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2E4"/>
    <w:multiLevelType w:val="hybridMultilevel"/>
    <w:tmpl w:val="10342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EA3789"/>
    <w:multiLevelType w:val="hybridMultilevel"/>
    <w:tmpl w:val="65446C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577E60"/>
    <w:multiLevelType w:val="hybridMultilevel"/>
    <w:tmpl w:val="BCCA3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50864BF"/>
    <w:multiLevelType w:val="hybridMultilevel"/>
    <w:tmpl w:val="3830FF26"/>
    <w:lvl w:ilvl="0" w:tplc="F2E610E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974107F"/>
    <w:multiLevelType w:val="hybridMultilevel"/>
    <w:tmpl w:val="12BAC9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E995D2E"/>
    <w:multiLevelType w:val="hybridMultilevel"/>
    <w:tmpl w:val="CBF876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FC256C0"/>
    <w:multiLevelType w:val="hybridMultilevel"/>
    <w:tmpl w:val="B46AF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1B40CF3"/>
    <w:multiLevelType w:val="hybridMultilevel"/>
    <w:tmpl w:val="F6A821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21A2A80"/>
    <w:multiLevelType w:val="hybridMultilevel"/>
    <w:tmpl w:val="692296BA"/>
    <w:lvl w:ilvl="0" w:tplc="041B0013">
      <w:start w:val="1"/>
      <w:numFmt w:val="upp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9CD0AFA"/>
    <w:multiLevelType w:val="hybridMultilevel"/>
    <w:tmpl w:val="2D84B1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0"/>
  </w:num>
  <w:num w:numId="6">
    <w:abstractNumId w:val="9"/>
  </w:num>
  <w:num w:numId="7">
    <w:abstractNumId w:val="8"/>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CC"/>
    <w:rsid w:val="000161BB"/>
    <w:rsid w:val="00022F17"/>
    <w:rsid w:val="00026858"/>
    <w:rsid w:val="0003224B"/>
    <w:rsid w:val="00040679"/>
    <w:rsid w:val="0005469B"/>
    <w:rsid w:val="000634A2"/>
    <w:rsid w:val="000671C3"/>
    <w:rsid w:val="000731C1"/>
    <w:rsid w:val="00073829"/>
    <w:rsid w:val="000746D4"/>
    <w:rsid w:val="0007635B"/>
    <w:rsid w:val="000850D5"/>
    <w:rsid w:val="00093D69"/>
    <w:rsid w:val="000A0305"/>
    <w:rsid w:val="000A5698"/>
    <w:rsid w:val="000B2480"/>
    <w:rsid w:val="000B6D38"/>
    <w:rsid w:val="000C1637"/>
    <w:rsid w:val="000C22BB"/>
    <w:rsid w:val="000C27B7"/>
    <w:rsid w:val="000C7AE1"/>
    <w:rsid w:val="000D2200"/>
    <w:rsid w:val="000E3D28"/>
    <w:rsid w:val="000F067C"/>
    <w:rsid w:val="000F469B"/>
    <w:rsid w:val="00106A46"/>
    <w:rsid w:val="00114139"/>
    <w:rsid w:val="0012041C"/>
    <w:rsid w:val="00123051"/>
    <w:rsid w:val="001462ED"/>
    <w:rsid w:val="0015574E"/>
    <w:rsid w:val="0016036A"/>
    <w:rsid w:val="00160C83"/>
    <w:rsid w:val="00167524"/>
    <w:rsid w:val="001820DF"/>
    <w:rsid w:val="0018617B"/>
    <w:rsid w:val="001864BB"/>
    <w:rsid w:val="00186589"/>
    <w:rsid w:val="00191C81"/>
    <w:rsid w:val="001A1C01"/>
    <w:rsid w:val="001B2BF2"/>
    <w:rsid w:val="001B75A9"/>
    <w:rsid w:val="001D021C"/>
    <w:rsid w:val="001D42EE"/>
    <w:rsid w:val="001E46B7"/>
    <w:rsid w:val="001E5C20"/>
    <w:rsid w:val="001E5CB8"/>
    <w:rsid w:val="001F0FC0"/>
    <w:rsid w:val="001F277F"/>
    <w:rsid w:val="001F37DE"/>
    <w:rsid w:val="001F6864"/>
    <w:rsid w:val="0021603B"/>
    <w:rsid w:val="002454CB"/>
    <w:rsid w:val="00246BC3"/>
    <w:rsid w:val="0025283B"/>
    <w:rsid w:val="002531E4"/>
    <w:rsid w:val="00266C33"/>
    <w:rsid w:val="002724C7"/>
    <w:rsid w:val="0027686D"/>
    <w:rsid w:val="00292822"/>
    <w:rsid w:val="002A5065"/>
    <w:rsid w:val="002B2A8F"/>
    <w:rsid w:val="002B5CF8"/>
    <w:rsid w:val="002C24F9"/>
    <w:rsid w:val="002C79FD"/>
    <w:rsid w:val="002E6AF3"/>
    <w:rsid w:val="002F02B6"/>
    <w:rsid w:val="002F196C"/>
    <w:rsid w:val="002F5310"/>
    <w:rsid w:val="00302E82"/>
    <w:rsid w:val="003062B8"/>
    <w:rsid w:val="00310306"/>
    <w:rsid w:val="0034485A"/>
    <w:rsid w:val="003507DF"/>
    <w:rsid w:val="00355DD8"/>
    <w:rsid w:val="00363481"/>
    <w:rsid w:val="00381826"/>
    <w:rsid w:val="00386CCE"/>
    <w:rsid w:val="003A1322"/>
    <w:rsid w:val="003A17CC"/>
    <w:rsid w:val="003B20D8"/>
    <w:rsid w:val="003C06F3"/>
    <w:rsid w:val="003C3254"/>
    <w:rsid w:val="003C41B1"/>
    <w:rsid w:val="003E345C"/>
    <w:rsid w:val="003F73AF"/>
    <w:rsid w:val="00401B59"/>
    <w:rsid w:val="00416C0F"/>
    <w:rsid w:val="00427BCD"/>
    <w:rsid w:val="0043745D"/>
    <w:rsid w:val="004474AE"/>
    <w:rsid w:val="00454320"/>
    <w:rsid w:val="00465544"/>
    <w:rsid w:val="00466BCF"/>
    <w:rsid w:val="004671D1"/>
    <w:rsid w:val="00467ECB"/>
    <w:rsid w:val="00472822"/>
    <w:rsid w:val="00473E17"/>
    <w:rsid w:val="004838AD"/>
    <w:rsid w:val="00492498"/>
    <w:rsid w:val="00497221"/>
    <w:rsid w:val="004A4EA6"/>
    <w:rsid w:val="004B04E7"/>
    <w:rsid w:val="004B25BC"/>
    <w:rsid w:val="004B26D6"/>
    <w:rsid w:val="004B43FC"/>
    <w:rsid w:val="004B74B8"/>
    <w:rsid w:val="004D0ED0"/>
    <w:rsid w:val="004D6C60"/>
    <w:rsid w:val="004F4DB8"/>
    <w:rsid w:val="004F5AB3"/>
    <w:rsid w:val="00501132"/>
    <w:rsid w:val="005016B0"/>
    <w:rsid w:val="00506EE5"/>
    <w:rsid w:val="00507191"/>
    <w:rsid w:val="00511978"/>
    <w:rsid w:val="00512BAE"/>
    <w:rsid w:val="0051366E"/>
    <w:rsid w:val="005204E3"/>
    <w:rsid w:val="00524FCF"/>
    <w:rsid w:val="00531261"/>
    <w:rsid w:val="00540444"/>
    <w:rsid w:val="005407E9"/>
    <w:rsid w:val="00541619"/>
    <w:rsid w:val="00541BC3"/>
    <w:rsid w:val="005542FA"/>
    <w:rsid w:val="00555C19"/>
    <w:rsid w:val="005564A6"/>
    <w:rsid w:val="00560E5C"/>
    <w:rsid w:val="00561CFA"/>
    <w:rsid w:val="00563310"/>
    <w:rsid w:val="00576623"/>
    <w:rsid w:val="0058604E"/>
    <w:rsid w:val="005A6AF7"/>
    <w:rsid w:val="005C071D"/>
    <w:rsid w:val="005D05D1"/>
    <w:rsid w:val="005D4529"/>
    <w:rsid w:val="005D50E1"/>
    <w:rsid w:val="005D5F61"/>
    <w:rsid w:val="005D5FA4"/>
    <w:rsid w:val="005D663E"/>
    <w:rsid w:val="005E083E"/>
    <w:rsid w:val="005F532F"/>
    <w:rsid w:val="00603DA4"/>
    <w:rsid w:val="00613380"/>
    <w:rsid w:val="00616E82"/>
    <w:rsid w:val="006309D1"/>
    <w:rsid w:val="00640EE2"/>
    <w:rsid w:val="006410EE"/>
    <w:rsid w:val="00645656"/>
    <w:rsid w:val="00647C3D"/>
    <w:rsid w:val="006704B8"/>
    <w:rsid w:val="00691977"/>
    <w:rsid w:val="00692154"/>
    <w:rsid w:val="006956A0"/>
    <w:rsid w:val="006962A1"/>
    <w:rsid w:val="006A741C"/>
    <w:rsid w:val="006A746B"/>
    <w:rsid w:val="006C006D"/>
    <w:rsid w:val="006C5F6C"/>
    <w:rsid w:val="006D0DA4"/>
    <w:rsid w:val="006D0EB5"/>
    <w:rsid w:val="006D1AE7"/>
    <w:rsid w:val="006E33D0"/>
    <w:rsid w:val="006E690A"/>
    <w:rsid w:val="006F3C96"/>
    <w:rsid w:val="006F3CB5"/>
    <w:rsid w:val="006F7805"/>
    <w:rsid w:val="006F7D7C"/>
    <w:rsid w:val="0071375D"/>
    <w:rsid w:val="00753D0C"/>
    <w:rsid w:val="007557C7"/>
    <w:rsid w:val="00766C54"/>
    <w:rsid w:val="007822A4"/>
    <w:rsid w:val="00785679"/>
    <w:rsid w:val="00787789"/>
    <w:rsid w:val="007A1AD0"/>
    <w:rsid w:val="007A2CB4"/>
    <w:rsid w:val="007B1E52"/>
    <w:rsid w:val="007B2A79"/>
    <w:rsid w:val="007B7313"/>
    <w:rsid w:val="007B756F"/>
    <w:rsid w:val="007C35CF"/>
    <w:rsid w:val="007C3DF3"/>
    <w:rsid w:val="007D0357"/>
    <w:rsid w:val="007E3055"/>
    <w:rsid w:val="007E4BD4"/>
    <w:rsid w:val="007E53E7"/>
    <w:rsid w:val="007F17D0"/>
    <w:rsid w:val="007F597D"/>
    <w:rsid w:val="0080026B"/>
    <w:rsid w:val="00801367"/>
    <w:rsid w:val="00833162"/>
    <w:rsid w:val="00851093"/>
    <w:rsid w:val="00852FBF"/>
    <w:rsid w:val="00853D88"/>
    <w:rsid w:val="00866270"/>
    <w:rsid w:val="00872B94"/>
    <w:rsid w:val="0087325F"/>
    <w:rsid w:val="00873918"/>
    <w:rsid w:val="008757F8"/>
    <w:rsid w:val="00885D8F"/>
    <w:rsid w:val="008B2EB7"/>
    <w:rsid w:val="008B76B6"/>
    <w:rsid w:val="008C13D9"/>
    <w:rsid w:val="008C3B6C"/>
    <w:rsid w:val="008C6C4A"/>
    <w:rsid w:val="008C7B12"/>
    <w:rsid w:val="008D6E44"/>
    <w:rsid w:val="008F3A4C"/>
    <w:rsid w:val="008F5696"/>
    <w:rsid w:val="008F79EB"/>
    <w:rsid w:val="00905E01"/>
    <w:rsid w:val="00915870"/>
    <w:rsid w:val="009261DB"/>
    <w:rsid w:val="00930EA9"/>
    <w:rsid w:val="009342C3"/>
    <w:rsid w:val="00935662"/>
    <w:rsid w:val="009434F0"/>
    <w:rsid w:val="00946F0C"/>
    <w:rsid w:val="00954853"/>
    <w:rsid w:val="00957847"/>
    <w:rsid w:val="00962544"/>
    <w:rsid w:val="00964792"/>
    <w:rsid w:val="00964AC7"/>
    <w:rsid w:val="009906F0"/>
    <w:rsid w:val="00994517"/>
    <w:rsid w:val="00997A71"/>
    <w:rsid w:val="009A5DC9"/>
    <w:rsid w:val="009B3287"/>
    <w:rsid w:val="009B722C"/>
    <w:rsid w:val="009C07E8"/>
    <w:rsid w:val="009C741E"/>
    <w:rsid w:val="009C7A32"/>
    <w:rsid w:val="009D159C"/>
    <w:rsid w:val="009E1205"/>
    <w:rsid w:val="009E2786"/>
    <w:rsid w:val="009E4437"/>
    <w:rsid w:val="009E4789"/>
    <w:rsid w:val="009E557A"/>
    <w:rsid w:val="009F6B24"/>
    <w:rsid w:val="00A017B5"/>
    <w:rsid w:val="00A235F7"/>
    <w:rsid w:val="00A23B3E"/>
    <w:rsid w:val="00A25501"/>
    <w:rsid w:val="00A30B6B"/>
    <w:rsid w:val="00A41661"/>
    <w:rsid w:val="00A52F1A"/>
    <w:rsid w:val="00A53F41"/>
    <w:rsid w:val="00A6274A"/>
    <w:rsid w:val="00AA018B"/>
    <w:rsid w:val="00AA2B31"/>
    <w:rsid w:val="00AB5DA7"/>
    <w:rsid w:val="00AC7E51"/>
    <w:rsid w:val="00AD4462"/>
    <w:rsid w:val="00AD5F41"/>
    <w:rsid w:val="00AE1EA9"/>
    <w:rsid w:val="00AE48C4"/>
    <w:rsid w:val="00AE5055"/>
    <w:rsid w:val="00AF5C36"/>
    <w:rsid w:val="00B07331"/>
    <w:rsid w:val="00B2136F"/>
    <w:rsid w:val="00B37E91"/>
    <w:rsid w:val="00B42959"/>
    <w:rsid w:val="00B45021"/>
    <w:rsid w:val="00B50BFA"/>
    <w:rsid w:val="00B51B8B"/>
    <w:rsid w:val="00B52A01"/>
    <w:rsid w:val="00B718CA"/>
    <w:rsid w:val="00B77FC0"/>
    <w:rsid w:val="00B83668"/>
    <w:rsid w:val="00B85661"/>
    <w:rsid w:val="00B85D39"/>
    <w:rsid w:val="00B96B45"/>
    <w:rsid w:val="00B97AAB"/>
    <w:rsid w:val="00BA0E12"/>
    <w:rsid w:val="00BB4364"/>
    <w:rsid w:val="00BF0A4C"/>
    <w:rsid w:val="00BF0CFC"/>
    <w:rsid w:val="00BF2478"/>
    <w:rsid w:val="00BF2B99"/>
    <w:rsid w:val="00BF69D7"/>
    <w:rsid w:val="00C0067F"/>
    <w:rsid w:val="00C02C41"/>
    <w:rsid w:val="00C04A2C"/>
    <w:rsid w:val="00C0763E"/>
    <w:rsid w:val="00C172F8"/>
    <w:rsid w:val="00C22619"/>
    <w:rsid w:val="00C24898"/>
    <w:rsid w:val="00C3289B"/>
    <w:rsid w:val="00C33AFA"/>
    <w:rsid w:val="00C33F7C"/>
    <w:rsid w:val="00C37411"/>
    <w:rsid w:val="00C45572"/>
    <w:rsid w:val="00C464F5"/>
    <w:rsid w:val="00C5390B"/>
    <w:rsid w:val="00C60444"/>
    <w:rsid w:val="00C72FA6"/>
    <w:rsid w:val="00C732D4"/>
    <w:rsid w:val="00C940AA"/>
    <w:rsid w:val="00CA1596"/>
    <w:rsid w:val="00CA5763"/>
    <w:rsid w:val="00CA6CCB"/>
    <w:rsid w:val="00CB536A"/>
    <w:rsid w:val="00CC79C0"/>
    <w:rsid w:val="00D0250D"/>
    <w:rsid w:val="00D072B8"/>
    <w:rsid w:val="00D07F60"/>
    <w:rsid w:val="00D117CE"/>
    <w:rsid w:val="00D122BE"/>
    <w:rsid w:val="00D13173"/>
    <w:rsid w:val="00D41938"/>
    <w:rsid w:val="00D47409"/>
    <w:rsid w:val="00D53425"/>
    <w:rsid w:val="00D550CE"/>
    <w:rsid w:val="00D72328"/>
    <w:rsid w:val="00D73C2C"/>
    <w:rsid w:val="00D84D02"/>
    <w:rsid w:val="00D869DE"/>
    <w:rsid w:val="00D871C2"/>
    <w:rsid w:val="00D91343"/>
    <w:rsid w:val="00DA0D2B"/>
    <w:rsid w:val="00DA7527"/>
    <w:rsid w:val="00DB4604"/>
    <w:rsid w:val="00DC7059"/>
    <w:rsid w:val="00DD0E94"/>
    <w:rsid w:val="00DD294E"/>
    <w:rsid w:val="00DD5D18"/>
    <w:rsid w:val="00DE40BA"/>
    <w:rsid w:val="00DE6504"/>
    <w:rsid w:val="00DE6D39"/>
    <w:rsid w:val="00DF6C8A"/>
    <w:rsid w:val="00DF7FEF"/>
    <w:rsid w:val="00E00C3A"/>
    <w:rsid w:val="00E04C69"/>
    <w:rsid w:val="00E14022"/>
    <w:rsid w:val="00E15AC6"/>
    <w:rsid w:val="00E23A09"/>
    <w:rsid w:val="00E2710B"/>
    <w:rsid w:val="00E44283"/>
    <w:rsid w:val="00E47834"/>
    <w:rsid w:val="00E53A2D"/>
    <w:rsid w:val="00E603DA"/>
    <w:rsid w:val="00E753E8"/>
    <w:rsid w:val="00E83A57"/>
    <w:rsid w:val="00EA143D"/>
    <w:rsid w:val="00EA2CAA"/>
    <w:rsid w:val="00EA694E"/>
    <w:rsid w:val="00EB2F71"/>
    <w:rsid w:val="00EB5D05"/>
    <w:rsid w:val="00EC18EA"/>
    <w:rsid w:val="00EC383C"/>
    <w:rsid w:val="00ED0048"/>
    <w:rsid w:val="00ED3AC6"/>
    <w:rsid w:val="00ED50DD"/>
    <w:rsid w:val="00ED764F"/>
    <w:rsid w:val="00EF13BE"/>
    <w:rsid w:val="00EF33A6"/>
    <w:rsid w:val="00F11A0F"/>
    <w:rsid w:val="00F13FF5"/>
    <w:rsid w:val="00F160B0"/>
    <w:rsid w:val="00F252B3"/>
    <w:rsid w:val="00F349DB"/>
    <w:rsid w:val="00F373CC"/>
    <w:rsid w:val="00F43599"/>
    <w:rsid w:val="00F46FAE"/>
    <w:rsid w:val="00F549CD"/>
    <w:rsid w:val="00F56CE5"/>
    <w:rsid w:val="00F62935"/>
    <w:rsid w:val="00F7444B"/>
    <w:rsid w:val="00F85EB3"/>
    <w:rsid w:val="00F91803"/>
    <w:rsid w:val="00F91A04"/>
    <w:rsid w:val="00F95C4E"/>
    <w:rsid w:val="00FB34AB"/>
    <w:rsid w:val="00FC01F9"/>
    <w:rsid w:val="00FC07A5"/>
    <w:rsid w:val="00FC116D"/>
    <w:rsid w:val="00FD66D4"/>
    <w:rsid w:val="00FE5F3C"/>
    <w:rsid w:val="00FE6EF6"/>
    <w:rsid w:val="00FF1C41"/>
    <w:rsid w:val="00FF3F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246A9-BB17-4138-BB23-1BC0338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635B"/>
    <w:rPr>
      <w:sz w:val="24"/>
      <w:szCs w:val="24"/>
    </w:rPr>
  </w:style>
  <w:style w:type="paragraph" w:styleId="Nadpis1">
    <w:name w:val="heading 1"/>
    <w:basedOn w:val="Normlny"/>
    <w:next w:val="Normlny"/>
    <w:link w:val="Nadpis1Char"/>
    <w:uiPriority w:val="9"/>
    <w:qFormat/>
    <w:rsid w:val="0007635B"/>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semiHidden/>
    <w:unhideWhenUsed/>
    <w:qFormat/>
    <w:rsid w:val="0007635B"/>
    <w:pPr>
      <w:keepNext/>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9"/>
    <w:semiHidden/>
    <w:unhideWhenUsed/>
    <w:qFormat/>
    <w:rsid w:val="0007635B"/>
    <w:pPr>
      <w:keepNext/>
      <w:spacing w:before="240" w:after="60"/>
      <w:outlineLvl w:val="2"/>
    </w:pPr>
    <w:rPr>
      <w:rFonts w:ascii="Cambria" w:hAnsi="Cambria"/>
      <w:b/>
      <w:bCs/>
      <w:sz w:val="26"/>
      <w:szCs w:val="26"/>
    </w:rPr>
  </w:style>
  <w:style w:type="paragraph" w:styleId="Nadpis4">
    <w:name w:val="heading 4"/>
    <w:basedOn w:val="Normlny"/>
    <w:next w:val="Normlny"/>
    <w:link w:val="Nadpis4Char"/>
    <w:uiPriority w:val="9"/>
    <w:semiHidden/>
    <w:unhideWhenUsed/>
    <w:qFormat/>
    <w:rsid w:val="0007635B"/>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semiHidden/>
    <w:unhideWhenUsed/>
    <w:qFormat/>
    <w:rsid w:val="0007635B"/>
    <w:pPr>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semiHidden/>
    <w:unhideWhenUsed/>
    <w:qFormat/>
    <w:rsid w:val="0007635B"/>
    <w:pPr>
      <w:spacing w:before="240" w:after="60"/>
      <w:outlineLvl w:val="5"/>
    </w:pPr>
    <w:rPr>
      <w:rFonts w:ascii="Calibri" w:hAnsi="Calibri"/>
      <w:b/>
      <w:bCs/>
      <w:sz w:val="22"/>
      <w:szCs w:val="22"/>
    </w:rPr>
  </w:style>
  <w:style w:type="paragraph" w:styleId="Nadpis7">
    <w:name w:val="heading 7"/>
    <w:basedOn w:val="Normlny"/>
    <w:next w:val="Normlny"/>
    <w:link w:val="Nadpis7Char"/>
    <w:uiPriority w:val="9"/>
    <w:semiHidden/>
    <w:unhideWhenUsed/>
    <w:qFormat/>
    <w:rsid w:val="0007635B"/>
    <w:pPr>
      <w:spacing w:before="240" w:after="60"/>
      <w:outlineLvl w:val="6"/>
    </w:pPr>
    <w:rPr>
      <w:rFonts w:ascii="Calibri" w:hAnsi="Calibri"/>
    </w:rPr>
  </w:style>
  <w:style w:type="paragraph" w:styleId="Nadpis8">
    <w:name w:val="heading 8"/>
    <w:basedOn w:val="Normlny"/>
    <w:next w:val="Normlny"/>
    <w:link w:val="Nadpis8Char"/>
    <w:uiPriority w:val="9"/>
    <w:semiHidden/>
    <w:unhideWhenUsed/>
    <w:qFormat/>
    <w:rsid w:val="0007635B"/>
    <w:pPr>
      <w:spacing w:before="240" w:after="60"/>
      <w:outlineLvl w:val="7"/>
    </w:pPr>
    <w:rPr>
      <w:rFonts w:ascii="Calibri" w:hAnsi="Calibri"/>
      <w:i/>
      <w:iCs/>
    </w:rPr>
  </w:style>
  <w:style w:type="paragraph" w:styleId="Nadpis9">
    <w:name w:val="heading 9"/>
    <w:basedOn w:val="Normlny"/>
    <w:next w:val="Normlny"/>
    <w:link w:val="Nadpis9Char"/>
    <w:uiPriority w:val="9"/>
    <w:semiHidden/>
    <w:unhideWhenUsed/>
    <w:qFormat/>
    <w:rsid w:val="0007635B"/>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635B"/>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
    <w:semiHidden/>
    <w:rsid w:val="0007635B"/>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
    <w:semiHidden/>
    <w:rsid w:val="0007635B"/>
    <w:rPr>
      <w:rFonts w:ascii="Cambria" w:eastAsia="Times New Roman" w:hAnsi="Cambria" w:cs="Times New Roman"/>
      <w:b/>
      <w:bCs/>
      <w:sz w:val="26"/>
      <w:szCs w:val="26"/>
    </w:rPr>
  </w:style>
  <w:style w:type="character" w:customStyle="1" w:styleId="Nadpis4Char">
    <w:name w:val="Nadpis 4 Char"/>
    <w:basedOn w:val="Predvolenpsmoodseku"/>
    <w:link w:val="Nadpis4"/>
    <w:uiPriority w:val="9"/>
    <w:semiHidden/>
    <w:rsid w:val="0007635B"/>
    <w:rPr>
      <w:rFonts w:ascii="Calibri" w:eastAsia="Times New Roman" w:hAnsi="Calibri" w:cs="Times New Roman"/>
      <w:b/>
      <w:bCs/>
      <w:sz w:val="28"/>
      <w:szCs w:val="28"/>
    </w:rPr>
  </w:style>
  <w:style w:type="character" w:customStyle="1" w:styleId="Nadpis5Char">
    <w:name w:val="Nadpis 5 Char"/>
    <w:basedOn w:val="Predvolenpsmoodseku"/>
    <w:link w:val="Nadpis5"/>
    <w:uiPriority w:val="9"/>
    <w:semiHidden/>
    <w:rsid w:val="0007635B"/>
    <w:rPr>
      <w:rFonts w:ascii="Calibri" w:eastAsia="Times New Roman" w:hAnsi="Calibri" w:cs="Times New Roman"/>
      <w:b/>
      <w:bCs/>
      <w:i/>
      <w:iCs/>
      <w:sz w:val="26"/>
      <w:szCs w:val="26"/>
    </w:rPr>
  </w:style>
  <w:style w:type="character" w:customStyle="1" w:styleId="Nadpis6Char">
    <w:name w:val="Nadpis 6 Char"/>
    <w:basedOn w:val="Predvolenpsmoodseku"/>
    <w:link w:val="Nadpis6"/>
    <w:uiPriority w:val="9"/>
    <w:semiHidden/>
    <w:rsid w:val="0007635B"/>
    <w:rPr>
      <w:rFonts w:ascii="Calibri" w:eastAsia="Times New Roman" w:hAnsi="Calibri" w:cs="Times New Roman"/>
      <w:b/>
      <w:bCs/>
      <w:sz w:val="22"/>
      <w:szCs w:val="22"/>
    </w:rPr>
  </w:style>
  <w:style w:type="character" w:customStyle="1" w:styleId="Nadpis7Char">
    <w:name w:val="Nadpis 7 Char"/>
    <w:basedOn w:val="Predvolenpsmoodseku"/>
    <w:link w:val="Nadpis7"/>
    <w:uiPriority w:val="9"/>
    <w:semiHidden/>
    <w:rsid w:val="0007635B"/>
    <w:rPr>
      <w:rFonts w:ascii="Calibri" w:eastAsia="Times New Roman" w:hAnsi="Calibri" w:cs="Times New Roman"/>
      <w:sz w:val="24"/>
      <w:szCs w:val="24"/>
    </w:rPr>
  </w:style>
  <w:style w:type="character" w:customStyle="1" w:styleId="Nadpis8Char">
    <w:name w:val="Nadpis 8 Char"/>
    <w:basedOn w:val="Predvolenpsmoodseku"/>
    <w:link w:val="Nadpis8"/>
    <w:uiPriority w:val="9"/>
    <w:semiHidden/>
    <w:rsid w:val="0007635B"/>
    <w:rPr>
      <w:rFonts w:ascii="Calibri" w:eastAsia="Times New Roman" w:hAnsi="Calibri" w:cs="Times New Roman"/>
      <w:i/>
      <w:iCs/>
      <w:sz w:val="24"/>
      <w:szCs w:val="24"/>
    </w:rPr>
  </w:style>
  <w:style w:type="character" w:customStyle="1" w:styleId="Nadpis9Char">
    <w:name w:val="Nadpis 9 Char"/>
    <w:basedOn w:val="Predvolenpsmoodseku"/>
    <w:link w:val="Nadpis9"/>
    <w:uiPriority w:val="9"/>
    <w:semiHidden/>
    <w:rsid w:val="0007635B"/>
    <w:rPr>
      <w:rFonts w:ascii="Cambria" w:eastAsia="Times New Roman" w:hAnsi="Cambria" w:cs="Times New Roman"/>
      <w:sz w:val="22"/>
      <w:szCs w:val="22"/>
    </w:rPr>
  </w:style>
  <w:style w:type="paragraph" w:styleId="Nzov">
    <w:name w:val="Title"/>
    <w:basedOn w:val="Normlny"/>
    <w:next w:val="Normlny"/>
    <w:link w:val="NzovChar"/>
    <w:uiPriority w:val="10"/>
    <w:qFormat/>
    <w:rsid w:val="0007635B"/>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07635B"/>
    <w:rPr>
      <w:rFonts w:ascii="Cambria" w:eastAsia="Times New Roman" w:hAnsi="Cambria" w:cs="Times New Roman"/>
      <w:b/>
      <w:bCs/>
      <w:kern w:val="28"/>
      <w:sz w:val="32"/>
      <w:szCs w:val="32"/>
    </w:rPr>
  </w:style>
  <w:style w:type="paragraph" w:styleId="Podtitul">
    <w:name w:val="Subtitle"/>
    <w:basedOn w:val="Normlny"/>
    <w:next w:val="Normlny"/>
    <w:link w:val="PodtitulChar"/>
    <w:uiPriority w:val="11"/>
    <w:qFormat/>
    <w:rsid w:val="0007635B"/>
    <w:pPr>
      <w:spacing w:after="60"/>
      <w:jc w:val="center"/>
      <w:outlineLvl w:val="1"/>
    </w:pPr>
    <w:rPr>
      <w:rFonts w:ascii="Cambria" w:hAnsi="Cambria"/>
    </w:rPr>
  </w:style>
  <w:style w:type="character" w:customStyle="1" w:styleId="PodtitulChar">
    <w:name w:val="Podtitul Char"/>
    <w:basedOn w:val="Predvolenpsmoodseku"/>
    <w:link w:val="Podtitul"/>
    <w:uiPriority w:val="11"/>
    <w:rsid w:val="0007635B"/>
    <w:rPr>
      <w:rFonts w:ascii="Cambria" w:eastAsia="Times New Roman" w:hAnsi="Cambria" w:cs="Times New Roman"/>
      <w:sz w:val="24"/>
      <w:szCs w:val="24"/>
    </w:rPr>
  </w:style>
  <w:style w:type="character" w:styleId="Siln">
    <w:name w:val="Strong"/>
    <w:uiPriority w:val="22"/>
    <w:qFormat/>
    <w:rsid w:val="0007635B"/>
    <w:rPr>
      <w:b/>
      <w:bCs/>
    </w:rPr>
  </w:style>
  <w:style w:type="character" w:styleId="Zvraznenie">
    <w:name w:val="Emphasis"/>
    <w:uiPriority w:val="20"/>
    <w:qFormat/>
    <w:rsid w:val="0007635B"/>
    <w:rPr>
      <w:i/>
      <w:iCs/>
    </w:rPr>
  </w:style>
  <w:style w:type="paragraph" w:styleId="Bezriadkovania">
    <w:name w:val="No Spacing"/>
    <w:basedOn w:val="Normlny"/>
    <w:uiPriority w:val="1"/>
    <w:qFormat/>
    <w:rsid w:val="0007635B"/>
  </w:style>
  <w:style w:type="paragraph" w:styleId="Odsekzoznamu">
    <w:name w:val="List Paragraph"/>
    <w:basedOn w:val="Normlny"/>
    <w:link w:val="OdsekzoznamuChar"/>
    <w:uiPriority w:val="34"/>
    <w:qFormat/>
    <w:rsid w:val="0007635B"/>
    <w:pPr>
      <w:ind w:left="708"/>
    </w:pPr>
  </w:style>
  <w:style w:type="paragraph" w:styleId="Citcia">
    <w:name w:val="Quote"/>
    <w:basedOn w:val="Normlny"/>
    <w:next w:val="Normlny"/>
    <w:link w:val="CitciaChar"/>
    <w:uiPriority w:val="29"/>
    <w:qFormat/>
    <w:rsid w:val="0007635B"/>
    <w:rPr>
      <w:i/>
      <w:iCs/>
      <w:color w:val="000000"/>
    </w:rPr>
  </w:style>
  <w:style w:type="character" w:customStyle="1" w:styleId="CitciaChar">
    <w:name w:val="Citácia Char"/>
    <w:basedOn w:val="Predvolenpsmoodseku"/>
    <w:link w:val="Citcia"/>
    <w:uiPriority w:val="29"/>
    <w:rsid w:val="0007635B"/>
    <w:rPr>
      <w:i/>
      <w:iCs/>
      <w:color w:val="000000"/>
      <w:sz w:val="24"/>
      <w:szCs w:val="24"/>
    </w:rPr>
  </w:style>
  <w:style w:type="paragraph" w:styleId="Zvraznencitcia">
    <w:name w:val="Intense Quote"/>
    <w:basedOn w:val="Normlny"/>
    <w:next w:val="Normlny"/>
    <w:link w:val="ZvraznencitciaChar"/>
    <w:uiPriority w:val="30"/>
    <w:qFormat/>
    <w:rsid w:val="0007635B"/>
    <w:pPr>
      <w:pBdr>
        <w:bottom w:val="single" w:sz="4" w:space="4" w:color="4F81BD"/>
      </w:pBdr>
      <w:spacing w:before="200" w:after="280"/>
      <w:ind w:left="936" w:right="936"/>
    </w:pPr>
    <w:rPr>
      <w:b/>
      <w:bCs/>
      <w:i/>
      <w:iCs/>
      <w:color w:val="4F81BD"/>
    </w:rPr>
  </w:style>
  <w:style w:type="character" w:customStyle="1" w:styleId="ZvraznencitciaChar">
    <w:name w:val="Zvýraznená citácia Char"/>
    <w:basedOn w:val="Predvolenpsmoodseku"/>
    <w:link w:val="Zvraznencitcia"/>
    <w:uiPriority w:val="30"/>
    <w:rsid w:val="0007635B"/>
    <w:rPr>
      <w:b/>
      <w:bCs/>
      <w:i/>
      <w:iCs/>
      <w:color w:val="4F81BD"/>
      <w:sz w:val="24"/>
      <w:szCs w:val="24"/>
    </w:rPr>
  </w:style>
  <w:style w:type="character" w:styleId="Jemnzvraznenie">
    <w:name w:val="Subtle Emphasis"/>
    <w:uiPriority w:val="19"/>
    <w:qFormat/>
    <w:rsid w:val="0007635B"/>
    <w:rPr>
      <w:i/>
      <w:iCs/>
      <w:color w:val="808080"/>
    </w:rPr>
  </w:style>
  <w:style w:type="character" w:styleId="Intenzvnezvraznenie">
    <w:name w:val="Intense Emphasis"/>
    <w:uiPriority w:val="21"/>
    <w:qFormat/>
    <w:rsid w:val="0007635B"/>
    <w:rPr>
      <w:b/>
      <w:bCs/>
      <w:i/>
      <w:iCs/>
      <w:color w:val="4F81BD"/>
    </w:rPr>
  </w:style>
  <w:style w:type="character" w:styleId="Jemnodkaz">
    <w:name w:val="Subtle Reference"/>
    <w:basedOn w:val="Predvolenpsmoodseku"/>
    <w:uiPriority w:val="31"/>
    <w:qFormat/>
    <w:rsid w:val="0007635B"/>
    <w:rPr>
      <w:smallCaps/>
      <w:color w:val="C0504D"/>
      <w:u w:val="single"/>
    </w:rPr>
  </w:style>
  <w:style w:type="character" w:styleId="Intenzvnyodkaz">
    <w:name w:val="Intense Reference"/>
    <w:uiPriority w:val="32"/>
    <w:qFormat/>
    <w:rsid w:val="0007635B"/>
    <w:rPr>
      <w:b/>
      <w:bCs/>
      <w:smallCaps/>
      <w:color w:val="C0504D"/>
      <w:spacing w:val="5"/>
      <w:u w:val="single"/>
    </w:rPr>
  </w:style>
  <w:style w:type="character" w:styleId="Nzovknihy">
    <w:name w:val="Book Title"/>
    <w:basedOn w:val="Predvolenpsmoodseku"/>
    <w:uiPriority w:val="33"/>
    <w:qFormat/>
    <w:rsid w:val="0007635B"/>
    <w:rPr>
      <w:b/>
      <w:bCs/>
      <w:smallCaps/>
      <w:spacing w:val="5"/>
    </w:rPr>
  </w:style>
  <w:style w:type="paragraph" w:styleId="Hlavikaobsahu">
    <w:name w:val="TOC Heading"/>
    <w:basedOn w:val="Nadpis1"/>
    <w:next w:val="Normlny"/>
    <w:uiPriority w:val="39"/>
    <w:semiHidden/>
    <w:unhideWhenUsed/>
    <w:qFormat/>
    <w:rsid w:val="0007635B"/>
    <w:pPr>
      <w:outlineLvl w:val="9"/>
    </w:pPr>
  </w:style>
  <w:style w:type="table" w:styleId="Mriekatabuky">
    <w:name w:val="Table Grid"/>
    <w:basedOn w:val="Normlnatabuka"/>
    <w:uiPriority w:val="59"/>
    <w:rsid w:val="00F373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link w:val="Odsekzoznamu"/>
    <w:uiPriority w:val="34"/>
    <w:locked/>
    <w:rsid w:val="00DD0E94"/>
    <w:rPr>
      <w:sz w:val="24"/>
      <w:szCs w:val="24"/>
    </w:rPr>
  </w:style>
  <w:style w:type="character" w:styleId="Odkaznakomentr">
    <w:name w:val="annotation reference"/>
    <w:basedOn w:val="Predvolenpsmoodseku"/>
    <w:uiPriority w:val="99"/>
    <w:semiHidden/>
    <w:unhideWhenUsed/>
    <w:rsid w:val="00766C54"/>
    <w:rPr>
      <w:sz w:val="16"/>
      <w:szCs w:val="16"/>
    </w:rPr>
  </w:style>
  <w:style w:type="paragraph" w:styleId="Textkomentra">
    <w:name w:val="annotation text"/>
    <w:basedOn w:val="Normlny"/>
    <w:link w:val="TextkomentraChar"/>
    <w:uiPriority w:val="99"/>
    <w:semiHidden/>
    <w:unhideWhenUsed/>
    <w:rsid w:val="00766C54"/>
    <w:rPr>
      <w:sz w:val="20"/>
      <w:szCs w:val="20"/>
    </w:rPr>
  </w:style>
  <w:style w:type="character" w:customStyle="1" w:styleId="TextkomentraChar">
    <w:name w:val="Text komentára Char"/>
    <w:basedOn w:val="Predvolenpsmoodseku"/>
    <w:link w:val="Textkomentra"/>
    <w:uiPriority w:val="99"/>
    <w:semiHidden/>
    <w:rsid w:val="00766C54"/>
  </w:style>
  <w:style w:type="paragraph" w:styleId="Predmetkomentra">
    <w:name w:val="annotation subject"/>
    <w:basedOn w:val="Textkomentra"/>
    <w:next w:val="Textkomentra"/>
    <w:link w:val="PredmetkomentraChar"/>
    <w:uiPriority w:val="99"/>
    <w:semiHidden/>
    <w:unhideWhenUsed/>
    <w:rsid w:val="00766C54"/>
    <w:rPr>
      <w:b/>
      <w:bCs/>
    </w:rPr>
  </w:style>
  <w:style w:type="character" w:customStyle="1" w:styleId="PredmetkomentraChar">
    <w:name w:val="Predmet komentára Char"/>
    <w:basedOn w:val="TextkomentraChar"/>
    <w:link w:val="Predmetkomentra"/>
    <w:uiPriority w:val="99"/>
    <w:semiHidden/>
    <w:rsid w:val="00766C54"/>
    <w:rPr>
      <w:b/>
      <w:bCs/>
    </w:rPr>
  </w:style>
  <w:style w:type="paragraph" w:styleId="Textbubliny">
    <w:name w:val="Balloon Text"/>
    <w:basedOn w:val="Normlny"/>
    <w:link w:val="TextbublinyChar"/>
    <w:uiPriority w:val="99"/>
    <w:semiHidden/>
    <w:unhideWhenUsed/>
    <w:rsid w:val="00766C54"/>
    <w:rPr>
      <w:rFonts w:ascii="Tahoma" w:hAnsi="Tahoma" w:cs="Tahoma"/>
      <w:sz w:val="16"/>
      <w:szCs w:val="16"/>
    </w:rPr>
  </w:style>
  <w:style w:type="character" w:customStyle="1" w:styleId="TextbublinyChar">
    <w:name w:val="Text bubliny Char"/>
    <w:basedOn w:val="Predvolenpsmoodseku"/>
    <w:link w:val="Textbubliny"/>
    <w:uiPriority w:val="99"/>
    <w:semiHidden/>
    <w:rsid w:val="00766C54"/>
    <w:rPr>
      <w:rFonts w:ascii="Tahoma" w:hAnsi="Tahoma" w:cs="Tahoma"/>
      <w:sz w:val="16"/>
      <w:szCs w:val="16"/>
    </w:rPr>
  </w:style>
  <w:style w:type="paragraph" w:styleId="Hlavika">
    <w:name w:val="header"/>
    <w:basedOn w:val="Normlny"/>
    <w:link w:val="HlavikaChar"/>
    <w:uiPriority w:val="99"/>
    <w:semiHidden/>
    <w:unhideWhenUsed/>
    <w:rsid w:val="006704B8"/>
    <w:pPr>
      <w:tabs>
        <w:tab w:val="center" w:pos="4536"/>
        <w:tab w:val="right" w:pos="9072"/>
      </w:tabs>
    </w:pPr>
  </w:style>
  <w:style w:type="character" w:customStyle="1" w:styleId="HlavikaChar">
    <w:name w:val="Hlavička Char"/>
    <w:basedOn w:val="Predvolenpsmoodseku"/>
    <w:link w:val="Hlavika"/>
    <w:uiPriority w:val="99"/>
    <w:semiHidden/>
    <w:rsid w:val="006704B8"/>
    <w:rPr>
      <w:sz w:val="24"/>
      <w:szCs w:val="24"/>
    </w:rPr>
  </w:style>
  <w:style w:type="paragraph" w:styleId="Pta">
    <w:name w:val="footer"/>
    <w:basedOn w:val="Normlny"/>
    <w:link w:val="PtaChar"/>
    <w:uiPriority w:val="99"/>
    <w:unhideWhenUsed/>
    <w:rsid w:val="006704B8"/>
    <w:pPr>
      <w:tabs>
        <w:tab w:val="center" w:pos="4536"/>
        <w:tab w:val="right" w:pos="9072"/>
      </w:tabs>
    </w:pPr>
  </w:style>
  <w:style w:type="character" w:customStyle="1" w:styleId="PtaChar">
    <w:name w:val="Päta Char"/>
    <w:basedOn w:val="Predvolenpsmoodseku"/>
    <w:link w:val="Pta"/>
    <w:uiPriority w:val="99"/>
    <w:rsid w:val="006704B8"/>
    <w:rPr>
      <w:sz w:val="24"/>
      <w:szCs w:val="24"/>
    </w:rPr>
  </w:style>
  <w:style w:type="paragraph" w:styleId="Revzia">
    <w:name w:val="Revision"/>
    <w:hidden/>
    <w:uiPriority w:val="99"/>
    <w:semiHidden/>
    <w:rsid w:val="00E00C3A"/>
    <w:rPr>
      <w:sz w:val="24"/>
      <w:szCs w:val="24"/>
    </w:rPr>
  </w:style>
  <w:style w:type="character" w:styleId="Hypertextovprepojenie">
    <w:name w:val="Hyperlink"/>
    <w:basedOn w:val="Predvolenpsmoodseku"/>
    <w:uiPriority w:val="99"/>
    <w:semiHidden/>
    <w:unhideWhenUsed/>
    <w:rsid w:val="00DE6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6703">
      <w:bodyDiv w:val="1"/>
      <w:marLeft w:val="0"/>
      <w:marRight w:val="0"/>
      <w:marTop w:val="0"/>
      <w:marBottom w:val="0"/>
      <w:divBdr>
        <w:top w:val="none" w:sz="0" w:space="0" w:color="auto"/>
        <w:left w:val="none" w:sz="0" w:space="0" w:color="auto"/>
        <w:bottom w:val="none" w:sz="0" w:space="0" w:color="auto"/>
        <w:right w:val="none" w:sz="0" w:space="0" w:color="auto"/>
      </w:divBdr>
    </w:div>
    <w:div w:id="441657053">
      <w:bodyDiv w:val="1"/>
      <w:marLeft w:val="0"/>
      <w:marRight w:val="0"/>
      <w:marTop w:val="0"/>
      <w:marBottom w:val="0"/>
      <w:divBdr>
        <w:top w:val="none" w:sz="0" w:space="0" w:color="auto"/>
        <w:left w:val="none" w:sz="0" w:space="0" w:color="auto"/>
        <w:bottom w:val="none" w:sz="0" w:space="0" w:color="auto"/>
        <w:right w:val="none" w:sz="0" w:space="0" w:color="auto"/>
      </w:divBdr>
    </w:div>
    <w:div w:id="925646501">
      <w:bodyDiv w:val="1"/>
      <w:marLeft w:val="0"/>
      <w:marRight w:val="0"/>
      <w:marTop w:val="0"/>
      <w:marBottom w:val="0"/>
      <w:divBdr>
        <w:top w:val="none" w:sz="0" w:space="0" w:color="auto"/>
        <w:left w:val="none" w:sz="0" w:space="0" w:color="auto"/>
        <w:bottom w:val="none" w:sz="0" w:space="0" w:color="auto"/>
        <w:right w:val="none" w:sz="0" w:space="0" w:color="auto"/>
      </w:divBdr>
    </w:div>
    <w:div w:id="1232421979">
      <w:bodyDiv w:val="1"/>
      <w:marLeft w:val="0"/>
      <w:marRight w:val="0"/>
      <w:marTop w:val="0"/>
      <w:marBottom w:val="0"/>
      <w:divBdr>
        <w:top w:val="none" w:sz="0" w:space="0" w:color="auto"/>
        <w:left w:val="none" w:sz="0" w:space="0" w:color="auto"/>
        <w:bottom w:val="none" w:sz="0" w:space="0" w:color="auto"/>
        <w:right w:val="none" w:sz="0" w:space="0" w:color="auto"/>
      </w:divBdr>
    </w:div>
    <w:div w:id="13634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legislativne-procesy/SK/LP/2018/7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6B4F5-786B-4582-A808-B1433BE8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1459</Words>
  <Characters>8319</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Postova Banka</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Slovenská banková asociácia</dc:creator>
  <cp:lastModifiedBy>Bachníček Jozef</cp:lastModifiedBy>
  <cp:revision>6</cp:revision>
  <cp:lastPrinted>2014-07-24T07:00:00Z</cp:lastPrinted>
  <dcterms:created xsi:type="dcterms:W3CDTF">2019-01-30T10:27:00Z</dcterms:created>
  <dcterms:modified xsi:type="dcterms:W3CDTF">2019-01-30T11:21:00Z</dcterms:modified>
</cp:coreProperties>
</file>