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F73F3" w14:textId="7B3DB1AC" w:rsidR="0076215B" w:rsidRPr="00CE6BD9" w:rsidRDefault="0076215B" w:rsidP="0076215B">
      <w:pPr>
        <w:pStyle w:val="CEAStandardHeading"/>
        <w:rPr>
          <w:b/>
          <w:sz w:val="19"/>
          <w:szCs w:val="19"/>
        </w:rPr>
      </w:pPr>
      <w:r>
        <w:rPr>
          <w:sz w:val="19"/>
          <w:szCs w:val="19"/>
        </w:rPr>
        <w:t>Input requested</w:t>
      </w:r>
    </w:p>
    <w:p w14:paraId="5B600DAA" w14:textId="089DEF09" w:rsidR="0076215B" w:rsidRDefault="00DD6DD9" w:rsidP="00AD17F5">
      <w:pPr>
        <w:rPr>
          <w:sz w:val="17"/>
          <w:szCs w:val="17"/>
        </w:rPr>
      </w:pPr>
      <w:r>
        <w:rPr>
          <w:sz w:val="17"/>
          <w:szCs w:val="17"/>
        </w:rPr>
        <w:t xml:space="preserve">In light of the expected EIOPA consultation on </w:t>
      </w:r>
      <w:r w:rsidR="00CB79AB">
        <w:rPr>
          <w:sz w:val="17"/>
          <w:szCs w:val="17"/>
        </w:rPr>
        <w:t>Insurance Guarantee Schemes (</w:t>
      </w:r>
      <w:r>
        <w:rPr>
          <w:sz w:val="17"/>
          <w:szCs w:val="17"/>
        </w:rPr>
        <w:t>IGS</w:t>
      </w:r>
      <w:r w:rsidR="00CB79AB">
        <w:rPr>
          <w:sz w:val="17"/>
          <w:szCs w:val="17"/>
        </w:rPr>
        <w:t>)</w:t>
      </w:r>
      <w:r>
        <w:rPr>
          <w:sz w:val="17"/>
          <w:szCs w:val="17"/>
        </w:rPr>
        <w:t>, which will likely have a very brief consultation period, I</w:t>
      </w:r>
      <w:r w:rsidRPr="00DD6DD9">
        <w:rPr>
          <w:sz w:val="17"/>
          <w:szCs w:val="17"/>
        </w:rPr>
        <w:t>nsurance Europe</w:t>
      </w:r>
      <w:r>
        <w:rPr>
          <w:sz w:val="17"/>
          <w:szCs w:val="17"/>
        </w:rPr>
        <w:t xml:space="preserve"> would like to invite members to provide feedback that can lay the groundwork for upcoming position building</w:t>
      </w:r>
      <w:r w:rsidR="00112561">
        <w:rPr>
          <w:sz w:val="17"/>
          <w:szCs w:val="17"/>
        </w:rPr>
        <w:t xml:space="preserve">. </w:t>
      </w:r>
      <w:r w:rsidR="002C08FE">
        <w:rPr>
          <w:sz w:val="17"/>
          <w:szCs w:val="17"/>
        </w:rPr>
        <w:t xml:space="preserve">Members are </w:t>
      </w:r>
      <w:r>
        <w:rPr>
          <w:sz w:val="17"/>
          <w:szCs w:val="17"/>
        </w:rPr>
        <w:t xml:space="preserve">therefore </w:t>
      </w:r>
      <w:r w:rsidR="00112561">
        <w:rPr>
          <w:sz w:val="17"/>
          <w:szCs w:val="17"/>
        </w:rPr>
        <w:t>invited</w:t>
      </w:r>
      <w:r>
        <w:rPr>
          <w:sz w:val="17"/>
          <w:szCs w:val="17"/>
        </w:rPr>
        <w:t xml:space="preserve"> </w:t>
      </w:r>
      <w:r w:rsidR="002C08FE">
        <w:rPr>
          <w:sz w:val="17"/>
          <w:szCs w:val="17"/>
        </w:rPr>
        <w:t>to:</w:t>
      </w:r>
    </w:p>
    <w:p w14:paraId="153D1D32" w14:textId="1FCC9D2A" w:rsidR="002C08FE" w:rsidRDefault="003862DA" w:rsidP="00AD17F5">
      <w:pPr>
        <w:pStyle w:val="CEABullet-Level1"/>
        <w:ind w:left="714" w:hanging="357"/>
      </w:pPr>
      <w:r>
        <w:t>Verify</w:t>
      </w:r>
      <w:r w:rsidR="00DD6DD9">
        <w:t xml:space="preserve"> </w:t>
      </w:r>
      <w:r w:rsidR="002C08FE">
        <w:t>EIOPA’s mapping exercise</w:t>
      </w:r>
      <w:r w:rsidR="005F6211">
        <w:t xml:space="preserve"> (Part of the EIOPA </w:t>
      </w:r>
      <w:hyperlink r:id="rId11" w:history="1">
        <w:r w:rsidR="005F6211" w:rsidRPr="005F6211">
          <w:rPr>
            <w:rStyle w:val="Hypertextovprepojenie"/>
          </w:rPr>
          <w:t>Discussion Paper</w:t>
        </w:r>
      </w:hyperlink>
      <w:r w:rsidR="005F6211">
        <w:t xml:space="preserve"> on national IGS</w:t>
      </w:r>
      <w:r w:rsidR="00DE4176">
        <w:t>)</w:t>
      </w:r>
      <w:r w:rsidR="00DD6DD9">
        <w:t xml:space="preserve"> and, if applicable, correct/complement the information relating to their respective markets</w:t>
      </w:r>
      <w:r>
        <w:t>.</w:t>
      </w:r>
      <w:r w:rsidR="00DD6DD9">
        <w:t xml:space="preserve"> </w:t>
      </w:r>
    </w:p>
    <w:p w14:paraId="5617F34F" w14:textId="57A34F04" w:rsidR="00DE4176" w:rsidRPr="00940E05" w:rsidRDefault="00DD6DD9" w:rsidP="00AD17F5">
      <w:pPr>
        <w:pStyle w:val="CEABullet-Level1"/>
        <w:ind w:left="714" w:hanging="357"/>
      </w:pPr>
      <w:r>
        <w:t>Inform</w:t>
      </w:r>
      <w:r w:rsidR="00FB3A68">
        <w:t xml:space="preserve"> Insurance Europe</w:t>
      </w:r>
      <w:r>
        <w:t xml:space="preserve"> about their </w:t>
      </w:r>
      <w:r w:rsidR="00FB3A68">
        <w:t xml:space="preserve">position on </w:t>
      </w:r>
      <w:r w:rsidR="00F52B17">
        <w:t>a</w:t>
      </w:r>
      <w:r w:rsidR="00DE4176">
        <w:t xml:space="preserve"> possible</w:t>
      </w:r>
      <w:r w:rsidR="00F52B17">
        <w:t xml:space="preserve"> EU initiative on</w:t>
      </w:r>
      <w:r>
        <w:t xml:space="preserve"> </w:t>
      </w:r>
      <w:r w:rsidR="00FB3A68">
        <w:t>IGS</w:t>
      </w:r>
      <w:r w:rsidR="00AD18C6">
        <w:t xml:space="preserve"> </w:t>
      </w:r>
      <w:r w:rsidR="00DE4176">
        <w:t>by answering the questions in the table in Annex, which are meant to identify whether/how members would be willing to change their position regarding IGS harmonisation at EU level.</w:t>
      </w:r>
    </w:p>
    <w:p w14:paraId="6EE5511C" w14:textId="77777777" w:rsidR="00DE4176" w:rsidRDefault="00DE4176" w:rsidP="00AD17F5">
      <w:pPr>
        <w:jc w:val="left"/>
        <w:rPr>
          <w:sz w:val="17"/>
          <w:szCs w:val="17"/>
        </w:rPr>
      </w:pPr>
    </w:p>
    <w:p w14:paraId="48491357" w14:textId="08E363BA" w:rsidR="00EB33F9" w:rsidRDefault="00EB33F9" w:rsidP="00AD17F5">
      <w:pPr>
        <w:jc w:val="left"/>
        <w:rPr>
          <w:sz w:val="17"/>
          <w:szCs w:val="17"/>
        </w:rPr>
      </w:pPr>
      <w:r>
        <w:rPr>
          <w:sz w:val="17"/>
          <w:szCs w:val="17"/>
        </w:rPr>
        <w:t xml:space="preserve">Input should be provided via the </w:t>
      </w:r>
      <w:proofErr w:type="gramStart"/>
      <w:r>
        <w:rPr>
          <w:sz w:val="17"/>
          <w:szCs w:val="17"/>
        </w:rPr>
        <w:t>Extranet</w:t>
      </w:r>
      <w:proofErr w:type="gramEnd"/>
      <w:r>
        <w:rPr>
          <w:sz w:val="17"/>
          <w:szCs w:val="17"/>
        </w:rPr>
        <w:t xml:space="preserve"> validation tool by </w:t>
      </w:r>
      <w:r w:rsidRPr="00EB33F9">
        <w:rPr>
          <w:b/>
          <w:sz w:val="17"/>
          <w:szCs w:val="17"/>
          <w:u w:val="single"/>
        </w:rPr>
        <w:t>cob</w:t>
      </w:r>
      <w:r>
        <w:rPr>
          <w:sz w:val="17"/>
          <w:szCs w:val="17"/>
        </w:rPr>
        <w:t xml:space="preserve"> on </w:t>
      </w:r>
      <w:r w:rsidRPr="00EB33F9">
        <w:rPr>
          <w:b/>
          <w:sz w:val="17"/>
          <w:szCs w:val="17"/>
          <w:u w:val="single"/>
        </w:rPr>
        <w:t>Friday, 14 June 2019</w:t>
      </w:r>
      <w:r>
        <w:rPr>
          <w:sz w:val="17"/>
          <w:szCs w:val="17"/>
        </w:rPr>
        <w:t>.</w:t>
      </w:r>
    </w:p>
    <w:p w14:paraId="74C9D230" w14:textId="77777777" w:rsidR="00DE4176" w:rsidRDefault="00DE4176" w:rsidP="00AD17F5">
      <w:pPr>
        <w:pStyle w:val="CEABullet-Level1"/>
        <w:numPr>
          <w:ilvl w:val="0"/>
          <w:numId w:val="0"/>
        </w:numPr>
        <w:ind w:left="720"/>
      </w:pPr>
    </w:p>
    <w:p w14:paraId="7D9166F5" w14:textId="77777777" w:rsidR="00DE4176" w:rsidRDefault="00DE4176" w:rsidP="00AD17F5">
      <w:pPr>
        <w:pStyle w:val="CEABullet-Level1"/>
        <w:numPr>
          <w:ilvl w:val="0"/>
          <w:numId w:val="0"/>
        </w:numPr>
      </w:pPr>
      <w:r>
        <w:t xml:space="preserve">Members’ views and input will feed into the discussions of the High-Level Group on FOS and into Insurance Europe’s response to EIOPA’s forthcoming consultation on IGS. </w:t>
      </w:r>
    </w:p>
    <w:p w14:paraId="255AF6B1" w14:textId="66E1EC08" w:rsidR="00EB33F9" w:rsidRDefault="00EB33F9" w:rsidP="00AD17F5">
      <w:pPr>
        <w:jc w:val="left"/>
        <w:rPr>
          <w:sz w:val="17"/>
          <w:szCs w:val="17"/>
        </w:rPr>
      </w:pPr>
    </w:p>
    <w:p w14:paraId="0428E3A6" w14:textId="77777777" w:rsidR="00DE4176" w:rsidRPr="00763D6E" w:rsidRDefault="00DE4176" w:rsidP="00AD17F5">
      <w:pPr>
        <w:jc w:val="left"/>
        <w:rPr>
          <w:sz w:val="17"/>
          <w:szCs w:val="17"/>
        </w:rPr>
      </w:pPr>
    </w:p>
    <w:p w14:paraId="22F1816D" w14:textId="283BE8D9" w:rsidR="003862DA" w:rsidRDefault="00112561" w:rsidP="0016089A">
      <w:pPr>
        <w:pStyle w:val="CEAStandardHeading"/>
        <w:rPr>
          <w:sz w:val="19"/>
          <w:szCs w:val="19"/>
        </w:rPr>
      </w:pPr>
      <w:r>
        <w:rPr>
          <w:sz w:val="19"/>
          <w:szCs w:val="19"/>
        </w:rPr>
        <w:t>Background</w:t>
      </w:r>
    </w:p>
    <w:p w14:paraId="406E4425" w14:textId="016A62A6" w:rsidR="00112561" w:rsidRPr="00112561" w:rsidRDefault="00112561" w:rsidP="0070334B">
      <w:pPr>
        <w:rPr>
          <w:sz w:val="17"/>
          <w:szCs w:val="17"/>
        </w:rPr>
      </w:pPr>
      <w:r w:rsidRPr="00112561">
        <w:rPr>
          <w:sz w:val="17"/>
          <w:szCs w:val="17"/>
        </w:rPr>
        <w:t>Insurance Europe has a long-established position on IGS (i.e. opposition to harmonisation of IGS at EU level), which was confirmed again in October 2018 in response to EIOPA’s consultation on IGS [</w:t>
      </w:r>
      <w:hyperlink r:id="rId12" w:history="1">
        <w:r w:rsidRPr="00112561">
          <w:rPr>
            <w:rStyle w:val="Hypertextovprepojenie"/>
            <w:sz w:val="17"/>
            <w:szCs w:val="17"/>
          </w:rPr>
          <w:t>link</w:t>
        </w:r>
      </w:hyperlink>
      <w:r w:rsidRPr="00112561">
        <w:rPr>
          <w:sz w:val="17"/>
          <w:szCs w:val="17"/>
        </w:rPr>
        <w:t>].</w:t>
      </w:r>
      <w:r w:rsidRPr="005F6211">
        <w:t xml:space="preserve"> </w:t>
      </w:r>
    </w:p>
    <w:p w14:paraId="67B840BB" w14:textId="3824F603" w:rsidR="00AF6BF5" w:rsidRPr="005F6211" w:rsidRDefault="005F6211" w:rsidP="0070334B">
      <w:pPr>
        <w:pStyle w:val="CEABullet-Level1"/>
        <w:ind w:left="714" w:hanging="357"/>
        <w:rPr>
          <w:szCs w:val="17"/>
        </w:rPr>
      </w:pPr>
      <w:r w:rsidRPr="005F6211">
        <w:t xml:space="preserve">In its response, Insurance Europe argued that </w:t>
      </w:r>
      <w:r>
        <w:t>t</w:t>
      </w:r>
      <w:r w:rsidRPr="00A42571">
        <w:t>h</w:t>
      </w:r>
      <w:r>
        <w:t>e</w:t>
      </w:r>
      <w:r w:rsidRPr="00A42571">
        <w:t xml:space="preserve"> status quo should be maintained in the absence of a consistent application of the Solvency II framework at NCA level and </w:t>
      </w:r>
      <w:r w:rsidR="0085365A">
        <w:t>without</w:t>
      </w:r>
      <w:r w:rsidRPr="00A42571">
        <w:t xml:space="preserve"> </w:t>
      </w:r>
      <w:r w:rsidR="00D9768F">
        <w:t>adequate and coordinated</w:t>
      </w:r>
      <w:r w:rsidRPr="00A42571">
        <w:t xml:space="preserve"> supervision of FOS/FOE</w:t>
      </w:r>
      <w:r w:rsidR="00EA142D">
        <w:t>.</w:t>
      </w:r>
    </w:p>
    <w:p w14:paraId="422FED5E" w14:textId="05C4BCD4" w:rsidR="003862DA" w:rsidRDefault="005F6211" w:rsidP="0070334B">
      <w:pPr>
        <w:pStyle w:val="CEABullet-Level1"/>
        <w:ind w:left="714" w:hanging="357"/>
      </w:pPr>
      <w:r>
        <w:t>Insurance Europe also said that, s</w:t>
      </w:r>
      <w:r w:rsidR="00AF6BF5" w:rsidRPr="00A42571">
        <w:t>hould minimum harmonisation be considered</w:t>
      </w:r>
      <w:r w:rsidR="003862DA">
        <w:t>:</w:t>
      </w:r>
      <w:r w:rsidR="00AF6BF5" w:rsidRPr="00A42571">
        <w:t xml:space="preserve"> </w:t>
      </w:r>
    </w:p>
    <w:p w14:paraId="419A204B" w14:textId="77777777" w:rsidR="003862DA" w:rsidRPr="00112561" w:rsidRDefault="003862DA" w:rsidP="0070334B">
      <w:pPr>
        <w:pStyle w:val="CEABullet-Level2"/>
        <w:ind w:left="1077" w:hanging="357"/>
      </w:pPr>
      <w:r w:rsidRPr="00112561">
        <w:t xml:space="preserve">A home-country principle would be the most favoured option, to ensure consistency with the EU supervisory framework. </w:t>
      </w:r>
    </w:p>
    <w:p w14:paraId="50D5AF97" w14:textId="77777777" w:rsidR="003862DA" w:rsidRPr="00112561" w:rsidRDefault="003862DA" w:rsidP="0070334B">
      <w:pPr>
        <w:pStyle w:val="CEABullet-Level2"/>
        <w:ind w:left="1077" w:hanging="357"/>
      </w:pPr>
      <w:r w:rsidRPr="00112561">
        <w:t xml:space="preserve">Only life insurance policies - which typically involve larger amounts and longer-term commitments with insurers - should be under the scope. </w:t>
      </w:r>
    </w:p>
    <w:p w14:paraId="30BE2599" w14:textId="77777777" w:rsidR="003862DA" w:rsidRPr="00112561" w:rsidRDefault="003862DA" w:rsidP="0070334B">
      <w:pPr>
        <w:pStyle w:val="CEABullet-Level2"/>
        <w:ind w:left="1077" w:hanging="357"/>
      </w:pPr>
      <w:r w:rsidRPr="003862DA">
        <w:t>IGS should cover consumers (natural persons) only and it should be at the discretion of member states to decide whether a wider scope is justified</w:t>
      </w:r>
      <w:r w:rsidRPr="00112561">
        <w:t>.</w:t>
      </w:r>
      <w:r w:rsidRPr="003862DA">
        <w:t xml:space="preserve"> </w:t>
      </w:r>
    </w:p>
    <w:p w14:paraId="09B52E16" w14:textId="77777777" w:rsidR="003862DA" w:rsidRPr="00112561" w:rsidRDefault="003862DA" w:rsidP="0070334B">
      <w:pPr>
        <w:pStyle w:val="CEABullet-Level2"/>
        <w:ind w:left="1077" w:hanging="357"/>
        <w:rPr>
          <w:rFonts w:eastAsiaTheme="minorHAnsi"/>
        </w:rPr>
      </w:pPr>
      <w:r w:rsidRPr="00112561">
        <w:t>D</w:t>
      </w:r>
      <w:r w:rsidRPr="003862DA">
        <w:t>ecisions relating to IGS funding should be left to member states’ consideration, in consultation with local stakeholders</w:t>
      </w:r>
      <w:r w:rsidRPr="00112561">
        <w:t>.</w:t>
      </w:r>
      <w:r w:rsidRPr="003862DA">
        <w:t xml:space="preserve"> </w:t>
      </w:r>
    </w:p>
    <w:p w14:paraId="432E5232" w14:textId="77777777" w:rsidR="00112561" w:rsidRDefault="00112561" w:rsidP="0070334B">
      <w:pPr>
        <w:rPr>
          <w:sz w:val="17"/>
          <w:szCs w:val="17"/>
        </w:rPr>
      </w:pPr>
    </w:p>
    <w:p w14:paraId="03727F13" w14:textId="49D6D95F" w:rsidR="0016089A" w:rsidRDefault="00FC34FF" w:rsidP="0070334B">
      <w:pPr>
        <w:rPr>
          <w:sz w:val="17"/>
          <w:szCs w:val="17"/>
        </w:rPr>
      </w:pPr>
      <w:r>
        <w:rPr>
          <w:sz w:val="17"/>
          <w:szCs w:val="17"/>
        </w:rPr>
        <w:t>H</w:t>
      </w:r>
      <w:r w:rsidR="00112561">
        <w:rPr>
          <w:sz w:val="17"/>
          <w:szCs w:val="17"/>
        </w:rPr>
        <w:t>o</w:t>
      </w:r>
      <w:r>
        <w:rPr>
          <w:sz w:val="17"/>
          <w:szCs w:val="17"/>
        </w:rPr>
        <w:t>wever,</w:t>
      </w:r>
      <w:r w:rsidR="003862DA">
        <w:rPr>
          <w:sz w:val="17"/>
          <w:szCs w:val="17"/>
        </w:rPr>
        <w:t xml:space="preserve"> the following</w:t>
      </w:r>
      <w:r>
        <w:rPr>
          <w:sz w:val="17"/>
          <w:szCs w:val="17"/>
        </w:rPr>
        <w:t xml:space="preserve"> developments </w:t>
      </w:r>
      <w:r w:rsidR="00432993">
        <w:rPr>
          <w:sz w:val="17"/>
          <w:szCs w:val="17"/>
        </w:rPr>
        <w:t>mean</w:t>
      </w:r>
      <w:r w:rsidR="00DD6DD9">
        <w:rPr>
          <w:sz w:val="17"/>
          <w:szCs w:val="17"/>
        </w:rPr>
        <w:t xml:space="preserve"> members m</w:t>
      </w:r>
      <w:r w:rsidR="003862DA">
        <w:rPr>
          <w:sz w:val="17"/>
          <w:szCs w:val="17"/>
        </w:rPr>
        <w:t>ay want to</w:t>
      </w:r>
      <w:r w:rsidR="00DD6DD9">
        <w:rPr>
          <w:sz w:val="17"/>
          <w:szCs w:val="17"/>
        </w:rPr>
        <w:t xml:space="preserve"> develop their line of thinking</w:t>
      </w:r>
      <w:r w:rsidR="00F96A87">
        <w:rPr>
          <w:sz w:val="17"/>
          <w:szCs w:val="17"/>
        </w:rPr>
        <w:t>:</w:t>
      </w:r>
    </w:p>
    <w:p w14:paraId="1667D5F0" w14:textId="1EA48EF1" w:rsidR="00633509" w:rsidRDefault="002B09FA" w:rsidP="0070334B">
      <w:pPr>
        <w:pStyle w:val="CEABullet-Level1"/>
        <w:ind w:left="714" w:hanging="357"/>
      </w:pPr>
      <w:r>
        <w:t>The</w:t>
      </w:r>
      <w:r w:rsidR="008D3CE0">
        <w:t xml:space="preserve"> provisions found in the</w:t>
      </w:r>
      <w:r>
        <w:t xml:space="preserve"> </w:t>
      </w:r>
      <w:r w:rsidR="008D3CE0">
        <w:t xml:space="preserve">EC </w:t>
      </w:r>
      <w:hyperlink r:id="rId13" w:history="1">
        <w:r w:rsidRPr="00F80E99">
          <w:t>proposal</w:t>
        </w:r>
      </w:hyperlink>
      <w:r>
        <w:t xml:space="preserve"> to revise the </w:t>
      </w:r>
      <w:r w:rsidRPr="00F80E99">
        <w:t>Motor Insurance Directive</w:t>
      </w:r>
      <w:r>
        <w:t xml:space="preserve"> (</w:t>
      </w:r>
      <w:r w:rsidR="00633509">
        <w:t>MID</w:t>
      </w:r>
      <w:r>
        <w:t>)</w:t>
      </w:r>
      <w:r w:rsidR="00112561">
        <w:t xml:space="preserve"> –</w:t>
      </w:r>
      <w:r w:rsidR="008D3CE0">
        <w:t xml:space="preserve"> </w:t>
      </w:r>
      <w:r w:rsidR="00112561">
        <w:t>which are</w:t>
      </w:r>
      <w:r w:rsidR="008D3CE0">
        <w:t xml:space="preserve"> </w:t>
      </w:r>
      <w:hyperlink r:id="rId14" w:history="1">
        <w:r w:rsidR="008D3CE0" w:rsidRPr="00F80E99">
          <w:t>supported</w:t>
        </w:r>
      </w:hyperlink>
      <w:r w:rsidR="008D3CE0">
        <w:t xml:space="preserve"> by </w:t>
      </w:r>
      <w:r w:rsidR="00D9547C">
        <w:t>I</w:t>
      </w:r>
      <w:r w:rsidR="008D3CE0">
        <w:t>nsurance Europe</w:t>
      </w:r>
      <w:r w:rsidR="00112561">
        <w:t xml:space="preserve"> -</w:t>
      </w:r>
      <w:r w:rsidR="008D3CE0">
        <w:t xml:space="preserve"> regarding </w:t>
      </w:r>
      <w:r w:rsidR="00DD3124">
        <w:t xml:space="preserve">the role of motor guarantee funds in case of an MTPL insurer’s </w:t>
      </w:r>
      <w:r w:rsidR="00DC0078">
        <w:t xml:space="preserve">insolvency and the </w:t>
      </w:r>
      <w:r w:rsidR="00DF438A">
        <w:t>home</w:t>
      </w:r>
      <w:r w:rsidR="00112561">
        <w:t>-</w:t>
      </w:r>
      <w:r w:rsidR="00DF438A">
        <w:t xml:space="preserve">country </w:t>
      </w:r>
      <w:r w:rsidR="00DC0078">
        <w:t>recovery mechanism</w:t>
      </w:r>
      <w:r w:rsidR="00112561">
        <w:t>.</w:t>
      </w:r>
    </w:p>
    <w:p w14:paraId="7C3FF1D2" w14:textId="35E39BA4" w:rsidR="00F96A87" w:rsidRDefault="00911210" w:rsidP="0070334B">
      <w:pPr>
        <w:pStyle w:val="CEABullet-Level1"/>
        <w:ind w:left="714" w:hanging="357"/>
      </w:pPr>
      <w:r>
        <w:lastRenderedPageBreak/>
        <w:t xml:space="preserve">IGSs are part of the European Commission’ </w:t>
      </w:r>
      <w:hyperlink r:id="rId15" w:history="1">
        <w:r w:rsidRPr="00911210">
          <w:rPr>
            <w:rStyle w:val="Hypertextovprepojenie"/>
          </w:rPr>
          <w:t>Call for Advice</w:t>
        </w:r>
      </w:hyperlink>
      <w:r>
        <w:t xml:space="preserve"> to EIOPA in view of the </w:t>
      </w:r>
      <w:r w:rsidR="00F96A87">
        <w:t>Solvency</w:t>
      </w:r>
      <w:r w:rsidR="00642E7E">
        <w:t xml:space="preserve"> II</w:t>
      </w:r>
      <w:r w:rsidR="00F96A87">
        <w:t xml:space="preserve"> 2020</w:t>
      </w:r>
      <w:r w:rsidR="00DB7033">
        <w:t xml:space="preserve"> review</w:t>
      </w:r>
      <w:r>
        <w:t>. EIOPA is asked to “</w:t>
      </w:r>
      <w:proofErr w:type="gramStart"/>
      <w:r w:rsidRPr="00F80E99">
        <w:rPr>
          <w:i/>
        </w:rPr>
        <w:t>advise</w:t>
      </w:r>
      <w:proofErr w:type="gramEnd"/>
      <w:r w:rsidRPr="00F80E99">
        <w:rPr>
          <w:i/>
        </w:rPr>
        <w:t xml:space="preserve"> on whether there is a need for minimum harmonising rules for national IGS. In particular, EIOPA is asked to </w:t>
      </w:r>
      <w:proofErr w:type="gramStart"/>
      <w:r w:rsidRPr="00F80E99">
        <w:rPr>
          <w:i/>
        </w:rPr>
        <w:t>advise</w:t>
      </w:r>
      <w:proofErr w:type="gramEnd"/>
      <w:r w:rsidRPr="00F80E99">
        <w:rPr>
          <w:i/>
        </w:rPr>
        <w:t xml:space="preserve"> on whether the rules in the following areas need to be harmonised: role and functioning of IGSs, their geographical coverage, cross-border coordination mechanisms, eligible policies, eligible claimants, funding and policyholder information. In the context of policies sold via </w:t>
      </w:r>
      <w:proofErr w:type="spellStart"/>
      <w:proofErr w:type="gramStart"/>
      <w:r w:rsidRPr="00F80E99">
        <w:rPr>
          <w:i/>
        </w:rPr>
        <w:t>FoS</w:t>
      </w:r>
      <w:proofErr w:type="spellEnd"/>
      <w:proofErr w:type="gramEnd"/>
      <w:r w:rsidRPr="00F80E99">
        <w:rPr>
          <w:i/>
        </w:rPr>
        <w:t xml:space="preserve"> or </w:t>
      </w:r>
      <w:proofErr w:type="spellStart"/>
      <w:r w:rsidRPr="00F80E99">
        <w:rPr>
          <w:i/>
        </w:rPr>
        <w:t>Fo</w:t>
      </w:r>
      <w:r w:rsidR="00642E7E">
        <w:rPr>
          <w:i/>
        </w:rPr>
        <w:t>E</w:t>
      </w:r>
      <w:proofErr w:type="spellEnd"/>
      <w:r w:rsidRPr="00F80E99">
        <w:rPr>
          <w:i/>
        </w:rPr>
        <w:t>, EIOPA is, in particular, asked to consider whether possibly harmonised rules for national IGSs should enable a recourse to the IGS of the home Member State in order to protect policyholders in other Member States where the undertaking is operating</w:t>
      </w:r>
      <w:r>
        <w:rPr>
          <w:i/>
        </w:rPr>
        <w:t>”</w:t>
      </w:r>
      <w:r w:rsidRPr="00F80E99">
        <w:rPr>
          <w:i/>
        </w:rPr>
        <w:t>.</w:t>
      </w:r>
      <w:r>
        <w:t xml:space="preserve"> </w:t>
      </w:r>
    </w:p>
    <w:p w14:paraId="20535AE5" w14:textId="656AE2BF" w:rsidR="000006E0" w:rsidRDefault="00911210" w:rsidP="0070334B">
      <w:pPr>
        <w:pStyle w:val="CEABullet-Level2"/>
        <w:ind w:left="1077" w:hanging="357"/>
      </w:pPr>
      <w:r>
        <w:t>To respond to this request from the EC, EIOPA will consult on its draft opinion on IGS probably this summer</w:t>
      </w:r>
      <w:r w:rsidR="00642E7E">
        <w:t>:</w:t>
      </w:r>
      <w:r>
        <w:t xml:space="preserve"> according to recent information from EIOPA, as their work on IGS is more advance</w:t>
      </w:r>
      <w:r w:rsidR="001F63B5">
        <w:t>d</w:t>
      </w:r>
      <w:r>
        <w:t xml:space="preserve"> compared to other items in the </w:t>
      </w:r>
      <w:proofErr w:type="spellStart"/>
      <w:r>
        <w:t>CfA</w:t>
      </w:r>
      <w:proofErr w:type="spellEnd"/>
      <w:r>
        <w:t xml:space="preserve">, the topic of IGS will probably be split from the rest of the </w:t>
      </w:r>
      <w:proofErr w:type="spellStart"/>
      <w:r>
        <w:t>CfA</w:t>
      </w:r>
      <w:proofErr w:type="spellEnd"/>
      <w:r>
        <w:t xml:space="preserve"> consultation, which will be launched in November; this is still subject to </w:t>
      </w:r>
      <w:r w:rsidR="00642E7E">
        <w:t xml:space="preserve">EIOPA </w:t>
      </w:r>
      <w:r>
        <w:t>B</w:t>
      </w:r>
      <w:r w:rsidR="00642E7E">
        <w:t xml:space="preserve">oard </w:t>
      </w:r>
      <w:r>
        <w:t>o</w:t>
      </w:r>
      <w:r w:rsidR="00642E7E">
        <w:t xml:space="preserve">f </w:t>
      </w:r>
      <w:r>
        <w:t>S</w:t>
      </w:r>
      <w:r w:rsidR="00642E7E">
        <w:t>upervisors’</w:t>
      </w:r>
      <w:r>
        <w:t xml:space="preserve"> approval.</w:t>
      </w:r>
      <w:r w:rsidR="001F63B5">
        <w:t xml:space="preserve"> Almost certainly, EIOPA will propose a minimum harmonisation on IGS rules based on the home-country approach. </w:t>
      </w:r>
    </w:p>
    <w:p w14:paraId="638ACB37" w14:textId="77777777" w:rsidR="00112561" w:rsidRDefault="006858DD" w:rsidP="0070334B">
      <w:pPr>
        <w:pStyle w:val="CEABullet-Level1"/>
        <w:ind w:left="714" w:hanging="357"/>
      </w:pPr>
      <w:r>
        <w:t xml:space="preserve">Generally speaking, </w:t>
      </w:r>
      <w:r w:rsidR="00652C98">
        <w:t>the</w:t>
      </w:r>
      <w:r w:rsidR="00112561">
        <w:t>re is</w:t>
      </w:r>
      <w:r w:rsidR="00652C98">
        <w:t xml:space="preserve"> </w:t>
      </w:r>
      <w:r w:rsidR="008F7613">
        <w:t>i</w:t>
      </w:r>
      <w:r w:rsidR="000006E0">
        <w:t xml:space="preserve">ncreased scrutiny of the use made by </w:t>
      </w:r>
      <w:r w:rsidR="000006E0" w:rsidRPr="007867E7">
        <w:t>certain market players of the freedom of services (FOS)</w:t>
      </w:r>
      <w:r w:rsidR="000006E0">
        <w:t xml:space="preserve"> to elude due supervision</w:t>
      </w:r>
      <w:r w:rsidR="00652C98">
        <w:t>, which has resulted in insolvencies with significant cross-border repercussions</w:t>
      </w:r>
      <w:r w:rsidR="000006E0">
        <w:t>.</w:t>
      </w:r>
    </w:p>
    <w:p w14:paraId="607E777D" w14:textId="5EA2FA2F" w:rsidR="006D0A25" w:rsidRDefault="000325D6" w:rsidP="0070334B">
      <w:pPr>
        <w:pStyle w:val="CEABullet-Level1"/>
        <w:ind w:left="714" w:hanging="357"/>
      </w:pPr>
      <w:r>
        <w:t>T</w:t>
      </w:r>
      <w:r w:rsidR="00112561">
        <w:t>h</w:t>
      </w:r>
      <w:r>
        <w:t>is issue was also discussed by the</w:t>
      </w:r>
      <w:r w:rsidRPr="000325D6">
        <w:t xml:space="preserve"> high-level group </w:t>
      </w:r>
      <w:r>
        <w:t xml:space="preserve">set up after the 14 February </w:t>
      </w:r>
      <w:proofErr w:type="spellStart"/>
      <w:r>
        <w:t>ExCo</w:t>
      </w:r>
      <w:proofErr w:type="spellEnd"/>
      <w:r>
        <w:t xml:space="preserve"> meeting </w:t>
      </w:r>
      <w:r w:rsidRPr="000325D6">
        <w:t>to come up with more detailed recommendations to address the problems identified in the context of FOS and to ensure a coherent messaging by our industry.</w:t>
      </w:r>
      <w:r>
        <w:t xml:space="preserve"> </w:t>
      </w:r>
      <w:r w:rsidR="00642E7E">
        <w:t>For the time being, o</w:t>
      </w:r>
      <w:r w:rsidR="0004700E">
        <w:t xml:space="preserve">n IGS, </w:t>
      </w:r>
      <w:r w:rsidR="001006F9">
        <w:t>the high-level group simply agreed to consider carrying out</w:t>
      </w:r>
      <w:r w:rsidR="001006F9" w:rsidRPr="001006F9">
        <w:t xml:space="preserve"> </w:t>
      </w:r>
      <w:r w:rsidR="001006F9">
        <w:t xml:space="preserve">a </w:t>
      </w:r>
      <w:r w:rsidR="001006F9" w:rsidRPr="001006F9">
        <w:t xml:space="preserve">mapping exercise </w:t>
      </w:r>
      <w:r w:rsidR="001006F9">
        <w:t>at a later stage</w:t>
      </w:r>
      <w:r w:rsidR="001006F9" w:rsidRPr="001006F9">
        <w:t>.</w:t>
      </w:r>
    </w:p>
    <w:p w14:paraId="1953111B" w14:textId="77777777" w:rsidR="00DE4176" w:rsidRDefault="00DE4176" w:rsidP="0070334B">
      <w:pPr>
        <w:pStyle w:val="CEABullet-Level1"/>
        <w:numPr>
          <w:ilvl w:val="0"/>
          <w:numId w:val="0"/>
        </w:numPr>
        <w:ind w:left="720"/>
      </w:pPr>
    </w:p>
    <w:p w14:paraId="1973AD3F" w14:textId="1901D5DB" w:rsidR="00642E7E" w:rsidRDefault="00642E7E" w:rsidP="0070334B">
      <w:pPr>
        <w:pStyle w:val="CEABullet-Level1"/>
        <w:numPr>
          <w:ilvl w:val="0"/>
          <w:numId w:val="0"/>
        </w:numPr>
      </w:pPr>
    </w:p>
    <w:p w14:paraId="2B2EDACD" w14:textId="37983624" w:rsidR="006631CF" w:rsidRPr="006631CF" w:rsidRDefault="006631CF" w:rsidP="006631CF">
      <w:pPr>
        <w:pStyle w:val="CEAStandardHeading"/>
        <w:rPr>
          <w:sz w:val="19"/>
          <w:szCs w:val="19"/>
        </w:rPr>
      </w:pPr>
      <w:r w:rsidRPr="006631CF">
        <w:rPr>
          <w:sz w:val="19"/>
          <w:szCs w:val="19"/>
        </w:rPr>
        <w:t>Next steps</w:t>
      </w:r>
    </w:p>
    <w:p w14:paraId="75EB8A9A" w14:textId="727F365F" w:rsidR="00DE4176" w:rsidRPr="00A52C94" w:rsidRDefault="00DE4176" w:rsidP="006631CF">
      <w:pPr>
        <w:pStyle w:val="CEABullet-Level1"/>
      </w:pPr>
      <w:r>
        <w:t>5/6 June 2019</w:t>
      </w:r>
      <w:r>
        <w:tab/>
      </w:r>
      <w:r>
        <w:tab/>
        <w:t>EIOPA workshop</w:t>
      </w:r>
      <w:r>
        <w:tab/>
      </w:r>
      <w:r w:rsidR="00A52C94">
        <w:t xml:space="preserve"> </w:t>
      </w:r>
      <w:r w:rsidR="00A52C94" w:rsidRPr="00940E05">
        <w:t>on the 2020 Review of Solvency II</w:t>
      </w:r>
      <w:r w:rsidR="00A52C94">
        <w:rPr>
          <w:bCs/>
        </w:rPr>
        <w:t xml:space="preserve"> (including IGS)</w:t>
      </w:r>
    </w:p>
    <w:p w14:paraId="751B36FE" w14:textId="7DB723F6" w:rsidR="006631CF" w:rsidRDefault="006631CF" w:rsidP="006631CF">
      <w:pPr>
        <w:pStyle w:val="CEABullet-Level1"/>
      </w:pPr>
      <w:r>
        <w:t xml:space="preserve">July 2019 (tbc) </w:t>
      </w:r>
      <w:r>
        <w:tab/>
      </w:r>
      <w:r>
        <w:tab/>
      </w:r>
      <w:r w:rsidR="00970505">
        <w:t xml:space="preserve">EIOPA </w:t>
      </w:r>
      <w:r w:rsidR="007076A3">
        <w:t>to</w:t>
      </w:r>
      <w:r w:rsidR="00970505">
        <w:t xml:space="preserve"> consult on its draft opinion on IGS </w:t>
      </w:r>
      <w:r w:rsidR="00F80E99">
        <w:t>before</w:t>
      </w:r>
      <w:r w:rsidR="00970505">
        <w:t xml:space="preserve"> responding to the EC’s </w:t>
      </w:r>
      <w:proofErr w:type="spellStart"/>
      <w:r w:rsidR="00970505">
        <w:t>CfA</w:t>
      </w:r>
      <w:proofErr w:type="spellEnd"/>
      <w:r w:rsidR="00970505">
        <w:t xml:space="preserve"> </w:t>
      </w:r>
    </w:p>
    <w:p w14:paraId="7FADE807" w14:textId="59E7CDA5" w:rsidR="00F2349A" w:rsidRDefault="00F2349A" w:rsidP="006631CF">
      <w:pPr>
        <w:pStyle w:val="CEABullet-Level1"/>
      </w:pPr>
      <w:r>
        <w:t>Q4 2019/</w:t>
      </w:r>
      <w:r w:rsidR="007076A3">
        <w:t xml:space="preserve"> </w:t>
      </w:r>
      <w:r>
        <w:t>2020</w:t>
      </w:r>
      <w:r w:rsidR="007076A3">
        <w:t xml:space="preserve"> (tbc)</w:t>
      </w:r>
      <w:r w:rsidR="007076A3">
        <w:tab/>
      </w:r>
      <w:r>
        <w:t xml:space="preserve">Adoption of revised MID </w:t>
      </w:r>
    </w:p>
    <w:p w14:paraId="2CC90C2F" w14:textId="3637E16A" w:rsidR="00DE4176" w:rsidRDefault="00DE4176" w:rsidP="006631CF">
      <w:pPr>
        <w:pStyle w:val="CEABullet-Level1"/>
      </w:pPr>
      <w:r>
        <w:t>June 2020</w:t>
      </w:r>
      <w:r w:rsidR="00A52C94">
        <w:t xml:space="preserve"> (tbc)</w:t>
      </w:r>
      <w:r>
        <w:tab/>
      </w:r>
      <w:r>
        <w:tab/>
        <w:t>EIOPA to submit its proposals on IGS to the EC</w:t>
      </w:r>
    </w:p>
    <w:p w14:paraId="172DFF26" w14:textId="77777777" w:rsidR="00DE4176" w:rsidRDefault="00DE4176">
      <w:pPr>
        <w:spacing w:after="200" w:line="276" w:lineRule="auto"/>
        <w:jc w:val="left"/>
        <w:rPr>
          <w:sz w:val="17"/>
          <w:szCs w:val="17"/>
        </w:rPr>
      </w:pPr>
    </w:p>
    <w:p w14:paraId="3DA252E3" w14:textId="77777777" w:rsidR="00D2341A" w:rsidRDefault="00D2341A">
      <w:pPr>
        <w:spacing w:after="200" w:line="276" w:lineRule="auto"/>
        <w:jc w:val="left"/>
        <w:rPr>
          <w:sz w:val="17"/>
          <w:szCs w:val="17"/>
        </w:rPr>
      </w:pPr>
    </w:p>
    <w:p w14:paraId="3F5CE5B2" w14:textId="77777777" w:rsidR="00D2341A" w:rsidRDefault="00D2341A">
      <w:pPr>
        <w:spacing w:after="200" w:line="276" w:lineRule="auto"/>
        <w:jc w:val="left"/>
        <w:rPr>
          <w:sz w:val="17"/>
          <w:szCs w:val="17"/>
        </w:rPr>
        <w:sectPr w:rsidR="00D2341A" w:rsidSect="009406F7">
          <w:headerReference w:type="default" r:id="rId16"/>
          <w:footerReference w:type="default" r:id="rId17"/>
          <w:headerReference w:type="first" r:id="rId18"/>
          <w:footerReference w:type="first" r:id="rId19"/>
          <w:pgSz w:w="11907" w:h="16839" w:code="9"/>
          <w:pgMar w:top="2410" w:right="907" w:bottom="1253" w:left="1418" w:header="709" w:footer="129" w:gutter="0"/>
          <w:pgNumType w:start="1"/>
          <w:cols w:space="708"/>
          <w:titlePg/>
          <w:docGrid w:linePitch="360"/>
        </w:sectPr>
      </w:pPr>
    </w:p>
    <w:p w14:paraId="46585D11" w14:textId="44EB8FC4" w:rsidR="0016089A" w:rsidRPr="00DA27B6" w:rsidRDefault="00DA27B6" w:rsidP="00DA27B6">
      <w:pPr>
        <w:pStyle w:val="CEAStandardHeading"/>
        <w:jc w:val="center"/>
        <w:rPr>
          <w:sz w:val="19"/>
          <w:szCs w:val="19"/>
        </w:rPr>
      </w:pPr>
      <w:r w:rsidRPr="00DA27B6">
        <w:rPr>
          <w:sz w:val="19"/>
          <w:szCs w:val="19"/>
        </w:rPr>
        <w:lastRenderedPageBreak/>
        <w:t>ANNEX</w:t>
      </w:r>
    </w:p>
    <w:p w14:paraId="68B4490C" w14:textId="77777777" w:rsidR="007C0D50" w:rsidRPr="00763D6E" w:rsidRDefault="007C0D50" w:rsidP="007C0D50">
      <w:pPr>
        <w:spacing w:line="240" w:lineRule="auto"/>
        <w:jc w:val="right"/>
        <w:rPr>
          <w:sz w:val="17"/>
          <w:szCs w:val="17"/>
        </w:rPr>
      </w:pPr>
    </w:p>
    <w:tbl>
      <w:tblPr>
        <w:tblStyle w:val="Mriekatabuky"/>
        <w:tblW w:w="14595" w:type="dxa"/>
        <w:tblLook w:val="04A0" w:firstRow="1" w:lastRow="0" w:firstColumn="1" w:lastColumn="0" w:noHBand="0" w:noVBand="1"/>
      </w:tblPr>
      <w:tblGrid>
        <w:gridCol w:w="1838"/>
        <w:gridCol w:w="3119"/>
        <w:gridCol w:w="3685"/>
        <w:gridCol w:w="5953"/>
      </w:tblGrid>
      <w:tr w:rsidR="00DE05E2" w14:paraId="22AF3FF4" w14:textId="77777777" w:rsidTr="00940E05">
        <w:tc>
          <w:tcPr>
            <w:tcW w:w="1838" w:type="dxa"/>
          </w:tcPr>
          <w:p w14:paraId="1CDFF83B" w14:textId="6B19204D" w:rsidR="00DE05E2" w:rsidRPr="00940E05" w:rsidRDefault="00DE05E2" w:rsidP="00973CA5">
            <w:pPr>
              <w:spacing w:line="240" w:lineRule="auto"/>
              <w:jc w:val="center"/>
              <w:rPr>
                <w:b/>
                <w:sz w:val="16"/>
                <w:szCs w:val="16"/>
              </w:rPr>
            </w:pPr>
            <w:r w:rsidRPr="00940E05">
              <w:rPr>
                <w:b/>
                <w:sz w:val="16"/>
                <w:szCs w:val="16"/>
              </w:rPr>
              <w:t>Topic</w:t>
            </w:r>
          </w:p>
        </w:tc>
        <w:tc>
          <w:tcPr>
            <w:tcW w:w="3119" w:type="dxa"/>
          </w:tcPr>
          <w:p w14:paraId="57429EB6" w14:textId="4113DDEC" w:rsidR="00DE05E2" w:rsidRPr="00940E05" w:rsidRDefault="00DE05E2" w:rsidP="00973CA5">
            <w:pPr>
              <w:spacing w:line="240" w:lineRule="auto"/>
              <w:jc w:val="center"/>
              <w:rPr>
                <w:b/>
                <w:sz w:val="16"/>
                <w:szCs w:val="16"/>
              </w:rPr>
            </w:pPr>
            <w:r w:rsidRPr="00940E05">
              <w:rPr>
                <w:b/>
                <w:sz w:val="16"/>
                <w:szCs w:val="16"/>
              </w:rPr>
              <w:t>Current I</w:t>
            </w:r>
            <w:r w:rsidR="00617EE2" w:rsidRPr="00940E05">
              <w:rPr>
                <w:b/>
                <w:sz w:val="16"/>
                <w:szCs w:val="16"/>
              </w:rPr>
              <w:t xml:space="preserve">nsurance </w:t>
            </w:r>
            <w:r w:rsidRPr="00940E05">
              <w:rPr>
                <w:b/>
                <w:sz w:val="16"/>
                <w:szCs w:val="16"/>
              </w:rPr>
              <w:t>E</w:t>
            </w:r>
            <w:r w:rsidR="00617EE2" w:rsidRPr="00940E05">
              <w:rPr>
                <w:b/>
                <w:sz w:val="16"/>
                <w:szCs w:val="16"/>
              </w:rPr>
              <w:t>urope</w:t>
            </w:r>
            <w:r w:rsidRPr="00940E05">
              <w:rPr>
                <w:b/>
                <w:sz w:val="16"/>
                <w:szCs w:val="16"/>
              </w:rPr>
              <w:t xml:space="preserve"> views</w:t>
            </w:r>
          </w:p>
        </w:tc>
        <w:tc>
          <w:tcPr>
            <w:tcW w:w="3685" w:type="dxa"/>
          </w:tcPr>
          <w:p w14:paraId="31CF9D8F" w14:textId="6A10C819" w:rsidR="00DE05E2" w:rsidRPr="00940E05" w:rsidRDefault="00DE05E2" w:rsidP="00973CA5">
            <w:pPr>
              <w:spacing w:line="240" w:lineRule="auto"/>
              <w:jc w:val="center"/>
              <w:rPr>
                <w:b/>
                <w:sz w:val="16"/>
                <w:szCs w:val="16"/>
              </w:rPr>
            </w:pPr>
            <w:r w:rsidRPr="00940E05">
              <w:rPr>
                <w:b/>
                <w:sz w:val="16"/>
                <w:szCs w:val="16"/>
              </w:rPr>
              <w:t>Questions</w:t>
            </w:r>
          </w:p>
        </w:tc>
        <w:tc>
          <w:tcPr>
            <w:tcW w:w="5953" w:type="dxa"/>
          </w:tcPr>
          <w:p w14:paraId="04DC50F1" w14:textId="07D53694" w:rsidR="00DE05E2" w:rsidRPr="00940E05" w:rsidRDefault="003E472B" w:rsidP="00973CA5">
            <w:pPr>
              <w:spacing w:line="240" w:lineRule="auto"/>
              <w:jc w:val="center"/>
              <w:rPr>
                <w:b/>
                <w:sz w:val="16"/>
                <w:szCs w:val="16"/>
              </w:rPr>
            </w:pPr>
            <w:r w:rsidRPr="00940E05">
              <w:rPr>
                <w:b/>
                <w:sz w:val="16"/>
                <w:szCs w:val="16"/>
              </w:rPr>
              <w:t>Explanation</w:t>
            </w:r>
          </w:p>
        </w:tc>
      </w:tr>
      <w:tr w:rsidR="00DE05E2" w14:paraId="5C41751E" w14:textId="77777777" w:rsidTr="00940E05">
        <w:tc>
          <w:tcPr>
            <w:tcW w:w="1838" w:type="dxa"/>
          </w:tcPr>
          <w:p w14:paraId="5EB0FC38" w14:textId="0364787C" w:rsidR="00DE05E2" w:rsidRPr="00940E05" w:rsidRDefault="00DE05E2" w:rsidP="0016089A">
            <w:pPr>
              <w:spacing w:line="240" w:lineRule="auto"/>
              <w:jc w:val="left"/>
              <w:rPr>
                <w:sz w:val="16"/>
                <w:szCs w:val="16"/>
              </w:rPr>
            </w:pPr>
            <w:r w:rsidRPr="00940E05">
              <w:rPr>
                <w:sz w:val="16"/>
                <w:szCs w:val="16"/>
              </w:rPr>
              <w:t>EU initiative on IGS</w:t>
            </w:r>
          </w:p>
        </w:tc>
        <w:tc>
          <w:tcPr>
            <w:tcW w:w="3119" w:type="dxa"/>
          </w:tcPr>
          <w:p w14:paraId="4C0B840F" w14:textId="77777777" w:rsidR="00DE05E2" w:rsidRDefault="00A57ADC" w:rsidP="0016089A">
            <w:pPr>
              <w:spacing w:line="240" w:lineRule="auto"/>
              <w:jc w:val="left"/>
              <w:rPr>
                <w:sz w:val="16"/>
                <w:szCs w:val="16"/>
              </w:rPr>
            </w:pPr>
            <w:r w:rsidRPr="00940E05">
              <w:rPr>
                <w:sz w:val="16"/>
                <w:szCs w:val="16"/>
              </w:rPr>
              <w:t>Opposition to</w:t>
            </w:r>
            <w:r w:rsidR="006D3076" w:rsidRPr="00940E05">
              <w:rPr>
                <w:sz w:val="16"/>
                <w:szCs w:val="16"/>
              </w:rPr>
              <w:t xml:space="preserve"> any</w:t>
            </w:r>
            <w:r w:rsidRPr="00940E05">
              <w:rPr>
                <w:sz w:val="16"/>
                <w:szCs w:val="16"/>
              </w:rPr>
              <w:t xml:space="preserve"> harmonisation of IGS at EU level</w:t>
            </w:r>
            <w:r w:rsidR="006D3076" w:rsidRPr="00940E05">
              <w:rPr>
                <w:sz w:val="16"/>
                <w:szCs w:val="16"/>
              </w:rPr>
              <w:t>.</w:t>
            </w:r>
          </w:p>
          <w:p w14:paraId="797B2AE8" w14:textId="77777777" w:rsidR="00C11A61" w:rsidRDefault="00C11A61" w:rsidP="0016089A">
            <w:pPr>
              <w:spacing w:line="240" w:lineRule="auto"/>
              <w:jc w:val="left"/>
              <w:rPr>
                <w:sz w:val="16"/>
                <w:szCs w:val="16"/>
              </w:rPr>
            </w:pPr>
          </w:p>
          <w:p w14:paraId="39784716" w14:textId="77777777" w:rsidR="00C11A61" w:rsidRDefault="00C11A61" w:rsidP="0016089A">
            <w:pPr>
              <w:spacing w:line="240" w:lineRule="auto"/>
              <w:jc w:val="left"/>
              <w:rPr>
                <w:sz w:val="16"/>
                <w:szCs w:val="16"/>
              </w:rPr>
            </w:pPr>
          </w:p>
          <w:p w14:paraId="46C8CF94" w14:textId="052A0E6E" w:rsidR="00C11A61" w:rsidRPr="00940E05" w:rsidRDefault="00C11A61" w:rsidP="0016089A">
            <w:pPr>
              <w:spacing w:line="240" w:lineRule="auto"/>
              <w:jc w:val="left"/>
              <w:rPr>
                <w:sz w:val="16"/>
                <w:szCs w:val="16"/>
              </w:rPr>
            </w:pPr>
          </w:p>
        </w:tc>
        <w:tc>
          <w:tcPr>
            <w:tcW w:w="3685" w:type="dxa"/>
          </w:tcPr>
          <w:p w14:paraId="2014E7AD" w14:textId="77777777" w:rsidR="00DE05E2" w:rsidRPr="00940E05" w:rsidRDefault="00DE05E2" w:rsidP="0016089A">
            <w:pPr>
              <w:spacing w:line="240" w:lineRule="auto"/>
              <w:jc w:val="left"/>
              <w:rPr>
                <w:sz w:val="16"/>
                <w:szCs w:val="16"/>
              </w:rPr>
            </w:pPr>
            <w:r w:rsidRPr="00940E05">
              <w:rPr>
                <w:sz w:val="16"/>
                <w:szCs w:val="16"/>
              </w:rPr>
              <w:t>Do you continue supporting th</w:t>
            </w:r>
            <w:r w:rsidR="006D3076" w:rsidRPr="00940E05">
              <w:rPr>
                <w:sz w:val="16"/>
                <w:szCs w:val="16"/>
              </w:rPr>
              <w:t>is</w:t>
            </w:r>
            <w:r w:rsidRPr="00940E05">
              <w:rPr>
                <w:sz w:val="16"/>
                <w:szCs w:val="16"/>
              </w:rPr>
              <w:t xml:space="preserve"> </w:t>
            </w:r>
            <w:r w:rsidR="006D3076" w:rsidRPr="00940E05">
              <w:rPr>
                <w:sz w:val="16"/>
                <w:szCs w:val="16"/>
              </w:rPr>
              <w:t>position</w:t>
            </w:r>
            <w:r w:rsidRPr="00940E05">
              <w:rPr>
                <w:sz w:val="16"/>
                <w:szCs w:val="16"/>
              </w:rPr>
              <w:t>?</w:t>
            </w:r>
          </w:p>
          <w:p w14:paraId="29D9917F" w14:textId="77777777" w:rsidR="00F30BCB" w:rsidRPr="00940E05" w:rsidRDefault="00F30BCB" w:rsidP="0016089A">
            <w:pPr>
              <w:spacing w:line="240" w:lineRule="auto"/>
              <w:jc w:val="left"/>
              <w:rPr>
                <w:sz w:val="16"/>
                <w:szCs w:val="16"/>
              </w:rPr>
            </w:pPr>
          </w:p>
          <w:p w14:paraId="287DA3E4" w14:textId="77777777" w:rsidR="00F30BCB" w:rsidRDefault="00F30BCB" w:rsidP="0016089A">
            <w:pPr>
              <w:spacing w:line="240" w:lineRule="auto"/>
              <w:jc w:val="left"/>
              <w:rPr>
                <w:sz w:val="16"/>
                <w:szCs w:val="16"/>
              </w:rPr>
            </w:pPr>
          </w:p>
          <w:p w14:paraId="20D03570" w14:textId="0AB04CC4" w:rsidR="00C11A61" w:rsidRPr="00940E05" w:rsidRDefault="00C11A61" w:rsidP="0016089A">
            <w:pPr>
              <w:spacing w:line="240" w:lineRule="auto"/>
              <w:jc w:val="left"/>
              <w:rPr>
                <w:sz w:val="16"/>
                <w:szCs w:val="16"/>
              </w:rPr>
            </w:pPr>
          </w:p>
        </w:tc>
        <w:tc>
          <w:tcPr>
            <w:tcW w:w="5953" w:type="dxa"/>
          </w:tcPr>
          <w:p w14:paraId="6E9EC6E7" w14:textId="21D9942E" w:rsidR="00DE05E2" w:rsidRPr="00940E05" w:rsidRDefault="000F14B7" w:rsidP="0016089A">
            <w:pPr>
              <w:spacing w:line="240" w:lineRule="auto"/>
              <w:jc w:val="left"/>
              <w:rPr>
                <w:sz w:val="16"/>
                <w:szCs w:val="16"/>
              </w:rPr>
            </w:pPr>
            <w:r>
              <w:rPr>
                <w:sz w:val="16"/>
                <w:szCs w:val="16"/>
              </w:rPr>
              <w:t xml:space="preserve">Yes, we are against any </w:t>
            </w:r>
            <w:r w:rsidRPr="00940E05">
              <w:rPr>
                <w:sz w:val="16"/>
                <w:szCs w:val="16"/>
              </w:rPr>
              <w:t>harmonisation of IGS at EU level</w:t>
            </w:r>
            <w:r>
              <w:rPr>
                <w:sz w:val="16"/>
                <w:szCs w:val="16"/>
              </w:rPr>
              <w:t>.</w:t>
            </w:r>
            <w:r w:rsidR="007E0FCD">
              <w:rPr>
                <w:sz w:val="16"/>
                <w:szCs w:val="16"/>
              </w:rPr>
              <w:t xml:space="preserve"> In our opinion, </w:t>
            </w:r>
            <w:r w:rsidR="007E0FCD" w:rsidRPr="007E0FCD">
              <w:rPr>
                <w:sz w:val="16"/>
                <w:szCs w:val="16"/>
              </w:rPr>
              <w:t>Solvency II already provide</w:t>
            </w:r>
            <w:r w:rsidR="007E0FCD">
              <w:rPr>
                <w:sz w:val="16"/>
                <w:szCs w:val="16"/>
              </w:rPr>
              <w:t>s</w:t>
            </w:r>
            <w:r w:rsidR="007E0FCD" w:rsidRPr="007E0FCD">
              <w:rPr>
                <w:sz w:val="16"/>
                <w:szCs w:val="16"/>
              </w:rPr>
              <w:t xml:space="preserve"> </w:t>
            </w:r>
            <w:r w:rsidR="007E0FCD">
              <w:rPr>
                <w:sz w:val="16"/>
                <w:szCs w:val="16"/>
              </w:rPr>
              <w:t>ade</w:t>
            </w:r>
            <w:r w:rsidR="007E0FCD" w:rsidRPr="007E0FCD">
              <w:rPr>
                <w:sz w:val="16"/>
                <w:szCs w:val="16"/>
              </w:rPr>
              <w:t>quate protection to policyholders</w:t>
            </w:r>
            <w:r w:rsidR="007E0FCD">
              <w:rPr>
                <w:sz w:val="16"/>
                <w:szCs w:val="16"/>
              </w:rPr>
              <w:t>.</w:t>
            </w:r>
          </w:p>
        </w:tc>
      </w:tr>
      <w:tr w:rsidR="00DE05E2" w14:paraId="2B532DE8" w14:textId="77777777" w:rsidTr="001D6F41">
        <w:trPr>
          <w:trHeight w:val="5354"/>
        </w:trPr>
        <w:tc>
          <w:tcPr>
            <w:tcW w:w="1838" w:type="dxa"/>
          </w:tcPr>
          <w:p w14:paraId="3835385A" w14:textId="1FF0AFCD" w:rsidR="00DE05E2" w:rsidRPr="00940E05" w:rsidRDefault="00DE05E2" w:rsidP="0016089A">
            <w:pPr>
              <w:spacing w:line="240" w:lineRule="auto"/>
              <w:jc w:val="left"/>
              <w:rPr>
                <w:sz w:val="16"/>
                <w:szCs w:val="16"/>
              </w:rPr>
            </w:pPr>
            <w:r w:rsidRPr="00940E05">
              <w:rPr>
                <w:sz w:val="16"/>
                <w:szCs w:val="16"/>
              </w:rPr>
              <w:t>Geographical scope</w:t>
            </w:r>
          </w:p>
        </w:tc>
        <w:tc>
          <w:tcPr>
            <w:tcW w:w="3119" w:type="dxa"/>
          </w:tcPr>
          <w:p w14:paraId="78C689C9" w14:textId="16F89D5B" w:rsidR="00DE05E2" w:rsidRPr="00940E05" w:rsidRDefault="00DE05E2" w:rsidP="00DE05E2">
            <w:pPr>
              <w:spacing w:line="240" w:lineRule="auto"/>
              <w:jc w:val="left"/>
              <w:rPr>
                <w:sz w:val="16"/>
                <w:szCs w:val="16"/>
              </w:rPr>
            </w:pPr>
            <w:r w:rsidRPr="00940E05">
              <w:rPr>
                <w:sz w:val="16"/>
                <w:szCs w:val="16"/>
              </w:rPr>
              <w:t xml:space="preserve">A home-country principle would be the most favoured option, to ensure consistency with the EU supervisory framework. </w:t>
            </w:r>
          </w:p>
          <w:p w14:paraId="6CBF9DD3" w14:textId="77777777" w:rsidR="00DE05E2" w:rsidRPr="00940E05" w:rsidRDefault="00DE05E2" w:rsidP="00DE05E2">
            <w:pPr>
              <w:spacing w:line="240" w:lineRule="auto"/>
              <w:jc w:val="left"/>
              <w:rPr>
                <w:sz w:val="16"/>
                <w:szCs w:val="16"/>
              </w:rPr>
            </w:pPr>
          </w:p>
        </w:tc>
        <w:tc>
          <w:tcPr>
            <w:tcW w:w="3685" w:type="dxa"/>
          </w:tcPr>
          <w:p w14:paraId="04D979F3" w14:textId="3196A566" w:rsidR="00DE05E2" w:rsidRPr="00940E05" w:rsidRDefault="006D3076" w:rsidP="0016089A">
            <w:pPr>
              <w:spacing w:line="240" w:lineRule="auto"/>
              <w:jc w:val="left"/>
              <w:rPr>
                <w:sz w:val="16"/>
                <w:szCs w:val="16"/>
              </w:rPr>
            </w:pPr>
            <w:r w:rsidRPr="00940E05">
              <w:rPr>
                <w:sz w:val="16"/>
                <w:szCs w:val="16"/>
              </w:rPr>
              <w:t>Under minimum harmonisation, would</w:t>
            </w:r>
            <w:r w:rsidR="00DE05E2" w:rsidRPr="00940E05">
              <w:rPr>
                <w:sz w:val="16"/>
                <w:szCs w:val="16"/>
              </w:rPr>
              <w:t xml:space="preserve"> you support</w:t>
            </w:r>
            <w:r w:rsidRPr="00940E05">
              <w:rPr>
                <w:sz w:val="16"/>
                <w:szCs w:val="16"/>
              </w:rPr>
              <w:t xml:space="preserve"> the</w:t>
            </w:r>
            <w:r w:rsidR="00DE05E2" w:rsidRPr="00940E05">
              <w:rPr>
                <w:sz w:val="16"/>
                <w:szCs w:val="16"/>
              </w:rPr>
              <w:t xml:space="preserve"> home</w:t>
            </w:r>
            <w:r w:rsidRPr="00940E05">
              <w:rPr>
                <w:sz w:val="16"/>
                <w:szCs w:val="16"/>
              </w:rPr>
              <w:t>-country</w:t>
            </w:r>
            <w:r w:rsidR="00DE05E2" w:rsidRPr="00940E05">
              <w:rPr>
                <w:sz w:val="16"/>
                <w:szCs w:val="16"/>
              </w:rPr>
              <w:t xml:space="preserve"> approach?</w:t>
            </w:r>
          </w:p>
          <w:p w14:paraId="7B54055B" w14:textId="77777777" w:rsidR="00F30BCB" w:rsidRPr="00940E05" w:rsidRDefault="00F30BCB" w:rsidP="0016089A">
            <w:pPr>
              <w:spacing w:line="240" w:lineRule="auto"/>
              <w:jc w:val="left"/>
              <w:rPr>
                <w:sz w:val="16"/>
                <w:szCs w:val="16"/>
              </w:rPr>
            </w:pPr>
          </w:p>
          <w:p w14:paraId="6A73E914" w14:textId="77777777" w:rsidR="00DE05E2" w:rsidRPr="00940E05" w:rsidRDefault="00DE05E2" w:rsidP="0016089A">
            <w:pPr>
              <w:spacing w:line="240" w:lineRule="auto"/>
              <w:jc w:val="left"/>
              <w:rPr>
                <w:sz w:val="16"/>
                <w:szCs w:val="16"/>
              </w:rPr>
            </w:pPr>
          </w:p>
          <w:p w14:paraId="5A29F438" w14:textId="4D360579" w:rsidR="00DE05E2" w:rsidRPr="00940E05" w:rsidRDefault="00DE05E2" w:rsidP="0016089A">
            <w:pPr>
              <w:spacing w:line="240" w:lineRule="auto"/>
              <w:jc w:val="left"/>
              <w:rPr>
                <w:sz w:val="16"/>
                <w:szCs w:val="16"/>
              </w:rPr>
            </w:pPr>
            <w:r w:rsidRPr="00940E05">
              <w:rPr>
                <w:sz w:val="16"/>
                <w:szCs w:val="16"/>
              </w:rPr>
              <w:t>Alternatively, would you be in favour of a home-country principle in a mix with the host-country principle?</w:t>
            </w:r>
          </w:p>
          <w:p w14:paraId="7C325292" w14:textId="77777777" w:rsidR="00F30BCB" w:rsidRPr="00940E05" w:rsidRDefault="00F30BCB" w:rsidP="0016089A">
            <w:pPr>
              <w:spacing w:line="240" w:lineRule="auto"/>
              <w:jc w:val="left"/>
              <w:rPr>
                <w:sz w:val="16"/>
                <w:szCs w:val="16"/>
              </w:rPr>
            </w:pPr>
          </w:p>
          <w:p w14:paraId="3923DB68" w14:textId="77777777" w:rsidR="00F30BCB" w:rsidRDefault="00F30BCB" w:rsidP="0016089A">
            <w:pPr>
              <w:spacing w:line="240" w:lineRule="auto"/>
              <w:jc w:val="left"/>
              <w:rPr>
                <w:sz w:val="16"/>
                <w:szCs w:val="16"/>
              </w:rPr>
            </w:pPr>
          </w:p>
          <w:p w14:paraId="0E168C49" w14:textId="564BE883" w:rsidR="00C11A61" w:rsidRPr="00940E05" w:rsidRDefault="00C11A61" w:rsidP="0016089A">
            <w:pPr>
              <w:spacing w:line="240" w:lineRule="auto"/>
              <w:jc w:val="left"/>
              <w:rPr>
                <w:sz w:val="16"/>
                <w:szCs w:val="16"/>
              </w:rPr>
            </w:pPr>
          </w:p>
        </w:tc>
        <w:tc>
          <w:tcPr>
            <w:tcW w:w="5953" w:type="dxa"/>
          </w:tcPr>
          <w:p w14:paraId="66DD8163" w14:textId="66F01CA1" w:rsidR="007E0FCD" w:rsidRPr="007E0FCD" w:rsidRDefault="007A35F5" w:rsidP="007E0FCD">
            <w:pPr>
              <w:spacing w:line="240" w:lineRule="auto"/>
              <w:jc w:val="left"/>
              <w:rPr>
                <w:color w:val="000000" w:themeColor="text1"/>
                <w:sz w:val="16"/>
                <w:szCs w:val="16"/>
              </w:rPr>
            </w:pPr>
            <w:r>
              <w:rPr>
                <w:color w:val="000000" w:themeColor="text1"/>
                <w:sz w:val="16"/>
                <w:szCs w:val="16"/>
              </w:rPr>
              <w:t xml:space="preserve">We agree with the </w:t>
            </w:r>
            <w:r w:rsidRPr="00940E05">
              <w:rPr>
                <w:sz w:val="16"/>
                <w:szCs w:val="16"/>
              </w:rPr>
              <w:t>home-country approach</w:t>
            </w:r>
            <w:r>
              <w:rPr>
                <w:sz w:val="16"/>
                <w:szCs w:val="16"/>
              </w:rPr>
              <w:t>.</w:t>
            </w:r>
            <w:bookmarkStart w:id="0" w:name="_GoBack"/>
            <w:bookmarkEnd w:id="0"/>
          </w:p>
          <w:p w14:paraId="5AB9A17C" w14:textId="77777777" w:rsidR="007E0FCD" w:rsidRDefault="007E0FCD" w:rsidP="007E0FCD">
            <w:pPr>
              <w:spacing w:line="240" w:lineRule="auto"/>
              <w:jc w:val="left"/>
              <w:rPr>
                <w:color w:val="FF0000"/>
                <w:sz w:val="16"/>
                <w:szCs w:val="16"/>
              </w:rPr>
            </w:pPr>
          </w:p>
          <w:p w14:paraId="12107DE7" w14:textId="724CDA13" w:rsidR="00DE05E2" w:rsidRPr="00940E05" w:rsidRDefault="00DE05E2" w:rsidP="007A35F5">
            <w:pPr>
              <w:spacing w:line="240" w:lineRule="auto"/>
              <w:jc w:val="left"/>
              <w:rPr>
                <w:sz w:val="16"/>
                <w:szCs w:val="16"/>
              </w:rPr>
            </w:pPr>
          </w:p>
        </w:tc>
      </w:tr>
      <w:tr w:rsidR="00DE05E2" w14:paraId="6DB11B67" w14:textId="77777777" w:rsidTr="00940E05">
        <w:tc>
          <w:tcPr>
            <w:tcW w:w="1838" w:type="dxa"/>
          </w:tcPr>
          <w:p w14:paraId="3114D88D" w14:textId="4618E7B6" w:rsidR="00DE05E2" w:rsidRPr="00940E05" w:rsidRDefault="00A57ADC" w:rsidP="0016089A">
            <w:pPr>
              <w:spacing w:line="240" w:lineRule="auto"/>
              <w:jc w:val="left"/>
              <w:rPr>
                <w:sz w:val="16"/>
                <w:szCs w:val="16"/>
              </w:rPr>
            </w:pPr>
            <w:r w:rsidRPr="00940E05">
              <w:rPr>
                <w:sz w:val="16"/>
                <w:szCs w:val="16"/>
              </w:rPr>
              <w:t>Products under scope</w:t>
            </w:r>
          </w:p>
        </w:tc>
        <w:tc>
          <w:tcPr>
            <w:tcW w:w="3119" w:type="dxa"/>
          </w:tcPr>
          <w:p w14:paraId="377128D1" w14:textId="77777777" w:rsidR="00A57ADC" w:rsidRPr="00940E05" w:rsidRDefault="00A57ADC" w:rsidP="00A57ADC">
            <w:pPr>
              <w:spacing w:line="240" w:lineRule="auto"/>
              <w:jc w:val="left"/>
              <w:rPr>
                <w:sz w:val="16"/>
                <w:szCs w:val="16"/>
              </w:rPr>
            </w:pPr>
            <w:r w:rsidRPr="00940E05">
              <w:rPr>
                <w:sz w:val="16"/>
                <w:szCs w:val="16"/>
              </w:rPr>
              <w:t xml:space="preserve">Only life insurance policies - which typically involve larger amounts and longer-term commitments with insurers - should be under the scope. </w:t>
            </w:r>
          </w:p>
          <w:p w14:paraId="0281A77E" w14:textId="77777777" w:rsidR="00DE05E2" w:rsidRDefault="00DE05E2" w:rsidP="0016089A">
            <w:pPr>
              <w:spacing w:line="240" w:lineRule="auto"/>
              <w:jc w:val="left"/>
              <w:rPr>
                <w:sz w:val="16"/>
                <w:szCs w:val="16"/>
              </w:rPr>
            </w:pPr>
          </w:p>
          <w:p w14:paraId="5EBA1682" w14:textId="77777777" w:rsidR="00C11A61" w:rsidRDefault="00C11A61" w:rsidP="0016089A">
            <w:pPr>
              <w:spacing w:line="240" w:lineRule="auto"/>
              <w:jc w:val="left"/>
              <w:rPr>
                <w:sz w:val="16"/>
                <w:szCs w:val="16"/>
              </w:rPr>
            </w:pPr>
          </w:p>
          <w:p w14:paraId="07C466B4" w14:textId="7E7EBA32" w:rsidR="00C11A61" w:rsidRPr="00940E05" w:rsidRDefault="00C11A61" w:rsidP="0016089A">
            <w:pPr>
              <w:spacing w:line="240" w:lineRule="auto"/>
              <w:jc w:val="left"/>
              <w:rPr>
                <w:sz w:val="16"/>
                <w:szCs w:val="16"/>
              </w:rPr>
            </w:pPr>
          </w:p>
        </w:tc>
        <w:tc>
          <w:tcPr>
            <w:tcW w:w="3685" w:type="dxa"/>
          </w:tcPr>
          <w:p w14:paraId="6FFF3F6C" w14:textId="20CA5EC6" w:rsidR="00DE05E2" w:rsidRPr="00940E05" w:rsidRDefault="00A57ADC" w:rsidP="0016089A">
            <w:pPr>
              <w:spacing w:line="240" w:lineRule="auto"/>
              <w:jc w:val="left"/>
              <w:rPr>
                <w:sz w:val="16"/>
                <w:szCs w:val="16"/>
              </w:rPr>
            </w:pPr>
            <w:r w:rsidRPr="00940E05">
              <w:rPr>
                <w:sz w:val="16"/>
                <w:szCs w:val="16"/>
              </w:rPr>
              <w:t>In case of minimum harmonisation, would you be in favour of extending the scope beyond life insurance/modify</w:t>
            </w:r>
            <w:r w:rsidR="00C11A61">
              <w:rPr>
                <w:sz w:val="16"/>
                <w:szCs w:val="16"/>
              </w:rPr>
              <w:t>i</w:t>
            </w:r>
            <w:r w:rsidRPr="00940E05">
              <w:rPr>
                <w:sz w:val="16"/>
                <w:szCs w:val="16"/>
              </w:rPr>
              <w:t>ng the scope?</w:t>
            </w:r>
          </w:p>
          <w:p w14:paraId="049038CD" w14:textId="77777777" w:rsidR="00F30BCB" w:rsidRPr="00940E05" w:rsidRDefault="00F30BCB" w:rsidP="0016089A">
            <w:pPr>
              <w:spacing w:line="240" w:lineRule="auto"/>
              <w:jc w:val="left"/>
              <w:rPr>
                <w:sz w:val="16"/>
                <w:szCs w:val="16"/>
              </w:rPr>
            </w:pPr>
          </w:p>
          <w:p w14:paraId="14A4B3D3" w14:textId="0FE5F90E" w:rsidR="00F30BCB" w:rsidRPr="00940E05" w:rsidRDefault="00F30BCB" w:rsidP="0016089A">
            <w:pPr>
              <w:spacing w:line="240" w:lineRule="auto"/>
              <w:jc w:val="left"/>
              <w:rPr>
                <w:sz w:val="16"/>
                <w:szCs w:val="16"/>
              </w:rPr>
            </w:pPr>
          </w:p>
        </w:tc>
        <w:tc>
          <w:tcPr>
            <w:tcW w:w="5953" w:type="dxa"/>
          </w:tcPr>
          <w:p w14:paraId="0D93747B" w14:textId="12CAA538" w:rsidR="00DE05E2" w:rsidRPr="00940E05" w:rsidRDefault="001D6F41" w:rsidP="0016089A">
            <w:pPr>
              <w:spacing w:line="240" w:lineRule="auto"/>
              <w:jc w:val="left"/>
              <w:rPr>
                <w:sz w:val="16"/>
                <w:szCs w:val="16"/>
              </w:rPr>
            </w:pPr>
            <w:r>
              <w:rPr>
                <w:sz w:val="16"/>
                <w:szCs w:val="16"/>
              </w:rPr>
              <w:t xml:space="preserve">In our opinion, </w:t>
            </w:r>
            <w:r w:rsidRPr="007E0FCD">
              <w:rPr>
                <w:sz w:val="16"/>
                <w:szCs w:val="16"/>
              </w:rPr>
              <w:t>Solvency II already provide</w:t>
            </w:r>
            <w:r>
              <w:rPr>
                <w:sz w:val="16"/>
                <w:szCs w:val="16"/>
              </w:rPr>
              <w:t>s</w:t>
            </w:r>
            <w:r w:rsidRPr="007E0FCD">
              <w:rPr>
                <w:sz w:val="16"/>
                <w:szCs w:val="16"/>
              </w:rPr>
              <w:t xml:space="preserve"> </w:t>
            </w:r>
            <w:r>
              <w:rPr>
                <w:sz w:val="16"/>
                <w:szCs w:val="16"/>
              </w:rPr>
              <w:t>ade</w:t>
            </w:r>
            <w:r w:rsidRPr="007E0FCD">
              <w:rPr>
                <w:sz w:val="16"/>
                <w:szCs w:val="16"/>
              </w:rPr>
              <w:t>quate protection to policyholders</w:t>
            </w:r>
            <w:r>
              <w:rPr>
                <w:sz w:val="16"/>
                <w:szCs w:val="16"/>
              </w:rPr>
              <w:t xml:space="preserve"> also in life insurance policies. The scope of IGS should be as small as is possible.</w:t>
            </w:r>
          </w:p>
        </w:tc>
      </w:tr>
      <w:tr w:rsidR="00DE05E2" w14:paraId="5966F345" w14:textId="77777777" w:rsidTr="00940E05">
        <w:tc>
          <w:tcPr>
            <w:tcW w:w="1838" w:type="dxa"/>
          </w:tcPr>
          <w:p w14:paraId="3E752B10" w14:textId="10DDEB37" w:rsidR="00DE05E2" w:rsidRPr="00940E05" w:rsidRDefault="003E472B" w:rsidP="0016089A">
            <w:pPr>
              <w:spacing w:line="240" w:lineRule="auto"/>
              <w:jc w:val="left"/>
              <w:rPr>
                <w:sz w:val="16"/>
                <w:szCs w:val="16"/>
              </w:rPr>
            </w:pPr>
            <w:r w:rsidRPr="00940E05">
              <w:rPr>
                <w:sz w:val="16"/>
                <w:szCs w:val="16"/>
              </w:rPr>
              <w:t>Policyholders covered</w:t>
            </w:r>
          </w:p>
        </w:tc>
        <w:tc>
          <w:tcPr>
            <w:tcW w:w="3119" w:type="dxa"/>
          </w:tcPr>
          <w:p w14:paraId="2C955E3F" w14:textId="77777777" w:rsidR="003E472B" w:rsidRPr="00940E05" w:rsidRDefault="003E472B" w:rsidP="003E472B">
            <w:pPr>
              <w:spacing w:line="240" w:lineRule="auto"/>
              <w:jc w:val="left"/>
              <w:rPr>
                <w:sz w:val="16"/>
                <w:szCs w:val="16"/>
              </w:rPr>
            </w:pPr>
            <w:r w:rsidRPr="00940E05">
              <w:rPr>
                <w:sz w:val="16"/>
                <w:szCs w:val="16"/>
              </w:rPr>
              <w:t xml:space="preserve">IGS should cover consumers (natural persons) only and it should be at the discretion of member </w:t>
            </w:r>
            <w:r w:rsidRPr="00940E05">
              <w:rPr>
                <w:sz w:val="16"/>
                <w:szCs w:val="16"/>
              </w:rPr>
              <w:lastRenderedPageBreak/>
              <w:t xml:space="preserve">states to decide whether a wider scope is justified. </w:t>
            </w:r>
          </w:p>
          <w:p w14:paraId="548DE82B" w14:textId="6ECB17F3" w:rsidR="00DE05E2" w:rsidRDefault="00DE05E2" w:rsidP="0016089A">
            <w:pPr>
              <w:spacing w:line="240" w:lineRule="auto"/>
              <w:jc w:val="left"/>
              <w:rPr>
                <w:sz w:val="16"/>
                <w:szCs w:val="16"/>
              </w:rPr>
            </w:pPr>
          </w:p>
          <w:p w14:paraId="0062C9FB" w14:textId="77777777" w:rsidR="00C11A61" w:rsidRDefault="00C11A61" w:rsidP="0016089A">
            <w:pPr>
              <w:spacing w:line="240" w:lineRule="auto"/>
              <w:jc w:val="left"/>
              <w:rPr>
                <w:sz w:val="16"/>
                <w:szCs w:val="16"/>
              </w:rPr>
            </w:pPr>
          </w:p>
          <w:p w14:paraId="3001ED57" w14:textId="77F6DD1F" w:rsidR="00C11A61" w:rsidRPr="00940E05" w:rsidRDefault="00C11A61" w:rsidP="0016089A">
            <w:pPr>
              <w:spacing w:line="240" w:lineRule="auto"/>
              <w:jc w:val="left"/>
              <w:rPr>
                <w:sz w:val="16"/>
                <w:szCs w:val="16"/>
              </w:rPr>
            </w:pPr>
          </w:p>
        </w:tc>
        <w:tc>
          <w:tcPr>
            <w:tcW w:w="3685" w:type="dxa"/>
          </w:tcPr>
          <w:p w14:paraId="56F85716" w14:textId="77777777" w:rsidR="00DE05E2" w:rsidRPr="00940E05" w:rsidRDefault="003E472B" w:rsidP="0016089A">
            <w:pPr>
              <w:spacing w:line="240" w:lineRule="auto"/>
              <w:jc w:val="left"/>
              <w:rPr>
                <w:sz w:val="16"/>
                <w:szCs w:val="16"/>
              </w:rPr>
            </w:pPr>
            <w:r w:rsidRPr="00940E05">
              <w:rPr>
                <w:sz w:val="16"/>
                <w:szCs w:val="16"/>
              </w:rPr>
              <w:lastRenderedPageBreak/>
              <w:t xml:space="preserve">In case of minimum harmonisation, would you be in favour of modifying this scope? </w:t>
            </w:r>
          </w:p>
          <w:p w14:paraId="1CB079A5" w14:textId="77777777" w:rsidR="00F30BCB" w:rsidRPr="00940E05" w:rsidRDefault="00F30BCB" w:rsidP="0016089A">
            <w:pPr>
              <w:spacing w:line="240" w:lineRule="auto"/>
              <w:jc w:val="left"/>
              <w:rPr>
                <w:sz w:val="16"/>
                <w:szCs w:val="16"/>
              </w:rPr>
            </w:pPr>
          </w:p>
          <w:p w14:paraId="54FAE4FE" w14:textId="47D6F637" w:rsidR="00F30BCB" w:rsidRPr="00940E05" w:rsidRDefault="00F30BCB" w:rsidP="0016089A">
            <w:pPr>
              <w:spacing w:line="240" w:lineRule="auto"/>
              <w:jc w:val="left"/>
              <w:rPr>
                <w:sz w:val="16"/>
                <w:szCs w:val="16"/>
              </w:rPr>
            </w:pPr>
          </w:p>
        </w:tc>
        <w:tc>
          <w:tcPr>
            <w:tcW w:w="5953" w:type="dxa"/>
          </w:tcPr>
          <w:p w14:paraId="382FBB91" w14:textId="033119C2" w:rsidR="00DE05E2" w:rsidRPr="00940E05" w:rsidRDefault="001D6F41" w:rsidP="0016089A">
            <w:pPr>
              <w:spacing w:line="240" w:lineRule="auto"/>
              <w:jc w:val="left"/>
              <w:rPr>
                <w:sz w:val="16"/>
                <w:szCs w:val="16"/>
              </w:rPr>
            </w:pPr>
            <w:r>
              <w:rPr>
                <w:sz w:val="16"/>
                <w:szCs w:val="16"/>
              </w:rPr>
              <w:lastRenderedPageBreak/>
              <w:t>We agree.</w:t>
            </w:r>
          </w:p>
        </w:tc>
      </w:tr>
      <w:tr w:rsidR="00DE05E2" w14:paraId="174059C8" w14:textId="77777777" w:rsidTr="00940E05">
        <w:tc>
          <w:tcPr>
            <w:tcW w:w="1838" w:type="dxa"/>
          </w:tcPr>
          <w:p w14:paraId="5D8F94FA" w14:textId="4BD4D3C1" w:rsidR="00DE05E2" w:rsidRPr="00940E05" w:rsidRDefault="00C11A61" w:rsidP="0016089A">
            <w:pPr>
              <w:spacing w:line="240" w:lineRule="auto"/>
              <w:jc w:val="left"/>
              <w:rPr>
                <w:sz w:val="16"/>
                <w:szCs w:val="16"/>
              </w:rPr>
            </w:pPr>
            <w:r>
              <w:rPr>
                <w:sz w:val="16"/>
                <w:szCs w:val="16"/>
              </w:rPr>
              <w:t>F</w:t>
            </w:r>
            <w:r w:rsidR="003E472B" w:rsidRPr="00940E05">
              <w:rPr>
                <w:sz w:val="16"/>
                <w:szCs w:val="16"/>
              </w:rPr>
              <w:t>unding</w:t>
            </w:r>
          </w:p>
        </w:tc>
        <w:tc>
          <w:tcPr>
            <w:tcW w:w="3119" w:type="dxa"/>
          </w:tcPr>
          <w:p w14:paraId="5B7667C3" w14:textId="77777777" w:rsidR="003E472B" w:rsidRPr="00940E05" w:rsidRDefault="003E472B" w:rsidP="003E472B">
            <w:pPr>
              <w:spacing w:line="240" w:lineRule="auto"/>
              <w:jc w:val="left"/>
              <w:rPr>
                <w:sz w:val="16"/>
                <w:szCs w:val="16"/>
              </w:rPr>
            </w:pPr>
            <w:r w:rsidRPr="00940E05">
              <w:rPr>
                <w:sz w:val="16"/>
                <w:szCs w:val="16"/>
              </w:rPr>
              <w:t xml:space="preserve">Decisions relating to IGS funding should be left to member states’ consideration, in consultation with local stakeholders. </w:t>
            </w:r>
          </w:p>
          <w:p w14:paraId="68531EC6" w14:textId="77777777" w:rsidR="00DE05E2" w:rsidRPr="00940E05" w:rsidRDefault="00DE05E2" w:rsidP="0016089A">
            <w:pPr>
              <w:spacing w:line="240" w:lineRule="auto"/>
              <w:jc w:val="left"/>
              <w:rPr>
                <w:sz w:val="16"/>
                <w:szCs w:val="16"/>
              </w:rPr>
            </w:pPr>
          </w:p>
        </w:tc>
        <w:tc>
          <w:tcPr>
            <w:tcW w:w="3685" w:type="dxa"/>
          </w:tcPr>
          <w:p w14:paraId="5F8D297F" w14:textId="75D925FC" w:rsidR="003E472B" w:rsidRPr="00940E05" w:rsidRDefault="003E472B" w:rsidP="003E472B">
            <w:pPr>
              <w:spacing w:line="240" w:lineRule="auto"/>
              <w:jc w:val="left"/>
              <w:rPr>
                <w:sz w:val="16"/>
                <w:szCs w:val="16"/>
              </w:rPr>
            </w:pPr>
            <w:r w:rsidRPr="00940E05">
              <w:rPr>
                <w:sz w:val="16"/>
                <w:szCs w:val="16"/>
              </w:rPr>
              <w:t>In the context of minimum harmonisation, what is your view on IGS funding? Would you agree with ex-post or ex-ante contributions</w:t>
            </w:r>
            <w:r w:rsidR="00C11A61">
              <w:rPr>
                <w:sz w:val="16"/>
                <w:szCs w:val="16"/>
              </w:rPr>
              <w:t xml:space="preserve"> or a combination of both</w:t>
            </w:r>
            <w:r w:rsidRPr="00940E05">
              <w:rPr>
                <w:sz w:val="16"/>
                <w:szCs w:val="16"/>
              </w:rPr>
              <w:t xml:space="preserve">?    </w:t>
            </w:r>
          </w:p>
          <w:p w14:paraId="1AF1D543" w14:textId="77777777" w:rsidR="00F30BCB" w:rsidRPr="00940E05" w:rsidRDefault="00F30BCB" w:rsidP="003E472B">
            <w:pPr>
              <w:spacing w:line="240" w:lineRule="auto"/>
              <w:jc w:val="left"/>
              <w:rPr>
                <w:sz w:val="16"/>
                <w:szCs w:val="16"/>
              </w:rPr>
            </w:pPr>
          </w:p>
          <w:p w14:paraId="69D50CA3" w14:textId="77777777" w:rsidR="00DE05E2" w:rsidRDefault="00DE05E2" w:rsidP="0016089A">
            <w:pPr>
              <w:spacing w:line="240" w:lineRule="auto"/>
              <w:jc w:val="left"/>
              <w:rPr>
                <w:sz w:val="16"/>
                <w:szCs w:val="16"/>
              </w:rPr>
            </w:pPr>
          </w:p>
          <w:p w14:paraId="57D0779B" w14:textId="3672B6A1" w:rsidR="00C11A61" w:rsidRPr="00940E05" w:rsidRDefault="00C11A61" w:rsidP="0016089A">
            <w:pPr>
              <w:spacing w:line="240" w:lineRule="auto"/>
              <w:jc w:val="left"/>
              <w:rPr>
                <w:sz w:val="16"/>
                <w:szCs w:val="16"/>
              </w:rPr>
            </w:pPr>
          </w:p>
        </w:tc>
        <w:tc>
          <w:tcPr>
            <w:tcW w:w="5953" w:type="dxa"/>
          </w:tcPr>
          <w:p w14:paraId="738961CD" w14:textId="38FCB2F4" w:rsidR="00DE05E2" w:rsidRPr="00940E05" w:rsidRDefault="00CF772A" w:rsidP="0016089A">
            <w:pPr>
              <w:spacing w:line="240" w:lineRule="auto"/>
              <w:jc w:val="left"/>
              <w:rPr>
                <w:sz w:val="16"/>
                <w:szCs w:val="16"/>
              </w:rPr>
            </w:pPr>
            <w:r>
              <w:rPr>
                <w:sz w:val="16"/>
                <w:szCs w:val="16"/>
              </w:rPr>
              <w:t>We prefer ex-post funding.</w:t>
            </w:r>
          </w:p>
        </w:tc>
      </w:tr>
    </w:tbl>
    <w:p w14:paraId="4CDA61B1" w14:textId="77777777" w:rsidR="009406F7" w:rsidRDefault="009406F7" w:rsidP="0016089A">
      <w:pPr>
        <w:spacing w:line="240" w:lineRule="auto"/>
        <w:jc w:val="left"/>
        <w:rPr>
          <w:sz w:val="17"/>
          <w:szCs w:val="17"/>
        </w:rPr>
      </w:pPr>
    </w:p>
    <w:sectPr w:rsidR="009406F7" w:rsidSect="00940E05">
      <w:headerReference w:type="first" r:id="rId20"/>
      <w:footerReference w:type="first" r:id="rId21"/>
      <w:pgSz w:w="16839" w:h="11907" w:orient="landscape" w:code="9"/>
      <w:pgMar w:top="1418" w:right="2410" w:bottom="907" w:left="1253" w:header="709" w:footer="12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65854" w14:textId="77777777" w:rsidR="00813F7F" w:rsidRDefault="00813F7F" w:rsidP="0016089A">
      <w:pPr>
        <w:spacing w:line="240" w:lineRule="auto"/>
      </w:pPr>
      <w:r>
        <w:separator/>
      </w:r>
    </w:p>
  </w:endnote>
  <w:endnote w:type="continuationSeparator" w:id="0">
    <w:p w14:paraId="19DF664E" w14:textId="77777777" w:rsidR="00813F7F" w:rsidRDefault="00813F7F" w:rsidP="0016089A">
      <w:pPr>
        <w:spacing w:line="240" w:lineRule="auto"/>
      </w:pPr>
      <w:r>
        <w:continuationSeparator/>
      </w:r>
    </w:p>
  </w:endnote>
  <w:endnote w:type="continuationNotice" w:id="1">
    <w:p w14:paraId="6D322A6B" w14:textId="77777777" w:rsidR="00813F7F" w:rsidRDefault="00813F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53738" w14:textId="77777777" w:rsidR="00CB79AB" w:rsidRPr="009406F7" w:rsidRDefault="00CB79AB" w:rsidP="009406F7">
    <w:pPr>
      <w:framePr w:w="708" w:h="391" w:hRule="exact" w:hSpace="181" w:wrap="around" w:vAnchor="page" w:hAnchor="page" w:x="10320" w:y="16111" w:anchorLock="1"/>
      <w:jc w:val="right"/>
      <w:rPr>
        <w:rFonts w:cs="Tahoma"/>
        <w:color w:val="002957"/>
        <w:sz w:val="18"/>
        <w:szCs w:val="18"/>
      </w:rPr>
    </w:pPr>
    <w:r w:rsidRPr="009406F7">
      <w:rPr>
        <w:rFonts w:cs="Tahoma"/>
        <w:color w:val="002957"/>
        <w:sz w:val="18"/>
        <w:szCs w:val="18"/>
      </w:rPr>
      <w:fldChar w:fldCharType="begin"/>
    </w:r>
    <w:r w:rsidRPr="009406F7">
      <w:rPr>
        <w:rFonts w:cs="Tahoma"/>
        <w:color w:val="002957"/>
        <w:sz w:val="18"/>
        <w:szCs w:val="18"/>
      </w:rPr>
      <w:instrText xml:space="preserve"> PAGE   \* MERGEFORMAT </w:instrText>
    </w:r>
    <w:r w:rsidRPr="009406F7">
      <w:rPr>
        <w:rFonts w:cs="Tahoma"/>
        <w:color w:val="002957"/>
        <w:sz w:val="18"/>
        <w:szCs w:val="18"/>
      </w:rPr>
      <w:fldChar w:fldCharType="separate"/>
    </w:r>
    <w:r w:rsidR="007A35F5">
      <w:rPr>
        <w:rFonts w:cs="Tahoma"/>
        <w:noProof/>
        <w:color w:val="002957"/>
        <w:sz w:val="18"/>
        <w:szCs w:val="18"/>
      </w:rPr>
      <w:t>2</w:t>
    </w:r>
    <w:r w:rsidRPr="009406F7">
      <w:rPr>
        <w:rFonts w:cs="Tahoma"/>
        <w:noProof/>
        <w:color w:val="002957"/>
        <w:sz w:val="18"/>
        <w:szCs w:val="18"/>
      </w:rPr>
      <w:fldChar w:fldCharType="end"/>
    </w:r>
  </w:p>
  <w:p w14:paraId="6094240D" w14:textId="77777777" w:rsidR="00CB79AB" w:rsidRPr="0089179F" w:rsidRDefault="00CB79AB" w:rsidP="00CB79AB">
    <w:pPr>
      <w:tabs>
        <w:tab w:val="right" w:pos="10260"/>
      </w:tabs>
      <w:autoSpaceDE w:val="0"/>
      <w:autoSpaceDN w:val="0"/>
      <w:adjustRightInd w:val="0"/>
      <w:ind w:right="23"/>
      <w:jc w:val="right"/>
      <w:textAlignment w:val="center"/>
      <w:rPr>
        <w:color w:val="00008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37BC6" w14:textId="77777777" w:rsidR="00CB79AB" w:rsidRPr="00CF35FD" w:rsidRDefault="00CB79AB" w:rsidP="00CB79AB">
    <w:pPr>
      <w:framePr w:w="3958" w:h="981" w:hRule="exact" w:hSpace="181" w:wrap="around" w:vAnchor="page" w:hAnchor="page" w:x="7259" w:y="15418" w:anchorLock="1"/>
      <w:rPr>
        <w:rFonts w:cs="Tahoma"/>
        <w:color w:val="002957"/>
        <w:sz w:val="14"/>
        <w:szCs w:val="14"/>
      </w:rPr>
    </w:pPr>
    <w:r w:rsidRPr="00CF35FD">
      <w:rPr>
        <w:rFonts w:cs="Tahoma"/>
        <w:color w:val="002957"/>
        <w:sz w:val="14"/>
        <w:szCs w:val="14"/>
      </w:rPr>
      <w:t xml:space="preserve">© </w:t>
    </w:r>
    <w:r w:rsidRPr="00CF35FD">
      <w:rPr>
        <w:color w:val="002957"/>
        <w:sz w:val="14"/>
        <w:szCs w:val="14"/>
        <w:lang w:val="en-US"/>
      </w:rPr>
      <w:t>Reproduction in whole or in part of the content of this document and the communication thereof are made with the consent of Insurance Europe, must be clearly attributed to Insurance Europe and must include the date of the Insurance Europe document.</w:t>
    </w:r>
  </w:p>
  <w:p w14:paraId="16501C6B" w14:textId="77777777" w:rsidR="00CB79AB" w:rsidRPr="00CF35FD" w:rsidRDefault="00CB79AB" w:rsidP="00CB79AB">
    <w:pPr>
      <w:framePr w:w="3958" w:h="981" w:hRule="exact" w:hSpace="181" w:wrap="around" w:vAnchor="page" w:hAnchor="page" w:x="7259" w:y="15418" w:anchorLock="1"/>
      <w:jc w:val="left"/>
      <w:rPr>
        <w:rFonts w:cs="Tahoma"/>
        <w:b/>
        <w:color w:val="002957"/>
        <w:sz w:val="16"/>
        <w:szCs w:val="16"/>
      </w:rPr>
    </w:pPr>
  </w:p>
  <w:p w14:paraId="1A5F0546" w14:textId="52E9C6CB" w:rsidR="00CB79AB" w:rsidRPr="002803C0" w:rsidRDefault="00A46F81" w:rsidP="00FC1F52">
    <w:pPr>
      <w:pStyle w:val="CEAFooterauthorinfo"/>
      <w:ind w:left="708" w:hanging="708"/>
      <w:rPr>
        <w:b w:val="0"/>
        <w:color w:val="002957"/>
        <w:sz w:val="14"/>
        <w:szCs w:val="14"/>
      </w:rPr>
    </w:pPr>
    <w:r>
      <w:rPr>
        <w:b w:val="0"/>
        <w:color w:val="002957"/>
        <w:sz w:val="14"/>
        <w:szCs w:val="14"/>
      </w:rPr>
      <w:t>Alexandru Ciungu</w:t>
    </w:r>
    <w:r w:rsidR="00CB79AB" w:rsidRPr="002803C0">
      <w:rPr>
        <w:b w:val="0"/>
        <w:color w:val="002957"/>
        <w:sz w:val="14"/>
        <w:szCs w:val="14"/>
      </w:rPr>
      <w:t xml:space="preserve"> •</w:t>
    </w:r>
    <w:r w:rsidR="00CB79AB">
      <w:rPr>
        <w:b w:val="0"/>
        <w:color w:val="002957"/>
        <w:sz w:val="14"/>
        <w:szCs w:val="14"/>
      </w:rPr>
      <w:t xml:space="preserve"> </w:t>
    </w:r>
    <w:r w:rsidRPr="00A46F81">
      <w:rPr>
        <w:b w:val="0"/>
        <w:bCs/>
        <w:color w:val="002957"/>
        <w:sz w:val="14"/>
        <w:szCs w:val="14"/>
      </w:rPr>
      <w:t>Policy Advisor, Macroeconomics &amp; Taxation</w:t>
    </w:r>
  </w:p>
  <w:p w14:paraId="4A59FE15" w14:textId="70949324" w:rsidR="00CB79AB" w:rsidRPr="002803C0" w:rsidRDefault="00CB79AB" w:rsidP="00CB79AB">
    <w:pPr>
      <w:pStyle w:val="CEAFooterauthorinfo"/>
      <w:ind w:left="0"/>
      <w:rPr>
        <w:b w:val="0"/>
        <w:color w:val="002957"/>
        <w:sz w:val="14"/>
        <w:szCs w:val="14"/>
      </w:rPr>
    </w:pPr>
    <w:r w:rsidRPr="002803C0">
      <w:rPr>
        <w:b w:val="0"/>
        <w:color w:val="002957"/>
        <w:sz w:val="14"/>
        <w:szCs w:val="14"/>
      </w:rPr>
      <w:t xml:space="preserve">Insurance Europe </w:t>
    </w:r>
    <w:proofErr w:type="spellStart"/>
    <w:r w:rsidRPr="002803C0">
      <w:rPr>
        <w:b w:val="0"/>
        <w:color w:val="002957"/>
        <w:sz w:val="14"/>
        <w:szCs w:val="14"/>
      </w:rPr>
      <w:t>aisbl</w:t>
    </w:r>
    <w:proofErr w:type="spellEnd"/>
    <w:r w:rsidRPr="002803C0">
      <w:rPr>
        <w:b w:val="0"/>
        <w:color w:val="002957"/>
        <w:sz w:val="14"/>
        <w:szCs w:val="14"/>
      </w:rPr>
      <w:t xml:space="preserve"> </w:t>
    </w:r>
    <w:r w:rsidRPr="00CE6BD9">
      <w:rPr>
        <w:b w:val="0"/>
        <w:color w:val="002957"/>
        <w:sz w:val="14"/>
        <w:szCs w:val="14"/>
        <w:lang w:val="pt-PT"/>
      </w:rPr>
      <w:t>•</w:t>
    </w:r>
    <w:r w:rsidRPr="002803C0">
      <w:rPr>
        <w:b w:val="0"/>
        <w:color w:val="002957"/>
        <w:sz w:val="14"/>
        <w:szCs w:val="14"/>
      </w:rPr>
      <w:t xml:space="preserve"> </w:t>
    </w:r>
    <w:r>
      <w:rPr>
        <w:b w:val="0"/>
        <w:color w:val="002957"/>
        <w:sz w:val="14"/>
        <w:szCs w:val="14"/>
      </w:rPr>
      <w:t xml:space="preserve">Rue </w:t>
    </w:r>
    <w:proofErr w:type="spellStart"/>
    <w:r>
      <w:rPr>
        <w:b w:val="0"/>
        <w:color w:val="002957"/>
        <w:sz w:val="14"/>
        <w:szCs w:val="14"/>
      </w:rPr>
      <w:t>Montoyer</w:t>
    </w:r>
    <w:proofErr w:type="spellEnd"/>
    <w:r>
      <w:rPr>
        <w:b w:val="0"/>
        <w:color w:val="002957"/>
        <w:sz w:val="14"/>
        <w:szCs w:val="14"/>
      </w:rPr>
      <w:t xml:space="preserve"> 51, BE-1000 Brussels</w:t>
    </w:r>
  </w:p>
  <w:p w14:paraId="7975598C" w14:textId="6D337CD9" w:rsidR="00CB79AB" w:rsidRDefault="00CB79AB" w:rsidP="00CB79AB">
    <w:pPr>
      <w:pStyle w:val="CEAFooterauthorinfo"/>
      <w:ind w:left="0"/>
      <w:rPr>
        <w:b w:val="0"/>
        <w:color w:val="002957"/>
        <w:sz w:val="14"/>
        <w:szCs w:val="14"/>
        <w:lang w:val="pt-PT"/>
      </w:rPr>
    </w:pPr>
    <w:r w:rsidRPr="00CE6BD9">
      <w:rPr>
        <w:b w:val="0"/>
        <w:color w:val="002957"/>
        <w:sz w:val="14"/>
        <w:szCs w:val="14"/>
        <w:lang w:val="pt-PT"/>
      </w:rPr>
      <w:t>Tel:</w:t>
    </w:r>
    <w:r>
      <w:rPr>
        <w:b w:val="0"/>
        <w:color w:val="002957"/>
        <w:sz w:val="14"/>
        <w:szCs w:val="14"/>
        <w:lang w:val="pt-PT"/>
      </w:rPr>
      <w:t xml:space="preserve"> +32 2 894 30 4</w:t>
    </w:r>
    <w:r w:rsidR="00A46F81">
      <w:rPr>
        <w:b w:val="0"/>
        <w:color w:val="002957"/>
        <w:sz w:val="14"/>
        <w:szCs w:val="14"/>
        <w:lang w:val="pt-PT"/>
      </w:rPr>
      <w:t>7</w:t>
    </w:r>
    <w:r>
      <w:rPr>
        <w:b w:val="0"/>
        <w:color w:val="002957"/>
        <w:sz w:val="14"/>
        <w:szCs w:val="14"/>
        <w:lang w:val="pt-PT"/>
      </w:rPr>
      <w:t xml:space="preserve">  • E-mail: </w:t>
    </w:r>
    <w:r w:rsidR="00A46F81">
      <w:rPr>
        <w:b w:val="0"/>
        <w:color w:val="002957"/>
        <w:sz w:val="14"/>
        <w:szCs w:val="14"/>
        <w:lang w:val="pt-PT"/>
      </w:rPr>
      <w:t>Ciungu</w:t>
    </w:r>
    <w:r>
      <w:rPr>
        <w:b w:val="0"/>
        <w:color w:val="002957"/>
        <w:sz w:val="14"/>
        <w:szCs w:val="14"/>
        <w:lang w:val="pt-PT"/>
      </w:rPr>
      <w:t>@insuranceeurope.eu</w:t>
    </w:r>
  </w:p>
  <w:p w14:paraId="25F93B9C" w14:textId="77777777" w:rsidR="00CB79AB" w:rsidRDefault="00CB79AB" w:rsidP="00CB79AB">
    <w:pPr>
      <w:pStyle w:val="CEAFooterauthorinfo"/>
      <w:ind w:left="0"/>
      <w:rPr>
        <w:b w:val="0"/>
        <w:color w:val="002957"/>
        <w:sz w:val="14"/>
        <w:szCs w:val="14"/>
        <w:lang w:val="pt-PT"/>
      </w:rPr>
    </w:pPr>
  </w:p>
  <w:p w14:paraId="65708AF0" w14:textId="77777777" w:rsidR="00CB79AB" w:rsidRPr="00954F9B" w:rsidRDefault="00CB79AB" w:rsidP="00CB79AB">
    <w:pPr>
      <w:pStyle w:val="CEAFooterauthorinfo"/>
      <w:ind w:left="0"/>
      <w:rPr>
        <w:rFonts w:cs="Frutiger LT Std 55 Roman"/>
        <w:b w:val="0"/>
        <w:color w:val="82C55B"/>
        <w:sz w:val="14"/>
        <w:szCs w:val="14"/>
        <w:lang w:val="pt-PT"/>
      </w:rPr>
    </w:pPr>
    <w:r w:rsidRPr="00954F9B">
      <w:rPr>
        <w:rFonts w:cs="Frutiger LT Std 55 Roman"/>
        <w:b w:val="0"/>
        <w:color w:val="82C55B"/>
        <w:sz w:val="14"/>
        <w:szCs w:val="14"/>
        <w:lang w:val="pt-PT"/>
      </w:rPr>
      <w:t>www.insuranceeurope.eu</w:t>
    </w:r>
  </w:p>
  <w:p w14:paraId="298F0D07" w14:textId="77777777" w:rsidR="00CB79AB" w:rsidRPr="00730E61" w:rsidRDefault="00CB79AB">
    <w:pPr>
      <w:pStyle w:val="Pta"/>
      <w:rPr>
        <w:color w:val="002957"/>
        <w:lang w:val="de-D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E3265" w14:textId="77777777" w:rsidR="00D2341A" w:rsidRPr="00730E61" w:rsidRDefault="00D2341A" w:rsidP="00940E05">
    <w:pPr>
      <w:pStyle w:val="CEAFooterauthorinfo"/>
      <w:ind w:left="708" w:hanging="708"/>
      <w:rPr>
        <w:color w:val="002957"/>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BE91E" w14:textId="77777777" w:rsidR="00813F7F" w:rsidRDefault="00813F7F" w:rsidP="0016089A">
      <w:pPr>
        <w:spacing w:line="240" w:lineRule="auto"/>
      </w:pPr>
      <w:r>
        <w:separator/>
      </w:r>
    </w:p>
  </w:footnote>
  <w:footnote w:type="continuationSeparator" w:id="0">
    <w:p w14:paraId="2D718153" w14:textId="77777777" w:rsidR="00813F7F" w:rsidRDefault="00813F7F" w:rsidP="0016089A">
      <w:pPr>
        <w:spacing w:line="240" w:lineRule="auto"/>
      </w:pPr>
      <w:r>
        <w:continuationSeparator/>
      </w:r>
    </w:p>
  </w:footnote>
  <w:footnote w:type="continuationNotice" w:id="1">
    <w:p w14:paraId="68D0E6C7" w14:textId="77777777" w:rsidR="00813F7F" w:rsidRDefault="00813F7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F877D" w14:textId="77777777" w:rsidR="00CB79AB" w:rsidRPr="000846C0" w:rsidRDefault="00CB79AB" w:rsidP="00CB79AB">
    <w:pPr>
      <w:pStyle w:val="Noparagraphstyle"/>
      <w:jc w:val="right"/>
      <w:rPr>
        <w:sz w:val="18"/>
        <w:szCs w:val="18"/>
      </w:rPr>
    </w:pPr>
  </w:p>
  <w:p w14:paraId="491DC21E" w14:textId="77777777" w:rsidR="00CB79AB" w:rsidRPr="00CE6BD9" w:rsidRDefault="00CB79AB" w:rsidP="00CB79AB">
    <w:pPr>
      <w:pStyle w:val="Noparagraphstyle"/>
      <w:jc w:val="right"/>
      <w:rPr>
        <w:rFonts w:ascii="Arial" w:hAnsi="Arial" w:cs="Arial"/>
        <w:i/>
        <w:iCs/>
        <w:color w:val="034EA2"/>
      </w:rPr>
    </w:pPr>
    <w:r>
      <w:tab/>
    </w:r>
  </w:p>
  <w:p w14:paraId="15ACCE8B" w14:textId="77777777" w:rsidR="00CB79AB" w:rsidRDefault="00CB79AB" w:rsidP="00CB79AB">
    <w:pPr>
      <w:pStyle w:val="Hlavika"/>
      <w:tabs>
        <w:tab w:val="clear" w:pos="4320"/>
        <w:tab w:val="clear" w:pos="8640"/>
        <w:tab w:val="center" w:pos="0"/>
        <w:tab w:val="right" w:pos="10440"/>
      </w:tabs>
      <w:jc w:val="right"/>
      <w:rPr>
        <w:b/>
        <w:color w:val="034EA2"/>
        <w:sz w:val="40"/>
        <w:szCs w:val="40"/>
      </w:rPr>
    </w:pPr>
    <w:r w:rsidRPr="00763D6E">
      <w:rPr>
        <w:b/>
        <w:noProof/>
        <w:sz w:val="40"/>
        <w:szCs w:val="40"/>
        <w:lang w:val="sk-SK" w:eastAsia="sk-SK"/>
      </w:rPr>
      <w:drawing>
        <wp:anchor distT="0" distB="0" distL="114300" distR="114300" simplePos="0" relativeHeight="251658241" behindDoc="0" locked="0" layoutInCell="1" allowOverlap="1" wp14:anchorId="42212B25" wp14:editId="0D81137F">
          <wp:simplePos x="0" y="0"/>
          <wp:positionH relativeFrom="page">
            <wp:posOffset>521970</wp:posOffset>
          </wp:positionH>
          <wp:positionV relativeFrom="page">
            <wp:posOffset>521970</wp:posOffset>
          </wp:positionV>
          <wp:extent cx="1457325" cy="895350"/>
          <wp:effectExtent l="19050" t="0" r="0" b="0"/>
          <wp:wrapSquare wrapText="bothSides"/>
          <wp:docPr id="5"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Pr="005C0D74">
      <w:rPr>
        <w:b/>
        <w:color w:val="034EA2"/>
        <w:sz w:val="28"/>
        <w:szCs w:val="28"/>
      </w:rPr>
      <w:t xml:space="preserve"> </w:t>
    </w:r>
  </w:p>
  <w:p w14:paraId="217C7594" w14:textId="77777777" w:rsidR="00CB79AB" w:rsidRDefault="00CB79AB" w:rsidP="00CB79AB">
    <w:pPr>
      <w:pStyle w:val="Noparagraphsty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A1074" w14:textId="77777777" w:rsidR="00D2341A" w:rsidRPr="00CE615B" w:rsidRDefault="00D2341A" w:rsidP="00D2341A">
    <w:pPr>
      <w:pStyle w:val="Noparagraphstyle"/>
      <w:tabs>
        <w:tab w:val="left" w:pos="-1800"/>
      </w:tabs>
      <w:jc w:val="right"/>
      <w:rPr>
        <w:rFonts w:ascii="Verdana" w:hAnsi="Verdana"/>
        <w:sz w:val="22"/>
        <w:szCs w:val="22"/>
      </w:rPr>
    </w:pPr>
    <w:r w:rsidRPr="00CE615B">
      <w:rPr>
        <w:rFonts w:ascii="Verdana" w:hAnsi="Verdana"/>
        <w:sz w:val="18"/>
        <w:szCs w:val="18"/>
      </w:rPr>
      <w:br/>
    </w:r>
  </w:p>
  <w:p w14:paraId="7285E6AA" w14:textId="77777777" w:rsidR="00D2341A" w:rsidRPr="00730E61" w:rsidRDefault="00D2341A" w:rsidP="00D2341A">
    <w:pPr>
      <w:pStyle w:val="Noparagraphstyle"/>
      <w:tabs>
        <w:tab w:val="left" w:pos="-1800"/>
      </w:tabs>
      <w:jc w:val="right"/>
      <w:rPr>
        <w:rFonts w:ascii="Verdana" w:hAnsi="Verdana"/>
        <w:color w:val="002957"/>
        <w:sz w:val="36"/>
        <w:szCs w:val="36"/>
      </w:rPr>
    </w:pPr>
    <w:r w:rsidRPr="00730E61">
      <w:rPr>
        <w:rFonts w:ascii="Verdana" w:hAnsi="Verdana"/>
        <w:color w:val="002957"/>
        <w:sz w:val="36"/>
        <w:szCs w:val="36"/>
      </w:rPr>
      <w:t>Memo for</w:t>
    </w:r>
  </w:p>
  <w:p w14:paraId="15EEEE43" w14:textId="77777777" w:rsidR="00D2341A" w:rsidRPr="00CF35FD" w:rsidRDefault="00D2341A" w:rsidP="00D2341A">
    <w:pPr>
      <w:pStyle w:val="CEADocumentTitle"/>
      <w:tabs>
        <w:tab w:val="clear" w:pos="10440"/>
      </w:tabs>
      <w:spacing w:line="240" w:lineRule="auto"/>
      <w:rPr>
        <w:b w:val="0"/>
        <w:color w:val="002957"/>
        <w:sz w:val="36"/>
        <w:szCs w:val="36"/>
      </w:rPr>
    </w:pPr>
    <w:r w:rsidRPr="00763D6E">
      <w:rPr>
        <w:b w:val="0"/>
        <w:color w:val="auto"/>
        <w:sz w:val="36"/>
        <w:szCs w:val="36"/>
      </w:rPr>
      <w:tab/>
    </w:r>
    <w:sdt>
      <w:sdtPr>
        <w:rPr>
          <w:b w:val="0"/>
          <w:color w:val="002957"/>
          <w:sz w:val="36"/>
          <w:szCs w:val="36"/>
        </w:rPr>
        <w:alias w:val="Type of memo"/>
        <w:tag w:val="Type_x0020_of_x0020_memo"/>
        <w:id w:val="1330409752"/>
        <w:placeholder>
          <w:docPart w:val="8268EA9F3B424DCBA2DC266EC1A5F716"/>
        </w:placeholder>
        <w:dataBinding w:prefixMappings="xmlns:ns0='http://schemas.microsoft.com/office/2006/metadata/properties' xmlns:ns1='http://www.w3.org/2001/XMLSchema-instance' xmlns:ns2='http://schemas.microsoft.com/office/infopath/2007/PartnerControls' xmlns:ns3='d113e6c9-68c2-4198-bb3a-f8ecf571e120' xmlns:ns4='e0da4f5e-37e5-4fce-b2cf-d2352e4e27d6' " w:xpath="/ns0:properties[1]/documentManagement[1]/ns3:Type_x0020_of_x0020_memo[1]" w:storeItemID="{16BE8AC2-BC04-484A-AE5F-6753D3DE5469}"/>
        <w:dropDownList>
          <w:listItem w:value="[Type of memo]"/>
        </w:dropDownList>
      </w:sdtPr>
      <w:sdtEndPr/>
      <w:sdtContent>
        <w:r w:rsidRPr="00730E61">
          <w:rPr>
            <w:b w:val="0"/>
            <w:color w:val="002957"/>
            <w:sz w:val="36"/>
            <w:szCs w:val="36"/>
          </w:rPr>
          <w:t>action</w:t>
        </w:r>
      </w:sdtContent>
    </w:sdt>
    <w:r w:rsidRPr="00CF35FD">
      <w:rPr>
        <w:b w:val="0"/>
        <w:color w:val="002957"/>
        <w:sz w:val="36"/>
        <w:szCs w:val="36"/>
        <w:lang w:val="sk-SK" w:eastAsia="sk-SK"/>
      </w:rPr>
      <w:drawing>
        <wp:anchor distT="0" distB="0" distL="114300" distR="114300" simplePos="0" relativeHeight="251660289" behindDoc="0" locked="0" layoutInCell="1" allowOverlap="1" wp14:anchorId="3D49C443" wp14:editId="51FB175B">
          <wp:simplePos x="0" y="0"/>
          <wp:positionH relativeFrom="page">
            <wp:posOffset>523875</wp:posOffset>
          </wp:positionH>
          <wp:positionV relativeFrom="page">
            <wp:posOffset>523875</wp:posOffset>
          </wp:positionV>
          <wp:extent cx="1457325" cy="895350"/>
          <wp:effectExtent l="19050" t="0" r="0" b="0"/>
          <wp:wrapSquare wrapText="bothSides"/>
          <wp:docPr id="7"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0A374667" w14:textId="77777777" w:rsidR="00D2341A" w:rsidRDefault="00D2341A" w:rsidP="00D2341A">
    <w:pPr>
      <w:jc w:val="right"/>
      <w:rPr>
        <w:b/>
        <w:i/>
        <w:color w:val="002957"/>
        <w:sz w:val="32"/>
        <w:szCs w:val="32"/>
      </w:rPr>
    </w:pPr>
    <w:r>
      <w:rPr>
        <w:b/>
        <w:color w:val="002957"/>
        <w:sz w:val="36"/>
        <w:szCs w:val="36"/>
      </w:rPr>
      <w:t xml:space="preserve"> </w:t>
    </w:r>
  </w:p>
  <w:p w14:paraId="05948A87" w14:textId="77777777" w:rsidR="00D2341A" w:rsidRPr="009C515F" w:rsidRDefault="00D2341A" w:rsidP="00D2341A">
    <w:pPr>
      <w:pStyle w:val="CEADocumentTitle"/>
      <w:tabs>
        <w:tab w:val="clear" w:pos="10440"/>
      </w:tabs>
      <w:rPr>
        <w:b w:val="0"/>
        <w:color w:val="002957"/>
        <w:sz w:val="36"/>
        <w:szCs w:val="36"/>
      </w:rPr>
    </w:pPr>
  </w:p>
  <w:p w14:paraId="2E931DDB" w14:textId="77777777" w:rsidR="00D2341A" w:rsidRPr="00CE6BD9" w:rsidRDefault="00D2341A" w:rsidP="00D2341A">
    <w:pPr>
      <w:pStyle w:val="BodyText-CEA"/>
      <w:jc w:val="left"/>
    </w:pPr>
  </w:p>
  <w:tbl>
    <w:tblPr>
      <w:tblW w:w="0" w:type="auto"/>
      <w:tblInd w:w="-1026" w:type="dxa"/>
      <w:tblLook w:val="04A0" w:firstRow="1" w:lastRow="0" w:firstColumn="1" w:lastColumn="0" w:noHBand="0" w:noVBand="1"/>
    </w:tblPr>
    <w:tblGrid>
      <w:gridCol w:w="1012"/>
      <w:gridCol w:w="9596"/>
    </w:tblGrid>
    <w:tr w:rsidR="00D2341A" w14:paraId="48A33A4A" w14:textId="77777777" w:rsidTr="00AE23A3">
      <w:trPr>
        <w:trHeight w:val="289"/>
      </w:trPr>
      <w:tc>
        <w:tcPr>
          <w:tcW w:w="992" w:type="dxa"/>
        </w:tcPr>
        <w:p w14:paraId="5CED38F8" w14:textId="77777777" w:rsidR="00D2341A" w:rsidRPr="00CE6BD9" w:rsidRDefault="00D2341A" w:rsidP="00D2341A">
          <w:pPr>
            <w:pStyle w:val="CEALabel"/>
            <w:rPr>
              <w:b w:val="0"/>
              <w:color w:val="002957"/>
              <w:sz w:val="17"/>
              <w:szCs w:val="17"/>
            </w:rPr>
          </w:pPr>
          <w:r w:rsidRPr="00CE6BD9">
            <w:rPr>
              <w:b w:val="0"/>
              <w:color w:val="002957"/>
              <w:sz w:val="17"/>
              <w:szCs w:val="17"/>
            </w:rPr>
            <w:t>To:</w:t>
          </w:r>
        </w:p>
      </w:tc>
      <w:tc>
        <w:tcPr>
          <w:tcW w:w="9837" w:type="dxa"/>
        </w:tcPr>
        <w:p w14:paraId="13AF56D7" w14:textId="77777777" w:rsidR="00D2341A" w:rsidRPr="001D1C85" w:rsidRDefault="00D2341A" w:rsidP="00D2341A">
          <w:pPr>
            <w:jc w:val="left"/>
            <w:rPr>
              <w:color w:val="002957"/>
              <w:sz w:val="17"/>
              <w:szCs w:val="17"/>
            </w:rPr>
          </w:pPr>
          <w:r>
            <w:rPr>
              <w:color w:val="002957"/>
              <w:sz w:val="17"/>
              <w:szCs w:val="17"/>
            </w:rPr>
            <w:t>Executive Committee</w:t>
          </w:r>
        </w:p>
      </w:tc>
    </w:tr>
    <w:tr w:rsidR="00D2341A" w14:paraId="5B2250BA" w14:textId="77777777" w:rsidTr="00AE23A3">
      <w:trPr>
        <w:trHeight w:hRule="exact" w:val="288"/>
      </w:trPr>
      <w:tc>
        <w:tcPr>
          <w:tcW w:w="992" w:type="dxa"/>
          <w:vAlign w:val="center"/>
        </w:tcPr>
        <w:p w14:paraId="39000DF6" w14:textId="77777777" w:rsidR="00D2341A" w:rsidRPr="00CE6BD9" w:rsidRDefault="00D2341A" w:rsidP="00D2341A">
          <w:pPr>
            <w:pStyle w:val="CEALabel"/>
            <w:rPr>
              <w:b w:val="0"/>
              <w:color w:val="002957"/>
              <w:sz w:val="17"/>
              <w:szCs w:val="17"/>
            </w:rPr>
          </w:pPr>
          <w:r w:rsidRPr="00CE6BD9">
            <w:rPr>
              <w:b w:val="0"/>
              <w:color w:val="002957"/>
              <w:sz w:val="17"/>
              <w:szCs w:val="17"/>
            </w:rPr>
            <w:t>From:</w:t>
          </w:r>
        </w:p>
      </w:tc>
      <w:tc>
        <w:tcPr>
          <w:tcW w:w="9837" w:type="dxa"/>
        </w:tcPr>
        <w:p w14:paraId="5224717B" w14:textId="77777777" w:rsidR="00D2341A" w:rsidRPr="001D1C85" w:rsidRDefault="00D2341A" w:rsidP="00D2341A">
          <w:pPr>
            <w:tabs>
              <w:tab w:val="left" w:pos="1755"/>
            </w:tabs>
            <w:jc w:val="left"/>
            <w:rPr>
              <w:color w:val="002957"/>
              <w:sz w:val="17"/>
              <w:szCs w:val="17"/>
            </w:rPr>
          </w:pPr>
          <w:r>
            <w:rPr>
              <w:color w:val="002957"/>
              <w:sz w:val="17"/>
              <w:szCs w:val="17"/>
            </w:rPr>
            <w:t>General Insurance Department</w:t>
          </w:r>
          <w:r w:rsidRPr="001D1C85">
            <w:rPr>
              <w:color w:val="002957"/>
              <w:sz w:val="17"/>
              <w:szCs w:val="17"/>
            </w:rPr>
            <w:t xml:space="preserve"> </w:t>
          </w:r>
        </w:p>
      </w:tc>
    </w:tr>
    <w:tr w:rsidR="00D2341A" w14:paraId="63078A3D" w14:textId="77777777" w:rsidTr="00AE23A3">
      <w:trPr>
        <w:trHeight w:hRule="exact" w:val="288"/>
      </w:trPr>
      <w:tc>
        <w:tcPr>
          <w:tcW w:w="992" w:type="dxa"/>
          <w:vAlign w:val="center"/>
        </w:tcPr>
        <w:p w14:paraId="4E7FCFA1" w14:textId="77777777" w:rsidR="00D2341A" w:rsidRPr="00CE6BD9" w:rsidRDefault="00D2341A" w:rsidP="00D2341A">
          <w:pPr>
            <w:pStyle w:val="CEALabel"/>
            <w:rPr>
              <w:b w:val="0"/>
              <w:color w:val="002957"/>
              <w:sz w:val="17"/>
              <w:szCs w:val="17"/>
            </w:rPr>
          </w:pPr>
          <w:r w:rsidRPr="00CE6BD9">
            <w:rPr>
              <w:b w:val="0"/>
              <w:color w:val="002957"/>
              <w:sz w:val="17"/>
              <w:szCs w:val="17"/>
            </w:rPr>
            <w:t>cc:</w:t>
          </w:r>
        </w:p>
      </w:tc>
      <w:tc>
        <w:tcPr>
          <w:tcW w:w="9837" w:type="dxa"/>
        </w:tcPr>
        <w:p w14:paraId="184D2816" w14:textId="77777777" w:rsidR="00D2341A" w:rsidRPr="001D1C85" w:rsidRDefault="00D2341A" w:rsidP="00D2341A">
          <w:pPr>
            <w:jc w:val="left"/>
            <w:rPr>
              <w:color w:val="002957"/>
              <w:sz w:val="17"/>
              <w:szCs w:val="17"/>
            </w:rPr>
          </w:pPr>
          <w:r>
            <w:rPr>
              <w:color w:val="002957"/>
              <w:sz w:val="17"/>
              <w:szCs w:val="17"/>
            </w:rPr>
            <w:t>Economics and Finance Committee, Conduct of Business Committee</w:t>
          </w:r>
          <w:r w:rsidRPr="001D1C85">
            <w:rPr>
              <w:color w:val="002957"/>
              <w:sz w:val="17"/>
              <w:szCs w:val="17"/>
            </w:rPr>
            <w:t xml:space="preserve"> </w:t>
          </w:r>
        </w:p>
      </w:tc>
    </w:tr>
    <w:tr w:rsidR="00D2341A" w14:paraId="69183872" w14:textId="77777777" w:rsidTr="00AE23A3">
      <w:trPr>
        <w:trHeight w:hRule="exact" w:val="288"/>
      </w:trPr>
      <w:tc>
        <w:tcPr>
          <w:tcW w:w="992" w:type="dxa"/>
          <w:vAlign w:val="center"/>
        </w:tcPr>
        <w:p w14:paraId="334F337B" w14:textId="77777777" w:rsidR="00D2341A" w:rsidRPr="00CE6BD9" w:rsidRDefault="00D2341A" w:rsidP="00D2341A">
          <w:pPr>
            <w:pStyle w:val="CEALabel"/>
            <w:rPr>
              <w:b w:val="0"/>
              <w:color w:val="002957"/>
              <w:sz w:val="17"/>
              <w:szCs w:val="17"/>
            </w:rPr>
          </w:pPr>
          <w:r w:rsidRPr="00CE6BD9">
            <w:rPr>
              <w:b w:val="0"/>
              <w:color w:val="002957"/>
              <w:sz w:val="17"/>
              <w:szCs w:val="17"/>
            </w:rPr>
            <w:t>Date:</w:t>
          </w:r>
        </w:p>
      </w:tc>
      <w:tc>
        <w:tcPr>
          <w:tcW w:w="9837" w:type="dxa"/>
        </w:tcPr>
        <w:p w14:paraId="0076D00D" w14:textId="39FB28C4" w:rsidR="00D2341A" w:rsidRPr="001D1C85" w:rsidRDefault="00813F7F" w:rsidP="00D2341A">
          <w:pPr>
            <w:jc w:val="left"/>
            <w:rPr>
              <w:color w:val="002957"/>
              <w:sz w:val="17"/>
              <w:szCs w:val="17"/>
            </w:rPr>
          </w:pPr>
          <w:sdt>
            <w:sdtPr>
              <w:rPr>
                <w:color w:val="002957"/>
                <w:sz w:val="17"/>
                <w:szCs w:val="17"/>
              </w:rPr>
              <w:alias w:val="Document Date"/>
              <w:tag w:val="Document_x0020_Date"/>
              <w:id w:val="304291805"/>
              <w:placeholder>
                <w:docPart w:val="6467F2255FDA4021A657DE992FBF2EF3"/>
              </w:placeholder>
              <w:dataBinding w:prefixMappings="xmlns:ns0='http://schemas.microsoft.com/office/2006/metadata/properties' xmlns:ns1='http://www.w3.org/2001/XMLSchema-instance' xmlns:ns2='http://schemas.microsoft.com/office/infopath/2007/PartnerControls' xmlns:ns3='d113e6c9-68c2-4198-bb3a-f8ecf571e120' xmlns:ns4='2cf4c643-76e1-4123-a2fd-a3aedb3c16df' xmlns:ns5='http://schemas.microsoft.com/sharepoint/v3/fields' " w:xpath="/ns0:properties[1]/documentManagement[1]/ns3:Document_x0020_Date[1]" w:storeItemID="{16BE8AC2-BC04-484A-AE5F-6753D3DE5469}"/>
              <w:text/>
            </w:sdtPr>
            <w:sdtEndPr/>
            <w:sdtContent>
              <w:r w:rsidR="007A7222">
                <w:rPr>
                  <w:color w:val="002957"/>
                  <w:sz w:val="17"/>
                  <w:szCs w:val="17"/>
                </w:rPr>
                <w:t>27</w:t>
              </w:r>
              <w:r w:rsidR="00D2341A" w:rsidRPr="007A7222">
                <w:rPr>
                  <w:color w:val="002957"/>
                  <w:sz w:val="17"/>
                  <w:szCs w:val="17"/>
                </w:rPr>
                <w:t>-05-2019</w:t>
              </w:r>
            </w:sdtContent>
          </w:sdt>
        </w:p>
      </w:tc>
    </w:tr>
    <w:tr w:rsidR="00D2341A" w14:paraId="42B054E4" w14:textId="77777777" w:rsidTr="00AE23A3">
      <w:trPr>
        <w:trHeight w:hRule="exact" w:val="288"/>
      </w:trPr>
      <w:tc>
        <w:tcPr>
          <w:tcW w:w="992" w:type="dxa"/>
          <w:vAlign w:val="center"/>
        </w:tcPr>
        <w:p w14:paraId="613A5052" w14:textId="77777777" w:rsidR="00D2341A" w:rsidRPr="00CE6BD9" w:rsidRDefault="00D2341A" w:rsidP="00D2341A">
          <w:pPr>
            <w:pStyle w:val="CEALabel"/>
            <w:rPr>
              <w:b w:val="0"/>
              <w:color w:val="002957"/>
              <w:sz w:val="17"/>
              <w:szCs w:val="17"/>
            </w:rPr>
          </w:pPr>
          <w:r w:rsidRPr="00CE6BD9">
            <w:rPr>
              <w:b w:val="0"/>
              <w:color w:val="002957"/>
              <w:sz w:val="17"/>
              <w:szCs w:val="17"/>
            </w:rPr>
            <w:t>Reference:</w:t>
          </w:r>
        </w:p>
      </w:tc>
      <w:tc>
        <w:tcPr>
          <w:tcW w:w="9837" w:type="dxa"/>
        </w:tcPr>
        <w:p w14:paraId="1528361B" w14:textId="79D98B72" w:rsidR="00D2341A" w:rsidRPr="001D1C85" w:rsidRDefault="00813F7F" w:rsidP="00D2341A">
          <w:pPr>
            <w:jc w:val="left"/>
            <w:rPr>
              <w:color w:val="002957"/>
              <w:sz w:val="17"/>
              <w:szCs w:val="17"/>
            </w:rPr>
          </w:pPr>
          <w:sdt>
            <w:sdtPr>
              <w:rPr>
                <w:color w:val="002957"/>
                <w:sz w:val="17"/>
                <w:szCs w:val="17"/>
              </w:rPr>
              <w:alias w:val="Reference"/>
              <w:tag w:val="Reference"/>
              <w:id w:val="-1096098386"/>
              <w:placeholder>
                <w:docPart w:val="9B739C20FD304CA382C6C0FAD323C5B5"/>
              </w:placeholder>
              <w:dataBinding w:prefixMappings="xmlns:ns0='http://schemas.microsoft.com/office/2006/metadata/properties' xmlns:ns1='http://www.w3.org/2001/XMLSchema-instance' xmlns:ns2='http://schemas.microsoft.com/office/infopath/2007/PartnerControls' xmlns:ns3='d113e6c9-68c2-4198-bb3a-f8ecf571e120' xmlns:ns4='b806e272-cee1-4f9c-a03e-da69a8eb5e4e' " w:xpath="/ns0:properties[1]/documentManagement[1]/ns3:Reference[1]" w:storeItemID="{16BE8AC2-BC04-484A-AE5F-6753D3DE5469}"/>
              <w:text/>
            </w:sdtPr>
            <w:sdtEndPr/>
            <w:sdtContent>
              <w:r w:rsidR="00AD17F5">
                <w:rPr>
                  <w:color w:val="002957"/>
                  <w:sz w:val="17"/>
                  <w:szCs w:val="17"/>
                </w:rPr>
                <w:t>EXCO-19-055</w:t>
              </w:r>
            </w:sdtContent>
          </w:sdt>
        </w:p>
      </w:tc>
    </w:tr>
    <w:tr w:rsidR="00D2341A" w14:paraId="4A47FF51" w14:textId="77777777" w:rsidTr="00AE23A3">
      <w:trPr>
        <w:trHeight w:hRule="exact" w:val="288"/>
      </w:trPr>
      <w:tc>
        <w:tcPr>
          <w:tcW w:w="992" w:type="dxa"/>
          <w:vAlign w:val="center"/>
        </w:tcPr>
        <w:p w14:paraId="01B599AE" w14:textId="77777777" w:rsidR="00D2341A" w:rsidRPr="00CE6BD9" w:rsidRDefault="00D2341A" w:rsidP="00D2341A">
          <w:pPr>
            <w:pStyle w:val="CEALabel"/>
            <w:rPr>
              <w:b w:val="0"/>
              <w:color w:val="002957"/>
              <w:sz w:val="17"/>
              <w:szCs w:val="17"/>
            </w:rPr>
          </w:pPr>
        </w:p>
      </w:tc>
      <w:tc>
        <w:tcPr>
          <w:tcW w:w="9837" w:type="dxa"/>
        </w:tcPr>
        <w:p w14:paraId="2ED55C70" w14:textId="77777777" w:rsidR="00D2341A" w:rsidRPr="001D1C85" w:rsidRDefault="00D2341A" w:rsidP="00D2341A">
          <w:pPr>
            <w:jc w:val="left"/>
            <w:rPr>
              <w:color w:val="002957"/>
              <w:sz w:val="17"/>
              <w:szCs w:val="17"/>
            </w:rPr>
          </w:pPr>
        </w:p>
      </w:tc>
    </w:tr>
    <w:tr w:rsidR="00D2341A" w14:paraId="03215F83" w14:textId="77777777" w:rsidTr="00AE23A3">
      <w:trPr>
        <w:trHeight w:hRule="exact" w:val="288"/>
      </w:trPr>
      <w:tc>
        <w:tcPr>
          <w:tcW w:w="992" w:type="dxa"/>
          <w:vAlign w:val="center"/>
        </w:tcPr>
        <w:p w14:paraId="471AB3F9" w14:textId="77777777" w:rsidR="00D2341A" w:rsidRPr="00CE6BD9" w:rsidRDefault="00D2341A" w:rsidP="00D2341A">
          <w:pPr>
            <w:pStyle w:val="CEALabel"/>
            <w:rPr>
              <w:b w:val="0"/>
              <w:color w:val="002957"/>
              <w:sz w:val="17"/>
              <w:szCs w:val="17"/>
            </w:rPr>
          </w:pPr>
          <w:r w:rsidRPr="00CE6BD9">
            <w:rPr>
              <w:b w:val="0"/>
              <w:color w:val="002957"/>
              <w:sz w:val="17"/>
              <w:szCs w:val="17"/>
            </w:rPr>
            <w:t>Subject:</w:t>
          </w:r>
        </w:p>
      </w:tc>
      <w:tc>
        <w:tcPr>
          <w:tcW w:w="9837" w:type="dxa"/>
        </w:tcPr>
        <w:p w14:paraId="6677205C" w14:textId="77777777" w:rsidR="00D2341A" w:rsidRPr="00CE6BD9" w:rsidRDefault="00813F7F" w:rsidP="00D2341A">
          <w:pPr>
            <w:pStyle w:val="CEASubjectLine"/>
            <w:jc w:val="left"/>
            <w:rPr>
              <w:b w:val="0"/>
              <w:color w:val="002957"/>
              <w:sz w:val="17"/>
              <w:szCs w:val="17"/>
            </w:rPr>
          </w:pPr>
          <w:sdt>
            <w:sdtPr>
              <w:rPr>
                <w:b w:val="0"/>
                <w:color w:val="002957"/>
                <w:sz w:val="17"/>
                <w:szCs w:val="17"/>
              </w:rPr>
              <w:alias w:val="Title"/>
              <w:tag w:val=""/>
              <w:id w:val="-1002888647"/>
              <w:placeholder>
                <w:docPart w:val="8925C57A785147E09E4C8FAE8E1FF3E2"/>
              </w:placeholder>
              <w:dataBinding w:prefixMappings="xmlns:ns0='http://purl.org/dc/elements/1.1/' xmlns:ns1='http://schemas.openxmlformats.org/package/2006/metadata/core-properties' " w:xpath="/ns1:coreProperties[1]/ns0:title[1]" w:storeItemID="{6C3C8BC8-F283-45AE-878A-BAB7291924A1}"/>
              <w:text/>
            </w:sdtPr>
            <w:sdtEndPr/>
            <w:sdtContent>
              <w:r w:rsidR="00D2341A">
                <w:rPr>
                  <w:b w:val="0"/>
                  <w:color w:val="002957"/>
                  <w:sz w:val="17"/>
                  <w:szCs w:val="17"/>
                </w:rPr>
                <w:t>Insurance Europe position on IGS: preparatory work</w:t>
              </w:r>
            </w:sdtContent>
          </w:sdt>
        </w:p>
      </w:tc>
    </w:tr>
  </w:tbl>
  <w:p w14:paraId="3259E242" w14:textId="77777777" w:rsidR="00D2341A" w:rsidRPr="00CE6BD9" w:rsidRDefault="00D2341A" w:rsidP="00D2341A">
    <w:pPr>
      <w:pStyle w:val="Noparagraphstyle"/>
      <w:rPr>
        <w:rFonts w:ascii="Verdana" w:hAnsi="Verdana" w:cs="Arial"/>
        <w:i/>
        <w:iCs/>
        <w:color w:val="034EA2"/>
      </w:rPr>
    </w:pPr>
  </w:p>
  <w:p w14:paraId="7A772053" w14:textId="77777777" w:rsidR="00CB79AB" w:rsidRDefault="00CB79AB">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D5F67" w14:textId="77777777" w:rsidR="00D2341A" w:rsidRDefault="00D2341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CEA - Bullets Rounded Squares_BulletLevel1_forMS"/>
      </v:shape>
    </w:pict>
  </w:numPicBullet>
  <w:numPicBullet w:numPicBulletId="1">
    <w:pict>
      <v:shape id="_x0000_i1030" type="#_x0000_t75" style="width:7.5pt;height:7.5pt" o:bullet="t">
        <v:imagedata r:id="rId2" o:title="CEA - Bullets Rounded Squares_BulletLevel2_forMS"/>
      </v:shape>
    </w:pict>
  </w:numPicBullet>
  <w:numPicBullet w:numPicBulletId="2">
    <w:pict>
      <v:shape id="_x0000_i1031" type="#_x0000_t75" style="width:9pt;height:9pt" o:bullet="t">
        <v:imagedata r:id="rId3" o:title="CEA - Bullets Rounded Squares_BulletLevel3_forMS"/>
      </v:shape>
    </w:pict>
  </w:numPicBullet>
  <w:abstractNum w:abstractNumId="0" w15:restartNumberingAfterBreak="0">
    <w:nsid w:val="1054071E"/>
    <w:multiLevelType w:val="hybridMultilevel"/>
    <w:tmpl w:val="74D472B2"/>
    <w:lvl w:ilvl="0" w:tplc="A0240652">
      <w:start w:val="165"/>
      <w:numFmt w:val="bullet"/>
      <w:pStyle w:val="CEABullet-Level2"/>
      <w:lvlText w:val=""/>
      <w:lvlPicBulletId w:val="1"/>
      <w:lvlJc w:val="left"/>
      <w:pPr>
        <w:ind w:left="1080" w:hanging="360"/>
      </w:pPr>
      <w:rPr>
        <w:rFonts w:ascii="Symbol" w:hAnsi="Symbol" w:hint="default"/>
        <w:color w:val="auto"/>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2" w15:restartNumberingAfterBreak="0">
    <w:nsid w:val="56803510"/>
    <w:multiLevelType w:val="multilevel"/>
    <w:tmpl w:val="B7EEB52C"/>
    <w:lvl w:ilvl="0">
      <w:start w:val="1"/>
      <w:numFmt w:val="decimal"/>
      <w:lvlText w:val="%1."/>
      <w:lvlJc w:val="left"/>
      <w:pPr>
        <w:ind w:left="717" w:hanging="360"/>
      </w:pPr>
      <w:rPr>
        <w:rFonts w:ascii="Verdana" w:hAnsi="Verdana" w:hint="default"/>
        <w:b w:val="0"/>
        <w:i w:val="0"/>
        <w:color w:val="002957"/>
        <w:sz w:val="17"/>
        <w:szCs w:val="32"/>
      </w:rPr>
    </w:lvl>
    <w:lvl w:ilvl="1">
      <w:start w:val="1"/>
      <w:numFmt w:val="decimal"/>
      <w:lvlText w:val="%1.%2"/>
      <w:lvlJc w:val="left"/>
      <w:pPr>
        <w:tabs>
          <w:tab w:val="num" w:pos="1134"/>
        </w:tabs>
        <w:ind w:left="1134" w:hanging="113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1134"/>
      </w:pPr>
      <w:rPr>
        <w:rFonts w:ascii="Arial Black" w:hAnsi="Arial Black" w:hint="default"/>
        <w:b w:val="0"/>
        <w:i w:val="0"/>
        <w:sz w:val="20"/>
        <w:szCs w:val="20"/>
      </w:rPr>
    </w:lvl>
    <w:lvl w:ilvl="3">
      <w:start w:val="1"/>
      <w:numFmt w:val="decimal"/>
      <w:lvlText w:val="%1.%2.%3.%4"/>
      <w:lvlJc w:val="right"/>
      <w:pPr>
        <w:tabs>
          <w:tab w:val="num" w:pos="360"/>
        </w:tabs>
        <w:ind w:left="0" w:firstLine="0"/>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3"/>
  </w:num>
  <w:num w:numId="6">
    <w:abstractNumId w:val="3"/>
  </w:num>
  <w:num w:numId="7">
    <w:abstractNumId w:val="3"/>
  </w:num>
  <w:num w:numId="8">
    <w:abstractNumId w:val="0"/>
  </w:num>
  <w:num w:numId="9">
    <w:abstractNumId w:val="0"/>
  </w:num>
  <w:num w:numId="10">
    <w:abstractNumId w:val="0"/>
  </w:num>
  <w:num w:numId="11">
    <w:abstractNumId w:val="0"/>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0"/>
  </w:num>
  <w:num w:numId="21">
    <w:abstractNumId w:val="0"/>
  </w:num>
  <w:num w:numId="22">
    <w:abstractNumId w:val="0"/>
  </w:num>
  <w:num w:numId="23">
    <w:abstractNumId w:val="0"/>
  </w:num>
  <w:num w:numId="24">
    <w:abstractNumId w:val="3"/>
  </w:num>
  <w:num w:numId="25">
    <w:abstractNumId w:val="3"/>
  </w:num>
  <w:num w:numId="26">
    <w:abstractNumId w:val="3"/>
  </w:num>
  <w:num w:numId="27">
    <w:abstractNumId w:val="3"/>
  </w:num>
  <w:num w:numId="28">
    <w:abstractNumId w:val="3"/>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735"/>
    <w:rsid w:val="000006E0"/>
    <w:rsid w:val="00006D8A"/>
    <w:rsid w:val="0001190C"/>
    <w:rsid w:val="00032454"/>
    <w:rsid w:val="000325D6"/>
    <w:rsid w:val="0003560E"/>
    <w:rsid w:val="00036662"/>
    <w:rsid w:val="00040865"/>
    <w:rsid w:val="0004700E"/>
    <w:rsid w:val="00065170"/>
    <w:rsid w:val="00074B84"/>
    <w:rsid w:val="00080D58"/>
    <w:rsid w:val="000874EF"/>
    <w:rsid w:val="000D7957"/>
    <w:rsid w:val="000F14B7"/>
    <w:rsid w:val="001006F9"/>
    <w:rsid w:val="00104D82"/>
    <w:rsid w:val="00112561"/>
    <w:rsid w:val="0016089A"/>
    <w:rsid w:val="001A7050"/>
    <w:rsid w:val="001C366D"/>
    <w:rsid w:val="001C38EA"/>
    <w:rsid w:val="001D6F41"/>
    <w:rsid w:val="001F63B5"/>
    <w:rsid w:val="00204AD8"/>
    <w:rsid w:val="002179CD"/>
    <w:rsid w:val="002A62F5"/>
    <w:rsid w:val="002B09FA"/>
    <w:rsid w:val="002C08FE"/>
    <w:rsid w:val="002E16F6"/>
    <w:rsid w:val="002E7241"/>
    <w:rsid w:val="00312ECE"/>
    <w:rsid w:val="00335117"/>
    <w:rsid w:val="00337C0C"/>
    <w:rsid w:val="00383BD7"/>
    <w:rsid w:val="003862DA"/>
    <w:rsid w:val="003D7BCE"/>
    <w:rsid w:val="003E472B"/>
    <w:rsid w:val="00403202"/>
    <w:rsid w:val="0041265F"/>
    <w:rsid w:val="00425286"/>
    <w:rsid w:val="00432993"/>
    <w:rsid w:val="00440FEE"/>
    <w:rsid w:val="0047194A"/>
    <w:rsid w:val="004A31FB"/>
    <w:rsid w:val="004B2590"/>
    <w:rsid w:val="004C1A27"/>
    <w:rsid w:val="004E6023"/>
    <w:rsid w:val="0052201D"/>
    <w:rsid w:val="00534C22"/>
    <w:rsid w:val="005A0D5A"/>
    <w:rsid w:val="005B1678"/>
    <w:rsid w:val="005C7563"/>
    <w:rsid w:val="005E189A"/>
    <w:rsid w:val="005F6211"/>
    <w:rsid w:val="005F70A9"/>
    <w:rsid w:val="0061690A"/>
    <w:rsid w:val="00617136"/>
    <w:rsid w:val="00617EE2"/>
    <w:rsid w:val="00633509"/>
    <w:rsid w:val="00637932"/>
    <w:rsid w:val="00642E7E"/>
    <w:rsid w:val="00652C98"/>
    <w:rsid w:val="006631CF"/>
    <w:rsid w:val="006858DD"/>
    <w:rsid w:val="006C5A35"/>
    <w:rsid w:val="006C69A2"/>
    <w:rsid w:val="006D0A25"/>
    <w:rsid w:val="006D3076"/>
    <w:rsid w:val="006D68B8"/>
    <w:rsid w:val="006F0606"/>
    <w:rsid w:val="0070334B"/>
    <w:rsid w:val="007076A3"/>
    <w:rsid w:val="00721987"/>
    <w:rsid w:val="00726C8B"/>
    <w:rsid w:val="00730E61"/>
    <w:rsid w:val="0076215B"/>
    <w:rsid w:val="007867E7"/>
    <w:rsid w:val="007A35F5"/>
    <w:rsid w:val="007A7222"/>
    <w:rsid w:val="007C0D50"/>
    <w:rsid w:val="007C22E1"/>
    <w:rsid w:val="007E0FCD"/>
    <w:rsid w:val="007F217B"/>
    <w:rsid w:val="00813F7F"/>
    <w:rsid w:val="0082235C"/>
    <w:rsid w:val="0083203B"/>
    <w:rsid w:val="00836D1B"/>
    <w:rsid w:val="0085365A"/>
    <w:rsid w:val="008802C8"/>
    <w:rsid w:val="008B6D77"/>
    <w:rsid w:val="008D30B5"/>
    <w:rsid w:val="008D3CE0"/>
    <w:rsid w:val="008D4C16"/>
    <w:rsid w:val="008E697F"/>
    <w:rsid w:val="008F7613"/>
    <w:rsid w:val="009021BE"/>
    <w:rsid w:val="00911210"/>
    <w:rsid w:val="009406F7"/>
    <w:rsid w:val="00940E05"/>
    <w:rsid w:val="00954F9B"/>
    <w:rsid w:val="0095748D"/>
    <w:rsid w:val="00970505"/>
    <w:rsid w:val="00973CA5"/>
    <w:rsid w:val="009771DD"/>
    <w:rsid w:val="009870D9"/>
    <w:rsid w:val="009A7505"/>
    <w:rsid w:val="009C515F"/>
    <w:rsid w:val="009F424A"/>
    <w:rsid w:val="00A1323F"/>
    <w:rsid w:val="00A46F81"/>
    <w:rsid w:val="00A52C94"/>
    <w:rsid w:val="00A5434D"/>
    <w:rsid w:val="00A5625F"/>
    <w:rsid w:val="00A57ADC"/>
    <w:rsid w:val="00A63735"/>
    <w:rsid w:val="00A77B2B"/>
    <w:rsid w:val="00A87BE2"/>
    <w:rsid w:val="00AA1901"/>
    <w:rsid w:val="00AD17F5"/>
    <w:rsid w:val="00AD18C6"/>
    <w:rsid w:val="00AF6BF5"/>
    <w:rsid w:val="00B51512"/>
    <w:rsid w:val="00B60C64"/>
    <w:rsid w:val="00B65110"/>
    <w:rsid w:val="00B74C8A"/>
    <w:rsid w:val="00BD707B"/>
    <w:rsid w:val="00BE697C"/>
    <w:rsid w:val="00BE6E55"/>
    <w:rsid w:val="00BF3499"/>
    <w:rsid w:val="00BF6346"/>
    <w:rsid w:val="00C11A61"/>
    <w:rsid w:val="00C22B0F"/>
    <w:rsid w:val="00C7255F"/>
    <w:rsid w:val="00C765D8"/>
    <w:rsid w:val="00C9321B"/>
    <w:rsid w:val="00CB79AB"/>
    <w:rsid w:val="00CE2D41"/>
    <w:rsid w:val="00CE5F22"/>
    <w:rsid w:val="00CF772A"/>
    <w:rsid w:val="00D2341A"/>
    <w:rsid w:val="00D31795"/>
    <w:rsid w:val="00D9547C"/>
    <w:rsid w:val="00D9768F"/>
    <w:rsid w:val="00DA27B6"/>
    <w:rsid w:val="00DB7033"/>
    <w:rsid w:val="00DB7363"/>
    <w:rsid w:val="00DC0078"/>
    <w:rsid w:val="00DD3124"/>
    <w:rsid w:val="00DD6DD9"/>
    <w:rsid w:val="00DE05E2"/>
    <w:rsid w:val="00DE4176"/>
    <w:rsid w:val="00DE4C33"/>
    <w:rsid w:val="00DF438A"/>
    <w:rsid w:val="00E573C0"/>
    <w:rsid w:val="00EA142D"/>
    <w:rsid w:val="00EA5695"/>
    <w:rsid w:val="00EB0AB8"/>
    <w:rsid w:val="00EB33F9"/>
    <w:rsid w:val="00ED6DE9"/>
    <w:rsid w:val="00F05AEF"/>
    <w:rsid w:val="00F2349A"/>
    <w:rsid w:val="00F30BCB"/>
    <w:rsid w:val="00F52B17"/>
    <w:rsid w:val="00F70E3A"/>
    <w:rsid w:val="00F722CC"/>
    <w:rsid w:val="00F80E99"/>
    <w:rsid w:val="00F84B0C"/>
    <w:rsid w:val="00F8705B"/>
    <w:rsid w:val="00F96A87"/>
    <w:rsid w:val="00FB3A68"/>
    <w:rsid w:val="00FC1F52"/>
    <w:rsid w:val="00FC34FF"/>
    <w:rsid w:val="00FD44C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D76FB"/>
  <w15:docId w15:val="{2546BD31-8894-4E0A-8B07-F50ACDE6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089A"/>
    <w:pPr>
      <w:spacing w:after="0" w:line="288" w:lineRule="auto"/>
      <w:jc w:val="both"/>
    </w:pPr>
    <w:rPr>
      <w:rFonts w:ascii="Verdana" w:eastAsia="Times New Roman" w:hAnsi="Verdana" w:cs="Times New Roman"/>
      <w:sz w:val="20"/>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6089A"/>
    <w:pPr>
      <w:tabs>
        <w:tab w:val="center" w:pos="4320"/>
        <w:tab w:val="right" w:pos="8640"/>
      </w:tabs>
    </w:pPr>
  </w:style>
  <w:style w:type="character" w:customStyle="1" w:styleId="HlavikaChar">
    <w:name w:val="Hlavička Char"/>
    <w:basedOn w:val="Predvolenpsmoodseku"/>
    <w:link w:val="Hlavika"/>
    <w:semiHidden/>
    <w:rsid w:val="0016089A"/>
    <w:rPr>
      <w:rFonts w:ascii="Verdana" w:eastAsia="Times New Roman" w:hAnsi="Verdana" w:cs="Times New Roman"/>
      <w:sz w:val="20"/>
      <w:szCs w:val="24"/>
      <w:lang w:val="en-GB"/>
    </w:rPr>
  </w:style>
  <w:style w:type="paragraph" w:styleId="Pta">
    <w:name w:val="footer"/>
    <w:basedOn w:val="Normlny"/>
    <w:link w:val="PtaChar"/>
    <w:semiHidden/>
    <w:rsid w:val="0016089A"/>
    <w:pPr>
      <w:tabs>
        <w:tab w:val="center" w:pos="4320"/>
        <w:tab w:val="right" w:pos="8640"/>
      </w:tabs>
    </w:pPr>
  </w:style>
  <w:style w:type="character" w:customStyle="1" w:styleId="PtaChar">
    <w:name w:val="Päta Char"/>
    <w:basedOn w:val="Predvolenpsmoodseku"/>
    <w:link w:val="Pta"/>
    <w:semiHidden/>
    <w:rsid w:val="0016089A"/>
    <w:rPr>
      <w:rFonts w:ascii="Verdana" w:eastAsia="Times New Roman" w:hAnsi="Verdana" w:cs="Times New Roman"/>
      <w:sz w:val="20"/>
      <w:szCs w:val="24"/>
      <w:lang w:val="en-GB"/>
    </w:rPr>
  </w:style>
  <w:style w:type="paragraph" w:customStyle="1" w:styleId="Noparagraphstyle">
    <w:name w:val="[No paragraph style]"/>
    <w:semiHidden/>
    <w:rsid w:val="0016089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6089A"/>
  </w:style>
  <w:style w:type="paragraph" w:customStyle="1" w:styleId="BodyText-CEA">
    <w:name w:val="Body Text - CEA"/>
    <w:basedOn w:val="Normlny"/>
    <w:semiHidden/>
    <w:rsid w:val="0016089A"/>
    <w:pPr>
      <w:autoSpaceDE w:val="0"/>
      <w:autoSpaceDN w:val="0"/>
      <w:adjustRightInd w:val="0"/>
      <w:spacing w:line="24" w:lineRule="atLeast"/>
      <w:jc w:val="right"/>
      <w:textAlignment w:val="center"/>
    </w:pPr>
    <w:rPr>
      <w:rFonts w:cs="Arial"/>
      <w:b/>
      <w:color w:val="034EA2"/>
      <w:w w:val="90"/>
      <w:sz w:val="16"/>
      <w:szCs w:val="16"/>
    </w:rPr>
  </w:style>
  <w:style w:type="character" w:styleId="Zstupntext">
    <w:name w:val="Placeholder Text"/>
    <w:basedOn w:val="Predvolenpsmoodseku"/>
    <w:uiPriority w:val="99"/>
    <w:semiHidden/>
    <w:rsid w:val="0016089A"/>
    <w:rPr>
      <w:color w:val="808080"/>
    </w:rPr>
  </w:style>
  <w:style w:type="paragraph" w:customStyle="1" w:styleId="CEADraft">
    <w:name w:val="CEA Draft"/>
    <w:basedOn w:val="Normlny"/>
    <w:semiHidden/>
    <w:qFormat/>
    <w:rsid w:val="0016089A"/>
    <w:pPr>
      <w:jc w:val="right"/>
    </w:pPr>
    <w:rPr>
      <w:rFonts w:cs="Arial"/>
      <w:b/>
      <w:color w:val="034EA2"/>
      <w:sz w:val="32"/>
      <w:szCs w:val="40"/>
    </w:rPr>
  </w:style>
  <w:style w:type="paragraph" w:customStyle="1" w:styleId="CEAFooterauthorinfo">
    <w:name w:val="CEA Footer (author info)"/>
    <w:basedOn w:val="Normlny"/>
    <w:semiHidden/>
    <w:qFormat/>
    <w:rsid w:val="0016089A"/>
    <w:pPr>
      <w:autoSpaceDE w:val="0"/>
      <w:autoSpaceDN w:val="0"/>
      <w:adjustRightInd w:val="0"/>
      <w:ind w:left="546"/>
      <w:textAlignment w:val="center"/>
    </w:pPr>
    <w:rPr>
      <w:rFonts w:cs="Arial"/>
      <w:b/>
      <w:color w:val="034EA2"/>
      <w:sz w:val="16"/>
      <w:szCs w:val="16"/>
    </w:rPr>
  </w:style>
  <w:style w:type="paragraph" w:customStyle="1" w:styleId="CEALabel">
    <w:name w:val="CEA Label"/>
    <w:basedOn w:val="Normlny"/>
    <w:semiHidden/>
    <w:qFormat/>
    <w:rsid w:val="0016089A"/>
    <w:pPr>
      <w:tabs>
        <w:tab w:val="right" w:pos="360"/>
        <w:tab w:val="left" w:pos="540"/>
      </w:tabs>
      <w:autoSpaceDE w:val="0"/>
      <w:autoSpaceDN w:val="0"/>
      <w:adjustRightInd w:val="0"/>
      <w:spacing w:before="30"/>
      <w:jc w:val="right"/>
      <w:textAlignment w:val="center"/>
    </w:pPr>
    <w:rPr>
      <w:rFonts w:cs="Arial"/>
      <w:b/>
      <w:color w:val="034EA2"/>
      <w:spacing w:val="-4"/>
      <w:w w:val="90"/>
      <w:sz w:val="16"/>
      <w:szCs w:val="16"/>
    </w:rPr>
  </w:style>
  <w:style w:type="paragraph" w:customStyle="1" w:styleId="CEASubjectLine">
    <w:name w:val="CEA Subject Line"/>
    <w:basedOn w:val="Normlny"/>
    <w:semiHidden/>
    <w:qFormat/>
    <w:rsid w:val="0016089A"/>
    <w:rPr>
      <w:rFonts w:cs="Arial"/>
      <w:b/>
      <w:szCs w:val="20"/>
    </w:rPr>
  </w:style>
  <w:style w:type="paragraph" w:customStyle="1" w:styleId="CEADocumentTitle">
    <w:name w:val="CEA Document Title"/>
    <w:basedOn w:val="Hlavika"/>
    <w:semiHidden/>
    <w:qFormat/>
    <w:rsid w:val="0016089A"/>
    <w:pPr>
      <w:tabs>
        <w:tab w:val="clear" w:pos="4320"/>
        <w:tab w:val="clear" w:pos="8640"/>
        <w:tab w:val="center" w:pos="0"/>
        <w:tab w:val="right" w:pos="10440"/>
      </w:tabs>
      <w:jc w:val="right"/>
    </w:pPr>
    <w:rPr>
      <w:b/>
      <w:noProof/>
      <w:color w:val="034EA2"/>
      <w:sz w:val="40"/>
      <w:szCs w:val="40"/>
      <w:lang w:eastAsia="nl-NL"/>
    </w:rPr>
  </w:style>
  <w:style w:type="paragraph" w:customStyle="1" w:styleId="CEAStandardHeading">
    <w:name w:val="CEA Standard Heading"/>
    <w:basedOn w:val="Normlny"/>
    <w:qFormat/>
    <w:rsid w:val="0016089A"/>
    <w:pPr>
      <w:autoSpaceDE w:val="0"/>
      <w:autoSpaceDN w:val="0"/>
      <w:adjustRightInd w:val="0"/>
      <w:textAlignment w:val="center"/>
    </w:pPr>
    <w:rPr>
      <w:rFonts w:cs="Arial"/>
      <w:color w:val="002957"/>
      <w:szCs w:val="22"/>
    </w:rPr>
  </w:style>
  <w:style w:type="paragraph" w:styleId="Textbubliny">
    <w:name w:val="Balloon Text"/>
    <w:basedOn w:val="Normlny"/>
    <w:link w:val="TextbublinyChar"/>
    <w:uiPriority w:val="99"/>
    <w:semiHidden/>
    <w:unhideWhenUsed/>
    <w:rsid w:val="0016089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6089A"/>
    <w:rPr>
      <w:rFonts w:ascii="Tahoma" w:eastAsia="Times New Roman" w:hAnsi="Tahoma" w:cs="Tahoma"/>
      <w:sz w:val="16"/>
      <w:szCs w:val="16"/>
      <w:lang w:val="en-GB"/>
    </w:rPr>
  </w:style>
  <w:style w:type="paragraph" w:customStyle="1" w:styleId="CEABullet-Level1">
    <w:name w:val="CEA Bullet - Level 1"/>
    <w:basedOn w:val="Normlny"/>
    <w:qFormat/>
    <w:rsid w:val="00425286"/>
    <w:pPr>
      <w:numPr>
        <w:numId w:val="1"/>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425286"/>
    <w:pPr>
      <w:numPr>
        <w:numId w:val="2"/>
      </w:numPr>
    </w:pPr>
  </w:style>
  <w:style w:type="paragraph" w:customStyle="1" w:styleId="CEABullet-Level3">
    <w:name w:val="CEA Bullet - Level 3"/>
    <w:basedOn w:val="Normlny"/>
    <w:qFormat/>
    <w:rsid w:val="00425286"/>
    <w:pPr>
      <w:numPr>
        <w:numId w:val="3"/>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425286"/>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425286"/>
    <w:pPr>
      <w:jc w:val="right"/>
    </w:pPr>
    <w:rPr>
      <w:rFonts w:cs="Frutiger LT Std 55 Roman"/>
      <w:b/>
      <w:color w:val="0032FF"/>
      <w:sz w:val="40"/>
      <w:szCs w:val="40"/>
    </w:rPr>
  </w:style>
  <w:style w:type="paragraph" w:customStyle="1" w:styleId="CEAFootnote">
    <w:name w:val="CEA Footnote"/>
    <w:basedOn w:val="Normlny"/>
    <w:semiHidden/>
    <w:qFormat/>
    <w:rsid w:val="00425286"/>
    <w:pPr>
      <w:spacing w:line="240" w:lineRule="auto"/>
    </w:pPr>
    <w:rPr>
      <w:sz w:val="16"/>
    </w:rPr>
  </w:style>
  <w:style w:type="character" w:customStyle="1" w:styleId="CEAGraphTitle">
    <w:name w:val="CEA Graph Title"/>
    <w:uiPriority w:val="1"/>
    <w:qFormat/>
    <w:rsid w:val="00425286"/>
    <w:rPr>
      <w:rFonts w:ascii="Verdana" w:hAnsi="Verdana"/>
      <w:smallCaps w:val="0"/>
      <w:sz w:val="19"/>
      <w:lang w:val="en-GB"/>
    </w:rPr>
  </w:style>
  <w:style w:type="character" w:customStyle="1" w:styleId="CEAGraphX">
    <w:name w:val="CEA Graph X"/>
    <w:uiPriority w:val="1"/>
    <w:qFormat/>
    <w:rsid w:val="00425286"/>
    <w:rPr>
      <w:rFonts w:ascii="Verdana" w:hAnsi="Verdana"/>
      <w:smallCaps/>
      <w:sz w:val="19"/>
      <w:lang w:val="en-GB"/>
    </w:rPr>
  </w:style>
  <w:style w:type="paragraph" w:customStyle="1" w:styleId="CEAPositionPaperTitle">
    <w:name w:val="CEA Position Paper Title"/>
    <w:basedOn w:val="Normlny"/>
    <w:semiHidden/>
    <w:qFormat/>
    <w:rsid w:val="00425286"/>
    <w:pPr>
      <w:ind w:left="-27"/>
    </w:pPr>
    <w:rPr>
      <w:b/>
      <w:color w:val="034EA2"/>
      <w:sz w:val="32"/>
      <w:szCs w:val="32"/>
    </w:rPr>
  </w:style>
  <w:style w:type="paragraph" w:customStyle="1" w:styleId="CEAPressReleaseSubtitle">
    <w:name w:val="CEA Press Release Subtitle"/>
    <w:basedOn w:val="Normlny"/>
    <w:semiHidden/>
    <w:qFormat/>
    <w:rsid w:val="00425286"/>
    <w:rPr>
      <w:sz w:val="22"/>
      <w:szCs w:val="22"/>
    </w:rPr>
  </w:style>
  <w:style w:type="paragraph" w:customStyle="1" w:styleId="CEAPressReleaseTitle">
    <w:name w:val="CEA Press Release Title"/>
    <w:basedOn w:val="Normlny"/>
    <w:semiHidden/>
    <w:qFormat/>
    <w:rsid w:val="00425286"/>
    <w:pPr>
      <w:autoSpaceDE w:val="0"/>
      <w:autoSpaceDN w:val="0"/>
      <w:adjustRightInd w:val="0"/>
      <w:spacing w:line="240" w:lineRule="auto"/>
    </w:pPr>
    <w:rPr>
      <w:rFonts w:ascii="Frutiger LT Com 45 Light" w:hAnsi="Frutiger LT Com 45 Light"/>
      <w:b/>
      <w:color w:val="034EA2"/>
      <w:sz w:val="36"/>
      <w:szCs w:val="36"/>
    </w:rPr>
  </w:style>
  <w:style w:type="character" w:styleId="Odkaznakomentr">
    <w:name w:val="annotation reference"/>
    <w:basedOn w:val="Predvolenpsmoodseku"/>
    <w:uiPriority w:val="99"/>
    <w:semiHidden/>
    <w:unhideWhenUsed/>
    <w:rsid w:val="002C08FE"/>
    <w:rPr>
      <w:sz w:val="16"/>
      <w:szCs w:val="16"/>
    </w:rPr>
  </w:style>
  <w:style w:type="paragraph" w:styleId="Textkomentra">
    <w:name w:val="annotation text"/>
    <w:basedOn w:val="Normlny"/>
    <w:link w:val="TextkomentraChar"/>
    <w:uiPriority w:val="99"/>
    <w:semiHidden/>
    <w:unhideWhenUsed/>
    <w:rsid w:val="002C08FE"/>
    <w:pPr>
      <w:spacing w:line="240" w:lineRule="auto"/>
    </w:pPr>
    <w:rPr>
      <w:szCs w:val="20"/>
    </w:rPr>
  </w:style>
  <w:style w:type="character" w:customStyle="1" w:styleId="TextkomentraChar">
    <w:name w:val="Text komentára Char"/>
    <w:basedOn w:val="Predvolenpsmoodseku"/>
    <w:link w:val="Textkomentra"/>
    <w:uiPriority w:val="99"/>
    <w:semiHidden/>
    <w:rsid w:val="002C08FE"/>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2C08FE"/>
    <w:rPr>
      <w:b/>
      <w:bCs/>
    </w:rPr>
  </w:style>
  <w:style w:type="character" w:customStyle="1" w:styleId="PredmetkomentraChar">
    <w:name w:val="Predmet komentára Char"/>
    <w:basedOn w:val="TextkomentraChar"/>
    <w:link w:val="Predmetkomentra"/>
    <w:uiPriority w:val="99"/>
    <w:semiHidden/>
    <w:rsid w:val="002C08FE"/>
    <w:rPr>
      <w:rFonts w:ascii="Verdana" w:eastAsia="Times New Roman" w:hAnsi="Verdana" w:cs="Times New Roman"/>
      <w:b/>
      <w:bCs/>
      <w:sz w:val="20"/>
      <w:szCs w:val="20"/>
      <w:lang w:val="en-GB"/>
    </w:rPr>
  </w:style>
  <w:style w:type="character" w:styleId="Hypertextovprepojenie">
    <w:name w:val="Hyperlink"/>
    <w:basedOn w:val="Predvolenpsmoodseku"/>
    <w:uiPriority w:val="99"/>
    <w:unhideWhenUsed/>
    <w:rsid w:val="004B2590"/>
    <w:rPr>
      <w:color w:val="0000FF" w:themeColor="hyperlink"/>
      <w:u w:val="single"/>
    </w:rPr>
  </w:style>
  <w:style w:type="character" w:customStyle="1" w:styleId="UnresolvedMention">
    <w:name w:val="Unresolved Mention"/>
    <w:basedOn w:val="Predvolenpsmoodseku"/>
    <w:uiPriority w:val="99"/>
    <w:semiHidden/>
    <w:unhideWhenUsed/>
    <w:rsid w:val="004B2590"/>
    <w:rPr>
      <w:color w:val="605E5C"/>
      <w:shd w:val="clear" w:color="auto" w:fill="E1DFDD"/>
    </w:rPr>
  </w:style>
  <w:style w:type="character" w:styleId="PouitHypertextovPrepojenie">
    <w:name w:val="FollowedHyperlink"/>
    <w:basedOn w:val="Predvolenpsmoodseku"/>
    <w:uiPriority w:val="99"/>
    <w:semiHidden/>
    <w:unhideWhenUsed/>
    <w:rsid w:val="005F6211"/>
    <w:rPr>
      <w:color w:val="800080" w:themeColor="followedHyperlink"/>
      <w:u w:val="single"/>
    </w:rPr>
  </w:style>
  <w:style w:type="paragraph" w:styleId="Revzia">
    <w:name w:val="Revision"/>
    <w:hidden/>
    <w:uiPriority w:val="99"/>
    <w:semiHidden/>
    <w:rsid w:val="00642E7E"/>
    <w:pPr>
      <w:spacing w:after="0" w:line="240" w:lineRule="auto"/>
    </w:pPr>
    <w:rPr>
      <w:rFonts w:ascii="Verdana" w:eastAsia="Times New Roman" w:hAnsi="Verdana" w:cs="Times New Roman"/>
      <w:sz w:val="20"/>
      <w:szCs w:val="24"/>
      <w:lang w:val="en-GB"/>
    </w:rPr>
  </w:style>
  <w:style w:type="paragraph" w:styleId="Odsekzoznamu">
    <w:name w:val="List Paragraph"/>
    <w:basedOn w:val="Normlny"/>
    <w:uiPriority w:val="34"/>
    <w:qFormat/>
    <w:rsid w:val="003862DA"/>
    <w:pPr>
      <w:ind w:left="720"/>
      <w:contextualSpacing/>
    </w:pPr>
  </w:style>
  <w:style w:type="paragraph" w:customStyle="1" w:styleId="Default">
    <w:name w:val="Default"/>
    <w:rsid w:val="003862DA"/>
    <w:pPr>
      <w:autoSpaceDE w:val="0"/>
      <w:autoSpaceDN w:val="0"/>
      <w:adjustRightInd w:val="0"/>
      <w:spacing w:after="0" w:line="240" w:lineRule="auto"/>
    </w:pPr>
    <w:rPr>
      <w:rFonts w:ascii="Verdana" w:hAnsi="Verdana" w:cs="Verdana"/>
      <w:color w:val="000000"/>
      <w:sz w:val="24"/>
      <w:szCs w:val="24"/>
      <w:lang w:val="en-US"/>
    </w:rPr>
  </w:style>
  <w:style w:type="table" w:styleId="Mriekatabuky">
    <w:name w:val="Table Grid"/>
    <w:basedOn w:val="Normlnatabuka"/>
    <w:uiPriority w:val="59"/>
    <w:rsid w:val="00B51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20"/>
    <w:qFormat/>
    <w:rsid w:val="00A52C94"/>
    <w:rPr>
      <w:i/>
      <w:iCs/>
    </w:rPr>
  </w:style>
  <w:style w:type="character" w:styleId="Siln">
    <w:name w:val="Strong"/>
    <w:basedOn w:val="Predvolenpsmoodseku"/>
    <w:uiPriority w:val="22"/>
    <w:qFormat/>
    <w:rsid w:val="00A52C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73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3A52018PC0336"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insuranceeurope.eu/sites/default/files/attachments/Response%20to%20EIOPA%20discussion%20paper%20on%20resolution%20funding%20and%20national%20IG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opa.europa.eu/Publications/Consultations/EIOPA-CP-18-003_Discussion_paper_on_resolution_funding%20and.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info/sites/info/files/business_economy_euro/banking_and_finance/documents/190211-request-eiopa-technical-advice-review-solvency-2.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uranceeurope.eu/sites/default/files/attachments/Position%20paper%20on%20European%20Commission%20proposal%20to%20revise%20Motor%20Insurance%20Directive_0.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68EA9F3B424DCBA2DC266EC1A5F716"/>
        <w:category>
          <w:name w:val="General"/>
          <w:gallery w:val="placeholder"/>
        </w:category>
        <w:types>
          <w:type w:val="bbPlcHdr"/>
        </w:types>
        <w:behaviors>
          <w:behavior w:val="content"/>
        </w:behaviors>
        <w:guid w:val="{710C30B7-CEFD-4D40-8E61-2B3F75DFA8AE}"/>
      </w:docPartPr>
      <w:docPartBody>
        <w:p w:rsidR="00F0590D" w:rsidRDefault="00CC4E42" w:rsidP="00CC4E42">
          <w:pPr>
            <w:pStyle w:val="8268EA9F3B424DCBA2DC266EC1A5F716"/>
          </w:pPr>
          <w:r w:rsidRPr="005E60B9">
            <w:rPr>
              <w:rStyle w:val="Zstupntext"/>
            </w:rPr>
            <w:t>[Type of memo]</w:t>
          </w:r>
        </w:p>
      </w:docPartBody>
    </w:docPart>
    <w:docPart>
      <w:docPartPr>
        <w:name w:val="6467F2255FDA4021A657DE992FBF2EF3"/>
        <w:category>
          <w:name w:val="General"/>
          <w:gallery w:val="placeholder"/>
        </w:category>
        <w:types>
          <w:type w:val="bbPlcHdr"/>
        </w:types>
        <w:behaviors>
          <w:behavior w:val="content"/>
        </w:behaviors>
        <w:guid w:val="{E9C3C423-AE5D-4D23-8F14-687C3CB719C5}"/>
      </w:docPartPr>
      <w:docPartBody>
        <w:p w:rsidR="00F0590D" w:rsidRDefault="00CC4E42" w:rsidP="00CC4E42">
          <w:pPr>
            <w:pStyle w:val="6467F2255FDA4021A657DE992FBF2EF3"/>
          </w:pPr>
          <w:r w:rsidRPr="00207097">
            <w:rPr>
              <w:rStyle w:val="Zstupntext"/>
            </w:rPr>
            <w:t>[Document Date]</w:t>
          </w:r>
        </w:p>
      </w:docPartBody>
    </w:docPart>
    <w:docPart>
      <w:docPartPr>
        <w:name w:val="9B739C20FD304CA382C6C0FAD323C5B5"/>
        <w:category>
          <w:name w:val="General"/>
          <w:gallery w:val="placeholder"/>
        </w:category>
        <w:types>
          <w:type w:val="bbPlcHdr"/>
        </w:types>
        <w:behaviors>
          <w:behavior w:val="content"/>
        </w:behaviors>
        <w:guid w:val="{8E62BA14-DA48-4F3F-AD85-4158506B6A61}"/>
      </w:docPartPr>
      <w:docPartBody>
        <w:p w:rsidR="00F0590D" w:rsidRDefault="00CC4E42" w:rsidP="00CC4E42">
          <w:pPr>
            <w:pStyle w:val="9B739C20FD304CA382C6C0FAD323C5B5"/>
          </w:pPr>
          <w:r w:rsidRPr="00714930">
            <w:rPr>
              <w:rStyle w:val="Zstupntext"/>
            </w:rPr>
            <w:t>[Document Date]</w:t>
          </w:r>
        </w:p>
      </w:docPartBody>
    </w:docPart>
    <w:docPart>
      <w:docPartPr>
        <w:name w:val="8925C57A785147E09E4C8FAE8E1FF3E2"/>
        <w:category>
          <w:name w:val="General"/>
          <w:gallery w:val="placeholder"/>
        </w:category>
        <w:types>
          <w:type w:val="bbPlcHdr"/>
        </w:types>
        <w:behaviors>
          <w:behavior w:val="content"/>
        </w:behaviors>
        <w:guid w:val="{1DDFF99D-6FDE-4BD7-AC91-A14ED4A71A80}"/>
      </w:docPartPr>
      <w:docPartBody>
        <w:p w:rsidR="00F0590D" w:rsidRDefault="00CC4E42" w:rsidP="00CC4E42">
          <w:pPr>
            <w:pStyle w:val="8925C57A785147E09E4C8FAE8E1FF3E2"/>
          </w:pPr>
          <w:r w:rsidRPr="00714930">
            <w:rPr>
              <w:rStyle w:val="Zstupn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EC7"/>
    <w:rsid w:val="00070455"/>
    <w:rsid w:val="000C72E8"/>
    <w:rsid w:val="00157260"/>
    <w:rsid w:val="0025136D"/>
    <w:rsid w:val="002F3188"/>
    <w:rsid w:val="00341B8D"/>
    <w:rsid w:val="005F6EC7"/>
    <w:rsid w:val="00611EB1"/>
    <w:rsid w:val="006704B4"/>
    <w:rsid w:val="00810417"/>
    <w:rsid w:val="008900A2"/>
    <w:rsid w:val="008C5297"/>
    <w:rsid w:val="008C581B"/>
    <w:rsid w:val="00915CD2"/>
    <w:rsid w:val="00925F9C"/>
    <w:rsid w:val="00931FEF"/>
    <w:rsid w:val="009C2D5E"/>
    <w:rsid w:val="00A33A87"/>
    <w:rsid w:val="00A638E5"/>
    <w:rsid w:val="00B17031"/>
    <w:rsid w:val="00B4295B"/>
    <w:rsid w:val="00C96AA8"/>
    <w:rsid w:val="00CC4E42"/>
    <w:rsid w:val="00CE18CD"/>
    <w:rsid w:val="00D92B7A"/>
    <w:rsid w:val="00DD3CE1"/>
    <w:rsid w:val="00DF362A"/>
    <w:rsid w:val="00EF3787"/>
    <w:rsid w:val="00F0590D"/>
    <w:rsid w:val="00F674CA"/>
    <w:rsid w:val="00F85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CC4E42"/>
    <w:rPr>
      <w:color w:val="808080"/>
    </w:rPr>
  </w:style>
  <w:style w:type="paragraph" w:customStyle="1" w:styleId="A76E347B004D4ADE88FA498075F946F3">
    <w:name w:val="A76E347B004D4ADE88FA498075F946F3"/>
    <w:rsid w:val="005F6EC7"/>
  </w:style>
  <w:style w:type="paragraph" w:customStyle="1" w:styleId="89164C105DEA40BE829A7FAA4D12F94B">
    <w:name w:val="89164C105DEA40BE829A7FAA4D12F94B"/>
    <w:rsid w:val="005F6EC7"/>
  </w:style>
  <w:style w:type="paragraph" w:customStyle="1" w:styleId="584EF38CAE9A4F80AF2F6FA01859F6AD">
    <w:name w:val="584EF38CAE9A4F80AF2F6FA01859F6AD"/>
    <w:rsid w:val="005F6EC7"/>
  </w:style>
  <w:style w:type="paragraph" w:customStyle="1" w:styleId="6442B7B8354F4769A48DF92CA6B84260">
    <w:name w:val="6442B7B8354F4769A48DF92CA6B84260"/>
    <w:rsid w:val="005F6EC7"/>
  </w:style>
  <w:style w:type="paragraph" w:customStyle="1" w:styleId="8268EA9F3B424DCBA2DC266EC1A5F716">
    <w:name w:val="8268EA9F3B424DCBA2DC266EC1A5F716"/>
    <w:rsid w:val="00CC4E42"/>
    <w:pPr>
      <w:spacing w:after="160" w:line="259" w:lineRule="auto"/>
    </w:pPr>
  </w:style>
  <w:style w:type="paragraph" w:customStyle="1" w:styleId="6467F2255FDA4021A657DE992FBF2EF3">
    <w:name w:val="6467F2255FDA4021A657DE992FBF2EF3"/>
    <w:rsid w:val="00CC4E42"/>
    <w:pPr>
      <w:spacing w:after="160" w:line="259" w:lineRule="auto"/>
    </w:pPr>
  </w:style>
  <w:style w:type="paragraph" w:customStyle="1" w:styleId="9B739C20FD304CA382C6C0FAD323C5B5">
    <w:name w:val="9B739C20FD304CA382C6C0FAD323C5B5"/>
    <w:rsid w:val="00CC4E42"/>
    <w:pPr>
      <w:spacing w:after="160" w:line="259" w:lineRule="auto"/>
    </w:pPr>
  </w:style>
  <w:style w:type="paragraph" w:customStyle="1" w:styleId="8925C57A785147E09E4C8FAE8E1FF3E2">
    <w:name w:val="8925C57A785147E09E4C8FAE8E1FF3E2"/>
    <w:rsid w:val="00CC4E42"/>
    <w:pPr>
      <w:spacing w:after="160" w:line="259" w:lineRule="auto"/>
    </w:pPr>
  </w:style>
  <w:style w:type="paragraph" w:customStyle="1" w:styleId="67164C199720408EABDC2213226D727C">
    <w:name w:val="67164C199720408EABDC2213226D727C"/>
    <w:rsid w:val="00CC4E42"/>
    <w:pPr>
      <w:spacing w:after="160" w:line="259" w:lineRule="auto"/>
    </w:pPr>
  </w:style>
  <w:style w:type="paragraph" w:customStyle="1" w:styleId="63F143F88804466880486AADBE2203B7">
    <w:name w:val="63F143F88804466880486AADBE2203B7"/>
    <w:rsid w:val="00CC4E42"/>
    <w:pPr>
      <w:spacing w:after="160" w:line="259" w:lineRule="auto"/>
    </w:pPr>
  </w:style>
  <w:style w:type="paragraph" w:customStyle="1" w:styleId="1FAE500958474F0D8240A157D4516951">
    <w:name w:val="1FAE500958474F0D8240A157D4516951"/>
    <w:rsid w:val="00CC4E42"/>
    <w:pPr>
      <w:spacing w:after="160" w:line="259" w:lineRule="auto"/>
    </w:pPr>
  </w:style>
  <w:style w:type="paragraph" w:customStyle="1" w:styleId="E67090EEE7D7411EB8EF9A7E8C209266">
    <w:name w:val="E67090EEE7D7411EB8EF9A7E8C209266"/>
    <w:rsid w:val="00CC4E42"/>
    <w:pPr>
      <w:spacing w:after="160" w:line="259" w:lineRule="auto"/>
    </w:pPr>
  </w:style>
  <w:style w:type="paragraph" w:customStyle="1" w:styleId="DF52D2611C3B419BB2EA80FF85088770">
    <w:name w:val="DF52D2611C3B419BB2EA80FF85088770"/>
    <w:rsid w:val="00CC4E42"/>
    <w:pPr>
      <w:spacing w:after="160" w:line="259" w:lineRule="auto"/>
    </w:pPr>
  </w:style>
  <w:style w:type="paragraph" w:customStyle="1" w:styleId="721E41E5098540CBBF51BCAFDF2BAA2F">
    <w:name w:val="721E41E5098540CBBF51BCAFDF2BAA2F"/>
    <w:rsid w:val="00CC4E42"/>
    <w:pPr>
      <w:spacing w:after="160" w:line="259" w:lineRule="auto"/>
    </w:pPr>
  </w:style>
  <w:style w:type="paragraph" w:customStyle="1" w:styleId="D5670306612147E68E6457027EE284AB">
    <w:name w:val="D5670306612147E68E6457027EE284AB"/>
    <w:rsid w:val="00CC4E42"/>
    <w:pPr>
      <w:spacing w:after="160" w:line="259" w:lineRule="auto"/>
    </w:pPr>
  </w:style>
  <w:style w:type="paragraph" w:customStyle="1" w:styleId="3463681DFFCE4356AC8BBEAF74EA5608">
    <w:name w:val="3463681DFFCE4356AC8BBEAF74EA5608"/>
    <w:rsid w:val="00CC4E4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249E940B92B4589F3CC898AEFCC96" ma:contentTypeVersion="" ma:contentTypeDescription="Create a new document." ma:contentTypeScope="" ma:versionID="78ef1634eb7755895234b55c7af4b90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543F7-D990-4A6E-8CB8-19DE2D01605D}">
  <ds:schemaRefs>
    <ds:schemaRef ds:uri="http://schemas.microsoft.com/sharepoint/v3/contenttype/forms"/>
  </ds:schemaRefs>
</ds:datastoreItem>
</file>

<file path=customXml/itemProps2.xml><?xml version="1.0" encoding="utf-8"?>
<ds:datastoreItem xmlns:ds="http://schemas.openxmlformats.org/officeDocument/2006/customXml" ds:itemID="{658B4365-9E59-48F1-A218-2F83FD0B1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BE8AC2-BC04-484A-AE5F-6753D3DE54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9B4411-7DC1-4725-B0F2-F8E7DF29E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1066</Words>
  <Characters>6077</Characters>
  <Application>Microsoft Office Word</Application>
  <DocSecurity>0</DocSecurity>
  <Lines>50</Lines>
  <Paragraphs>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Insurance Europe position on IGS: preparatory work</vt:lpstr>
      <vt:lpstr>Insurance Europe position on IGS: preparatory work</vt:lpstr>
    </vt:vector>
  </TitlesOfParts>
  <Company>Insurance Europe</Company>
  <LinksUpToDate>false</LinksUpToDate>
  <CharactersWithSpaces>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Europe position on IGS: preparatory work</dc:title>
  <dc:creator>Insurance Europe</dc:creator>
  <cp:lastModifiedBy>Bachníček Jozef</cp:lastModifiedBy>
  <cp:revision>5</cp:revision>
  <dcterms:created xsi:type="dcterms:W3CDTF">2019-05-28T06:41:00Z</dcterms:created>
  <dcterms:modified xsi:type="dcterms:W3CDTF">2019-05-29T12:01:00Z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0x01010079C249E940B92B4589F3CC898AEFCC96</vt:lpwstr>
  </property>
  <property fmtid="{D5CDD505-2E9C-101B-9397-08002B2CF9AE}" pid="3" name="Can be edited">
    <vt:bool>true</vt:bool>
  </property>
  <property fmtid="{D5CDD505-2E9C-101B-9397-08002B2CF9AE}" pid="4" name="Type of document">
    <vt:lpwstr>Memo</vt:lpwstr>
  </property>
  <property fmtid="{D5CDD505-2E9C-101B-9397-08002B2CF9AE}" pid="5" name="isAnnex">
    <vt:lpwstr>False</vt:lpwstr>
  </property>
  <property fmtid="{D5CDD505-2E9C-101B-9397-08002B2CF9AE}" pid="6" name="Validated">
    <vt:bool>false</vt:bool>
  </property>
  <property fmtid="{D5CDD505-2E9C-101B-9397-08002B2CF9AE}" pid="7" name="Type of memo">
    <vt:lpwstr>action</vt:lpwstr>
  </property>
  <property fmtid="{D5CDD505-2E9C-101B-9397-08002B2CF9AE}" pid="8" name="Deadline">
    <vt:filetime>2019-06-14T21:55:00Z</vt:filetime>
  </property>
  <property fmtid="{D5CDD505-2E9C-101B-9397-08002B2CF9AE}" pid="9" name="Display validated documents library button">
    <vt:bool>true</vt:bool>
  </property>
  <property fmtid="{D5CDD505-2E9C-101B-9397-08002B2CF9AE}" pid="10" name="AllowComments">
    <vt:bool>false</vt:bool>
  </property>
  <property fmtid="{D5CDD505-2E9C-101B-9397-08002B2CF9AE}" pid="11" name="Uploads">
    <vt:bool>true</vt:bool>
  </property>
</Properties>
</file>