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3289" w14:textId="77777777" w:rsidR="00152882" w:rsidRDefault="00152882" w:rsidP="003D0236">
      <w:pPr>
        <w:rPr>
          <w:sz w:val="17"/>
          <w:szCs w:val="17"/>
        </w:rPr>
      </w:pPr>
    </w:p>
    <w:p w14:paraId="6F0288BC" w14:textId="3D0ED4AE" w:rsidR="00870794" w:rsidRPr="00870794" w:rsidRDefault="00870794" w:rsidP="00870794">
      <w:pPr>
        <w:tabs>
          <w:tab w:val="left" w:pos="7866"/>
        </w:tabs>
        <w:rPr>
          <w:sz w:val="17"/>
          <w:szCs w:val="17"/>
        </w:rPr>
        <w:sectPr w:rsidR="00870794" w:rsidRPr="00870794" w:rsidSect="00E06F0E">
          <w:headerReference w:type="default" r:id="rId11"/>
          <w:footerReference w:type="even" r:id="rId12"/>
          <w:footerReference w:type="default" r:id="rId13"/>
          <w:headerReference w:type="first" r:id="rId14"/>
          <w:footerReference w:type="first" r:id="rId15"/>
          <w:pgSz w:w="11907" w:h="16839" w:code="9"/>
          <w:pgMar w:top="2336" w:right="907" w:bottom="1599" w:left="1418" w:header="709" w:footer="238" w:gutter="0"/>
          <w:cols w:space="708"/>
          <w:titlePg/>
          <w:docGrid w:linePitch="360"/>
        </w:sectPr>
      </w:pPr>
      <w:r>
        <w:rPr>
          <w:sz w:val="17"/>
          <w:szCs w:val="17"/>
        </w:rPr>
        <w:tab/>
      </w:r>
    </w:p>
    <w:p w14:paraId="4F447F98" w14:textId="493A09B1" w:rsidR="00152882" w:rsidRPr="00CD064F" w:rsidRDefault="00240F50" w:rsidP="003D0236">
      <w:pPr>
        <w:autoSpaceDE w:val="0"/>
        <w:autoSpaceDN w:val="0"/>
        <w:adjustRightInd w:val="0"/>
        <w:rPr>
          <w:b/>
          <w:color w:val="002957"/>
          <w:sz w:val="17"/>
          <w:szCs w:val="17"/>
        </w:rPr>
      </w:pPr>
      <w:bookmarkStart w:id="2" w:name="_Hlk153871272"/>
      <w:r w:rsidRPr="00CD064F">
        <w:rPr>
          <w:b/>
          <w:color w:val="002957"/>
          <w:sz w:val="17"/>
          <w:szCs w:val="17"/>
        </w:rPr>
        <w:t>Introduction</w:t>
      </w:r>
    </w:p>
    <w:p w14:paraId="11DFC842" w14:textId="77777777" w:rsidR="00152882" w:rsidRPr="00CD064F" w:rsidRDefault="00152882" w:rsidP="003D0236">
      <w:pPr>
        <w:rPr>
          <w:sz w:val="17"/>
          <w:szCs w:val="17"/>
        </w:rPr>
      </w:pPr>
    </w:p>
    <w:p w14:paraId="3EF0C1F6" w14:textId="527B86A0" w:rsidR="00E67C1B" w:rsidRPr="00CD064F" w:rsidRDefault="00E67C1B" w:rsidP="00EB2AAD">
      <w:pPr>
        <w:rPr>
          <w:sz w:val="17"/>
          <w:szCs w:val="17"/>
        </w:rPr>
      </w:pPr>
      <w:r w:rsidRPr="00CD064F">
        <w:rPr>
          <w:sz w:val="17"/>
          <w:szCs w:val="17"/>
        </w:rPr>
        <w:t xml:space="preserve">Insurance Europe </w:t>
      </w:r>
      <w:bookmarkEnd w:id="2"/>
      <w:r w:rsidR="008F7D8B" w:rsidRPr="00CD064F">
        <w:rPr>
          <w:sz w:val="17"/>
          <w:szCs w:val="17"/>
        </w:rPr>
        <w:t xml:space="preserve">takes note of </w:t>
      </w:r>
      <w:r w:rsidRPr="00CD064F">
        <w:rPr>
          <w:sz w:val="17"/>
          <w:szCs w:val="17"/>
        </w:rPr>
        <w:t xml:space="preserve">the </w:t>
      </w:r>
      <w:r w:rsidR="00EB2AAD" w:rsidRPr="00CD064F">
        <w:rPr>
          <w:sz w:val="17"/>
          <w:szCs w:val="17"/>
        </w:rPr>
        <w:t xml:space="preserve">Final Report on draft Regulatory Technical Standards </w:t>
      </w:r>
      <w:r w:rsidR="00416AAB" w:rsidRPr="00CD064F">
        <w:rPr>
          <w:sz w:val="17"/>
          <w:szCs w:val="17"/>
        </w:rPr>
        <w:t xml:space="preserve">(RTS) </w:t>
      </w:r>
      <w:r w:rsidR="00EB2AAD" w:rsidRPr="00CD064F">
        <w:rPr>
          <w:sz w:val="17"/>
          <w:szCs w:val="17"/>
        </w:rPr>
        <w:t xml:space="preserve">released by the </w:t>
      </w:r>
      <w:r w:rsidR="00F013D5" w:rsidRPr="00CD064F">
        <w:rPr>
          <w:sz w:val="17"/>
          <w:szCs w:val="17"/>
        </w:rPr>
        <w:t>European Supervisory Authorities (</w:t>
      </w:r>
      <w:r w:rsidRPr="00CD064F">
        <w:rPr>
          <w:sz w:val="17"/>
          <w:szCs w:val="17"/>
        </w:rPr>
        <w:t>ESAs</w:t>
      </w:r>
      <w:r w:rsidR="00F013D5" w:rsidRPr="00CD064F">
        <w:rPr>
          <w:sz w:val="17"/>
          <w:szCs w:val="17"/>
        </w:rPr>
        <w:t>)</w:t>
      </w:r>
      <w:r w:rsidRPr="00CD064F">
        <w:rPr>
          <w:sz w:val="17"/>
          <w:szCs w:val="17"/>
        </w:rPr>
        <w:t xml:space="preserve"> </w:t>
      </w:r>
      <w:r w:rsidR="00EB2AAD" w:rsidRPr="00CD064F">
        <w:rPr>
          <w:sz w:val="17"/>
          <w:szCs w:val="17"/>
        </w:rPr>
        <w:t>in December 2023</w:t>
      </w:r>
      <w:r w:rsidRPr="00CD064F">
        <w:rPr>
          <w:sz w:val="17"/>
          <w:szCs w:val="17"/>
        </w:rPr>
        <w:t xml:space="preserve">, </w:t>
      </w:r>
      <w:r w:rsidR="0011070F" w:rsidRPr="00CD064F">
        <w:rPr>
          <w:sz w:val="17"/>
          <w:szCs w:val="17"/>
        </w:rPr>
        <w:t>responding t</w:t>
      </w:r>
      <w:r w:rsidR="00F35CEB" w:rsidRPr="00CD064F">
        <w:rPr>
          <w:sz w:val="17"/>
          <w:szCs w:val="17"/>
        </w:rPr>
        <w:t>o the EC call for advise on</w:t>
      </w:r>
      <w:r w:rsidRPr="00CD064F">
        <w:rPr>
          <w:sz w:val="17"/>
          <w:szCs w:val="17"/>
        </w:rPr>
        <w:t xml:space="preserve"> the review of Principle Adverse Impact (PAI) indicators and inclusion of decarbonisation targets</w:t>
      </w:r>
      <w:r w:rsidR="00F35CEB" w:rsidRPr="00CD064F">
        <w:rPr>
          <w:sz w:val="17"/>
          <w:szCs w:val="17"/>
        </w:rPr>
        <w:t xml:space="preserve"> and to address technical issues that have emerged since the SFDR was introduced</w:t>
      </w:r>
      <w:r w:rsidR="007A1DE6" w:rsidRPr="00CD064F">
        <w:rPr>
          <w:sz w:val="17"/>
          <w:szCs w:val="17"/>
        </w:rPr>
        <w:t>.</w:t>
      </w:r>
    </w:p>
    <w:p w14:paraId="354DC6F2" w14:textId="77777777" w:rsidR="00E67C1B" w:rsidRPr="00CD064F" w:rsidRDefault="00E67C1B" w:rsidP="00E67C1B">
      <w:pPr>
        <w:rPr>
          <w:sz w:val="17"/>
          <w:szCs w:val="17"/>
        </w:rPr>
      </w:pPr>
    </w:p>
    <w:p w14:paraId="51123DE1" w14:textId="7645F39C" w:rsidR="00152882" w:rsidRPr="00CD064F" w:rsidRDefault="00E67C1B" w:rsidP="009548C2">
      <w:pPr>
        <w:rPr>
          <w:sz w:val="17"/>
          <w:szCs w:val="17"/>
        </w:rPr>
      </w:pPr>
      <w:r w:rsidRPr="00CD064F">
        <w:rPr>
          <w:sz w:val="17"/>
          <w:szCs w:val="17"/>
        </w:rPr>
        <w:t>In that respect, the insurance industry would like to highlight the following key elements</w:t>
      </w:r>
      <w:r w:rsidR="001A0018" w:rsidRPr="00CD064F">
        <w:rPr>
          <w:sz w:val="17"/>
          <w:szCs w:val="17"/>
        </w:rPr>
        <w:t>,</w:t>
      </w:r>
      <w:r w:rsidRPr="00CD064F">
        <w:rPr>
          <w:sz w:val="17"/>
          <w:szCs w:val="17"/>
        </w:rPr>
        <w:t xml:space="preserve"> which must be considered</w:t>
      </w:r>
      <w:r w:rsidR="001A0018" w:rsidRPr="00CD064F">
        <w:rPr>
          <w:sz w:val="17"/>
          <w:szCs w:val="17"/>
        </w:rPr>
        <w:t xml:space="preserve"> </w:t>
      </w:r>
      <w:r w:rsidR="009548C2" w:rsidRPr="00CD064F">
        <w:rPr>
          <w:sz w:val="17"/>
          <w:szCs w:val="17"/>
        </w:rPr>
        <w:t>when study</w:t>
      </w:r>
      <w:r w:rsidR="003A29D1" w:rsidRPr="00CD064F">
        <w:rPr>
          <w:sz w:val="17"/>
          <w:szCs w:val="17"/>
        </w:rPr>
        <w:t>ing</w:t>
      </w:r>
      <w:r w:rsidR="009548C2" w:rsidRPr="00CD064F">
        <w:rPr>
          <w:sz w:val="17"/>
          <w:szCs w:val="17"/>
        </w:rPr>
        <w:t xml:space="preserve"> the </w:t>
      </w:r>
      <w:r w:rsidR="00846DE7" w:rsidRPr="00CD064F">
        <w:rPr>
          <w:sz w:val="17"/>
          <w:szCs w:val="17"/>
        </w:rPr>
        <w:t xml:space="preserve">ESAs </w:t>
      </w:r>
      <w:r w:rsidR="009548C2" w:rsidRPr="00CD064F">
        <w:rPr>
          <w:sz w:val="17"/>
          <w:szCs w:val="17"/>
        </w:rPr>
        <w:t xml:space="preserve">report </w:t>
      </w:r>
      <w:r w:rsidR="0060589D" w:rsidRPr="00CD064F">
        <w:rPr>
          <w:sz w:val="17"/>
          <w:szCs w:val="17"/>
        </w:rPr>
        <w:t>f</w:t>
      </w:r>
      <w:r w:rsidR="009548C2" w:rsidRPr="00CD064F">
        <w:rPr>
          <w:sz w:val="17"/>
          <w:szCs w:val="17"/>
        </w:rPr>
        <w:t>o</w:t>
      </w:r>
      <w:r w:rsidR="0060589D" w:rsidRPr="00CD064F">
        <w:rPr>
          <w:sz w:val="17"/>
          <w:szCs w:val="17"/>
        </w:rPr>
        <w:t>r</w:t>
      </w:r>
      <w:r w:rsidR="009548C2" w:rsidRPr="00CD064F">
        <w:rPr>
          <w:sz w:val="17"/>
          <w:szCs w:val="17"/>
        </w:rPr>
        <w:t xml:space="preserve"> </w:t>
      </w:r>
      <w:r w:rsidR="0060589D" w:rsidRPr="00CD064F">
        <w:rPr>
          <w:sz w:val="17"/>
          <w:szCs w:val="17"/>
        </w:rPr>
        <w:t xml:space="preserve">potential </w:t>
      </w:r>
      <w:r w:rsidR="009548C2" w:rsidRPr="00CD064F">
        <w:rPr>
          <w:sz w:val="17"/>
          <w:szCs w:val="17"/>
        </w:rPr>
        <w:t>endorse</w:t>
      </w:r>
      <w:r w:rsidR="0060589D" w:rsidRPr="00CD064F">
        <w:rPr>
          <w:sz w:val="17"/>
          <w:szCs w:val="17"/>
        </w:rPr>
        <w:t xml:space="preserve">ment </w:t>
      </w:r>
      <w:r w:rsidR="008935C3" w:rsidRPr="00CD064F">
        <w:rPr>
          <w:sz w:val="17"/>
          <w:szCs w:val="17"/>
        </w:rPr>
        <w:t xml:space="preserve">by </w:t>
      </w:r>
      <w:r w:rsidR="00F03F30" w:rsidRPr="00CD064F">
        <w:rPr>
          <w:sz w:val="17"/>
          <w:szCs w:val="17"/>
        </w:rPr>
        <w:t>the Commission</w:t>
      </w:r>
      <w:r w:rsidR="008935C3" w:rsidRPr="00CD064F">
        <w:rPr>
          <w:sz w:val="17"/>
          <w:szCs w:val="17"/>
        </w:rPr>
        <w:t xml:space="preserve">. </w:t>
      </w:r>
    </w:p>
    <w:p w14:paraId="4B5F6361" w14:textId="77777777" w:rsidR="00DD5D3F" w:rsidRPr="00CD064F" w:rsidRDefault="00DD5D3F" w:rsidP="00E67C1B">
      <w:pPr>
        <w:rPr>
          <w:sz w:val="17"/>
          <w:szCs w:val="17"/>
        </w:rPr>
      </w:pPr>
    </w:p>
    <w:p w14:paraId="350ED7D9" w14:textId="2B1AB828" w:rsidR="00DD5D3F" w:rsidRPr="00CD064F" w:rsidRDefault="000211D9" w:rsidP="00DD5D3F">
      <w:pPr>
        <w:autoSpaceDE w:val="0"/>
        <w:autoSpaceDN w:val="0"/>
        <w:adjustRightInd w:val="0"/>
        <w:rPr>
          <w:b/>
          <w:color w:val="002957"/>
          <w:sz w:val="17"/>
          <w:szCs w:val="17"/>
        </w:rPr>
      </w:pPr>
      <w:r w:rsidRPr="00CD064F">
        <w:rPr>
          <w:b/>
          <w:color w:val="002957"/>
          <w:sz w:val="17"/>
          <w:szCs w:val="17"/>
        </w:rPr>
        <w:t>General considerations</w:t>
      </w:r>
    </w:p>
    <w:p w14:paraId="157B5DBA" w14:textId="77777777" w:rsidR="00DD5D3F" w:rsidRPr="00CD064F" w:rsidRDefault="00DD5D3F" w:rsidP="00DD5D3F">
      <w:pPr>
        <w:rPr>
          <w:sz w:val="17"/>
          <w:szCs w:val="17"/>
        </w:rPr>
      </w:pPr>
    </w:p>
    <w:p w14:paraId="485CD1B8" w14:textId="5125AE28" w:rsidR="006A3208" w:rsidRPr="00CD064F" w:rsidRDefault="001D7340" w:rsidP="007A1DE6">
      <w:pPr>
        <w:pStyle w:val="CEABullet-Level1"/>
        <w:ind w:left="567" w:hanging="425"/>
        <w:rPr>
          <w:color w:val="000000" w:themeColor="text1"/>
          <w:szCs w:val="17"/>
        </w:rPr>
      </w:pPr>
      <w:r w:rsidRPr="00CD064F">
        <w:rPr>
          <w:szCs w:val="17"/>
        </w:rPr>
        <w:t xml:space="preserve">It is </w:t>
      </w:r>
      <w:r w:rsidRPr="00CD064F">
        <w:rPr>
          <w:b/>
          <w:bCs/>
          <w:szCs w:val="17"/>
        </w:rPr>
        <w:t xml:space="preserve">critical </w:t>
      </w:r>
      <w:r w:rsidR="004A405A" w:rsidRPr="00CD064F">
        <w:rPr>
          <w:b/>
          <w:bCs/>
          <w:szCs w:val="17"/>
        </w:rPr>
        <w:t>that the</w:t>
      </w:r>
      <w:r w:rsidR="007313F5" w:rsidRPr="00CD064F">
        <w:rPr>
          <w:b/>
          <w:bCs/>
          <w:szCs w:val="17"/>
        </w:rPr>
        <w:t xml:space="preserve"> </w:t>
      </w:r>
      <w:r w:rsidRPr="00CD064F">
        <w:rPr>
          <w:b/>
          <w:bCs/>
          <w:szCs w:val="17"/>
        </w:rPr>
        <w:t xml:space="preserve">level 1 and level 2 reviews of </w:t>
      </w:r>
      <w:r w:rsidR="00265EBD" w:rsidRPr="00CD064F">
        <w:rPr>
          <w:b/>
          <w:bCs/>
          <w:szCs w:val="17"/>
        </w:rPr>
        <w:t xml:space="preserve">the </w:t>
      </w:r>
      <w:r w:rsidRPr="00CD064F">
        <w:rPr>
          <w:b/>
          <w:bCs/>
          <w:szCs w:val="17"/>
        </w:rPr>
        <w:t>SFDR</w:t>
      </w:r>
      <w:r w:rsidR="004A405A" w:rsidRPr="00CD064F">
        <w:rPr>
          <w:b/>
          <w:bCs/>
          <w:szCs w:val="17"/>
        </w:rPr>
        <w:t xml:space="preserve"> are </w:t>
      </w:r>
      <w:r w:rsidR="006275A4" w:rsidRPr="00CD064F">
        <w:rPr>
          <w:b/>
          <w:bCs/>
          <w:szCs w:val="17"/>
        </w:rPr>
        <w:t>coordinated</w:t>
      </w:r>
      <w:r w:rsidRPr="00CD064F">
        <w:rPr>
          <w:szCs w:val="17"/>
        </w:rPr>
        <w:t xml:space="preserve"> to guarantee legal certainty and deliver a successful law-making process, preventing overlapping and double efforts. </w:t>
      </w:r>
      <w:r w:rsidR="006616B6" w:rsidRPr="00CD064F">
        <w:rPr>
          <w:szCs w:val="17"/>
        </w:rPr>
        <w:t xml:space="preserve">Consequently, </w:t>
      </w:r>
      <w:r w:rsidR="004F5834" w:rsidRPr="00CD064F">
        <w:rPr>
          <w:b/>
          <w:bCs/>
          <w:szCs w:val="17"/>
        </w:rPr>
        <w:t xml:space="preserve">European insurers support the EC delaying the adoption of the </w:t>
      </w:r>
      <w:r w:rsidR="008F7594" w:rsidRPr="00CD064F">
        <w:rPr>
          <w:b/>
          <w:bCs/>
          <w:szCs w:val="17"/>
        </w:rPr>
        <w:t>l</w:t>
      </w:r>
      <w:r w:rsidR="004F5834" w:rsidRPr="00CD064F">
        <w:rPr>
          <w:b/>
          <w:bCs/>
          <w:szCs w:val="17"/>
        </w:rPr>
        <w:t>evel 2 measures proposed by the ESAs to reconsider changes to the SFDR holistically</w:t>
      </w:r>
      <w:r w:rsidR="006616B6" w:rsidRPr="00CD064F">
        <w:rPr>
          <w:color w:val="000000" w:themeColor="text1"/>
          <w:szCs w:val="17"/>
        </w:rPr>
        <w:t>. The assessment of whether changes and new disclosures should be introduced in the RTS should be done</w:t>
      </w:r>
      <w:r w:rsidR="00C40B9A" w:rsidRPr="00CD064F">
        <w:rPr>
          <w:color w:val="000000" w:themeColor="text1"/>
          <w:szCs w:val="17"/>
        </w:rPr>
        <w:t xml:space="preserve"> </w:t>
      </w:r>
      <w:r w:rsidR="008F6E80" w:rsidRPr="00CD064F">
        <w:rPr>
          <w:color w:val="000000" w:themeColor="text1"/>
          <w:szCs w:val="17"/>
        </w:rPr>
        <w:t>together with the holistic review of the framework</w:t>
      </w:r>
      <w:r w:rsidR="006616B6" w:rsidRPr="00CD064F">
        <w:rPr>
          <w:color w:val="000000" w:themeColor="text1"/>
          <w:szCs w:val="17"/>
        </w:rPr>
        <w:t xml:space="preserve">. The SFDR is </w:t>
      </w:r>
      <w:r w:rsidR="00262579" w:rsidRPr="00CD064F">
        <w:rPr>
          <w:color w:val="000000" w:themeColor="text1"/>
          <w:szCs w:val="17"/>
        </w:rPr>
        <w:t xml:space="preserve">a </w:t>
      </w:r>
      <w:r w:rsidR="006616B6" w:rsidRPr="00CD064F">
        <w:rPr>
          <w:color w:val="000000" w:themeColor="text1"/>
          <w:szCs w:val="17"/>
        </w:rPr>
        <w:t>part of a larger set of regulatory initiatives (including the CSRD, the Taxonomy Regulation, the CSDDD</w:t>
      </w:r>
      <w:r w:rsidR="004250CC" w:rsidRPr="00CD064F">
        <w:rPr>
          <w:color w:val="000000" w:themeColor="text1"/>
          <w:szCs w:val="17"/>
        </w:rPr>
        <w:t>, the IDD</w:t>
      </w:r>
      <w:r w:rsidR="00482B87" w:rsidRPr="00CD064F">
        <w:rPr>
          <w:color w:val="000000" w:themeColor="text1"/>
          <w:szCs w:val="17"/>
        </w:rPr>
        <w:t xml:space="preserve">, </w:t>
      </w:r>
      <w:r w:rsidR="006616B6" w:rsidRPr="00CD064F">
        <w:rPr>
          <w:color w:val="000000" w:themeColor="text1"/>
          <w:szCs w:val="17"/>
        </w:rPr>
        <w:t>and the ESAP which are interconnected, but the infrastructure between these different sets of regulation is still not in place</w:t>
      </w:r>
      <w:r w:rsidR="0077164B" w:rsidRPr="00CD064F">
        <w:rPr>
          <w:color w:val="000000" w:themeColor="text1"/>
          <w:szCs w:val="17"/>
        </w:rPr>
        <w:t>)</w:t>
      </w:r>
      <w:r w:rsidR="00DD0B9A" w:rsidRPr="00CD064F">
        <w:rPr>
          <w:color w:val="000000" w:themeColor="text1"/>
          <w:szCs w:val="17"/>
        </w:rPr>
        <w:t>, and PAI reporting only started in June 2023</w:t>
      </w:r>
      <w:r w:rsidR="006616B6" w:rsidRPr="00CD064F">
        <w:rPr>
          <w:color w:val="000000" w:themeColor="text1"/>
          <w:szCs w:val="17"/>
        </w:rPr>
        <w:t xml:space="preserve"> Therefore, adding further requirements</w:t>
      </w:r>
      <w:r w:rsidR="00741703" w:rsidRPr="00CD064F">
        <w:rPr>
          <w:color w:val="000000" w:themeColor="text1"/>
          <w:szCs w:val="17"/>
        </w:rPr>
        <w:t xml:space="preserve"> </w:t>
      </w:r>
      <w:r w:rsidR="00DD0B9A" w:rsidRPr="00CD064F">
        <w:rPr>
          <w:color w:val="000000" w:themeColor="text1"/>
          <w:szCs w:val="17"/>
        </w:rPr>
        <w:t xml:space="preserve">at this stage </w:t>
      </w:r>
      <w:r w:rsidR="006616B6" w:rsidRPr="00CD064F">
        <w:rPr>
          <w:color w:val="000000" w:themeColor="text1"/>
          <w:szCs w:val="17"/>
        </w:rPr>
        <w:t>seem</w:t>
      </w:r>
      <w:r w:rsidR="00741703" w:rsidRPr="00CD064F">
        <w:rPr>
          <w:color w:val="000000" w:themeColor="text1"/>
          <w:szCs w:val="17"/>
        </w:rPr>
        <w:t>s</w:t>
      </w:r>
      <w:r w:rsidR="006616B6" w:rsidRPr="00CD064F">
        <w:rPr>
          <w:color w:val="000000" w:themeColor="text1"/>
          <w:szCs w:val="17"/>
        </w:rPr>
        <w:t xml:space="preserve"> premature. Instead, </w:t>
      </w:r>
      <w:r w:rsidR="00A23D1D" w:rsidRPr="00CD064F">
        <w:rPr>
          <w:color w:val="000000" w:themeColor="text1"/>
          <w:szCs w:val="17"/>
        </w:rPr>
        <w:t xml:space="preserve">further </w:t>
      </w:r>
      <w:r w:rsidR="006821D2" w:rsidRPr="00CD064F">
        <w:rPr>
          <w:color w:val="000000" w:themeColor="text1"/>
          <w:szCs w:val="17"/>
        </w:rPr>
        <w:t xml:space="preserve">feedback from the implementation of current requirements, and </w:t>
      </w:r>
      <w:r w:rsidR="006616B6" w:rsidRPr="00CD064F">
        <w:rPr>
          <w:color w:val="000000" w:themeColor="text1"/>
          <w:szCs w:val="17"/>
        </w:rPr>
        <w:t xml:space="preserve">a consolidation exercise of the data infrastructure between the different sets of regulation should take place to ensure that the regulation already in force works as intended, </w:t>
      </w:r>
      <w:r w:rsidR="00805EDB" w:rsidRPr="00CD064F">
        <w:rPr>
          <w:color w:val="000000" w:themeColor="text1"/>
          <w:szCs w:val="17"/>
        </w:rPr>
        <w:t>fulfils</w:t>
      </w:r>
      <w:r w:rsidR="006616B6" w:rsidRPr="00CD064F">
        <w:rPr>
          <w:color w:val="000000" w:themeColor="text1"/>
          <w:szCs w:val="17"/>
        </w:rPr>
        <w:t xml:space="preserve"> its purpose and creates value</w:t>
      </w:r>
      <w:r w:rsidR="0088001F" w:rsidRPr="00CD064F">
        <w:rPr>
          <w:color w:val="000000" w:themeColor="text1"/>
          <w:szCs w:val="17"/>
        </w:rPr>
        <w:t xml:space="preserve"> for investors</w:t>
      </w:r>
      <w:r w:rsidR="006616B6" w:rsidRPr="00CD064F">
        <w:rPr>
          <w:color w:val="000000" w:themeColor="text1"/>
          <w:szCs w:val="17"/>
        </w:rPr>
        <w:t>. Stability is necessary to address the current confusion and ensure the credibility of the regulation</w:t>
      </w:r>
      <w:r w:rsidR="00A61DE0" w:rsidRPr="00CD064F">
        <w:rPr>
          <w:color w:val="000000" w:themeColor="text1"/>
          <w:szCs w:val="17"/>
        </w:rPr>
        <w:t xml:space="preserve"> for financial market participants (</w:t>
      </w:r>
      <w:r w:rsidR="00B56E55" w:rsidRPr="00CD064F">
        <w:rPr>
          <w:color w:val="000000" w:themeColor="text1"/>
          <w:szCs w:val="17"/>
        </w:rPr>
        <w:t>FMPs), consumers and investee companies</w:t>
      </w:r>
      <w:r w:rsidR="00B00E26" w:rsidRPr="00CD064F">
        <w:rPr>
          <w:color w:val="000000" w:themeColor="text1"/>
          <w:szCs w:val="17"/>
        </w:rPr>
        <w:t>.</w:t>
      </w:r>
    </w:p>
    <w:p w14:paraId="6169FA15" w14:textId="5B3BF409" w:rsidR="004938CA" w:rsidRPr="00CD064F" w:rsidRDefault="00850924" w:rsidP="004938CA">
      <w:pPr>
        <w:pStyle w:val="CEABullet-Level1"/>
        <w:numPr>
          <w:ilvl w:val="0"/>
          <w:numId w:val="0"/>
        </w:numPr>
        <w:ind w:left="567"/>
        <w:rPr>
          <w:color w:val="000000" w:themeColor="text1"/>
          <w:szCs w:val="17"/>
        </w:rPr>
      </w:pPr>
      <w:r>
        <w:rPr>
          <w:color w:val="000000" w:themeColor="text1"/>
          <w:szCs w:val="17"/>
        </w:rPr>
        <w:t xml:space="preserve"> </w:t>
      </w:r>
    </w:p>
    <w:p w14:paraId="595C0F87" w14:textId="4583639F" w:rsidR="0081167F" w:rsidRPr="00CD064F" w:rsidRDefault="0081167F" w:rsidP="0081167F">
      <w:pPr>
        <w:pStyle w:val="CEABullet-Level1"/>
        <w:ind w:left="567" w:hanging="425"/>
        <w:rPr>
          <w:color w:val="000000" w:themeColor="text1"/>
          <w:szCs w:val="17"/>
        </w:rPr>
      </w:pPr>
      <w:r w:rsidRPr="00CD064F">
        <w:rPr>
          <w:color w:val="000000" w:themeColor="text1"/>
          <w:szCs w:val="17"/>
        </w:rPr>
        <w:lastRenderedPageBreak/>
        <w:t xml:space="preserve">The mandate of the EU-Commission to the ESA to work on Level 2 amendments coincided with the EU-Commission's consultation on a potential review of Level 1. While the Level 1 review itself will be taken up by the new EU-Commission and therefore, timeline and content are still unclear, the </w:t>
      </w:r>
      <w:r w:rsidR="00B923F8" w:rsidRPr="00CD064F">
        <w:rPr>
          <w:color w:val="000000" w:themeColor="text1"/>
          <w:szCs w:val="17"/>
        </w:rPr>
        <w:t>scope</w:t>
      </w:r>
      <w:r w:rsidRPr="00CD064F">
        <w:rPr>
          <w:color w:val="000000" w:themeColor="text1"/>
          <w:szCs w:val="17"/>
        </w:rPr>
        <w:t xml:space="preserve"> of the consultation already made apparent that substantial changes to Level 1 (</w:t>
      </w:r>
      <w:proofErr w:type="spellStart"/>
      <w:r w:rsidRPr="00CD064F">
        <w:rPr>
          <w:color w:val="000000" w:themeColor="text1"/>
          <w:szCs w:val="17"/>
        </w:rPr>
        <w:t>eg</w:t>
      </w:r>
      <w:proofErr w:type="spellEnd"/>
      <w:r w:rsidRPr="00CD064F">
        <w:rPr>
          <w:color w:val="000000" w:themeColor="text1"/>
          <w:szCs w:val="17"/>
        </w:rPr>
        <w:t xml:space="preserve"> potential amendments to Article 8/9 differentiation, potential introduction of a product classification system, potential removal of entity reporting incl. PAI reporting) can be expected with almost certain extensive implications for Level 2. Therefore, having the first wave of Level 2 implementation just finished and the next Level 1 wave already on the horizon, a triple implementation effort due to a premature Level 2 update should be avoided.</w:t>
      </w:r>
      <w:r w:rsidR="009A7EE9" w:rsidRPr="00CD064F">
        <w:rPr>
          <w:color w:val="000000" w:themeColor="text1"/>
          <w:szCs w:val="17"/>
        </w:rPr>
        <w:t xml:space="preserve"> Combining </w:t>
      </w:r>
      <w:r w:rsidRPr="00CD064F">
        <w:rPr>
          <w:color w:val="000000" w:themeColor="text1"/>
          <w:szCs w:val="17"/>
        </w:rPr>
        <w:t xml:space="preserve">the Level 1 and Level 2 </w:t>
      </w:r>
      <w:r w:rsidR="007B01DC" w:rsidRPr="00CD064F">
        <w:rPr>
          <w:color w:val="000000" w:themeColor="text1"/>
          <w:szCs w:val="17"/>
        </w:rPr>
        <w:t xml:space="preserve">reviews </w:t>
      </w:r>
      <w:r w:rsidRPr="00CD064F">
        <w:rPr>
          <w:color w:val="000000" w:themeColor="text1"/>
          <w:szCs w:val="17"/>
        </w:rPr>
        <w:t xml:space="preserve">would also </w:t>
      </w:r>
      <w:r w:rsidR="007B01DC" w:rsidRPr="00CD064F">
        <w:rPr>
          <w:color w:val="000000" w:themeColor="text1"/>
          <w:szCs w:val="17"/>
        </w:rPr>
        <w:t xml:space="preserve">allow </w:t>
      </w:r>
      <w:r w:rsidRPr="00CD064F">
        <w:rPr>
          <w:color w:val="000000" w:themeColor="text1"/>
          <w:szCs w:val="17"/>
        </w:rPr>
        <w:t xml:space="preserve">the </w:t>
      </w:r>
      <w:r w:rsidR="00803E18" w:rsidRPr="00CD064F">
        <w:rPr>
          <w:color w:val="000000" w:themeColor="text1"/>
          <w:szCs w:val="17"/>
        </w:rPr>
        <w:t xml:space="preserve">Commission to account for the </w:t>
      </w:r>
      <w:r w:rsidRPr="00CD064F">
        <w:rPr>
          <w:color w:val="000000" w:themeColor="text1"/>
          <w:szCs w:val="17"/>
        </w:rPr>
        <w:t>results of the consumer testing of the ESA’s proposed amendments, which revealed that the updated templates do not</w:t>
      </w:r>
      <w:r w:rsidR="00803E18" w:rsidRPr="00CD064F">
        <w:rPr>
          <w:color w:val="000000" w:themeColor="text1"/>
          <w:szCs w:val="17"/>
        </w:rPr>
        <w:t xml:space="preserve"> </w:t>
      </w:r>
      <w:r w:rsidRPr="00CD064F">
        <w:rPr>
          <w:color w:val="000000" w:themeColor="text1"/>
          <w:szCs w:val="17"/>
        </w:rPr>
        <w:t xml:space="preserve">lead to the desired reduction of complexity and thus improvements in customer understanding. Changes to the RTS should be postponed until evidence suggests that the benefits of an update outweigh the costs. We also see a significant risk that the quick succession of disclosure </w:t>
      </w:r>
      <w:r w:rsidR="00B34235" w:rsidRPr="00CD064F">
        <w:rPr>
          <w:color w:val="000000" w:themeColor="text1"/>
          <w:szCs w:val="17"/>
        </w:rPr>
        <w:t>changes</w:t>
      </w:r>
      <w:r w:rsidRPr="00CD064F">
        <w:rPr>
          <w:color w:val="000000" w:themeColor="text1"/>
          <w:szCs w:val="17"/>
        </w:rPr>
        <w:t xml:space="preserve">, in combination with substantial implementation costs and little acceptance by consumers, could discourage financial market participants from offering products with sustainable elements. </w:t>
      </w:r>
    </w:p>
    <w:p w14:paraId="37C36DC5" w14:textId="337FC6F3" w:rsidR="00D872F6" w:rsidRPr="00CD064F" w:rsidRDefault="00D872F6">
      <w:pPr>
        <w:pStyle w:val="CEABullet-Level1"/>
        <w:numPr>
          <w:ilvl w:val="0"/>
          <w:numId w:val="0"/>
        </w:numPr>
        <w:rPr>
          <w:color w:val="000000" w:themeColor="text1"/>
          <w:szCs w:val="17"/>
        </w:rPr>
      </w:pPr>
    </w:p>
    <w:p w14:paraId="15FA0734" w14:textId="26D9712B" w:rsidR="005F058D" w:rsidRPr="00CD064F" w:rsidRDefault="001D7340" w:rsidP="007A1DE6">
      <w:pPr>
        <w:pStyle w:val="CEABullet-Level1"/>
        <w:ind w:left="567" w:hanging="425"/>
        <w:rPr>
          <w:szCs w:val="17"/>
        </w:rPr>
      </w:pPr>
      <w:r w:rsidRPr="00CD064F">
        <w:rPr>
          <w:szCs w:val="17"/>
        </w:rPr>
        <w:t xml:space="preserve">It is vital that PAI indicators are consistent and aligned with disclosure requirements under the </w:t>
      </w:r>
      <w:r w:rsidR="002419AE" w:rsidRPr="00CD064F">
        <w:rPr>
          <w:szCs w:val="17"/>
        </w:rPr>
        <w:t>European Sustainability Reporting Standards (</w:t>
      </w:r>
      <w:r w:rsidRPr="00CD064F">
        <w:rPr>
          <w:szCs w:val="17"/>
        </w:rPr>
        <w:t>ESRS</w:t>
      </w:r>
      <w:r w:rsidR="002419AE" w:rsidRPr="00CD064F">
        <w:rPr>
          <w:szCs w:val="17"/>
        </w:rPr>
        <w:t>)</w:t>
      </w:r>
      <w:r w:rsidRPr="00CD064F">
        <w:rPr>
          <w:szCs w:val="17"/>
        </w:rPr>
        <w:t xml:space="preserve"> to ensure the ability of financial market participants to perform their PAI statement disclosures.</w:t>
      </w:r>
      <w:r w:rsidR="001D597A" w:rsidRPr="00CD064F">
        <w:rPr>
          <w:szCs w:val="17"/>
        </w:rPr>
        <w:t xml:space="preserve"> </w:t>
      </w:r>
      <w:r w:rsidR="00CD48E7" w:rsidRPr="00CD064F">
        <w:rPr>
          <w:szCs w:val="17"/>
        </w:rPr>
        <w:t>For example</w:t>
      </w:r>
      <w:r w:rsidR="00502DD7" w:rsidRPr="00CD064F">
        <w:rPr>
          <w:szCs w:val="17"/>
        </w:rPr>
        <w:t xml:space="preserve">, </w:t>
      </w:r>
      <w:r w:rsidR="00D1053A" w:rsidRPr="00CD064F">
        <w:rPr>
          <w:szCs w:val="17"/>
        </w:rPr>
        <w:t>th</w:t>
      </w:r>
      <w:r w:rsidR="00CD48E7" w:rsidRPr="00CD064F">
        <w:rPr>
          <w:szCs w:val="17"/>
        </w:rPr>
        <w:t>e following</w:t>
      </w:r>
      <w:r w:rsidR="005E1CE8" w:rsidRPr="00CD064F">
        <w:rPr>
          <w:szCs w:val="17"/>
        </w:rPr>
        <w:t xml:space="preserve"> </w:t>
      </w:r>
      <w:r w:rsidR="00D1053A" w:rsidRPr="00CD064F">
        <w:rPr>
          <w:szCs w:val="17"/>
        </w:rPr>
        <w:t xml:space="preserve">PAI </w:t>
      </w:r>
      <w:r w:rsidR="00B50363" w:rsidRPr="00CD064F">
        <w:rPr>
          <w:szCs w:val="17"/>
        </w:rPr>
        <w:t xml:space="preserve">indicator </w:t>
      </w:r>
      <w:r w:rsidR="00D1053A" w:rsidRPr="00CD064F">
        <w:rPr>
          <w:szCs w:val="17"/>
        </w:rPr>
        <w:t xml:space="preserve">suggested by the ESAs </w:t>
      </w:r>
      <w:r w:rsidR="005E1CE8" w:rsidRPr="00CD064F">
        <w:rPr>
          <w:szCs w:val="17"/>
        </w:rPr>
        <w:t xml:space="preserve">is </w:t>
      </w:r>
      <w:r w:rsidR="00D1053A" w:rsidRPr="00CD064F">
        <w:rPr>
          <w:szCs w:val="17"/>
        </w:rPr>
        <w:t>not covered by the ESRS</w:t>
      </w:r>
      <w:r w:rsidR="00B50363" w:rsidRPr="00CD064F">
        <w:rPr>
          <w:szCs w:val="17"/>
        </w:rPr>
        <w:t>:</w:t>
      </w:r>
      <w:r w:rsidR="005E1CE8" w:rsidRPr="00CD064F">
        <w:rPr>
          <w:szCs w:val="17"/>
        </w:rPr>
        <w:t xml:space="preserve"> </w:t>
      </w:r>
      <w:r w:rsidR="00C449D1" w:rsidRPr="00CD064F">
        <w:rPr>
          <w:i/>
          <w:iCs/>
          <w:szCs w:val="17"/>
        </w:rPr>
        <w:t>Amount of accumulated earnings in non-cooperative tax jurisdictions applying to investee companies where the total consolidated revenue on their balance sheet date for each of the last two consecutive financial years exceeds a total of EUR 750 M</w:t>
      </w:r>
      <w:r w:rsidR="00C449D1" w:rsidRPr="00CD064F">
        <w:rPr>
          <w:szCs w:val="17"/>
        </w:rPr>
        <w:t xml:space="preserve"> (new addition</w:t>
      </w:r>
      <w:r w:rsidR="005067E0" w:rsidRPr="00CD064F">
        <w:rPr>
          <w:szCs w:val="17"/>
        </w:rPr>
        <w:t xml:space="preserve"> to mandatory social indicators)</w:t>
      </w:r>
      <w:r w:rsidR="00C449D1" w:rsidRPr="00CD064F">
        <w:rPr>
          <w:szCs w:val="17"/>
        </w:rPr>
        <w:t>.</w:t>
      </w:r>
      <w:r w:rsidR="005067E0" w:rsidRPr="00CD064F">
        <w:rPr>
          <w:szCs w:val="17"/>
        </w:rPr>
        <w:t xml:space="preserve"> </w:t>
      </w:r>
      <w:r w:rsidR="00B50363" w:rsidRPr="00CD064F">
        <w:rPr>
          <w:szCs w:val="17"/>
        </w:rPr>
        <w:t xml:space="preserve"> </w:t>
      </w:r>
    </w:p>
    <w:p w14:paraId="7B3861A9" w14:textId="77777777" w:rsidR="00CE4FF9" w:rsidRPr="00CD064F" w:rsidRDefault="00CE4FF9" w:rsidP="00CE4FF9">
      <w:pPr>
        <w:pStyle w:val="CEABullet-Level1"/>
        <w:numPr>
          <w:ilvl w:val="0"/>
          <w:numId w:val="0"/>
        </w:numPr>
        <w:ind w:left="567"/>
        <w:rPr>
          <w:szCs w:val="17"/>
        </w:rPr>
      </w:pPr>
    </w:p>
    <w:p w14:paraId="0F815864" w14:textId="3F9490B9" w:rsidR="005F058D" w:rsidRPr="00CD064F" w:rsidRDefault="008D4EA6" w:rsidP="007A1DE6">
      <w:pPr>
        <w:pStyle w:val="CEABullet-Level2"/>
        <w:ind w:left="567" w:hanging="425"/>
        <w:rPr>
          <w:szCs w:val="17"/>
        </w:rPr>
      </w:pPr>
      <w:r w:rsidRPr="00CD064F">
        <w:rPr>
          <w:szCs w:val="17"/>
        </w:rPr>
        <w:t>Insurance Europe supports the extension of the materiality assessment to all disclosure requirements and datapoints</w:t>
      </w:r>
      <w:r w:rsidR="001377F6" w:rsidRPr="00CD064F">
        <w:rPr>
          <w:szCs w:val="17"/>
        </w:rPr>
        <w:t xml:space="preserve"> (</w:t>
      </w:r>
      <w:r w:rsidRPr="00CD064F">
        <w:rPr>
          <w:szCs w:val="17"/>
        </w:rPr>
        <w:t xml:space="preserve">but the </w:t>
      </w:r>
      <w:r w:rsidR="001377F6" w:rsidRPr="00CD064F">
        <w:rPr>
          <w:szCs w:val="17"/>
        </w:rPr>
        <w:t xml:space="preserve">ESRS 2 </w:t>
      </w:r>
      <w:r w:rsidR="00E051C7" w:rsidRPr="00CD064F">
        <w:rPr>
          <w:szCs w:val="17"/>
        </w:rPr>
        <w:t>General Disclosures</w:t>
      </w:r>
      <w:r w:rsidR="001377F6" w:rsidRPr="00CD064F">
        <w:rPr>
          <w:szCs w:val="17"/>
        </w:rPr>
        <w:t>)</w:t>
      </w:r>
      <w:r w:rsidRPr="00CD064F">
        <w:rPr>
          <w:szCs w:val="17"/>
        </w:rPr>
        <w:t>, as introduced</w:t>
      </w:r>
      <w:r w:rsidR="00674251" w:rsidRPr="00CD064F">
        <w:rPr>
          <w:szCs w:val="17"/>
        </w:rPr>
        <w:t xml:space="preserve"> by </w:t>
      </w:r>
      <w:r w:rsidRPr="00CD064F">
        <w:rPr>
          <w:szCs w:val="17"/>
        </w:rPr>
        <w:t>the Delegated Act</w:t>
      </w:r>
      <w:r w:rsidR="0064032C" w:rsidRPr="00CD064F">
        <w:rPr>
          <w:szCs w:val="17"/>
        </w:rPr>
        <w:t xml:space="preserve"> (DA) </w:t>
      </w:r>
      <w:r w:rsidRPr="00CD064F">
        <w:rPr>
          <w:szCs w:val="17"/>
        </w:rPr>
        <w:t>on ESRS</w:t>
      </w:r>
      <w:r w:rsidR="00275B62" w:rsidRPr="00CD064F">
        <w:rPr>
          <w:szCs w:val="17"/>
        </w:rPr>
        <w:t xml:space="preserve"> </w:t>
      </w:r>
      <w:r w:rsidRPr="00CD064F">
        <w:rPr>
          <w:szCs w:val="17"/>
        </w:rPr>
        <w:t xml:space="preserve">to ensure proportionality in reporting requirements </w:t>
      </w:r>
      <w:r w:rsidR="0064032C" w:rsidRPr="00CD064F">
        <w:rPr>
          <w:szCs w:val="17"/>
        </w:rPr>
        <w:t xml:space="preserve">and the </w:t>
      </w:r>
      <w:r w:rsidRPr="00CD064F">
        <w:rPr>
          <w:szCs w:val="17"/>
        </w:rPr>
        <w:t>relevance of reported information.</w:t>
      </w:r>
      <w:r w:rsidR="008F0DA4" w:rsidRPr="00CD064F">
        <w:rPr>
          <w:szCs w:val="17"/>
        </w:rPr>
        <w:t xml:space="preserve"> </w:t>
      </w:r>
      <w:r w:rsidR="00481520" w:rsidRPr="00CD064F">
        <w:rPr>
          <w:szCs w:val="17"/>
        </w:rPr>
        <w:t xml:space="preserve">Yet, the </w:t>
      </w:r>
      <w:r w:rsidR="00BE1051" w:rsidRPr="00CD064F">
        <w:rPr>
          <w:szCs w:val="17"/>
        </w:rPr>
        <w:t xml:space="preserve">EU </w:t>
      </w:r>
      <w:r w:rsidR="00481520" w:rsidRPr="00CD064F">
        <w:rPr>
          <w:szCs w:val="17"/>
        </w:rPr>
        <w:t>Commission should propose a solution to make sure that FMPs are able to meet their own requirements. The solution currently proposed by the ESAs</w:t>
      </w:r>
      <w:r w:rsidR="00481520" w:rsidRPr="00CD064F">
        <w:rPr>
          <w:i/>
          <w:iCs/>
          <w:szCs w:val="17"/>
        </w:rPr>
        <w:t xml:space="preserve"> - </w:t>
      </w:r>
      <w:proofErr w:type="spellStart"/>
      <w:r w:rsidR="00481520" w:rsidRPr="00CD064F">
        <w:rPr>
          <w:i/>
          <w:iCs/>
          <w:szCs w:val="17"/>
        </w:rPr>
        <w:t>ie</w:t>
      </w:r>
      <w:proofErr w:type="spellEnd"/>
      <w:r w:rsidR="00481520" w:rsidRPr="00CD064F">
        <w:rPr>
          <w:i/>
          <w:iCs/>
          <w:szCs w:val="17"/>
        </w:rPr>
        <w:t xml:space="preserve"> adding a disclosure on the share of companies who assessed the PAI as not material - </w:t>
      </w:r>
      <w:r w:rsidR="00481520" w:rsidRPr="00CD064F">
        <w:rPr>
          <w:szCs w:val="17"/>
        </w:rPr>
        <w:t>will only compl</w:t>
      </w:r>
      <w:r w:rsidR="00335AE7" w:rsidRPr="00CD064F">
        <w:rPr>
          <w:szCs w:val="17"/>
        </w:rPr>
        <w:t>icate</w:t>
      </w:r>
      <w:r w:rsidR="00481520" w:rsidRPr="00CD064F">
        <w:rPr>
          <w:szCs w:val="17"/>
        </w:rPr>
        <w:t xml:space="preserve"> the understandability of PAI</w:t>
      </w:r>
      <w:r w:rsidR="00702041" w:rsidRPr="00CD064F">
        <w:rPr>
          <w:szCs w:val="17"/>
        </w:rPr>
        <w:t>s</w:t>
      </w:r>
      <w:r w:rsidR="00481520" w:rsidRPr="00CD064F">
        <w:rPr>
          <w:szCs w:val="17"/>
        </w:rPr>
        <w:t xml:space="preserve"> and create an overburden for FMPs. </w:t>
      </w:r>
      <w:r w:rsidR="00702041" w:rsidRPr="00CD064F">
        <w:rPr>
          <w:szCs w:val="17"/>
        </w:rPr>
        <w:t xml:space="preserve">Therefore, European insurers </w:t>
      </w:r>
      <w:r w:rsidR="00481520" w:rsidRPr="00CD064F">
        <w:rPr>
          <w:szCs w:val="17"/>
        </w:rPr>
        <w:t>strongly advocate for the publication of a coverage ratio alongside PAI</w:t>
      </w:r>
      <w:r w:rsidR="00702041" w:rsidRPr="00CD064F">
        <w:rPr>
          <w:szCs w:val="17"/>
        </w:rPr>
        <w:t>s</w:t>
      </w:r>
      <w:r w:rsidR="00481520" w:rsidRPr="00CD064F">
        <w:rPr>
          <w:szCs w:val="17"/>
        </w:rPr>
        <w:t xml:space="preserve"> indicators which will improve clarity and relevanc</w:t>
      </w:r>
      <w:r w:rsidR="00702041" w:rsidRPr="00CD064F">
        <w:rPr>
          <w:szCs w:val="17"/>
        </w:rPr>
        <w:t xml:space="preserve">e. </w:t>
      </w:r>
      <w:r w:rsidR="00333789" w:rsidRPr="00CD064F">
        <w:rPr>
          <w:szCs w:val="17"/>
        </w:rPr>
        <w:t>Moreover, European in</w:t>
      </w:r>
      <w:r w:rsidR="00BB2FFA" w:rsidRPr="00CD064F">
        <w:rPr>
          <w:szCs w:val="17"/>
        </w:rPr>
        <w:t xml:space="preserve">surers consider that entity level disclosure should be made exclusively via </w:t>
      </w:r>
      <w:r w:rsidR="00182A5A" w:rsidRPr="00CD064F">
        <w:rPr>
          <w:szCs w:val="17"/>
        </w:rPr>
        <w:t>CSRD/</w:t>
      </w:r>
      <w:r w:rsidR="00BB2FFA" w:rsidRPr="00CD064F">
        <w:rPr>
          <w:szCs w:val="17"/>
        </w:rPr>
        <w:t>ESRS</w:t>
      </w:r>
      <w:r w:rsidR="00182A5A" w:rsidRPr="00CD064F">
        <w:rPr>
          <w:szCs w:val="17"/>
        </w:rPr>
        <w:t>.</w:t>
      </w:r>
      <w:r w:rsidR="00BB2FFA" w:rsidRPr="00CD064F">
        <w:rPr>
          <w:szCs w:val="17"/>
        </w:rPr>
        <w:t xml:space="preserve"> </w:t>
      </w:r>
    </w:p>
    <w:p w14:paraId="76A8644B" w14:textId="77777777" w:rsidR="00CE4FF9" w:rsidRPr="00575E04" w:rsidRDefault="00CE4FF9" w:rsidP="009F45D0">
      <w:pPr>
        <w:rPr>
          <w:sz w:val="17"/>
          <w:szCs w:val="17"/>
        </w:rPr>
      </w:pPr>
    </w:p>
    <w:p w14:paraId="227E9912" w14:textId="488C0D98" w:rsidR="001D7340" w:rsidRPr="00CD064F" w:rsidRDefault="0061203D" w:rsidP="007A1DE6">
      <w:pPr>
        <w:pStyle w:val="CEABullet-Level2"/>
        <w:ind w:left="567" w:hanging="425"/>
        <w:rPr>
          <w:szCs w:val="17"/>
        </w:rPr>
      </w:pPr>
      <w:r w:rsidRPr="00CD064F">
        <w:rPr>
          <w:szCs w:val="17"/>
        </w:rPr>
        <w:t>Instead, a</w:t>
      </w:r>
      <w:r w:rsidR="0073564D" w:rsidRPr="00CD064F">
        <w:rPr>
          <w:szCs w:val="17"/>
        </w:rPr>
        <w:t>dding extra mandatory (</w:t>
      </w:r>
      <w:r w:rsidR="00E85B8B" w:rsidRPr="00CD064F">
        <w:rPr>
          <w:szCs w:val="17"/>
        </w:rPr>
        <w:t xml:space="preserve">or </w:t>
      </w:r>
      <w:r w:rsidR="0073564D" w:rsidRPr="00CD064F">
        <w:rPr>
          <w:szCs w:val="17"/>
        </w:rPr>
        <w:t>optional) indicators further stresses the data collection challenge, especially until data is available from the investee companies under the CSRD and via a</w:t>
      </w:r>
      <w:r w:rsidR="0093414A" w:rsidRPr="00CD064F">
        <w:rPr>
          <w:szCs w:val="17"/>
        </w:rPr>
        <w:t xml:space="preserve">n </w:t>
      </w:r>
      <w:r w:rsidR="0073564D" w:rsidRPr="00CD064F">
        <w:rPr>
          <w:szCs w:val="17"/>
        </w:rPr>
        <w:t xml:space="preserve">accessible data source like the European Single Access Point (even though the lack of data will persist for non-CSRD companies, leaving FMPs with challenges collecting the </w:t>
      </w:r>
      <w:r w:rsidR="00E64B51" w:rsidRPr="00CD064F">
        <w:rPr>
          <w:szCs w:val="17"/>
        </w:rPr>
        <w:t xml:space="preserve">data </w:t>
      </w:r>
      <w:r w:rsidR="0073564D" w:rsidRPr="00CD064F">
        <w:rPr>
          <w:szCs w:val="17"/>
        </w:rPr>
        <w:t>required).</w:t>
      </w:r>
      <w:r w:rsidR="00C96AC5" w:rsidRPr="00CD064F">
        <w:rPr>
          <w:szCs w:val="17"/>
        </w:rPr>
        <w:t xml:space="preserve"> </w:t>
      </w:r>
      <w:r w:rsidR="0073564D" w:rsidRPr="00CD064F">
        <w:rPr>
          <w:szCs w:val="17"/>
        </w:rPr>
        <w:t>To ease this, the timing of the different regulatory requirements (SFDR, EU Taxonomy</w:t>
      </w:r>
      <w:r w:rsidR="007144E0" w:rsidRPr="00CD064F">
        <w:rPr>
          <w:szCs w:val="17"/>
        </w:rPr>
        <w:t xml:space="preserve">, </w:t>
      </w:r>
      <w:r w:rsidR="001F163C" w:rsidRPr="00CD064F">
        <w:rPr>
          <w:szCs w:val="17"/>
        </w:rPr>
        <w:t xml:space="preserve">IDD </w:t>
      </w:r>
      <w:r w:rsidR="0073564D" w:rsidRPr="00CD064F">
        <w:rPr>
          <w:szCs w:val="17"/>
        </w:rPr>
        <w:t>and CSRD) should be aligned and coherent. If this is the case, additional reporting requirements should lead to lower</w:t>
      </w:r>
      <w:r w:rsidR="00407FCB" w:rsidRPr="00CD064F">
        <w:rPr>
          <w:szCs w:val="17"/>
        </w:rPr>
        <w:t xml:space="preserve"> </w:t>
      </w:r>
      <w:r w:rsidR="0073564D" w:rsidRPr="00CD064F">
        <w:rPr>
          <w:szCs w:val="17"/>
        </w:rPr>
        <w:t xml:space="preserve">market data licence and </w:t>
      </w:r>
      <w:r w:rsidR="00407FCB" w:rsidRPr="00CD064F">
        <w:rPr>
          <w:szCs w:val="17"/>
        </w:rPr>
        <w:t xml:space="preserve">data </w:t>
      </w:r>
      <w:r w:rsidR="0073564D" w:rsidRPr="00CD064F">
        <w:rPr>
          <w:szCs w:val="17"/>
        </w:rPr>
        <w:t>onboarding costs.</w:t>
      </w:r>
    </w:p>
    <w:p w14:paraId="6D23711E" w14:textId="77777777" w:rsidR="00CE4FF9" w:rsidRPr="00575E04" w:rsidRDefault="00CE4FF9" w:rsidP="009F45D0">
      <w:pPr>
        <w:rPr>
          <w:sz w:val="17"/>
          <w:szCs w:val="17"/>
        </w:rPr>
      </w:pPr>
    </w:p>
    <w:p w14:paraId="6DC2F9D0" w14:textId="150DC1C1" w:rsidR="001D7340" w:rsidRPr="00CD064F" w:rsidRDefault="001D7340" w:rsidP="007A1DE6">
      <w:pPr>
        <w:pStyle w:val="CEABullet-Level1"/>
        <w:ind w:left="567" w:hanging="425"/>
        <w:rPr>
          <w:color w:val="000000" w:themeColor="text1"/>
          <w:szCs w:val="17"/>
        </w:rPr>
      </w:pPr>
      <w:r w:rsidRPr="00CD064F">
        <w:rPr>
          <w:b/>
          <w:bCs/>
          <w:color w:val="000000" w:themeColor="text1"/>
          <w:szCs w:val="17"/>
        </w:rPr>
        <w:t>Adding new SFDR KPIs further increases the complexity of templates and comes with additional costs</w:t>
      </w:r>
      <w:r w:rsidRPr="00CD064F">
        <w:rPr>
          <w:color w:val="000000" w:themeColor="text1"/>
          <w:szCs w:val="17"/>
        </w:rPr>
        <w:t xml:space="preserve"> for financial market participants </w:t>
      </w:r>
      <w:r w:rsidR="00550E57" w:rsidRPr="00CD064F">
        <w:rPr>
          <w:color w:val="000000" w:themeColor="text1"/>
          <w:szCs w:val="17"/>
        </w:rPr>
        <w:t xml:space="preserve">(FMPs) </w:t>
      </w:r>
      <w:r w:rsidRPr="00CD064F">
        <w:rPr>
          <w:color w:val="000000" w:themeColor="text1"/>
          <w:szCs w:val="17"/>
        </w:rPr>
        <w:t>providing and collecting this information.</w:t>
      </w:r>
      <w:r w:rsidR="00830B61" w:rsidRPr="00CD064F">
        <w:rPr>
          <w:color w:val="000000" w:themeColor="text1"/>
          <w:szCs w:val="17"/>
        </w:rPr>
        <w:t xml:space="preserve"> </w:t>
      </w:r>
      <w:r w:rsidR="007E325B" w:rsidRPr="00CD064F">
        <w:rPr>
          <w:color w:val="000000" w:themeColor="text1"/>
          <w:szCs w:val="17"/>
        </w:rPr>
        <w:t>S</w:t>
      </w:r>
      <w:r w:rsidR="00314459" w:rsidRPr="00CD064F">
        <w:rPr>
          <w:color w:val="000000" w:themeColor="text1"/>
          <w:szCs w:val="17"/>
        </w:rPr>
        <w:t>uch addition</w:t>
      </w:r>
      <w:r w:rsidR="00550E57" w:rsidRPr="00CD064F">
        <w:rPr>
          <w:color w:val="000000" w:themeColor="text1"/>
          <w:szCs w:val="17"/>
        </w:rPr>
        <w:t xml:space="preserve"> </w:t>
      </w:r>
      <w:r w:rsidR="00C53469" w:rsidRPr="00CD064F">
        <w:rPr>
          <w:b/>
          <w:bCs/>
          <w:color w:val="000000" w:themeColor="text1"/>
          <w:szCs w:val="17"/>
        </w:rPr>
        <w:t>clashes with</w:t>
      </w:r>
      <w:r w:rsidR="00C53469" w:rsidRPr="00CD064F">
        <w:rPr>
          <w:color w:val="000000" w:themeColor="text1"/>
          <w:szCs w:val="17"/>
        </w:rPr>
        <w:t xml:space="preserve"> </w:t>
      </w:r>
      <w:r w:rsidR="00314459" w:rsidRPr="00CD064F">
        <w:rPr>
          <w:color w:val="000000" w:themeColor="text1"/>
          <w:szCs w:val="17"/>
        </w:rPr>
        <w:t xml:space="preserve">President von der Leyen </w:t>
      </w:r>
      <w:r w:rsidR="00314459" w:rsidRPr="00CD064F">
        <w:rPr>
          <w:b/>
          <w:bCs/>
          <w:color w:val="000000" w:themeColor="text1"/>
          <w:szCs w:val="17"/>
        </w:rPr>
        <w:t>proposals to reduce the reporting burden by 25%</w:t>
      </w:r>
      <w:r w:rsidR="00CF15E1" w:rsidRPr="00CD064F">
        <w:rPr>
          <w:color w:val="000000" w:themeColor="text1"/>
          <w:szCs w:val="17"/>
        </w:rPr>
        <w:t>.</w:t>
      </w:r>
      <w:r w:rsidR="006D480B" w:rsidRPr="00CD064F">
        <w:rPr>
          <w:color w:val="000000" w:themeColor="text1"/>
          <w:szCs w:val="17"/>
        </w:rPr>
        <w:t xml:space="preserve"> </w:t>
      </w:r>
      <w:r w:rsidR="00C74BA7" w:rsidRPr="00CD064F">
        <w:rPr>
          <w:color w:val="000000" w:themeColor="text1"/>
          <w:szCs w:val="17"/>
        </w:rPr>
        <w:t>F</w:t>
      </w:r>
      <w:r w:rsidR="00830B61" w:rsidRPr="00CD064F">
        <w:rPr>
          <w:color w:val="000000" w:themeColor="text1"/>
          <w:szCs w:val="17"/>
        </w:rPr>
        <w:t>or new proposed KPIs, even if data is available in the provider market</w:t>
      </w:r>
      <w:r w:rsidR="00C74BA7" w:rsidRPr="00CD064F">
        <w:rPr>
          <w:color w:val="000000" w:themeColor="text1"/>
          <w:szCs w:val="17"/>
        </w:rPr>
        <w:t>,</w:t>
      </w:r>
      <w:r w:rsidR="007E325B" w:rsidRPr="00CD064F">
        <w:rPr>
          <w:color w:val="000000" w:themeColor="text1"/>
          <w:szCs w:val="17"/>
        </w:rPr>
        <w:t xml:space="preserve"> the </w:t>
      </w:r>
      <w:r w:rsidR="00830B61" w:rsidRPr="00CD064F">
        <w:rPr>
          <w:color w:val="000000" w:themeColor="text1"/>
          <w:szCs w:val="17"/>
        </w:rPr>
        <w:t xml:space="preserve">coverage might still be </w:t>
      </w:r>
      <w:r w:rsidR="00B30988" w:rsidRPr="00CD064F">
        <w:rPr>
          <w:color w:val="000000" w:themeColor="text1"/>
          <w:szCs w:val="17"/>
        </w:rPr>
        <w:t>limited</w:t>
      </w:r>
      <w:r w:rsidR="00830B61" w:rsidRPr="00CD064F">
        <w:rPr>
          <w:color w:val="000000" w:themeColor="text1"/>
          <w:szCs w:val="17"/>
        </w:rPr>
        <w:t xml:space="preserve"> </w:t>
      </w:r>
      <w:r w:rsidR="00B43D4D" w:rsidRPr="00CD064F">
        <w:rPr>
          <w:color w:val="000000" w:themeColor="text1"/>
          <w:szCs w:val="17"/>
        </w:rPr>
        <w:t xml:space="preserve">so </w:t>
      </w:r>
      <w:r w:rsidR="00830B61" w:rsidRPr="00CD064F">
        <w:rPr>
          <w:color w:val="000000" w:themeColor="text1"/>
          <w:szCs w:val="17"/>
        </w:rPr>
        <w:t xml:space="preserve">FMPs would need to collect or estimate them via best effort. Hence, the meaningfulness of additional KPIs might be </w:t>
      </w:r>
      <w:r w:rsidR="0005728E" w:rsidRPr="00CD064F">
        <w:rPr>
          <w:color w:val="000000" w:themeColor="text1"/>
          <w:szCs w:val="17"/>
        </w:rPr>
        <w:t>reduce</w:t>
      </w:r>
      <w:r w:rsidR="00830B61" w:rsidRPr="00CD064F">
        <w:rPr>
          <w:color w:val="000000" w:themeColor="text1"/>
          <w:szCs w:val="17"/>
        </w:rPr>
        <w:t>d despite the aim of improving transparency on sustainability aspects. If data is not available at investee company level for investments in target funds, it might be necessary to collect this data via industry templates (</w:t>
      </w:r>
      <w:r w:rsidR="00B30988" w:rsidRPr="00CD064F">
        <w:rPr>
          <w:color w:val="000000" w:themeColor="text1"/>
          <w:szCs w:val="17"/>
        </w:rPr>
        <w:t xml:space="preserve">like </w:t>
      </w:r>
      <w:r w:rsidR="00830B61" w:rsidRPr="00CD064F">
        <w:rPr>
          <w:color w:val="000000" w:themeColor="text1"/>
          <w:szCs w:val="17"/>
        </w:rPr>
        <w:t>the E</w:t>
      </w:r>
      <w:r w:rsidR="0076741A" w:rsidRPr="00CD064F">
        <w:rPr>
          <w:color w:val="000000" w:themeColor="text1"/>
          <w:szCs w:val="17"/>
        </w:rPr>
        <w:t xml:space="preserve">uropean </w:t>
      </w:r>
      <w:r w:rsidR="00830B61" w:rsidRPr="00CD064F">
        <w:rPr>
          <w:color w:val="000000" w:themeColor="text1"/>
          <w:szCs w:val="17"/>
        </w:rPr>
        <w:t>E</w:t>
      </w:r>
      <w:r w:rsidR="0076741A" w:rsidRPr="00CD064F">
        <w:rPr>
          <w:color w:val="000000" w:themeColor="text1"/>
          <w:szCs w:val="17"/>
        </w:rPr>
        <w:t xml:space="preserve">SG </w:t>
      </w:r>
      <w:r w:rsidR="00830B61" w:rsidRPr="00CD064F">
        <w:rPr>
          <w:color w:val="000000" w:themeColor="text1"/>
          <w:szCs w:val="17"/>
        </w:rPr>
        <w:t>T</w:t>
      </w:r>
      <w:r w:rsidR="0076741A" w:rsidRPr="00CD064F">
        <w:rPr>
          <w:color w:val="000000" w:themeColor="text1"/>
          <w:szCs w:val="17"/>
        </w:rPr>
        <w:t>emplate</w:t>
      </w:r>
      <w:r w:rsidR="00830B61" w:rsidRPr="00CD064F">
        <w:rPr>
          <w:color w:val="000000" w:themeColor="text1"/>
          <w:szCs w:val="17"/>
        </w:rPr>
        <w:t>).</w:t>
      </w:r>
      <w:r w:rsidR="005F5863" w:rsidRPr="00CD064F">
        <w:rPr>
          <w:color w:val="000000" w:themeColor="text1"/>
          <w:szCs w:val="17"/>
        </w:rPr>
        <w:t xml:space="preserve"> </w:t>
      </w:r>
      <w:r w:rsidR="00830B61" w:rsidRPr="00CD064F">
        <w:rPr>
          <w:color w:val="000000" w:themeColor="text1"/>
          <w:szCs w:val="17"/>
        </w:rPr>
        <w:t xml:space="preserve">If new KPIs are introduced, companies </w:t>
      </w:r>
      <w:r w:rsidR="00767E1B" w:rsidRPr="00CD064F">
        <w:rPr>
          <w:color w:val="000000" w:themeColor="text1"/>
          <w:szCs w:val="17"/>
        </w:rPr>
        <w:t xml:space="preserve">need </w:t>
      </w:r>
      <w:r w:rsidR="00830B61" w:rsidRPr="00CD064F">
        <w:rPr>
          <w:color w:val="000000" w:themeColor="text1"/>
          <w:szCs w:val="17"/>
        </w:rPr>
        <w:t xml:space="preserve">enough time to </w:t>
      </w:r>
      <w:r w:rsidR="007D160F" w:rsidRPr="00CD064F">
        <w:rPr>
          <w:color w:val="000000" w:themeColor="text1"/>
          <w:szCs w:val="17"/>
        </w:rPr>
        <w:t xml:space="preserve">implement </w:t>
      </w:r>
      <w:r w:rsidR="005F5863" w:rsidRPr="00CD064F">
        <w:rPr>
          <w:color w:val="000000" w:themeColor="text1"/>
          <w:szCs w:val="17"/>
        </w:rPr>
        <w:t xml:space="preserve">the necessary </w:t>
      </w:r>
      <w:r w:rsidR="00830B61" w:rsidRPr="00CD064F">
        <w:rPr>
          <w:color w:val="000000" w:themeColor="text1"/>
          <w:szCs w:val="17"/>
        </w:rPr>
        <w:t>systems and processes</w:t>
      </w:r>
      <w:r w:rsidR="005F5863" w:rsidRPr="00CD064F">
        <w:rPr>
          <w:color w:val="000000" w:themeColor="text1"/>
          <w:szCs w:val="17"/>
        </w:rPr>
        <w:t xml:space="preserve"> (including IT ones)</w:t>
      </w:r>
      <w:r w:rsidR="00830B61" w:rsidRPr="00CD064F">
        <w:rPr>
          <w:color w:val="000000" w:themeColor="text1"/>
          <w:szCs w:val="17"/>
        </w:rPr>
        <w:t>.</w:t>
      </w:r>
      <w:r w:rsidR="005F5863" w:rsidRPr="00CD064F">
        <w:rPr>
          <w:color w:val="000000" w:themeColor="text1"/>
          <w:szCs w:val="17"/>
        </w:rPr>
        <w:t xml:space="preserve"> </w:t>
      </w:r>
    </w:p>
    <w:p w14:paraId="23841734" w14:textId="55B987CA" w:rsidR="00953F54" w:rsidRPr="00CD064F" w:rsidRDefault="00953F54" w:rsidP="007B5E44">
      <w:pPr>
        <w:pStyle w:val="CEABullet-Level2"/>
        <w:numPr>
          <w:ilvl w:val="0"/>
          <w:numId w:val="0"/>
        </w:numPr>
        <w:ind w:left="567"/>
        <w:rPr>
          <w:szCs w:val="17"/>
        </w:rPr>
      </w:pPr>
    </w:p>
    <w:p w14:paraId="6BF69C31" w14:textId="097ECA6E" w:rsidR="001D7340" w:rsidRPr="00CD064F" w:rsidRDefault="001D7340" w:rsidP="007A1DE6">
      <w:pPr>
        <w:pStyle w:val="CEABullet-Level1"/>
        <w:ind w:left="567" w:hanging="425"/>
        <w:rPr>
          <w:szCs w:val="17"/>
        </w:rPr>
      </w:pPr>
      <w:r w:rsidRPr="00CD064F">
        <w:rPr>
          <w:szCs w:val="17"/>
        </w:rPr>
        <w:t xml:space="preserve">If the proposed amendments are adopted, it must be made clear which Q&amp;As are affected and the updated and </w:t>
      </w:r>
      <w:r w:rsidRPr="00CD064F">
        <w:rPr>
          <w:b/>
          <w:bCs/>
          <w:szCs w:val="17"/>
        </w:rPr>
        <w:t>consolidated Q&amp;As should be published together with the new RTS</w:t>
      </w:r>
      <w:r w:rsidR="00092FC7" w:rsidRPr="00CD064F">
        <w:rPr>
          <w:szCs w:val="17"/>
        </w:rPr>
        <w:t xml:space="preserve">, as this would be an </w:t>
      </w:r>
      <w:r w:rsidR="00092FC7" w:rsidRPr="00CD064F">
        <w:rPr>
          <w:szCs w:val="17"/>
        </w:rPr>
        <w:lastRenderedPageBreak/>
        <w:t xml:space="preserve">important tool to support FMPs’ implementation. The ESAs and the EC </w:t>
      </w:r>
      <w:r w:rsidR="00895C8A">
        <w:rPr>
          <w:szCs w:val="17"/>
        </w:rPr>
        <w:t xml:space="preserve">may </w:t>
      </w:r>
      <w:r w:rsidR="00626D65">
        <w:rPr>
          <w:szCs w:val="17"/>
        </w:rPr>
        <w:t xml:space="preserve">consider following </w:t>
      </w:r>
      <w:r w:rsidR="00092FC7" w:rsidRPr="00CD064F">
        <w:rPr>
          <w:szCs w:val="17"/>
        </w:rPr>
        <w:t>up with further guidance for FMPs</w:t>
      </w:r>
      <w:r w:rsidR="00A370F8" w:rsidRPr="00CD064F">
        <w:rPr>
          <w:szCs w:val="17"/>
        </w:rPr>
        <w:t xml:space="preserve">, </w:t>
      </w:r>
      <w:r w:rsidR="00092FC7" w:rsidRPr="00CD064F">
        <w:rPr>
          <w:szCs w:val="17"/>
        </w:rPr>
        <w:t>consumers and investee companies. This could be done, for instance, by taking inspiration from the educational videos on the draft ESRS that EFRAG</w:t>
      </w:r>
      <w:r w:rsidR="006F1705" w:rsidRPr="00CD064F">
        <w:rPr>
          <w:szCs w:val="17"/>
        </w:rPr>
        <w:t xml:space="preserve"> </w:t>
      </w:r>
      <w:r w:rsidR="00D31549" w:rsidRPr="00CD064F">
        <w:rPr>
          <w:szCs w:val="17"/>
        </w:rPr>
        <w:t>published</w:t>
      </w:r>
      <w:r w:rsidR="00092FC7" w:rsidRPr="00CD064F">
        <w:rPr>
          <w:szCs w:val="17"/>
        </w:rPr>
        <w:t xml:space="preserve"> on its website</w:t>
      </w:r>
      <w:r w:rsidR="00A370F8" w:rsidRPr="00CD064F">
        <w:rPr>
          <w:szCs w:val="17"/>
        </w:rPr>
        <w:t xml:space="preserve">. </w:t>
      </w:r>
    </w:p>
    <w:p w14:paraId="1FD9D7C0" w14:textId="77777777" w:rsidR="009F27C7" w:rsidRPr="00CD064F" w:rsidRDefault="009F27C7" w:rsidP="009F27C7">
      <w:pPr>
        <w:pStyle w:val="CEABullet-Level1"/>
        <w:numPr>
          <w:ilvl w:val="0"/>
          <w:numId w:val="0"/>
        </w:numPr>
        <w:ind w:left="567"/>
        <w:rPr>
          <w:szCs w:val="17"/>
        </w:rPr>
      </w:pPr>
    </w:p>
    <w:p w14:paraId="439B162C" w14:textId="603E9294" w:rsidR="009F27C7" w:rsidRPr="00CD064F" w:rsidRDefault="001D7340" w:rsidP="007A1DE6">
      <w:pPr>
        <w:pStyle w:val="CEABullet-Level1"/>
        <w:ind w:left="567" w:hanging="425"/>
        <w:rPr>
          <w:szCs w:val="17"/>
        </w:rPr>
      </w:pPr>
      <w:r w:rsidRPr="00CD064F">
        <w:rPr>
          <w:b/>
          <w:bCs/>
          <w:szCs w:val="17"/>
        </w:rPr>
        <w:t xml:space="preserve">Changes aimed at the improved simplicity, readability and usability of the SFDR templates are </w:t>
      </w:r>
      <w:r w:rsidR="006A3D4B" w:rsidRPr="00CD064F">
        <w:rPr>
          <w:b/>
          <w:bCs/>
          <w:szCs w:val="17"/>
        </w:rPr>
        <w:t>appreciated</w:t>
      </w:r>
      <w:r w:rsidRPr="00CD064F">
        <w:rPr>
          <w:szCs w:val="17"/>
        </w:rPr>
        <w:t xml:space="preserve">, </w:t>
      </w:r>
      <w:r w:rsidR="008F0DFD" w:rsidRPr="00CD064F">
        <w:rPr>
          <w:szCs w:val="17"/>
        </w:rPr>
        <w:t>since the current length and complexity create confusion for consumers</w:t>
      </w:r>
      <w:r w:rsidR="00D401CA" w:rsidRPr="00CD064F">
        <w:rPr>
          <w:szCs w:val="17"/>
        </w:rPr>
        <w:t xml:space="preserve">. The proposed dashboard and the use of cross referencing </w:t>
      </w:r>
      <w:r w:rsidR="00DD3E0A" w:rsidRPr="00CD064F">
        <w:rPr>
          <w:szCs w:val="17"/>
        </w:rPr>
        <w:t xml:space="preserve">in periodic disclosures </w:t>
      </w:r>
      <w:r w:rsidR="00595906" w:rsidRPr="00CD064F">
        <w:rPr>
          <w:szCs w:val="17"/>
        </w:rPr>
        <w:t xml:space="preserve">are steps in the right direction, </w:t>
      </w:r>
      <w:r w:rsidRPr="00CD064F">
        <w:rPr>
          <w:szCs w:val="17"/>
        </w:rPr>
        <w:t xml:space="preserve">but </w:t>
      </w:r>
      <w:r w:rsidRPr="00CD064F">
        <w:rPr>
          <w:b/>
          <w:bCs/>
          <w:szCs w:val="17"/>
        </w:rPr>
        <w:t>further substantial simplification is needed</w:t>
      </w:r>
      <w:r w:rsidR="00D26891" w:rsidRPr="00CD064F">
        <w:rPr>
          <w:szCs w:val="17"/>
        </w:rPr>
        <w:t>.</w:t>
      </w:r>
      <w:r w:rsidR="00A32412" w:rsidRPr="00CD064F">
        <w:rPr>
          <w:szCs w:val="17"/>
        </w:rPr>
        <w:t xml:space="preserve"> Indeed, </w:t>
      </w:r>
      <w:r w:rsidR="001C2199" w:rsidRPr="00CD064F">
        <w:rPr>
          <w:szCs w:val="17"/>
        </w:rPr>
        <w:t>i</w:t>
      </w:r>
      <w:r w:rsidR="00C8568F" w:rsidRPr="00CD064F">
        <w:rPr>
          <w:szCs w:val="17"/>
        </w:rPr>
        <w:t xml:space="preserve">t is crucial that the SFDR </w:t>
      </w:r>
      <w:r w:rsidR="000E18DE">
        <w:rPr>
          <w:szCs w:val="17"/>
        </w:rPr>
        <w:t>templates are</w:t>
      </w:r>
      <w:r w:rsidR="00C8568F" w:rsidRPr="00CD064F">
        <w:rPr>
          <w:szCs w:val="17"/>
        </w:rPr>
        <w:t xml:space="preserve"> usable for the retail customers for whom </w:t>
      </w:r>
      <w:r w:rsidR="00331706">
        <w:rPr>
          <w:szCs w:val="17"/>
        </w:rPr>
        <w:t>they</w:t>
      </w:r>
      <w:r w:rsidR="00331706" w:rsidRPr="00CD064F">
        <w:rPr>
          <w:szCs w:val="17"/>
        </w:rPr>
        <w:t xml:space="preserve"> </w:t>
      </w:r>
      <w:r w:rsidR="00331706">
        <w:rPr>
          <w:szCs w:val="17"/>
        </w:rPr>
        <w:t>are</w:t>
      </w:r>
      <w:r w:rsidR="00C8568F" w:rsidRPr="00CD064F">
        <w:rPr>
          <w:szCs w:val="17"/>
        </w:rPr>
        <w:t xml:space="preserve"> intended. </w:t>
      </w:r>
      <w:r w:rsidR="00B60F72" w:rsidRPr="00CD064F">
        <w:rPr>
          <w:szCs w:val="17"/>
        </w:rPr>
        <w:t xml:space="preserve">Therefore, </w:t>
      </w:r>
      <w:r w:rsidR="00C8568F" w:rsidRPr="00CD064F">
        <w:rPr>
          <w:szCs w:val="17"/>
        </w:rPr>
        <w:t>Insurance Europe</w:t>
      </w:r>
      <w:r w:rsidR="00B60F72" w:rsidRPr="00CD064F">
        <w:rPr>
          <w:szCs w:val="17"/>
        </w:rPr>
        <w:t xml:space="preserve"> </w:t>
      </w:r>
      <w:r w:rsidR="00C8568F" w:rsidRPr="00CD064F">
        <w:rPr>
          <w:szCs w:val="17"/>
        </w:rPr>
        <w:t>stresses the need for a focus on ensuring the usability and quality of existing</w:t>
      </w:r>
      <w:r w:rsidR="00331706">
        <w:rPr>
          <w:szCs w:val="17"/>
        </w:rPr>
        <w:t xml:space="preserve"> disclosures</w:t>
      </w:r>
      <w:r w:rsidR="00C8568F" w:rsidRPr="00CD064F">
        <w:rPr>
          <w:szCs w:val="17"/>
        </w:rPr>
        <w:t xml:space="preserve"> requirements</w:t>
      </w:r>
      <w:r w:rsidR="00810A43" w:rsidRPr="00CD064F">
        <w:rPr>
          <w:szCs w:val="17"/>
        </w:rPr>
        <w:t xml:space="preserve"> </w:t>
      </w:r>
      <w:r w:rsidR="00C8568F" w:rsidRPr="00CD064F">
        <w:rPr>
          <w:szCs w:val="17"/>
        </w:rPr>
        <w:t>rather than on expanding the</w:t>
      </w:r>
      <w:r w:rsidR="00485369">
        <w:rPr>
          <w:szCs w:val="17"/>
        </w:rPr>
        <w:t>m</w:t>
      </w:r>
      <w:r w:rsidR="00810A43" w:rsidRPr="00CD064F">
        <w:rPr>
          <w:szCs w:val="17"/>
        </w:rPr>
        <w:t xml:space="preserve">, as well as the </w:t>
      </w:r>
      <w:r w:rsidR="00810A43" w:rsidRPr="00CD064F">
        <w:rPr>
          <w:b/>
          <w:bCs/>
          <w:szCs w:val="17"/>
        </w:rPr>
        <w:t xml:space="preserve">need for </w:t>
      </w:r>
      <w:r w:rsidRPr="00CD064F">
        <w:rPr>
          <w:b/>
          <w:bCs/>
          <w:szCs w:val="17"/>
        </w:rPr>
        <w:t>transla</w:t>
      </w:r>
      <w:r w:rsidR="00027B01" w:rsidRPr="00CD064F">
        <w:rPr>
          <w:b/>
          <w:bCs/>
          <w:szCs w:val="17"/>
        </w:rPr>
        <w:t xml:space="preserve">ting </w:t>
      </w:r>
      <w:r w:rsidR="00D71610" w:rsidRPr="00CD064F">
        <w:rPr>
          <w:b/>
          <w:bCs/>
          <w:szCs w:val="17"/>
        </w:rPr>
        <w:t xml:space="preserve">editable </w:t>
      </w:r>
      <w:r w:rsidRPr="00CD064F">
        <w:rPr>
          <w:b/>
          <w:bCs/>
          <w:szCs w:val="17"/>
        </w:rPr>
        <w:t xml:space="preserve">SFDR templates into EU </w:t>
      </w:r>
      <w:r w:rsidR="002803F6" w:rsidRPr="00CD064F">
        <w:rPr>
          <w:b/>
          <w:bCs/>
          <w:szCs w:val="17"/>
        </w:rPr>
        <w:t xml:space="preserve">national </w:t>
      </w:r>
      <w:r w:rsidRPr="00CD064F">
        <w:rPr>
          <w:b/>
          <w:bCs/>
          <w:szCs w:val="17"/>
        </w:rPr>
        <w:t>languages</w:t>
      </w:r>
      <w:r w:rsidRPr="00CD064F">
        <w:rPr>
          <w:szCs w:val="17"/>
        </w:rPr>
        <w:t xml:space="preserve"> in a timely manner to create a level playing field. </w:t>
      </w:r>
    </w:p>
    <w:p w14:paraId="7B62E66D" w14:textId="2359B5AB" w:rsidR="00DD5D3F" w:rsidRPr="00CD064F" w:rsidRDefault="001D7340" w:rsidP="009F27C7">
      <w:pPr>
        <w:pStyle w:val="CEABullet-Level1"/>
        <w:numPr>
          <w:ilvl w:val="0"/>
          <w:numId w:val="0"/>
        </w:numPr>
        <w:rPr>
          <w:szCs w:val="17"/>
        </w:rPr>
      </w:pPr>
      <w:r w:rsidRPr="00CD064F">
        <w:rPr>
          <w:szCs w:val="17"/>
        </w:rPr>
        <w:t xml:space="preserve"> </w:t>
      </w:r>
    </w:p>
    <w:p w14:paraId="2CE35D6D" w14:textId="06FA7624" w:rsidR="000E5506" w:rsidRDefault="001302A5" w:rsidP="007A1DE6">
      <w:pPr>
        <w:pStyle w:val="CEABullet-Level1"/>
        <w:ind w:left="567" w:hanging="425"/>
        <w:rPr>
          <w:szCs w:val="17"/>
        </w:rPr>
      </w:pPr>
      <w:r w:rsidRPr="00CD064F">
        <w:rPr>
          <w:b/>
          <w:bCs/>
          <w:szCs w:val="17"/>
        </w:rPr>
        <w:t>Reporting on a</w:t>
      </w:r>
      <w:r w:rsidR="00200335" w:rsidRPr="00CD064F">
        <w:rPr>
          <w:b/>
          <w:bCs/>
          <w:szCs w:val="17"/>
        </w:rPr>
        <w:t xml:space="preserve">lignment with </w:t>
      </w:r>
      <w:r w:rsidR="000E5506" w:rsidRPr="00CD064F">
        <w:rPr>
          <w:b/>
          <w:bCs/>
          <w:szCs w:val="17"/>
        </w:rPr>
        <w:t>Taxonomy</w:t>
      </w:r>
      <w:r w:rsidR="00200335" w:rsidRPr="00CD064F">
        <w:rPr>
          <w:b/>
          <w:bCs/>
          <w:szCs w:val="17"/>
        </w:rPr>
        <w:t xml:space="preserve"> </w:t>
      </w:r>
      <w:r w:rsidR="000E5506" w:rsidRPr="00CD064F">
        <w:rPr>
          <w:b/>
          <w:bCs/>
          <w:szCs w:val="17"/>
        </w:rPr>
        <w:t>nuclear/fossil gas investments</w:t>
      </w:r>
      <w:r w:rsidR="00CE0139" w:rsidRPr="00CD064F">
        <w:rPr>
          <w:b/>
          <w:bCs/>
          <w:szCs w:val="17"/>
        </w:rPr>
        <w:t xml:space="preserve"> should be</w:t>
      </w:r>
      <w:r w:rsidR="003E5F3E" w:rsidRPr="00CD064F">
        <w:rPr>
          <w:b/>
          <w:bCs/>
          <w:szCs w:val="17"/>
        </w:rPr>
        <w:t xml:space="preserve"> amended to </w:t>
      </w:r>
      <w:r w:rsidR="00B55ECA" w:rsidRPr="00CD064F">
        <w:rPr>
          <w:b/>
          <w:bCs/>
          <w:szCs w:val="17"/>
        </w:rPr>
        <w:t>prevent overlaps</w:t>
      </w:r>
      <w:r w:rsidR="00660A2F" w:rsidRPr="00CD064F">
        <w:rPr>
          <w:b/>
          <w:bCs/>
          <w:szCs w:val="17"/>
        </w:rPr>
        <w:t xml:space="preserve"> between pre-contractual and periodic disclosure</w:t>
      </w:r>
      <w:r w:rsidR="00B22791" w:rsidRPr="00CD064F">
        <w:rPr>
          <w:b/>
          <w:bCs/>
          <w:szCs w:val="17"/>
        </w:rPr>
        <w:t>s</w:t>
      </w:r>
      <w:r w:rsidR="00B55ECA" w:rsidRPr="00CD064F">
        <w:rPr>
          <w:szCs w:val="17"/>
        </w:rPr>
        <w:t xml:space="preserve">. </w:t>
      </w:r>
      <w:r w:rsidR="00331D58" w:rsidRPr="00CD064F">
        <w:rPr>
          <w:szCs w:val="17"/>
        </w:rPr>
        <w:t xml:space="preserve">For </w:t>
      </w:r>
      <w:r w:rsidR="000E5506" w:rsidRPr="00CD064F">
        <w:rPr>
          <w:szCs w:val="17"/>
        </w:rPr>
        <w:t>pre-contractual templates</w:t>
      </w:r>
      <w:r w:rsidR="00331D58" w:rsidRPr="00CD064F">
        <w:rPr>
          <w:szCs w:val="17"/>
        </w:rPr>
        <w:t>,</w:t>
      </w:r>
      <w:r w:rsidR="000E5506" w:rsidRPr="00CD064F">
        <w:rPr>
          <w:szCs w:val="17"/>
        </w:rPr>
        <w:t xml:space="preserve"> </w:t>
      </w:r>
      <w:r w:rsidR="00331D58" w:rsidRPr="00CD064F">
        <w:rPr>
          <w:szCs w:val="17"/>
        </w:rPr>
        <w:t>ESA</w:t>
      </w:r>
      <w:r w:rsidR="003E5F3E" w:rsidRPr="00CD064F">
        <w:rPr>
          <w:szCs w:val="17"/>
        </w:rPr>
        <w:t>s</w:t>
      </w:r>
      <w:r w:rsidR="00331D58" w:rsidRPr="00CD064F">
        <w:rPr>
          <w:szCs w:val="17"/>
        </w:rPr>
        <w:t xml:space="preserve"> </w:t>
      </w:r>
      <w:r w:rsidR="003E5F3E" w:rsidRPr="00CD064F">
        <w:rPr>
          <w:szCs w:val="17"/>
        </w:rPr>
        <w:t xml:space="preserve">proposed to </w:t>
      </w:r>
      <w:r w:rsidR="000E5506" w:rsidRPr="00CD064F">
        <w:rPr>
          <w:szCs w:val="17"/>
        </w:rPr>
        <w:t xml:space="preserve">include a graph showing the </w:t>
      </w:r>
      <w:r w:rsidR="007F3C6E" w:rsidRPr="00CD064F">
        <w:rPr>
          <w:szCs w:val="17"/>
        </w:rPr>
        <w:t xml:space="preserve">product’s </w:t>
      </w:r>
      <w:r w:rsidR="000E5506" w:rsidRPr="00CD064F">
        <w:rPr>
          <w:szCs w:val="17"/>
        </w:rPr>
        <w:t xml:space="preserve">total Taxonomy alignment </w:t>
      </w:r>
      <w:r w:rsidR="007F3C6E" w:rsidRPr="00CD064F">
        <w:rPr>
          <w:szCs w:val="17"/>
        </w:rPr>
        <w:t xml:space="preserve">and </w:t>
      </w:r>
      <w:r w:rsidR="000E5506" w:rsidRPr="00CD064F">
        <w:rPr>
          <w:szCs w:val="17"/>
        </w:rPr>
        <w:t>the share of Taxonomy-aligned nuclear/fossil gas investments. Th</w:t>
      </w:r>
      <w:r w:rsidR="00743226" w:rsidRPr="00CD064F">
        <w:rPr>
          <w:szCs w:val="17"/>
        </w:rPr>
        <w:t xml:space="preserve">e </w:t>
      </w:r>
      <w:r w:rsidR="000E5506" w:rsidRPr="00CD064F">
        <w:rPr>
          <w:szCs w:val="17"/>
        </w:rPr>
        <w:t xml:space="preserve">pre-contractual disclosure is </w:t>
      </w:r>
      <w:r w:rsidR="00194D49" w:rsidRPr="00CD064F">
        <w:rPr>
          <w:szCs w:val="17"/>
        </w:rPr>
        <w:t xml:space="preserve">expected </w:t>
      </w:r>
      <w:r w:rsidR="000E5506" w:rsidRPr="00CD064F">
        <w:rPr>
          <w:szCs w:val="17"/>
        </w:rPr>
        <w:t>to communicate to</w:t>
      </w:r>
      <w:r w:rsidR="00194D49" w:rsidRPr="00CD064F">
        <w:rPr>
          <w:szCs w:val="17"/>
        </w:rPr>
        <w:t xml:space="preserve"> </w:t>
      </w:r>
      <w:r w:rsidR="000E5506" w:rsidRPr="00CD064F">
        <w:rPr>
          <w:szCs w:val="17"/>
        </w:rPr>
        <w:t>customer</w:t>
      </w:r>
      <w:r w:rsidR="00194D49" w:rsidRPr="00CD064F">
        <w:rPr>
          <w:szCs w:val="17"/>
        </w:rPr>
        <w:t>s</w:t>
      </w:r>
      <w:r w:rsidR="000E5506" w:rsidRPr="00CD064F">
        <w:rPr>
          <w:szCs w:val="17"/>
        </w:rPr>
        <w:t xml:space="preserve"> the product/investment intention</w:t>
      </w:r>
      <w:r w:rsidR="000E5222" w:rsidRPr="00CD064F">
        <w:rPr>
          <w:szCs w:val="17"/>
        </w:rPr>
        <w:t xml:space="preserve"> </w:t>
      </w:r>
      <w:r w:rsidRPr="00CD064F">
        <w:rPr>
          <w:szCs w:val="17"/>
        </w:rPr>
        <w:t>(</w:t>
      </w:r>
      <w:r w:rsidR="000E5506" w:rsidRPr="00CD064F">
        <w:rPr>
          <w:szCs w:val="17"/>
        </w:rPr>
        <w:t xml:space="preserve">which is already addressed by the sentence </w:t>
      </w:r>
      <w:r w:rsidR="000E5506" w:rsidRPr="00CD064F">
        <w:rPr>
          <w:i/>
          <w:iCs/>
          <w:szCs w:val="17"/>
        </w:rPr>
        <w:t>This product commits to make a minimum of x% EU Taxonomy-aligned investments</w:t>
      </w:r>
      <w:r w:rsidRPr="00CD064F">
        <w:rPr>
          <w:szCs w:val="17"/>
        </w:rPr>
        <w:t>)</w:t>
      </w:r>
      <w:r w:rsidR="000E5506" w:rsidRPr="00CD064F">
        <w:rPr>
          <w:szCs w:val="17"/>
        </w:rPr>
        <w:t>, not the actual Taxonomy-aligned investment exposure</w:t>
      </w:r>
      <w:r w:rsidR="003F7937" w:rsidRPr="00CD064F">
        <w:rPr>
          <w:szCs w:val="17"/>
        </w:rPr>
        <w:t xml:space="preserve"> </w:t>
      </w:r>
      <w:r w:rsidRPr="00CD064F">
        <w:rPr>
          <w:szCs w:val="17"/>
        </w:rPr>
        <w:t>(</w:t>
      </w:r>
      <w:r w:rsidR="000E5506" w:rsidRPr="00CD064F">
        <w:rPr>
          <w:szCs w:val="17"/>
        </w:rPr>
        <w:t xml:space="preserve">which is disclosed </w:t>
      </w:r>
      <w:r w:rsidR="001D3B94" w:rsidRPr="00CD064F">
        <w:rPr>
          <w:szCs w:val="17"/>
        </w:rPr>
        <w:t xml:space="preserve">in </w:t>
      </w:r>
      <w:r w:rsidR="000E5506" w:rsidRPr="00CD064F">
        <w:rPr>
          <w:szCs w:val="17"/>
        </w:rPr>
        <w:t>the periodic</w:t>
      </w:r>
      <w:r w:rsidR="00781352">
        <w:rPr>
          <w:szCs w:val="17"/>
        </w:rPr>
        <w:t xml:space="preserve"> disclosures)</w:t>
      </w:r>
      <w:r w:rsidR="000E5506" w:rsidRPr="00CD064F">
        <w:rPr>
          <w:szCs w:val="17"/>
        </w:rPr>
        <w:t xml:space="preserve">. </w:t>
      </w:r>
      <w:r w:rsidR="006868B8" w:rsidRPr="00CD064F">
        <w:rPr>
          <w:szCs w:val="17"/>
        </w:rPr>
        <w:t xml:space="preserve">Hence, </w:t>
      </w:r>
      <w:r w:rsidR="000E5506" w:rsidRPr="00CD064F">
        <w:rPr>
          <w:szCs w:val="17"/>
        </w:rPr>
        <w:t>the graph</w:t>
      </w:r>
      <w:r w:rsidR="000C18F3" w:rsidRPr="00CD064F">
        <w:rPr>
          <w:szCs w:val="17"/>
        </w:rPr>
        <w:t xml:space="preserve"> should be removed</w:t>
      </w:r>
      <w:r w:rsidR="000E5506" w:rsidRPr="00CD064F">
        <w:rPr>
          <w:szCs w:val="17"/>
        </w:rPr>
        <w:t xml:space="preserve"> and instead require disclosure </w:t>
      </w:r>
      <w:r w:rsidR="00BC30F0" w:rsidRPr="00CD064F">
        <w:rPr>
          <w:szCs w:val="17"/>
        </w:rPr>
        <w:t xml:space="preserve">as </w:t>
      </w:r>
      <w:r w:rsidR="000E5506" w:rsidRPr="00CD064F">
        <w:rPr>
          <w:szCs w:val="17"/>
        </w:rPr>
        <w:t>one of the</w:t>
      </w:r>
      <w:r w:rsidR="00331589" w:rsidRPr="00CD064F">
        <w:rPr>
          <w:szCs w:val="17"/>
        </w:rPr>
        <w:t xml:space="preserve">se </w:t>
      </w:r>
      <w:r w:rsidR="000E5506" w:rsidRPr="00CD064F">
        <w:rPr>
          <w:szCs w:val="17"/>
        </w:rPr>
        <w:t>sentences: (a) “This product might include Taxonomy-aligned nuclear and/or fossil gas investments. The actual share will be provided as part of the annual product reporting”</w:t>
      </w:r>
      <w:r w:rsidR="006F54A1" w:rsidRPr="00CD064F">
        <w:rPr>
          <w:szCs w:val="17"/>
        </w:rPr>
        <w:t>; or</w:t>
      </w:r>
      <w:r w:rsidR="000E5506" w:rsidRPr="00CD064F">
        <w:rPr>
          <w:szCs w:val="17"/>
        </w:rPr>
        <w:t xml:space="preserve"> (b) “This product commits to not making any nuclear and/or fossil gas related investments</w:t>
      </w:r>
      <w:r w:rsidR="006F54A1" w:rsidRPr="00CD064F">
        <w:rPr>
          <w:szCs w:val="17"/>
        </w:rPr>
        <w:t>,</w:t>
      </w:r>
      <w:r w:rsidR="000E5506" w:rsidRPr="00CD064F">
        <w:rPr>
          <w:szCs w:val="17"/>
        </w:rPr>
        <w:t xml:space="preserve"> incl</w:t>
      </w:r>
      <w:r w:rsidR="006F54A1" w:rsidRPr="00CD064F">
        <w:rPr>
          <w:szCs w:val="17"/>
        </w:rPr>
        <w:t>uding</w:t>
      </w:r>
      <w:r w:rsidR="000E5506" w:rsidRPr="00CD064F">
        <w:rPr>
          <w:szCs w:val="17"/>
        </w:rPr>
        <w:t xml:space="preserve"> Taxonomy-aligned nuclear and/or fossil gas investments.”</w:t>
      </w:r>
    </w:p>
    <w:p w14:paraId="6ACEA403" w14:textId="77777777" w:rsidR="00182370" w:rsidRDefault="00182370" w:rsidP="008D03B8">
      <w:pPr>
        <w:pStyle w:val="Odsekzoznamu"/>
        <w:rPr>
          <w:szCs w:val="17"/>
        </w:rPr>
      </w:pPr>
    </w:p>
    <w:p w14:paraId="268F6618" w14:textId="077C4DF8" w:rsidR="00182370" w:rsidRDefault="00182370" w:rsidP="00182370">
      <w:pPr>
        <w:pStyle w:val="CEABullet-Level1"/>
        <w:ind w:left="567" w:hanging="425"/>
        <w:rPr>
          <w:szCs w:val="17"/>
        </w:rPr>
      </w:pPr>
      <w:r w:rsidRPr="00182370">
        <w:rPr>
          <w:szCs w:val="17"/>
        </w:rPr>
        <w:t xml:space="preserve">European insurers question the choice made by the ESAs to keep the </w:t>
      </w:r>
      <w:r w:rsidRPr="008D03B8">
        <w:rPr>
          <w:b/>
          <w:bCs/>
          <w:szCs w:val="17"/>
        </w:rPr>
        <w:t>same denominator - all investments - for every PAI</w:t>
      </w:r>
      <w:r w:rsidRPr="00182370">
        <w:rPr>
          <w:szCs w:val="17"/>
        </w:rPr>
        <w:t>. In fact, PAI indicators have been designed to apply to certain asset classes (sovereigns, corporates, real estate) and should therefore be calculated on such asset classes. Otherwise, there is a risk of greenwashing as PAI indicators will be extremely diluted. Having such diluted PAI indicators will also jeopardize the ability of FMPs to set targets and monitor them over time.</w:t>
      </w:r>
    </w:p>
    <w:p w14:paraId="2B674331" w14:textId="77777777" w:rsidR="008D03B8" w:rsidRDefault="008D03B8" w:rsidP="008D03B8">
      <w:pPr>
        <w:pStyle w:val="Odsekzoznamu"/>
        <w:rPr>
          <w:szCs w:val="17"/>
        </w:rPr>
      </w:pPr>
    </w:p>
    <w:p w14:paraId="5335452F" w14:textId="71FD74D3" w:rsidR="008D03B8" w:rsidRDefault="008D03B8" w:rsidP="008D03B8">
      <w:pPr>
        <w:pStyle w:val="CEABullet-Level1"/>
        <w:ind w:left="567" w:hanging="425"/>
        <w:rPr>
          <w:szCs w:val="17"/>
        </w:rPr>
      </w:pPr>
      <w:r w:rsidRPr="008D03B8">
        <w:rPr>
          <w:szCs w:val="17"/>
        </w:rPr>
        <w:t xml:space="preserve">European insurers also question the </w:t>
      </w:r>
      <w:r w:rsidRPr="008D03B8">
        <w:rPr>
          <w:b/>
          <w:bCs/>
          <w:szCs w:val="17"/>
        </w:rPr>
        <w:t>definition of ‘all investments’</w:t>
      </w:r>
      <w:r w:rsidRPr="008D03B8">
        <w:rPr>
          <w:szCs w:val="17"/>
        </w:rPr>
        <w:t xml:space="preserve"> adopted for the insurance sector: the definition encompasses many assets that have nothing to do with investments (</w:t>
      </w:r>
      <w:proofErr w:type="spellStart"/>
      <w:r w:rsidRPr="008D03B8">
        <w:rPr>
          <w:szCs w:val="17"/>
        </w:rPr>
        <w:t>ie</w:t>
      </w:r>
      <w:proofErr w:type="spellEnd"/>
      <w:r w:rsidRPr="008D03B8">
        <w:rPr>
          <w:szCs w:val="17"/>
        </w:rPr>
        <w:t xml:space="preserve"> deposit to cedants, cash equivalents) and will artificially increase the denominator of PAI indicators. Again, this will result in highly diluted indicators for insurers and thus in a risk of greenwashing. European insurers recommend adopting a definition that only consider investments.</w:t>
      </w:r>
    </w:p>
    <w:p w14:paraId="77BD566C" w14:textId="77777777" w:rsidR="00BF3D99" w:rsidRDefault="00BF3D99" w:rsidP="00F86F21">
      <w:pPr>
        <w:pStyle w:val="Odsekzoznamu"/>
        <w:rPr>
          <w:szCs w:val="17"/>
        </w:rPr>
      </w:pPr>
    </w:p>
    <w:p w14:paraId="29360619" w14:textId="185450A9" w:rsidR="00BF3D99" w:rsidRPr="00BF3D99" w:rsidRDefault="00BF3D99" w:rsidP="00BF3D99">
      <w:pPr>
        <w:pStyle w:val="CEABullet-Level1"/>
        <w:ind w:left="567" w:hanging="425"/>
        <w:rPr>
          <w:szCs w:val="17"/>
        </w:rPr>
      </w:pPr>
      <w:r w:rsidRPr="00BF3D99">
        <w:rPr>
          <w:szCs w:val="17"/>
        </w:rPr>
        <w:t xml:space="preserve">The ESAs’ proposals include a clarification that </w:t>
      </w:r>
      <w:r w:rsidRPr="00F86F21">
        <w:rPr>
          <w:b/>
          <w:bCs/>
          <w:szCs w:val="17"/>
        </w:rPr>
        <w:t>sustainable investments can be measured at activity or company level</w:t>
      </w:r>
      <w:r w:rsidRPr="00BF3D99">
        <w:rPr>
          <w:szCs w:val="17"/>
        </w:rPr>
        <w:t>. Moreover, the draft RTS introduce a requirement to state which of the two calculation methods is used to determine the share of sustainable investments at product level. While European insurers agree that more transparency is needed as regards the approach taken by product providers (to allow for true comparability of products), the assumption that the same approach can be taken for all asset classes is concerning. In the absence of a common methodology per asset class and against the background of SFDR being a transparency regime, European insurers would welcome an amendment of the disclosure question to allow for differentiated disclosure by asset class. In any case, it should be allowed to disclose a mixed approach at product level. To strengthen comparability across products and to improve consistency between the SFDR and the Taxonomy, European insurers strongly suggest applying activity level definition and calculation for investee companies in line with the EU Taxonomy.</w:t>
      </w:r>
    </w:p>
    <w:p w14:paraId="43DCB987" w14:textId="77777777" w:rsidR="00152882" w:rsidRPr="00CD064F" w:rsidRDefault="00152882" w:rsidP="003D0236">
      <w:pPr>
        <w:rPr>
          <w:sz w:val="17"/>
          <w:szCs w:val="17"/>
        </w:rPr>
      </w:pPr>
    </w:p>
    <w:p w14:paraId="35488792" w14:textId="56703054" w:rsidR="00833CD6" w:rsidRPr="000A42BB" w:rsidRDefault="002C6479" w:rsidP="00833CD6">
      <w:pPr>
        <w:autoSpaceDE w:val="0"/>
        <w:autoSpaceDN w:val="0"/>
        <w:adjustRightInd w:val="0"/>
        <w:rPr>
          <w:b/>
          <w:color w:val="002957"/>
          <w:sz w:val="17"/>
          <w:szCs w:val="17"/>
        </w:rPr>
      </w:pPr>
      <w:r w:rsidRPr="000A42BB">
        <w:rPr>
          <w:b/>
          <w:color w:val="002957"/>
          <w:sz w:val="17"/>
          <w:szCs w:val="17"/>
        </w:rPr>
        <w:t xml:space="preserve">Additional </w:t>
      </w:r>
      <w:r w:rsidR="000211D9" w:rsidRPr="000A42BB">
        <w:rPr>
          <w:b/>
          <w:color w:val="002957"/>
          <w:sz w:val="17"/>
          <w:szCs w:val="17"/>
        </w:rPr>
        <w:t>considerations</w:t>
      </w:r>
    </w:p>
    <w:p w14:paraId="2EB23C47" w14:textId="77777777" w:rsidR="00833CD6" w:rsidRPr="000A42BB" w:rsidRDefault="00833CD6" w:rsidP="003D0236">
      <w:pPr>
        <w:jc w:val="left"/>
        <w:rPr>
          <w:sz w:val="17"/>
          <w:szCs w:val="17"/>
        </w:rPr>
      </w:pPr>
    </w:p>
    <w:p w14:paraId="7F6DCF27" w14:textId="30D71EE2" w:rsidR="00FB02D6" w:rsidRPr="000A42BB" w:rsidRDefault="60B1638C" w:rsidP="003F34DC">
      <w:pPr>
        <w:rPr>
          <w:sz w:val="17"/>
          <w:szCs w:val="17"/>
        </w:rPr>
      </w:pPr>
      <w:r w:rsidRPr="000A42BB">
        <w:rPr>
          <w:rFonts w:eastAsia="Calibri" w:cs="Calibri"/>
          <w:sz w:val="17"/>
          <w:szCs w:val="17"/>
        </w:rPr>
        <w:t>In the</w:t>
      </w:r>
      <w:r w:rsidR="00A151DC" w:rsidRPr="000A42BB">
        <w:rPr>
          <w:rFonts w:eastAsia="Calibri" w:cs="Calibri"/>
          <w:sz w:val="17"/>
          <w:szCs w:val="17"/>
        </w:rPr>
        <w:t>ir</w:t>
      </w:r>
      <w:r w:rsidRPr="000A42BB">
        <w:rPr>
          <w:rFonts w:eastAsia="Calibri" w:cs="Calibri"/>
          <w:sz w:val="17"/>
          <w:szCs w:val="17"/>
        </w:rPr>
        <w:t xml:space="preserve"> technical advice, the ESAs have gone beyond what was explicitly requested by the Commission, and are proposing further changes</w:t>
      </w:r>
      <w:r w:rsidR="00747AA1" w:rsidRPr="000A42BB">
        <w:rPr>
          <w:rFonts w:eastAsia="Calibri" w:cs="Calibri"/>
          <w:sz w:val="17"/>
          <w:szCs w:val="17"/>
        </w:rPr>
        <w:t xml:space="preserve"> on disclosures</w:t>
      </w:r>
      <w:r w:rsidRPr="000A42BB">
        <w:rPr>
          <w:rFonts w:eastAsia="Calibri" w:cs="Calibri"/>
          <w:sz w:val="17"/>
          <w:szCs w:val="17"/>
        </w:rPr>
        <w:t>, such as:</w:t>
      </w:r>
    </w:p>
    <w:p w14:paraId="17FE0EB7" w14:textId="554E7F48" w:rsidR="00FB02D6" w:rsidRDefault="00FB02D6" w:rsidP="003D0236">
      <w:pPr>
        <w:jc w:val="left"/>
        <w:rPr>
          <w:rFonts w:eastAsia="Calibri" w:cs="Calibri"/>
          <w:sz w:val="17"/>
          <w:szCs w:val="17"/>
        </w:rPr>
      </w:pPr>
    </w:p>
    <w:p w14:paraId="7D67C3C2" w14:textId="537A9FA7" w:rsidR="00394222" w:rsidRPr="00D83881" w:rsidRDefault="00394222" w:rsidP="00DD480B">
      <w:pPr>
        <w:pStyle w:val="Odsekzoznamu"/>
        <w:numPr>
          <w:ilvl w:val="0"/>
          <w:numId w:val="27"/>
        </w:numPr>
        <w:rPr>
          <w:rFonts w:eastAsia="Calibri" w:cs="Calibri"/>
          <w:sz w:val="17"/>
          <w:szCs w:val="17"/>
        </w:rPr>
      </w:pPr>
      <w:r w:rsidRPr="00D83881">
        <w:rPr>
          <w:rFonts w:eastAsia="Calibri" w:cs="Calibri"/>
          <w:sz w:val="17"/>
          <w:szCs w:val="17"/>
        </w:rPr>
        <w:lastRenderedPageBreak/>
        <w:t xml:space="preserve">A </w:t>
      </w:r>
      <w:r w:rsidRPr="00D83881">
        <w:rPr>
          <w:rFonts w:eastAsia="Calibri" w:cs="Calibri"/>
          <w:b/>
          <w:bCs/>
          <w:sz w:val="17"/>
          <w:szCs w:val="17"/>
        </w:rPr>
        <w:t>new dashboard</w:t>
      </w:r>
      <w:r w:rsidRPr="00D83881">
        <w:rPr>
          <w:rFonts w:eastAsia="Calibri" w:cs="Calibri"/>
          <w:sz w:val="17"/>
          <w:szCs w:val="17"/>
        </w:rPr>
        <w:t xml:space="preserve"> with a summary of key information at the beginning of the SFDR templates, which must also be included in the website disclosure. </w:t>
      </w:r>
      <w:r w:rsidRPr="00D83881">
        <w:rPr>
          <w:rFonts w:eastAsia="Calibri" w:cs="Calibri"/>
          <w:b/>
          <w:bCs/>
          <w:sz w:val="17"/>
          <w:szCs w:val="17"/>
        </w:rPr>
        <w:t>Insurance Europe supports the proposed dashboard</w:t>
      </w:r>
      <w:r w:rsidRPr="00D83881">
        <w:rPr>
          <w:rFonts w:eastAsia="Calibri" w:cs="Calibri"/>
          <w:sz w:val="17"/>
          <w:szCs w:val="17"/>
        </w:rPr>
        <w:t xml:space="preserve"> in the SFDR templates, as it would provide consumers with a straightforward highlight of the key characteristics of the product. It can also become a useful instrument to favour the matching between consumers sustainability preferences expressed during the suitability test and the product features. However, careful consideration must be given to the fact that it does not become an extra layer of reporting/information. </w:t>
      </w:r>
      <w:r w:rsidR="00C04111" w:rsidRPr="00C04111">
        <w:rPr>
          <w:rFonts w:eastAsia="Calibri" w:cs="Calibri"/>
          <w:sz w:val="17"/>
          <w:szCs w:val="17"/>
        </w:rPr>
        <w:t xml:space="preserve">In the interests of accessibility and readability for consumers, the </w:t>
      </w:r>
      <w:r w:rsidR="00D50369">
        <w:rPr>
          <w:rFonts w:eastAsia="Calibri" w:cs="Calibri"/>
          <w:sz w:val="17"/>
          <w:szCs w:val="17"/>
        </w:rPr>
        <w:t>length o</w:t>
      </w:r>
      <w:r w:rsidR="00C04111" w:rsidRPr="00C04111">
        <w:rPr>
          <w:rFonts w:eastAsia="Calibri" w:cs="Calibri"/>
          <w:sz w:val="17"/>
          <w:szCs w:val="17"/>
        </w:rPr>
        <w:t>f the templates should be significantly reduced. Consumers who are interested in more detailed information than the information presented in the dashboard could be referred to the internet page in accordance with Article 10 SFDR</w:t>
      </w:r>
      <w:r w:rsidR="00C04111">
        <w:rPr>
          <w:rFonts w:eastAsia="Calibri" w:cs="Calibri"/>
          <w:sz w:val="17"/>
          <w:szCs w:val="17"/>
        </w:rPr>
        <w:t>.</w:t>
      </w:r>
      <w:r w:rsidR="00C04111" w:rsidRPr="00C04111">
        <w:rPr>
          <w:rFonts w:eastAsia="Calibri" w:cs="Calibri"/>
          <w:sz w:val="17"/>
          <w:szCs w:val="17"/>
        </w:rPr>
        <w:t xml:space="preserve"> </w:t>
      </w:r>
      <w:r w:rsidRPr="00D83881">
        <w:rPr>
          <w:rFonts w:eastAsia="Calibri" w:cs="Calibri"/>
          <w:sz w:val="17"/>
          <w:szCs w:val="17"/>
        </w:rPr>
        <w:t xml:space="preserve">To avoid duplications, all the information disclosed in the dashboard should be removed/reduced from the main body of the template. Insurance Europe appreciates the addition of icons as it helps consumers navigating the documents. Consumers can find the key information in the dashboard and more detailed information in the subsequent sections of the document where the same icon is used. </w:t>
      </w:r>
      <w:r w:rsidR="00F63063">
        <w:rPr>
          <w:rFonts w:eastAsia="Calibri" w:cs="Calibri"/>
          <w:sz w:val="17"/>
          <w:szCs w:val="17"/>
        </w:rPr>
        <w:t xml:space="preserve">Insurers </w:t>
      </w:r>
      <w:r w:rsidRPr="00D83881">
        <w:rPr>
          <w:rFonts w:eastAsia="Calibri" w:cs="Calibri"/>
          <w:sz w:val="17"/>
          <w:szCs w:val="17"/>
        </w:rPr>
        <w:t>also welcome the option of layering, to put consumers in control of the type and amount of information they wish to receive.</w:t>
      </w:r>
    </w:p>
    <w:p w14:paraId="4CB2CCFE" w14:textId="77777777" w:rsidR="00394222" w:rsidRPr="000A42BB" w:rsidRDefault="00394222" w:rsidP="003D0236">
      <w:pPr>
        <w:jc w:val="left"/>
        <w:rPr>
          <w:rFonts w:eastAsia="Calibri" w:cs="Calibri"/>
          <w:sz w:val="17"/>
          <w:szCs w:val="17"/>
        </w:rPr>
      </w:pPr>
    </w:p>
    <w:p w14:paraId="4D204C79" w14:textId="59CF8A3B" w:rsidR="00166F9B" w:rsidRPr="00166F9B" w:rsidRDefault="00BF461E" w:rsidP="00166F9B">
      <w:pPr>
        <w:pStyle w:val="Odsekzoznamu"/>
        <w:numPr>
          <w:ilvl w:val="0"/>
          <w:numId w:val="26"/>
        </w:numPr>
        <w:rPr>
          <w:sz w:val="17"/>
          <w:szCs w:val="17"/>
        </w:rPr>
      </w:pPr>
      <w:r w:rsidRPr="00166F9B">
        <w:rPr>
          <w:sz w:val="17"/>
          <w:szCs w:val="17"/>
        </w:rPr>
        <w:t xml:space="preserve">Possibility to provide periodic disclosures for MOPs by </w:t>
      </w:r>
      <w:r w:rsidRPr="00166F9B">
        <w:rPr>
          <w:b/>
          <w:bCs/>
          <w:sz w:val="17"/>
          <w:szCs w:val="17"/>
        </w:rPr>
        <w:t>cross-referencing</w:t>
      </w:r>
      <w:r w:rsidRPr="00166F9B">
        <w:rPr>
          <w:sz w:val="17"/>
          <w:szCs w:val="17"/>
        </w:rPr>
        <w:t xml:space="preserve"> to the relevant sectoral SFDR disclosures, including website disclosures made in accordance with Article 10 of Regulation (EU) 2019/2088, where the number of invested options is significant. The ESAs are of the view that the cross-referencing should be to the specific document where the SFDR disclosure is Annexed to. Insurance Europe welcomes the possibility to use cross-referencing to the existing SFDR disclosures for MOPs periodic disclosures, which will simplify the provision of information. European insurers advocate for flexibility in disclosure requirements of Multi-Option Products (MOPs). The underlying investment options are sometimes numerous in MOPs and this needs to be considered in the legislative framework. </w:t>
      </w:r>
      <w:r w:rsidR="001945DF" w:rsidRPr="00166F9B">
        <w:rPr>
          <w:sz w:val="17"/>
          <w:szCs w:val="17"/>
        </w:rPr>
        <w:t>As</w:t>
      </w:r>
      <w:r w:rsidRPr="00166F9B">
        <w:rPr>
          <w:sz w:val="17"/>
          <w:szCs w:val="17"/>
        </w:rPr>
        <w:t xml:space="preserve"> suggested by the ESAs in the report, European insurers welcome that provisions like Article 20(5) and Article 21(5) EU 2022/1288 are inserted in Article 65 and Article 66 </w:t>
      </w:r>
      <w:r w:rsidR="008D4820" w:rsidRPr="00166F9B">
        <w:rPr>
          <w:sz w:val="17"/>
          <w:szCs w:val="17"/>
        </w:rPr>
        <w:t>regarding</w:t>
      </w:r>
      <w:r w:rsidRPr="00166F9B">
        <w:rPr>
          <w:sz w:val="17"/>
          <w:szCs w:val="17"/>
        </w:rPr>
        <w:t xml:space="preserve"> hyperlinks in the framework of MOPs. </w:t>
      </w:r>
      <w:r w:rsidR="00A36DBF" w:rsidRPr="00166F9B">
        <w:rPr>
          <w:sz w:val="17"/>
          <w:szCs w:val="17"/>
        </w:rPr>
        <w:t>How</w:t>
      </w:r>
      <w:r w:rsidR="00166F9B" w:rsidRPr="00166F9B">
        <w:rPr>
          <w:sz w:val="17"/>
          <w:szCs w:val="17"/>
        </w:rPr>
        <w:t xml:space="preserve">ever, </w:t>
      </w:r>
      <w:r w:rsidR="00166F9B">
        <w:rPr>
          <w:sz w:val="17"/>
          <w:szCs w:val="17"/>
        </w:rPr>
        <w:t>t</w:t>
      </w:r>
      <w:r w:rsidR="00166F9B" w:rsidRPr="00166F9B">
        <w:rPr>
          <w:sz w:val="17"/>
          <w:szCs w:val="17"/>
        </w:rPr>
        <w:t>he new wording of Articles 20, 21, 65 and 66 requires FMPs offering MOPs to develop statutory templates not only for investment options which are “financial products” within the meaning of Article 2 SFDR but also for investment options which are themselves not in the scope of the SFDR. While European insurers agree that information on the sustainability characteristics should be provided also for investment options which are not in themselves “financial products”, insurers should have enough leeway to reflect the specificities of these options in their disclosures. Furthermore, it would be very challenging - and oftentimes not possible - to obtain a standardised template for an investment option if the provider of that investment option is not required by law to create one.</w:t>
      </w:r>
    </w:p>
    <w:p w14:paraId="0B6D3C27" w14:textId="6B22A701" w:rsidR="00BF461E" w:rsidRPr="000A42BB" w:rsidRDefault="00BF461E" w:rsidP="00166F9B">
      <w:pPr>
        <w:pStyle w:val="Odsekzoznamu"/>
        <w:rPr>
          <w:sz w:val="17"/>
          <w:szCs w:val="17"/>
        </w:rPr>
      </w:pPr>
    </w:p>
    <w:p w14:paraId="56FB8D75" w14:textId="4FE2A797" w:rsidR="00BF461E" w:rsidRPr="00925C4E" w:rsidRDefault="000A42BB" w:rsidP="006C740F">
      <w:pPr>
        <w:pStyle w:val="Odsekzoznamu"/>
        <w:numPr>
          <w:ilvl w:val="0"/>
          <w:numId w:val="26"/>
        </w:numPr>
        <w:rPr>
          <w:sz w:val="17"/>
          <w:szCs w:val="17"/>
        </w:rPr>
      </w:pPr>
      <w:r w:rsidRPr="00925C4E">
        <w:rPr>
          <w:sz w:val="17"/>
          <w:szCs w:val="17"/>
        </w:rPr>
        <w:t xml:space="preserve">A requirement to produce the SFDR disclosures in </w:t>
      </w:r>
      <w:r w:rsidRPr="00925C4E">
        <w:rPr>
          <w:b/>
          <w:bCs/>
          <w:sz w:val="17"/>
          <w:szCs w:val="17"/>
        </w:rPr>
        <w:t>machine-readable format</w:t>
      </w:r>
      <w:r w:rsidRPr="00925C4E">
        <w:rPr>
          <w:sz w:val="17"/>
          <w:szCs w:val="17"/>
        </w:rPr>
        <w:t xml:space="preserve"> to permit storage on the European Single Access Point (ESAP). In particular, the ESAs indicate Inline XBRL as machine-readable format. Insurance Europe welcomes the harmonisation of formats with the sustainability information in the ESRS. However, considering that the ESAP will come into force no earlier than 2028, more time should be allocated for the technical implementation.</w:t>
      </w:r>
    </w:p>
    <w:p w14:paraId="3D9E0E42" w14:textId="77777777" w:rsidR="00B922B4" w:rsidRPr="00925C4E" w:rsidRDefault="00B922B4" w:rsidP="006C740F">
      <w:pPr>
        <w:pStyle w:val="CEABullet-Level2"/>
        <w:numPr>
          <w:ilvl w:val="0"/>
          <w:numId w:val="0"/>
        </w:numPr>
        <w:rPr>
          <w:rFonts w:eastAsia="Calibri"/>
          <w:szCs w:val="17"/>
        </w:rPr>
      </w:pPr>
    </w:p>
    <w:p w14:paraId="1D58D400" w14:textId="44209687" w:rsidR="00D71794" w:rsidRPr="00925C4E" w:rsidRDefault="00925C4E" w:rsidP="006C740F">
      <w:pPr>
        <w:pStyle w:val="Odsekzoznamu"/>
        <w:numPr>
          <w:ilvl w:val="0"/>
          <w:numId w:val="26"/>
        </w:numPr>
        <w:rPr>
          <w:rFonts w:eastAsia="Calibri"/>
          <w:sz w:val="17"/>
          <w:szCs w:val="17"/>
        </w:rPr>
      </w:pPr>
      <w:r w:rsidRPr="00925C4E">
        <w:rPr>
          <w:rFonts w:eastAsia="Calibri"/>
          <w:sz w:val="17"/>
          <w:szCs w:val="17"/>
        </w:rPr>
        <w:t xml:space="preserve">Insurance Europe </w:t>
      </w:r>
      <w:r w:rsidRPr="00925C4E">
        <w:rPr>
          <w:rFonts w:eastAsia="Calibri"/>
          <w:b/>
          <w:bCs/>
          <w:sz w:val="17"/>
          <w:szCs w:val="17"/>
        </w:rPr>
        <w:t>welcomes the use of consumer testing</w:t>
      </w:r>
      <w:r w:rsidRPr="00925C4E">
        <w:rPr>
          <w:rFonts w:eastAsia="Calibri"/>
          <w:sz w:val="17"/>
          <w:szCs w:val="17"/>
        </w:rPr>
        <w:t xml:space="preserve"> to ensure that any new disclosures have no unintended consequences, are meaningful, meet consumers’ information needs and improve their understanding of the products. However, Insurance Europe recommends legislators and authorities to </w:t>
      </w:r>
      <w:r w:rsidRPr="00925C4E">
        <w:rPr>
          <w:rFonts w:eastAsia="Calibri"/>
          <w:b/>
          <w:bCs/>
          <w:sz w:val="17"/>
          <w:szCs w:val="17"/>
        </w:rPr>
        <w:t>conduct a more extensive consumer testing</w:t>
      </w:r>
      <w:r w:rsidRPr="00925C4E">
        <w:rPr>
          <w:rFonts w:eastAsia="Calibri"/>
          <w:sz w:val="17"/>
          <w:szCs w:val="17"/>
        </w:rPr>
        <w:t xml:space="preserve"> of any new requirement, in a larger number of countries and with a more representative sample of consumers (</w:t>
      </w:r>
      <w:proofErr w:type="spellStart"/>
      <w:r w:rsidRPr="00925C4E">
        <w:rPr>
          <w:rFonts w:eastAsia="Calibri"/>
          <w:sz w:val="17"/>
          <w:szCs w:val="17"/>
        </w:rPr>
        <w:t>eg</w:t>
      </w:r>
      <w:proofErr w:type="spellEnd"/>
      <w:r w:rsidRPr="00925C4E">
        <w:rPr>
          <w:rFonts w:eastAsia="Calibri"/>
          <w:sz w:val="17"/>
          <w:szCs w:val="17"/>
        </w:rPr>
        <w:t xml:space="preserve"> the IT and PL testing were performed with university students).</w:t>
      </w:r>
    </w:p>
    <w:p w14:paraId="1FC03F0E" w14:textId="2CE53261" w:rsidR="0075640F" w:rsidRPr="00CB7EEA" w:rsidRDefault="0075640F" w:rsidP="006C740F">
      <w:pPr>
        <w:rPr>
          <w:rFonts w:eastAsia="Calibri"/>
          <w:sz w:val="17"/>
          <w:szCs w:val="17"/>
        </w:rPr>
      </w:pPr>
    </w:p>
    <w:p w14:paraId="3D10E17A" w14:textId="7D774FCD" w:rsidR="001911FB" w:rsidRDefault="00925C4E" w:rsidP="006C740F">
      <w:pPr>
        <w:pStyle w:val="Odsekzoznamu"/>
        <w:numPr>
          <w:ilvl w:val="0"/>
          <w:numId w:val="26"/>
        </w:numPr>
        <w:rPr>
          <w:rFonts w:eastAsia="Calibri"/>
          <w:sz w:val="17"/>
          <w:szCs w:val="17"/>
        </w:rPr>
      </w:pPr>
      <w:r w:rsidRPr="00925C4E">
        <w:rPr>
          <w:rFonts w:eastAsia="Calibri"/>
          <w:sz w:val="17"/>
          <w:szCs w:val="17"/>
        </w:rPr>
        <w:t>It is critical to</w:t>
      </w:r>
      <w:r w:rsidR="003A3B65">
        <w:rPr>
          <w:rFonts w:eastAsia="Calibri"/>
          <w:sz w:val="17"/>
          <w:szCs w:val="17"/>
        </w:rPr>
        <w:t xml:space="preserve"> </w:t>
      </w:r>
      <w:r w:rsidRPr="00925C4E">
        <w:rPr>
          <w:rFonts w:eastAsia="Calibri"/>
          <w:b/>
          <w:bCs/>
          <w:sz w:val="17"/>
          <w:szCs w:val="17"/>
        </w:rPr>
        <w:t>provide the</w:t>
      </w:r>
      <w:r w:rsidRPr="00925C4E">
        <w:rPr>
          <w:rFonts w:eastAsia="Calibri"/>
          <w:sz w:val="17"/>
          <w:szCs w:val="17"/>
        </w:rPr>
        <w:t xml:space="preserve"> </w:t>
      </w:r>
      <w:r w:rsidRPr="00925C4E">
        <w:rPr>
          <w:rFonts w:eastAsia="Calibri"/>
          <w:b/>
          <w:bCs/>
          <w:sz w:val="17"/>
          <w:szCs w:val="17"/>
        </w:rPr>
        <w:t>industry with at least a year for implementation</w:t>
      </w:r>
      <w:r w:rsidRPr="00925C4E">
        <w:rPr>
          <w:rFonts w:eastAsia="Calibri"/>
          <w:sz w:val="17"/>
          <w:szCs w:val="17"/>
        </w:rPr>
        <w:t xml:space="preserve"> after the revised Level 2 texts are published in the Official Journal of the EU.</w:t>
      </w:r>
    </w:p>
    <w:p w14:paraId="494BE528" w14:textId="77777777" w:rsidR="000868C1" w:rsidRPr="00870794" w:rsidRDefault="000868C1" w:rsidP="00870794">
      <w:pPr>
        <w:rPr>
          <w:rFonts w:eastAsia="Calibri"/>
          <w:sz w:val="17"/>
          <w:szCs w:val="17"/>
        </w:rPr>
      </w:pPr>
    </w:p>
    <w:p w14:paraId="0C80AF33" w14:textId="6E3D60DA" w:rsidR="000868C1" w:rsidRPr="00CD064F" w:rsidRDefault="000868C1" w:rsidP="000868C1">
      <w:pPr>
        <w:pStyle w:val="CEABullet-Level1"/>
        <w:numPr>
          <w:ilvl w:val="0"/>
          <w:numId w:val="26"/>
        </w:numPr>
        <w:rPr>
          <w:rFonts w:eastAsia="Calibri"/>
          <w:szCs w:val="17"/>
        </w:rPr>
      </w:pPr>
      <w:r w:rsidRPr="00CD064F">
        <w:rPr>
          <w:rFonts w:eastAsia="Calibri"/>
          <w:szCs w:val="17"/>
        </w:rPr>
        <w:t xml:space="preserve">European insurers agree that the </w:t>
      </w:r>
      <w:r w:rsidRPr="00A8311F">
        <w:rPr>
          <w:rFonts w:eastAsia="Calibri"/>
          <w:b/>
          <w:bCs/>
          <w:szCs w:val="17"/>
        </w:rPr>
        <w:t>notion of ‘all investments’</w:t>
      </w:r>
      <w:r w:rsidRPr="00CD064F">
        <w:rPr>
          <w:rFonts w:eastAsia="Calibri"/>
          <w:szCs w:val="17"/>
        </w:rPr>
        <w:t xml:space="preserve"> aims to cover all the investments made by the financial market participant. The meaning and scope of ‘all investments’ depends on who makes the ‘investment decision’. The SFDR uses the term ‘investment decision’ either connected to customers or to financial market participants. Article 4 SFDR requires financial market participants to publish a statement where they consider principal adverse impacts of [their] investment decisions on sustainability factors (‘Transparency of adverse sustainability impacts at entity level’) (see also Art. 6 SFDR RTS: ‘principal adverse impacts of their investment decisions’), while </w:t>
      </w:r>
      <w:proofErr w:type="spellStart"/>
      <w:r w:rsidRPr="00CD064F">
        <w:rPr>
          <w:rFonts w:eastAsia="Calibri"/>
          <w:szCs w:val="17"/>
        </w:rPr>
        <w:t>eg</w:t>
      </w:r>
      <w:proofErr w:type="spellEnd"/>
      <w:r w:rsidRPr="00CD064F">
        <w:rPr>
          <w:rFonts w:eastAsia="Calibri"/>
          <w:szCs w:val="17"/>
        </w:rPr>
        <w:t xml:space="preserve"> Recital 19 refers to the investment decision of the end investor (customer). Therefore, PAI reporting on entity level should exclusively cover investments made by the financial market participant itself, </w:t>
      </w:r>
      <w:proofErr w:type="spellStart"/>
      <w:r w:rsidRPr="00CD064F">
        <w:rPr>
          <w:rFonts w:eastAsia="Calibri"/>
          <w:szCs w:val="17"/>
        </w:rPr>
        <w:t>ie</w:t>
      </w:r>
      <w:proofErr w:type="spellEnd"/>
      <w:r w:rsidRPr="00CD064F">
        <w:rPr>
          <w:rFonts w:eastAsia="Calibri"/>
          <w:szCs w:val="17"/>
        </w:rPr>
        <w:t xml:space="preserve"> proprietary owned investments, where the investment decision lays with the financial market participant. For unit-linked contracts, the investment decision itself is made by the customer. The customer decides for a specific product out of several options and hence, explicitly or implicitly chooses the option to invest in, not the financial market participants. European insurers recommend including in Annex I point (4) ‘current value of all investments’ (p. 75 of ‘Joint Consultation Paper - Review of SFDR Delegated Regulation regarding PAI and financial product disclosures’) the wording “[…] investments of the financial market participant, [where the investment decision is made by the financial market participant]</w:t>
      </w:r>
      <w:r w:rsidR="003358B3">
        <w:rPr>
          <w:rFonts w:eastAsia="Calibri"/>
          <w:szCs w:val="17"/>
        </w:rPr>
        <w:t>”</w:t>
      </w:r>
      <w:r w:rsidRPr="00CD064F">
        <w:rPr>
          <w:rFonts w:eastAsia="Calibri"/>
          <w:szCs w:val="17"/>
        </w:rPr>
        <w:t>.</w:t>
      </w:r>
    </w:p>
    <w:p w14:paraId="6AB94463" w14:textId="55236F14" w:rsidR="00A147D3" w:rsidRPr="00F86F21" w:rsidRDefault="00A147D3" w:rsidP="00870794">
      <w:pPr>
        <w:rPr>
          <w:rFonts w:eastAsia="Calibri"/>
          <w:sz w:val="17"/>
          <w:szCs w:val="17"/>
        </w:rPr>
      </w:pPr>
    </w:p>
    <w:p w14:paraId="39D4D36D" w14:textId="77777777" w:rsidR="00A147D3" w:rsidRDefault="00A147D3" w:rsidP="00A147D3">
      <w:pPr>
        <w:pStyle w:val="CEABullet-Level1"/>
        <w:numPr>
          <w:ilvl w:val="0"/>
          <w:numId w:val="0"/>
        </w:numPr>
        <w:ind w:left="567"/>
        <w:jc w:val="left"/>
        <w:rPr>
          <w:szCs w:val="17"/>
        </w:rPr>
      </w:pPr>
    </w:p>
    <w:p w14:paraId="5BDEAD47" w14:textId="77777777" w:rsidR="00A147D3" w:rsidRDefault="00A147D3" w:rsidP="00A147D3">
      <w:pPr>
        <w:pStyle w:val="CEABullet-Level1"/>
        <w:numPr>
          <w:ilvl w:val="0"/>
          <w:numId w:val="0"/>
        </w:numPr>
        <w:ind w:left="567"/>
        <w:jc w:val="left"/>
        <w:rPr>
          <w:szCs w:val="17"/>
        </w:rPr>
      </w:pPr>
    </w:p>
    <w:p w14:paraId="057E77F4" w14:textId="77777777" w:rsidR="00A147D3" w:rsidRDefault="00A147D3" w:rsidP="00A147D3">
      <w:pPr>
        <w:pStyle w:val="CEABullet-Level1"/>
        <w:numPr>
          <w:ilvl w:val="0"/>
          <w:numId w:val="0"/>
        </w:numPr>
        <w:ind w:left="567"/>
        <w:jc w:val="left"/>
        <w:rPr>
          <w:szCs w:val="17"/>
        </w:rPr>
      </w:pPr>
    </w:p>
    <w:p w14:paraId="5D3EDBD3" w14:textId="77777777" w:rsidR="00A147D3" w:rsidRPr="00CD064F" w:rsidRDefault="00A147D3" w:rsidP="00A147D3">
      <w:pPr>
        <w:pStyle w:val="CEABullet-Level1"/>
        <w:numPr>
          <w:ilvl w:val="0"/>
          <w:numId w:val="0"/>
        </w:numPr>
        <w:ind w:left="567"/>
        <w:jc w:val="left"/>
        <w:rPr>
          <w:rFonts w:eastAsia="Calibri"/>
          <w:szCs w:val="17"/>
        </w:rPr>
      </w:pPr>
    </w:p>
    <w:p w14:paraId="1D84A253" w14:textId="3EA67452" w:rsidR="00453B7C" w:rsidRPr="00CD064F" w:rsidRDefault="00453B7C" w:rsidP="00A147D3">
      <w:pPr>
        <w:pStyle w:val="CEABullet-Level1"/>
        <w:numPr>
          <w:ilvl w:val="0"/>
          <w:numId w:val="0"/>
        </w:numPr>
        <w:jc w:val="left"/>
        <w:rPr>
          <w:szCs w:val="17"/>
        </w:rPr>
      </w:pPr>
    </w:p>
    <w:p w14:paraId="33CEFBC2" w14:textId="5F764AD3" w:rsidR="00440FEE" w:rsidRPr="003D0236" w:rsidRDefault="003715C9" w:rsidP="003D0236">
      <w:pPr>
        <w:autoSpaceDE w:val="0"/>
        <w:autoSpaceDN w:val="0"/>
        <w:adjustRightInd w:val="0"/>
        <w:rPr>
          <w:sz w:val="17"/>
          <w:szCs w:val="17"/>
        </w:rPr>
      </w:pPr>
      <w:r w:rsidRPr="003D0236">
        <w:rPr>
          <w:sz w:val="17"/>
          <w:szCs w:val="17"/>
        </w:rPr>
        <w:t>Insurance Europe is the European insurance and reinsurance federation. Through its 37 member bodies — the national insurance associations — it represents all types and sizes of insurance and reinsurance undertakings. Insurance Europe, which is based in Brussels, represents undertakings that account for around 95% of total European premium income. Insurance makes a major contribution to Europe’s economic growth and development. European insurers pay out over €1 000bn annually — or €2.8bn a day — in claims, directly employ more than 920 000 people and invest over €10.6trn in the economy.</w:t>
      </w:r>
    </w:p>
    <w:sectPr w:rsidR="00440FEE" w:rsidRPr="003D0236" w:rsidSect="00E06F0E">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6FB2" w14:textId="77777777" w:rsidR="00E06F0E" w:rsidRDefault="00E06F0E">
      <w:pPr>
        <w:spacing w:line="240" w:lineRule="auto"/>
      </w:pPr>
      <w:r>
        <w:separator/>
      </w:r>
    </w:p>
  </w:endnote>
  <w:endnote w:type="continuationSeparator" w:id="0">
    <w:p w14:paraId="4F005F15" w14:textId="77777777" w:rsidR="00E06F0E" w:rsidRDefault="00E06F0E">
      <w:pPr>
        <w:spacing w:line="240" w:lineRule="auto"/>
      </w:pPr>
      <w:r>
        <w:continuationSeparator/>
      </w:r>
    </w:p>
  </w:endnote>
  <w:endnote w:type="continuationNotice" w:id="1">
    <w:p w14:paraId="00412FBC" w14:textId="77777777" w:rsidR="00E06F0E" w:rsidRDefault="00E06F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A777" w14:textId="77777777" w:rsidR="00AF1E2C" w:rsidRDefault="00152882" w:rsidP="00F8406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086F33" w14:textId="77777777" w:rsidR="00AF1E2C" w:rsidRDefault="00AF1E2C" w:rsidP="00F8406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342C" w14:textId="77777777" w:rsidR="00AF1E2C" w:rsidRPr="007748EE" w:rsidRDefault="00152882" w:rsidP="00F84061">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009F36CD" w:rsidRPr="007748EE">
      <w:rPr>
        <w:rStyle w:val="slostrany"/>
        <w:noProof/>
        <w:color w:val="002957"/>
        <w:sz w:val="14"/>
        <w:szCs w:val="14"/>
      </w:rPr>
      <w:t>2</w:t>
    </w:r>
    <w:r w:rsidRPr="007748EE">
      <w:rPr>
        <w:rStyle w:val="slostrany"/>
        <w:color w:val="002957"/>
        <w:sz w:val="14"/>
        <w:szCs w:val="14"/>
      </w:rPr>
      <w:fldChar w:fldCharType="end"/>
    </w:r>
  </w:p>
  <w:p w14:paraId="179B6722" w14:textId="77777777" w:rsidR="00AF1E2C" w:rsidRPr="0085650F" w:rsidRDefault="00AF1E2C" w:rsidP="00F84061">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12469D" w14:paraId="3BDA0906" w14:textId="77777777" w:rsidTr="007748EE">
      <w:tc>
        <w:tcPr>
          <w:tcW w:w="5387" w:type="dxa"/>
        </w:tcPr>
        <w:p w14:paraId="223AB0CA" w14:textId="77777777" w:rsidR="0012469D" w:rsidRDefault="0012469D" w:rsidP="007748EE">
          <w:pPr>
            <w:pStyle w:val="CEAFooterauthorinfo"/>
            <w:jc w:val="left"/>
            <w:rPr>
              <w:b w:val="0"/>
              <w:color w:val="002957"/>
              <w:sz w:val="14"/>
              <w:szCs w:val="14"/>
              <w:lang w:val="pt-PT"/>
            </w:rPr>
          </w:pPr>
          <w:r w:rsidRPr="00A4463C">
            <w:rPr>
              <w:b w:val="0"/>
              <w:color w:val="002957"/>
              <w:sz w:val="14"/>
              <w:szCs w:val="14"/>
              <w:lang w:val="fr-BE"/>
            </w:rPr>
            <w:t>Insurance Europe aisbl</w:t>
          </w:r>
        </w:p>
        <w:p w14:paraId="409D0242" w14:textId="77777777" w:rsidR="0012469D" w:rsidRPr="00A4463C" w:rsidRDefault="0012469D"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26C85C0" w14:textId="77777777" w:rsidR="0012469D" w:rsidRDefault="0012469D"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069F1905" w14:textId="19503539" w:rsidR="0012469D" w:rsidRPr="0012469D" w:rsidRDefault="0012469D"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007748EE" w:rsidRPr="009F19B1">
              <w:rPr>
                <w:rStyle w:val="Hypertextovprepojenie"/>
                <w:b w:val="0"/>
                <w:sz w:val="14"/>
                <w:szCs w:val="14"/>
                <w:lang w:val="pt-PT"/>
              </w:rPr>
              <w:t>info@insuranceeurope.eu</w:t>
            </w:r>
          </w:hyperlink>
          <w:r w:rsidR="007748EE">
            <w:rPr>
              <w:b w:val="0"/>
              <w:color w:val="002957"/>
              <w:sz w:val="14"/>
              <w:szCs w:val="14"/>
              <w:lang w:val="pt-PT"/>
            </w:rPr>
            <w:br/>
          </w:r>
          <w:r w:rsidR="007748EE" w:rsidRPr="007748EE">
            <w:rPr>
              <w:b w:val="0"/>
              <w:color w:val="82C55B"/>
              <w:sz w:val="14"/>
              <w:szCs w:val="14"/>
              <w:lang w:val="pt-PT"/>
            </w:rPr>
            <w:t>www.insuranceeurope.eu</w:t>
          </w:r>
        </w:p>
      </w:tc>
      <w:tc>
        <w:tcPr>
          <w:tcW w:w="4253" w:type="dxa"/>
        </w:tcPr>
        <w:p w14:paraId="208F7DCE" w14:textId="3A444E5B" w:rsidR="0012469D" w:rsidRPr="002F12C5" w:rsidRDefault="002F12C5"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1297F9E" w14:textId="77777777" w:rsidR="00AF1E2C" w:rsidRPr="003D33B8" w:rsidRDefault="00AF1E2C">
    <w:pPr>
      <w:pStyle w:val="Pta"/>
      <w:rPr>
        <w:color w:val="002957"/>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47EC" w14:textId="77777777" w:rsidR="00E06F0E" w:rsidRDefault="00E06F0E">
      <w:pPr>
        <w:spacing w:line="240" w:lineRule="auto"/>
      </w:pPr>
      <w:r>
        <w:separator/>
      </w:r>
    </w:p>
  </w:footnote>
  <w:footnote w:type="continuationSeparator" w:id="0">
    <w:p w14:paraId="6D90ACF0" w14:textId="77777777" w:rsidR="00E06F0E" w:rsidRDefault="00E06F0E">
      <w:pPr>
        <w:spacing w:line="240" w:lineRule="auto"/>
      </w:pPr>
      <w:r>
        <w:continuationSeparator/>
      </w:r>
    </w:p>
  </w:footnote>
  <w:footnote w:type="continuationNotice" w:id="1">
    <w:p w14:paraId="671A77FE" w14:textId="77777777" w:rsidR="00E06F0E" w:rsidRDefault="00E06F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157A" w14:textId="77777777" w:rsidR="00AF1E2C" w:rsidRPr="00323E1C" w:rsidRDefault="00152882" w:rsidP="00F84061">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41" behindDoc="0" locked="0" layoutInCell="1" allowOverlap="1" wp14:anchorId="3E4E9827" wp14:editId="682FE296">
          <wp:simplePos x="0" y="0"/>
          <wp:positionH relativeFrom="page">
            <wp:posOffset>528955</wp:posOffset>
          </wp:positionH>
          <wp:positionV relativeFrom="page">
            <wp:posOffset>521970</wp:posOffset>
          </wp:positionV>
          <wp:extent cx="1457325" cy="895350"/>
          <wp:effectExtent l="19050" t="0" r="0" b="0"/>
          <wp:wrapSquare wrapText="bothSides"/>
          <wp:docPr id="1"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EB4D2BF" w14:textId="77777777" w:rsidR="00AF1E2C" w:rsidRPr="0085650F" w:rsidRDefault="00152882" w:rsidP="00F84061">
    <w:pPr>
      <w:pStyle w:val="Noparagraphstyle"/>
      <w:jc w:val="right"/>
      <w:rPr>
        <w:rFonts w:ascii="Verdana" w:hAnsi="Verdana" w:cs="Arial"/>
        <w:i/>
        <w:iCs/>
        <w:color w:val="034EA2"/>
      </w:rPr>
    </w:pPr>
    <w:r w:rsidRPr="00323E1C">
      <w:rPr>
        <w:rFonts w:ascii="Verdana" w:hAnsi="Verdana"/>
      </w:rPr>
      <w:tab/>
    </w:r>
  </w:p>
  <w:p w14:paraId="6A05B2BD" w14:textId="77777777" w:rsidR="00AF1E2C" w:rsidRPr="00491802" w:rsidRDefault="00AF1E2C" w:rsidP="00F84061">
    <w:pPr>
      <w:pStyle w:val="Hlavika"/>
      <w:tabs>
        <w:tab w:val="clear" w:pos="4320"/>
        <w:tab w:val="clear" w:pos="8640"/>
        <w:tab w:val="center" w:pos="0"/>
        <w:tab w:val="right" w:pos="104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4349" w14:textId="77777777" w:rsidR="00AF1E2C" w:rsidRPr="00323E1C" w:rsidRDefault="00152882" w:rsidP="00F84061">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40" behindDoc="0" locked="0" layoutInCell="1" allowOverlap="1" wp14:anchorId="10148D34" wp14:editId="7F79CF44">
          <wp:simplePos x="0" y="0"/>
          <wp:positionH relativeFrom="page">
            <wp:posOffset>523875</wp:posOffset>
          </wp:positionH>
          <wp:positionV relativeFrom="page">
            <wp:posOffset>523875</wp:posOffset>
          </wp:positionV>
          <wp:extent cx="1457325" cy="895350"/>
          <wp:effectExtent l="19050" t="0" r="0" b="0"/>
          <wp:wrapSquare wrapText="bothSides"/>
          <wp:docPr id="3" name="Picture 3"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2081F8F" w14:textId="77777777" w:rsidR="00AF1E2C" w:rsidRDefault="00AF1E2C">
    <w:pPr>
      <w:pStyle w:val="Hlavika"/>
    </w:pPr>
  </w:p>
  <w:p w14:paraId="4CAF9B32" w14:textId="77777777" w:rsidR="00AF1E2C" w:rsidRDefault="00AF1E2C">
    <w:pPr>
      <w:pStyle w:val="Hlavika"/>
    </w:pPr>
  </w:p>
  <w:p w14:paraId="07E1BCBC" w14:textId="77777777" w:rsidR="00AF1E2C" w:rsidRDefault="00AF1E2C">
    <w:pPr>
      <w:pStyle w:val="Hlavika"/>
    </w:pPr>
  </w:p>
  <w:p w14:paraId="28CF5DF4" w14:textId="6A7F323D" w:rsidR="0017261F" w:rsidRDefault="00152882"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bookmarkStart w:id="0" w:name="Draft1st"/>
    <w:bookmarkEnd w:id="0"/>
  </w:p>
  <w:p w14:paraId="3654217F" w14:textId="77777777" w:rsidR="00AF1E2C" w:rsidRPr="00D74967" w:rsidRDefault="00AF1E2C" w:rsidP="00F84061">
    <w:pPr>
      <w:pStyle w:val="CEADraft"/>
      <w:rPr>
        <w:color w:val="002957"/>
        <w:lang w:val="en-US"/>
      </w:rPr>
    </w:pPr>
  </w:p>
  <w:p w14:paraId="5495E665" w14:textId="77777777" w:rsidR="00AF1E2C" w:rsidRPr="00D74967" w:rsidRDefault="00AF1E2C" w:rsidP="00F84061">
    <w:pPr>
      <w:rPr>
        <w:color w:val="002957"/>
        <w:lang w:val="en-US"/>
      </w:rPr>
    </w:pPr>
  </w:p>
  <w:bookmarkStart w:id="1" w:name="Document_title_"/>
  <w:p w14:paraId="15B481B1" w14:textId="2E0C4D03" w:rsidR="00AF1E2C" w:rsidRPr="00D74967" w:rsidRDefault="00426F66" w:rsidP="00240F50">
    <w:pPr>
      <w:pStyle w:val="CEAPositionPaperTitle"/>
      <w:ind w:left="0"/>
      <w:rPr>
        <w:b w:val="0"/>
        <w:color w:val="002957"/>
        <w:sz w:val="28"/>
        <w:szCs w:val="28"/>
        <w:lang w:val="en-US"/>
      </w:rPr>
    </w:pPr>
    <w:sdt>
      <w:sdtPr>
        <w:rPr>
          <w:b w:val="0"/>
          <w:color w:val="002957"/>
          <w:sz w:val="28"/>
          <w:szCs w:val="28"/>
          <w:lang w:val="en-US"/>
        </w:rPr>
        <w:id w:val="-1374918777"/>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982A8A">
          <w:rPr>
            <w:b w:val="0"/>
            <w:color w:val="002957"/>
            <w:sz w:val="28"/>
            <w:szCs w:val="28"/>
            <w:lang w:val="en-US"/>
          </w:rPr>
          <w:t xml:space="preserve">SFDR Level II review – </w:t>
        </w:r>
        <w:r w:rsidR="00771FCA">
          <w:rPr>
            <w:b w:val="0"/>
            <w:color w:val="002957"/>
            <w:sz w:val="28"/>
            <w:szCs w:val="28"/>
            <w:lang w:val="en-US"/>
          </w:rPr>
          <w:t>Insurance Europe p</w:t>
        </w:r>
        <w:r w:rsidR="00982A8A">
          <w:rPr>
            <w:b w:val="0"/>
            <w:color w:val="002957"/>
            <w:sz w:val="28"/>
            <w:szCs w:val="28"/>
            <w:lang w:val="en-US"/>
          </w:rPr>
          <w:t xml:space="preserve">osition on ESAs final report on </w:t>
        </w:r>
        <w:r w:rsidR="00771FCA">
          <w:rPr>
            <w:b w:val="0"/>
            <w:color w:val="002957"/>
            <w:sz w:val="28"/>
            <w:szCs w:val="28"/>
            <w:lang w:val="en-US"/>
          </w:rPr>
          <w:t>R</w:t>
        </w:r>
        <w:r w:rsidR="00982A8A">
          <w:rPr>
            <w:b w:val="0"/>
            <w:color w:val="002957"/>
            <w:sz w:val="28"/>
            <w:szCs w:val="28"/>
            <w:lang w:val="en-US"/>
          </w:rPr>
          <w:t xml:space="preserve">egulatory </w:t>
        </w:r>
        <w:r w:rsidR="00771FCA">
          <w:rPr>
            <w:b w:val="0"/>
            <w:color w:val="002957"/>
            <w:sz w:val="28"/>
            <w:szCs w:val="28"/>
            <w:lang w:val="en-US"/>
          </w:rPr>
          <w:t>T</w:t>
        </w:r>
        <w:r w:rsidR="00982A8A">
          <w:rPr>
            <w:b w:val="0"/>
            <w:color w:val="002957"/>
            <w:sz w:val="28"/>
            <w:szCs w:val="28"/>
            <w:lang w:val="en-US"/>
          </w:rPr>
          <w:t xml:space="preserve">echnical </w:t>
        </w:r>
        <w:r w:rsidR="00771FCA">
          <w:rPr>
            <w:b w:val="0"/>
            <w:color w:val="002957"/>
            <w:sz w:val="28"/>
            <w:szCs w:val="28"/>
            <w:lang w:val="en-US"/>
          </w:rPr>
          <w:t>S</w:t>
        </w:r>
        <w:r w:rsidR="00982A8A">
          <w:rPr>
            <w:b w:val="0"/>
            <w:color w:val="002957"/>
            <w:sz w:val="28"/>
            <w:szCs w:val="28"/>
            <w:lang w:val="en-US"/>
          </w:rPr>
          <w:t>tandards</w:t>
        </w:r>
        <w:r w:rsidR="00771FCA">
          <w:rPr>
            <w:b w:val="0"/>
            <w:color w:val="002957"/>
            <w:sz w:val="28"/>
            <w:szCs w:val="28"/>
            <w:lang w:val="en-US"/>
          </w:rPr>
          <w:t xml:space="preserve"> (RTS)</w:t>
        </w:r>
      </w:sdtContent>
    </w:sdt>
    <w:bookmarkEnd w:id="1"/>
  </w:p>
  <w:p w14:paraId="48E02457" w14:textId="77777777" w:rsidR="00AF1E2C" w:rsidRPr="00D74967" w:rsidRDefault="00AF1E2C" w:rsidP="00F84061">
    <w:pPr>
      <w:rPr>
        <w:lang w:val="en-US"/>
      </w:rPr>
    </w:pPr>
  </w:p>
  <w:p w14:paraId="59DEEA8E" w14:textId="77777777" w:rsidR="00AF1E2C" w:rsidRPr="00D74967" w:rsidRDefault="00152882" w:rsidP="00F84061">
    <w:pPr>
      <w:rPr>
        <w:lang w:val="en-US"/>
      </w:rPr>
    </w:pPr>
    <w:r>
      <w:rPr>
        <w:noProof/>
        <w:lang w:val="nl-BE" w:eastAsia="nl-BE"/>
      </w:rPr>
      <mc:AlternateContent>
        <mc:Choice Requires="wps">
          <w:drawing>
            <wp:anchor distT="0" distB="0" distL="114300" distR="114300" simplePos="0" relativeHeight="251658242" behindDoc="1" locked="1" layoutInCell="1" allowOverlap="1" wp14:anchorId="7F115990" wp14:editId="32DD3F38">
              <wp:simplePos x="0" y="0"/>
              <wp:positionH relativeFrom="margin">
                <wp:align>left</wp:align>
              </wp:positionH>
              <wp:positionV relativeFrom="paragraph">
                <wp:posOffset>88265</wp:posOffset>
              </wp:positionV>
              <wp:extent cx="6124575" cy="2051685"/>
              <wp:effectExtent l="0" t="0" r="28575" b="2476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76A33" id="Rectangle: Rounded Corners 2" o:spid="_x0000_s1026" style="position:absolute;margin-left:0;margin-top:6.95pt;width:482.25pt;height:161.5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F84061" w:rsidRPr="000D41DA" w14:paraId="4B45CDA3" w14:textId="77777777" w:rsidTr="00240F50">
      <w:trPr>
        <w:cantSplit/>
        <w:trHeight w:hRule="exact" w:val="584"/>
      </w:trPr>
      <w:tc>
        <w:tcPr>
          <w:tcW w:w="1536" w:type="dxa"/>
          <w:shd w:val="clear" w:color="auto" w:fill="auto"/>
          <w:vAlign w:val="center"/>
        </w:tcPr>
        <w:p w14:paraId="57D93854" w14:textId="77777777" w:rsidR="00AF1E2C" w:rsidRPr="0085650F" w:rsidRDefault="00152882" w:rsidP="00F84061">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sdt>
          <w:sdtPr>
            <w:rPr>
              <w:color w:val="002957"/>
              <w:sz w:val="17"/>
              <w:szCs w:val="17"/>
            </w:rPr>
            <w:id w:val="-2128765903"/>
            <w:placeholder>
              <w:docPart w:val="DefaultPlaceholder_-1854013440"/>
            </w:placeholde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4352DA30" w14:textId="056D5929" w:rsidR="00AF1E2C" w:rsidRPr="00585988" w:rsidRDefault="0008041B" w:rsidP="0008034A">
              <w:pPr>
                <w:jc w:val="left"/>
                <w:rPr>
                  <w:color w:val="002957"/>
                  <w:sz w:val="17"/>
                  <w:szCs w:val="17"/>
                </w:rPr>
              </w:pPr>
              <w:r>
                <w:rPr>
                  <w:color w:val="002957"/>
                  <w:sz w:val="17"/>
                  <w:szCs w:val="17"/>
                </w:rPr>
                <w:t>ECO-CRISF-24-015</w:t>
              </w:r>
            </w:p>
          </w:sdtContent>
        </w:sdt>
      </w:tc>
      <w:tc>
        <w:tcPr>
          <w:tcW w:w="1570" w:type="dxa"/>
          <w:shd w:val="clear" w:color="auto" w:fill="auto"/>
          <w:vAlign w:val="center"/>
        </w:tcPr>
        <w:p w14:paraId="5C893DF3" w14:textId="77777777" w:rsidR="00AF1E2C" w:rsidRPr="0085650F" w:rsidRDefault="00152882" w:rsidP="00F84061">
          <w:pPr>
            <w:pStyle w:val="CEALabel"/>
            <w:rPr>
              <w:b w:val="0"/>
              <w:color w:val="002957"/>
              <w:sz w:val="17"/>
              <w:szCs w:val="17"/>
            </w:rPr>
          </w:pPr>
          <w:r w:rsidRPr="0085650F">
            <w:rPr>
              <w:b w:val="0"/>
              <w:color w:val="002957"/>
              <w:sz w:val="17"/>
              <w:szCs w:val="17"/>
            </w:rPr>
            <w:t>Date:</w:t>
          </w:r>
        </w:p>
      </w:tc>
      <w:tc>
        <w:tcPr>
          <w:tcW w:w="2976" w:type="dxa"/>
          <w:shd w:val="clear" w:color="auto" w:fill="auto"/>
          <w:vAlign w:val="center"/>
        </w:tcPr>
        <w:p w14:paraId="181A7D4E" w14:textId="5C303765" w:rsidR="00AF1E2C" w:rsidRPr="00585988" w:rsidRDefault="0021653F" w:rsidP="00F84061">
          <w:pPr>
            <w:jc w:val="left"/>
            <w:rPr>
              <w:color w:val="002957"/>
              <w:sz w:val="17"/>
              <w:szCs w:val="17"/>
            </w:rPr>
          </w:pPr>
          <w:r>
            <w:rPr>
              <w:color w:val="002957"/>
              <w:sz w:val="17"/>
              <w:szCs w:val="17"/>
            </w:rPr>
            <w:t>0</w:t>
          </w:r>
          <w:r w:rsidR="0076561F">
            <w:rPr>
              <w:color w:val="002957"/>
              <w:sz w:val="17"/>
              <w:szCs w:val="17"/>
            </w:rPr>
            <w:t>7</w:t>
          </w:r>
          <w:r w:rsidR="00E704D0">
            <w:rPr>
              <w:color w:val="002957"/>
              <w:sz w:val="17"/>
              <w:szCs w:val="17"/>
            </w:rPr>
            <w:t>-</w:t>
          </w:r>
          <w:r w:rsidR="00C23D19">
            <w:rPr>
              <w:color w:val="002957"/>
              <w:sz w:val="17"/>
              <w:szCs w:val="17"/>
            </w:rPr>
            <w:t>0</w:t>
          </w:r>
          <w:r w:rsidR="0076561F">
            <w:rPr>
              <w:color w:val="002957"/>
              <w:sz w:val="17"/>
              <w:szCs w:val="17"/>
            </w:rPr>
            <w:t>2</w:t>
          </w:r>
          <w:r w:rsidR="00E704D0">
            <w:rPr>
              <w:color w:val="002957"/>
              <w:sz w:val="17"/>
              <w:szCs w:val="17"/>
            </w:rPr>
            <w:t>-202</w:t>
          </w:r>
          <w:r w:rsidR="00C23D19">
            <w:rPr>
              <w:color w:val="002957"/>
              <w:sz w:val="17"/>
              <w:szCs w:val="17"/>
            </w:rPr>
            <w:t>4</w:t>
          </w:r>
        </w:p>
      </w:tc>
    </w:tr>
    <w:tr w:rsidR="00F84061" w:rsidRPr="000D41DA" w14:paraId="71283189" w14:textId="77777777" w:rsidTr="00240F50">
      <w:trPr>
        <w:cantSplit/>
        <w:trHeight w:hRule="exact" w:val="584"/>
      </w:trPr>
      <w:tc>
        <w:tcPr>
          <w:tcW w:w="1536" w:type="dxa"/>
          <w:shd w:val="clear" w:color="auto" w:fill="auto"/>
          <w:vAlign w:val="center"/>
        </w:tcPr>
        <w:p w14:paraId="4FEEB7D0" w14:textId="77777777" w:rsidR="00AF1E2C" w:rsidRPr="0085650F" w:rsidRDefault="00152882" w:rsidP="00F84061">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140E78FD" w14:textId="7D39BE57" w:rsidR="00AF1E2C" w:rsidRPr="00585988" w:rsidRDefault="00426F66" w:rsidP="00F84061">
          <w:pPr>
            <w:jc w:val="left"/>
            <w:rPr>
              <w:color w:val="002957"/>
              <w:sz w:val="17"/>
              <w:szCs w:val="17"/>
            </w:rPr>
          </w:pPr>
          <w:hyperlink r:id="rId2" w:history="1">
            <w:r w:rsidR="00371AF6" w:rsidRPr="00371AF6">
              <w:rPr>
                <w:rStyle w:val="Hypertextovprepojenie"/>
                <w:sz w:val="17"/>
                <w:szCs w:val="17"/>
              </w:rPr>
              <w:t>ESAs Final Report on draft Regulatory Technical Standards</w:t>
            </w:r>
          </w:hyperlink>
        </w:p>
      </w:tc>
      <w:tc>
        <w:tcPr>
          <w:tcW w:w="1570" w:type="dxa"/>
          <w:shd w:val="clear" w:color="auto" w:fill="auto"/>
          <w:vAlign w:val="center"/>
        </w:tcPr>
        <w:p w14:paraId="0A442DE6" w14:textId="77777777" w:rsidR="00AF1E2C" w:rsidRPr="00585988" w:rsidRDefault="00AF1E2C" w:rsidP="00F84061">
          <w:pPr>
            <w:rPr>
              <w:color w:val="002957"/>
              <w:sz w:val="17"/>
              <w:szCs w:val="17"/>
            </w:rPr>
          </w:pPr>
        </w:p>
      </w:tc>
      <w:tc>
        <w:tcPr>
          <w:tcW w:w="2976" w:type="dxa"/>
          <w:shd w:val="clear" w:color="auto" w:fill="auto"/>
          <w:vAlign w:val="center"/>
        </w:tcPr>
        <w:p w14:paraId="74A17591" w14:textId="0AA37B00" w:rsidR="00AF1E2C" w:rsidRPr="00585988" w:rsidRDefault="00AF1E2C" w:rsidP="00F84061">
          <w:pPr>
            <w:jc w:val="left"/>
            <w:rPr>
              <w:color w:val="002957"/>
              <w:sz w:val="17"/>
              <w:szCs w:val="17"/>
            </w:rPr>
          </w:pPr>
        </w:p>
      </w:tc>
    </w:tr>
    <w:tr w:rsidR="00F84061" w:rsidRPr="000D41DA" w14:paraId="024FCDC9" w14:textId="77777777" w:rsidTr="00240F50">
      <w:trPr>
        <w:cantSplit/>
        <w:trHeight w:hRule="exact" w:val="584"/>
      </w:trPr>
      <w:tc>
        <w:tcPr>
          <w:tcW w:w="1536" w:type="dxa"/>
          <w:shd w:val="clear" w:color="auto" w:fill="auto"/>
          <w:vAlign w:val="center"/>
        </w:tcPr>
        <w:p w14:paraId="2E014A55" w14:textId="77777777" w:rsidR="00AF1E2C" w:rsidRPr="0085650F" w:rsidRDefault="00152882" w:rsidP="00F84061">
          <w:pPr>
            <w:pStyle w:val="CEALabel"/>
            <w:rPr>
              <w:b w:val="0"/>
              <w:color w:val="002957"/>
              <w:sz w:val="17"/>
              <w:szCs w:val="17"/>
            </w:rPr>
          </w:pPr>
          <w:r w:rsidRPr="0085650F">
            <w:rPr>
              <w:b w:val="0"/>
              <w:color w:val="002957"/>
              <w:sz w:val="17"/>
              <w:szCs w:val="17"/>
            </w:rPr>
            <w:t>Related documents:</w:t>
          </w:r>
        </w:p>
      </w:tc>
      <w:tc>
        <w:tcPr>
          <w:tcW w:w="3557" w:type="dxa"/>
          <w:shd w:val="clear" w:color="auto" w:fill="auto"/>
          <w:vAlign w:val="center"/>
        </w:tcPr>
        <w:p w14:paraId="028D7892" w14:textId="124FA640" w:rsidR="00AF1E2C" w:rsidRPr="00585988" w:rsidRDefault="00AF1E2C" w:rsidP="00F84061">
          <w:pPr>
            <w:jc w:val="left"/>
            <w:rPr>
              <w:color w:val="002957"/>
              <w:sz w:val="17"/>
              <w:szCs w:val="17"/>
            </w:rPr>
          </w:pPr>
        </w:p>
      </w:tc>
      <w:tc>
        <w:tcPr>
          <w:tcW w:w="1570" w:type="dxa"/>
          <w:shd w:val="clear" w:color="auto" w:fill="auto"/>
          <w:vAlign w:val="center"/>
        </w:tcPr>
        <w:p w14:paraId="08573CC7" w14:textId="77777777" w:rsidR="00AF1E2C" w:rsidRPr="00585988" w:rsidRDefault="00AF1E2C" w:rsidP="00F84061">
          <w:pPr>
            <w:rPr>
              <w:color w:val="002957"/>
              <w:sz w:val="17"/>
              <w:szCs w:val="17"/>
            </w:rPr>
          </w:pPr>
        </w:p>
      </w:tc>
      <w:tc>
        <w:tcPr>
          <w:tcW w:w="2976" w:type="dxa"/>
          <w:shd w:val="clear" w:color="auto" w:fill="auto"/>
          <w:vAlign w:val="center"/>
        </w:tcPr>
        <w:p w14:paraId="15C35991" w14:textId="77777777" w:rsidR="00AF1E2C" w:rsidRPr="00585988" w:rsidRDefault="00AF1E2C" w:rsidP="00F84061">
          <w:pPr>
            <w:jc w:val="left"/>
            <w:rPr>
              <w:b/>
              <w:color w:val="002957"/>
              <w:sz w:val="17"/>
              <w:szCs w:val="17"/>
            </w:rPr>
          </w:pPr>
        </w:p>
      </w:tc>
    </w:tr>
    <w:tr w:rsidR="00F84061" w:rsidRPr="000D41DA" w14:paraId="07D47AE0" w14:textId="77777777" w:rsidTr="00240F50">
      <w:trPr>
        <w:cantSplit/>
        <w:trHeight w:hRule="exact" w:val="584"/>
      </w:trPr>
      <w:tc>
        <w:tcPr>
          <w:tcW w:w="1536" w:type="dxa"/>
          <w:shd w:val="clear" w:color="auto" w:fill="auto"/>
          <w:vAlign w:val="center"/>
        </w:tcPr>
        <w:p w14:paraId="4A965280" w14:textId="77777777" w:rsidR="00AF1E2C" w:rsidRPr="0085650F" w:rsidRDefault="00152882" w:rsidP="00F84061">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03E7DCB9" w14:textId="79C241D3" w:rsidR="00AF1E2C" w:rsidRPr="00585988" w:rsidRDefault="00E704D0" w:rsidP="00F84061">
          <w:pPr>
            <w:jc w:val="left"/>
            <w:rPr>
              <w:color w:val="002957"/>
              <w:sz w:val="17"/>
              <w:szCs w:val="17"/>
            </w:rPr>
          </w:pPr>
          <w:r>
            <w:rPr>
              <w:color w:val="002957"/>
              <w:sz w:val="17"/>
              <w:szCs w:val="17"/>
            </w:rPr>
            <w:t>Luca Motta</w:t>
          </w:r>
          <w:r w:rsidR="00DE0A2F" w:rsidRPr="00DE0A2F">
            <w:rPr>
              <w:color w:val="002957"/>
              <w:sz w:val="17"/>
              <w:szCs w:val="17"/>
            </w:rPr>
            <w:t xml:space="preserve"> </w:t>
          </w:r>
        </w:p>
      </w:tc>
      <w:tc>
        <w:tcPr>
          <w:tcW w:w="1570" w:type="dxa"/>
          <w:shd w:val="clear" w:color="auto" w:fill="auto"/>
          <w:vAlign w:val="center"/>
        </w:tcPr>
        <w:p w14:paraId="710B5A54" w14:textId="77777777" w:rsidR="00AF1E2C" w:rsidRPr="0085650F" w:rsidRDefault="00152882" w:rsidP="00F84061">
          <w:pPr>
            <w:pStyle w:val="CEALabel"/>
            <w:rPr>
              <w:b w:val="0"/>
              <w:color w:val="002957"/>
              <w:sz w:val="17"/>
              <w:szCs w:val="17"/>
            </w:rPr>
          </w:pPr>
          <w:r w:rsidRPr="0085650F">
            <w:rPr>
              <w:b w:val="0"/>
              <w:color w:val="002957"/>
              <w:sz w:val="17"/>
              <w:szCs w:val="17"/>
            </w:rPr>
            <w:t>E-mail:</w:t>
          </w:r>
        </w:p>
      </w:tc>
      <w:tc>
        <w:tcPr>
          <w:tcW w:w="2976" w:type="dxa"/>
          <w:shd w:val="clear" w:color="auto" w:fill="auto"/>
          <w:vAlign w:val="center"/>
        </w:tcPr>
        <w:p w14:paraId="5B954066" w14:textId="18616ADC" w:rsidR="00AF1E2C" w:rsidRPr="00585988" w:rsidRDefault="00E704D0" w:rsidP="00F84061">
          <w:pPr>
            <w:jc w:val="left"/>
            <w:rPr>
              <w:color w:val="002957"/>
              <w:sz w:val="17"/>
              <w:szCs w:val="17"/>
            </w:rPr>
          </w:pPr>
          <w:r>
            <w:rPr>
              <w:color w:val="002957"/>
              <w:sz w:val="17"/>
              <w:szCs w:val="17"/>
            </w:rPr>
            <w:t>motta@insuranceeurope.eu</w:t>
          </w:r>
        </w:p>
      </w:tc>
    </w:tr>
    <w:tr w:rsidR="00F84061" w:rsidRPr="000D41DA" w14:paraId="605BBAF5" w14:textId="77777777" w:rsidTr="00240F50">
      <w:trPr>
        <w:cantSplit/>
        <w:trHeight w:hRule="exact" w:val="584"/>
      </w:trPr>
      <w:tc>
        <w:tcPr>
          <w:tcW w:w="1536" w:type="dxa"/>
          <w:shd w:val="clear" w:color="auto" w:fill="auto"/>
          <w:vAlign w:val="center"/>
        </w:tcPr>
        <w:p w14:paraId="7D7A937A" w14:textId="77777777" w:rsidR="00AF1E2C" w:rsidRPr="0085650F" w:rsidRDefault="00152882" w:rsidP="00F84061">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6278A0AF" w14:textId="77777777" w:rsidR="00AF1E2C" w:rsidRPr="00585988" w:rsidRDefault="00152882" w:rsidP="00F84061">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9F36CD">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48B95308" w14:textId="77777777" w:rsidR="00AF1E2C" w:rsidRPr="00585988" w:rsidRDefault="00974483" w:rsidP="00F84061">
          <w:pPr>
            <w:ind w:right="-117"/>
            <w:rPr>
              <w:b/>
              <w:color w:val="002957"/>
              <w:sz w:val="17"/>
              <w:szCs w:val="17"/>
            </w:rPr>
          </w:pPr>
          <w:r>
            <w:rPr>
              <w:rFonts w:cs="Arial"/>
              <w:color w:val="002957"/>
              <w:sz w:val="17"/>
              <w:szCs w:val="17"/>
            </w:rPr>
            <w:t xml:space="preserve">Transparency Register </w:t>
          </w:r>
          <w:r w:rsidR="00152882" w:rsidRPr="00585988">
            <w:rPr>
              <w:rFonts w:cs="Arial"/>
              <w:color w:val="002957"/>
              <w:sz w:val="17"/>
              <w:szCs w:val="17"/>
            </w:rPr>
            <w:t>ID no.:</w:t>
          </w:r>
        </w:p>
      </w:tc>
      <w:tc>
        <w:tcPr>
          <w:tcW w:w="2976" w:type="dxa"/>
          <w:shd w:val="clear" w:color="auto" w:fill="auto"/>
          <w:vAlign w:val="center"/>
        </w:tcPr>
        <w:p w14:paraId="08B3449C" w14:textId="77777777" w:rsidR="00AF1E2C" w:rsidRPr="00585988" w:rsidRDefault="00152882" w:rsidP="00F84061">
          <w:pPr>
            <w:rPr>
              <w:color w:val="002957"/>
              <w:sz w:val="17"/>
              <w:szCs w:val="17"/>
            </w:rPr>
          </w:pPr>
          <w:r w:rsidRPr="00585988">
            <w:rPr>
              <w:rFonts w:cs="Tahoma"/>
              <w:color w:val="002957"/>
              <w:sz w:val="17"/>
              <w:szCs w:val="17"/>
            </w:rPr>
            <w:t>33213703459-54</w:t>
          </w:r>
        </w:p>
      </w:tc>
    </w:tr>
  </w:tbl>
  <w:p w14:paraId="3A20423D" w14:textId="77777777" w:rsidR="00AF1E2C" w:rsidRPr="000D41DA" w:rsidRDefault="00AF1E2C" w:rsidP="00F84061">
    <w:pPr>
      <w:rPr>
        <w:b/>
        <w:sz w:val="22"/>
        <w:szCs w:val="22"/>
      </w:rPr>
    </w:pPr>
  </w:p>
  <w:p w14:paraId="0299F3F5" w14:textId="77777777" w:rsidR="00AF1E2C" w:rsidRPr="000D41DA" w:rsidRDefault="00AF1E2C" w:rsidP="00F84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2E88"/>
    <w:multiLevelType w:val="hybridMultilevel"/>
    <w:tmpl w:val="5748DA72"/>
    <w:lvl w:ilvl="0" w:tplc="03506726">
      <w:start w:val="1"/>
      <w:numFmt w:val="bullet"/>
      <w:lvlText w:val=""/>
      <w:lvlJc w:val="left"/>
      <w:pPr>
        <w:ind w:left="720" w:hanging="360"/>
      </w:pPr>
      <w:rPr>
        <w:rFonts w:ascii="Symbol" w:hAnsi="Symbol" w:hint="default"/>
      </w:rPr>
    </w:lvl>
    <w:lvl w:ilvl="1" w:tplc="B7CEE830">
      <w:start w:val="1"/>
      <w:numFmt w:val="bullet"/>
      <w:lvlText w:val="o"/>
      <w:lvlJc w:val="left"/>
      <w:pPr>
        <w:ind w:left="1440" w:hanging="360"/>
      </w:pPr>
      <w:rPr>
        <w:rFonts w:ascii="Courier New" w:hAnsi="Courier New" w:hint="default"/>
      </w:rPr>
    </w:lvl>
    <w:lvl w:ilvl="2" w:tplc="14A69860">
      <w:start w:val="1"/>
      <w:numFmt w:val="bullet"/>
      <w:lvlText w:val=""/>
      <w:lvlJc w:val="left"/>
      <w:pPr>
        <w:ind w:left="2160" w:hanging="360"/>
      </w:pPr>
      <w:rPr>
        <w:rFonts w:ascii="Wingdings" w:hAnsi="Wingdings" w:hint="default"/>
      </w:rPr>
    </w:lvl>
    <w:lvl w:ilvl="3" w:tplc="450C32AE">
      <w:start w:val="1"/>
      <w:numFmt w:val="bullet"/>
      <w:lvlText w:val=""/>
      <w:lvlJc w:val="left"/>
      <w:pPr>
        <w:ind w:left="2880" w:hanging="360"/>
      </w:pPr>
      <w:rPr>
        <w:rFonts w:ascii="Symbol" w:hAnsi="Symbol" w:hint="default"/>
      </w:rPr>
    </w:lvl>
    <w:lvl w:ilvl="4" w:tplc="93C473A2">
      <w:start w:val="1"/>
      <w:numFmt w:val="bullet"/>
      <w:lvlText w:val="o"/>
      <w:lvlJc w:val="left"/>
      <w:pPr>
        <w:ind w:left="3600" w:hanging="360"/>
      </w:pPr>
      <w:rPr>
        <w:rFonts w:ascii="Courier New" w:hAnsi="Courier New" w:hint="default"/>
      </w:rPr>
    </w:lvl>
    <w:lvl w:ilvl="5" w:tplc="6BC29048">
      <w:start w:val="1"/>
      <w:numFmt w:val="bullet"/>
      <w:lvlText w:val=""/>
      <w:lvlJc w:val="left"/>
      <w:pPr>
        <w:ind w:left="4320" w:hanging="360"/>
      </w:pPr>
      <w:rPr>
        <w:rFonts w:ascii="Wingdings" w:hAnsi="Wingdings" w:hint="default"/>
      </w:rPr>
    </w:lvl>
    <w:lvl w:ilvl="6" w:tplc="BE707F26">
      <w:start w:val="1"/>
      <w:numFmt w:val="bullet"/>
      <w:lvlText w:val=""/>
      <w:lvlJc w:val="left"/>
      <w:pPr>
        <w:ind w:left="5040" w:hanging="360"/>
      </w:pPr>
      <w:rPr>
        <w:rFonts w:ascii="Symbol" w:hAnsi="Symbol" w:hint="default"/>
      </w:rPr>
    </w:lvl>
    <w:lvl w:ilvl="7" w:tplc="5968853E">
      <w:start w:val="1"/>
      <w:numFmt w:val="bullet"/>
      <w:lvlText w:val="o"/>
      <w:lvlJc w:val="left"/>
      <w:pPr>
        <w:ind w:left="5760" w:hanging="360"/>
      </w:pPr>
      <w:rPr>
        <w:rFonts w:ascii="Courier New" w:hAnsi="Courier New" w:hint="default"/>
      </w:rPr>
    </w:lvl>
    <w:lvl w:ilvl="8" w:tplc="2C18D988">
      <w:start w:val="1"/>
      <w:numFmt w:val="bullet"/>
      <w:lvlText w:val=""/>
      <w:lvlJc w:val="left"/>
      <w:pPr>
        <w:ind w:left="6480" w:hanging="360"/>
      </w:pPr>
      <w:rPr>
        <w:rFonts w:ascii="Wingdings" w:hAnsi="Wingdings" w:hint="default"/>
      </w:rPr>
    </w:lvl>
  </w:abstractNum>
  <w:abstractNum w:abstractNumId="1" w15:restartNumberingAfterBreak="0">
    <w:nsid w:val="0DFF95DB"/>
    <w:multiLevelType w:val="hybridMultilevel"/>
    <w:tmpl w:val="770C70F8"/>
    <w:lvl w:ilvl="0" w:tplc="6082D028">
      <w:start w:val="1"/>
      <w:numFmt w:val="bullet"/>
      <w:lvlText w:val=""/>
      <w:lvlJc w:val="left"/>
      <w:pPr>
        <w:ind w:left="720" w:hanging="360"/>
      </w:pPr>
      <w:rPr>
        <w:rFonts w:ascii="Symbol" w:hAnsi="Symbol" w:hint="default"/>
      </w:rPr>
    </w:lvl>
    <w:lvl w:ilvl="1" w:tplc="1874785A">
      <w:start w:val="1"/>
      <w:numFmt w:val="bullet"/>
      <w:lvlText w:val="o"/>
      <w:lvlJc w:val="left"/>
      <w:pPr>
        <w:ind w:left="1440" w:hanging="360"/>
      </w:pPr>
      <w:rPr>
        <w:rFonts w:ascii="Courier New" w:hAnsi="Courier New" w:hint="default"/>
      </w:rPr>
    </w:lvl>
    <w:lvl w:ilvl="2" w:tplc="B4CC767E">
      <w:start w:val="1"/>
      <w:numFmt w:val="bullet"/>
      <w:lvlText w:val=""/>
      <w:lvlJc w:val="left"/>
      <w:pPr>
        <w:ind w:left="2160" w:hanging="360"/>
      </w:pPr>
      <w:rPr>
        <w:rFonts w:ascii="Wingdings" w:hAnsi="Wingdings" w:hint="default"/>
      </w:rPr>
    </w:lvl>
    <w:lvl w:ilvl="3" w:tplc="56B8273A">
      <w:start w:val="1"/>
      <w:numFmt w:val="bullet"/>
      <w:lvlText w:val=""/>
      <w:lvlJc w:val="left"/>
      <w:pPr>
        <w:ind w:left="2880" w:hanging="360"/>
      </w:pPr>
      <w:rPr>
        <w:rFonts w:ascii="Symbol" w:hAnsi="Symbol" w:hint="default"/>
      </w:rPr>
    </w:lvl>
    <w:lvl w:ilvl="4" w:tplc="515CAFEE">
      <w:start w:val="1"/>
      <w:numFmt w:val="bullet"/>
      <w:lvlText w:val="o"/>
      <w:lvlJc w:val="left"/>
      <w:pPr>
        <w:ind w:left="3600" w:hanging="360"/>
      </w:pPr>
      <w:rPr>
        <w:rFonts w:ascii="Courier New" w:hAnsi="Courier New" w:hint="default"/>
      </w:rPr>
    </w:lvl>
    <w:lvl w:ilvl="5" w:tplc="DCC2AFFE">
      <w:start w:val="1"/>
      <w:numFmt w:val="bullet"/>
      <w:lvlText w:val=""/>
      <w:lvlJc w:val="left"/>
      <w:pPr>
        <w:ind w:left="4320" w:hanging="360"/>
      </w:pPr>
      <w:rPr>
        <w:rFonts w:ascii="Wingdings" w:hAnsi="Wingdings" w:hint="default"/>
      </w:rPr>
    </w:lvl>
    <w:lvl w:ilvl="6" w:tplc="3440FFA8">
      <w:start w:val="1"/>
      <w:numFmt w:val="bullet"/>
      <w:lvlText w:val=""/>
      <w:lvlJc w:val="left"/>
      <w:pPr>
        <w:ind w:left="5040" w:hanging="360"/>
      </w:pPr>
      <w:rPr>
        <w:rFonts w:ascii="Symbol" w:hAnsi="Symbol" w:hint="default"/>
      </w:rPr>
    </w:lvl>
    <w:lvl w:ilvl="7" w:tplc="7EDC5D32">
      <w:start w:val="1"/>
      <w:numFmt w:val="bullet"/>
      <w:lvlText w:val="o"/>
      <w:lvlJc w:val="left"/>
      <w:pPr>
        <w:ind w:left="5760" w:hanging="360"/>
      </w:pPr>
      <w:rPr>
        <w:rFonts w:ascii="Courier New" w:hAnsi="Courier New" w:hint="default"/>
      </w:rPr>
    </w:lvl>
    <w:lvl w:ilvl="8" w:tplc="B25268D2">
      <w:start w:val="1"/>
      <w:numFmt w:val="bullet"/>
      <w:lvlText w:val=""/>
      <w:lvlJc w:val="left"/>
      <w:pPr>
        <w:ind w:left="6480" w:hanging="360"/>
      </w:pPr>
      <w:rPr>
        <w:rFonts w:ascii="Wingdings" w:hAnsi="Wingdings" w:hint="default"/>
      </w:rPr>
    </w:lvl>
  </w:abstractNum>
  <w:abstractNum w:abstractNumId="2"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120B565B"/>
    <w:multiLevelType w:val="hybridMultilevel"/>
    <w:tmpl w:val="39B674F6"/>
    <w:lvl w:ilvl="0" w:tplc="9328D0F0">
      <w:start w:val="1"/>
      <w:numFmt w:val="bullet"/>
      <w:lvlText w:val=""/>
      <w:lvlJc w:val="left"/>
      <w:pPr>
        <w:ind w:left="720" w:hanging="360"/>
      </w:pPr>
      <w:rPr>
        <w:rFonts w:ascii="Symbol" w:hAnsi="Symbol"/>
      </w:rPr>
    </w:lvl>
    <w:lvl w:ilvl="1" w:tplc="0A98BE9A">
      <w:start w:val="1"/>
      <w:numFmt w:val="bullet"/>
      <w:lvlText w:val=""/>
      <w:lvlJc w:val="left"/>
      <w:pPr>
        <w:ind w:left="720" w:hanging="360"/>
      </w:pPr>
      <w:rPr>
        <w:rFonts w:ascii="Symbol" w:hAnsi="Symbol"/>
      </w:rPr>
    </w:lvl>
    <w:lvl w:ilvl="2" w:tplc="8E388338">
      <w:start w:val="1"/>
      <w:numFmt w:val="bullet"/>
      <w:lvlText w:val=""/>
      <w:lvlJc w:val="left"/>
      <w:pPr>
        <w:ind w:left="720" w:hanging="360"/>
      </w:pPr>
      <w:rPr>
        <w:rFonts w:ascii="Symbol" w:hAnsi="Symbol"/>
      </w:rPr>
    </w:lvl>
    <w:lvl w:ilvl="3" w:tplc="63B22B3E">
      <w:start w:val="1"/>
      <w:numFmt w:val="bullet"/>
      <w:lvlText w:val=""/>
      <w:lvlJc w:val="left"/>
      <w:pPr>
        <w:ind w:left="720" w:hanging="360"/>
      </w:pPr>
      <w:rPr>
        <w:rFonts w:ascii="Symbol" w:hAnsi="Symbol"/>
      </w:rPr>
    </w:lvl>
    <w:lvl w:ilvl="4" w:tplc="36E0AD2C">
      <w:start w:val="1"/>
      <w:numFmt w:val="bullet"/>
      <w:lvlText w:val=""/>
      <w:lvlJc w:val="left"/>
      <w:pPr>
        <w:ind w:left="720" w:hanging="360"/>
      </w:pPr>
      <w:rPr>
        <w:rFonts w:ascii="Symbol" w:hAnsi="Symbol"/>
      </w:rPr>
    </w:lvl>
    <w:lvl w:ilvl="5" w:tplc="0BCE5810">
      <w:start w:val="1"/>
      <w:numFmt w:val="bullet"/>
      <w:lvlText w:val=""/>
      <w:lvlJc w:val="left"/>
      <w:pPr>
        <w:ind w:left="720" w:hanging="360"/>
      </w:pPr>
      <w:rPr>
        <w:rFonts w:ascii="Symbol" w:hAnsi="Symbol"/>
      </w:rPr>
    </w:lvl>
    <w:lvl w:ilvl="6" w:tplc="EDF2123C">
      <w:start w:val="1"/>
      <w:numFmt w:val="bullet"/>
      <w:lvlText w:val=""/>
      <w:lvlJc w:val="left"/>
      <w:pPr>
        <w:ind w:left="720" w:hanging="360"/>
      </w:pPr>
      <w:rPr>
        <w:rFonts w:ascii="Symbol" w:hAnsi="Symbol"/>
      </w:rPr>
    </w:lvl>
    <w:lvl w:ilvl="7" w:tplc="F7E251B2">
      <w:start w:val="1"/>
      <w:numFmt w:val="bullet"/>
      <w:lvlText w:val=""/>
      <w:lvlJc w:val="left"/>
      <w:pPr>
        <w:ind w:left="720" w:hanging="360"/>
      </w:pPr>
      <w:rPr>
        <w:rFonts w:ascii="Symbol" w:hAnsi="Symbol"/>
      </w:rPr>
    </w:lvl>
    <w:lvl w:ilvl="8" w:tplc="69DA6E00">
      <w:start w:val="1"/>
      <w:numFmt w:val="bullet"/>
      <w:lvlText w:val=""/>
      <w:lvlJc w:val="left"/>
      <w:pPr>
        <w:ind w:left="720" w:hanging="360"/>
      </w:pPr>
      <w:rPr>
        <w:rFonts w:ascii="Symbol" w:hAnsi="Symbol"/>
      </w:rPr>
    </w:lvl>
  </w:abstractNum>
  <w:abstractNum w:abstractNumId="4" w15:restartNumberingAfterBreak="0">
    <w:nsid w:val="18DF3036"/>
    <w:multiLevelType w:val="hybridMultilevel"/>
    <w:tmpl w:val="36D4D760"/>
    <w:lvl w:ilvl="0" w:tplc="2FC4D7FA">
      <w:start w:val="1"/>
      <w:numFmt w:val="bullet"/>
      <w:lvlText w:val=""/>
      <w:lvlJc w:val="left"/>
      <w:pPr>
        <w:ind w:left="720" w:hanging="360"/>
      </w:pPr>
      <w:rPr>
        <w:rFonts w:ascii="Symbol" w:hAnsi="Symbol" w:hint="default"/>
      </w:rPr>
    </w:lvl>
    <w:lvl w:ilvl="1" w:tplc="1624D8D6">
      <w:start w:val="1"/>
      <w:numFmt w:val="bullet"/>
      <w:lvlText w:val="o"/>
      <w:lvlJc w:val="left"/>
      <w:pPr>
        <w:ind w:left="1440" w:hanging="360"/>
      </w:pPr>
      <w:rPr>
        <w:rFonts w:ascii="Courier New" w:hAnsi="Courier New" w:hint="default"/>
      </w:rPr>
    </w:lvl>
    <w:lvl w:ilvl="2" w:tplc="1766126C">
      <w:start w:val="1"/>
      <w:numFmt w:val="bullet"/>
      <w:lvlText w:val=""/>
      <w:lvlJc w:val="left"/>
      <w:pPr>
        <w:ind w:left="2160" w:hanging="360"/>
      </w:pPr>
      <w:rPr>
        <w:rFonts w:ascii="Wingdings" w:hAnsi="Wingdings" w:hint="default"/>
      </w:rPr>
    </w:lvl>
    <w:lvl w:ilvl="3" w:tplc="01FECF78">
      <w:start w:val="1"/>
      <w:numFmt w:val="bullet"/>
      <w:lvlText w:val=""/>
      <w:lvlJc w:val="left"/>
      <w:pPr>
        <w:ind w:left="2880" w:hanging="360"/>
      </w:pPr>
      <w:rPr>
        <w:rFonts w:ascii="Symbol" w:hAnsi="Symbol" w:hint="default"/>
      </w:rPr>
    </w:lvl>
    <w:lvl w:ilvl="4" w:tplc="DD103C2E">
      <w:start w:val="1"/>
      <w:numFmt w:val="bullet"/>
      <w:lvlText w:val="o"/>
      <w:lvlJc w:val="left"/>
      <w:pPr>
        <w:ind w:left="3600" w:hanging="360"/>
      </w:pPr>
      <w:rPr>
        <w:rFonts w:ascii="Courier New" w:hAnsi="Courier New" w:hint="default"/>
      </w:rPr>
    </w:lvl>
    <w:lvl w:ilvl="5" w:tplc="196C9F48">
      <w:start w:val="1"/>
      <w:numFmt w:val="bullet"/>
      <w:lvlText w:val=""/>
      <w:lvlJc w:val="left"/>
      <w:pPr>
        <w:ind w:left="4320" w:hanging="360"/>
      </w:pPr>
      <w:rPr>
        <w:rFonts w:ascii="Wingdings" w:hAnsi="Wingdings" w:hint="default"/>
      </w:rPr>
    </w:lvl>
    <w:lvl w:ilvl="6" w:tplc="25C41C8E">
      <w:start w:val="1"/>
      <w:numFmt w:val="bullet"/>
      <w:lvlText w:val=""/>
      <w:lvlJc w:val="left"/>
      <w:pPr>
        <w:ind w:left="5040" w:hanging="360"/>
      </w:pPr>
      <w:rPr>
        <w:rFonts w:ascii="Symbol" w:hAnsi="Symbol" w:hint="default"/>
      </w:rPr>
    </w:lvl>
    <w:lvl w:ilvl="7" w:tplc="BFBAE0CC">
      <w:start w:val="1"/>
      <w:numFmt w:val="bullet"/>
      <w:lvlText w:val="o"/>
      <w:lvlJc w:val="left"/>
      <w:pPr>
        <w:ind w:left="5760" w:hanging="360"/>
      </w:pPr>
      <w:rPr>
        <w:rFonts w:ascii="Courier New" w:hAnsi="Courier New" w:hint="default"/>
      </w:rPr>
    </w:lvl>
    <w:lvl w:ilvl="8" w:tplc="87288F22">
      <w:start w:val="1"/>
      <w:numFmt w:val="bullet"/>
      <w:lvlText w:val=""/>
      <w:lvlJc w:val="left"/>
      <w:pPr>
        <w:ind w:left="6480" w:hanging="360"/>
      </w:pPr>
      <w:rPr>
        <w:rFonts w:ascii="Wingdings" w:hAnsi="Wingdings" w:hint="default"/>
      </w:rPr>
    </w:lvl>
  </w:abstractNum>
  <w:abstractNum w:abstractNumId="5" w15:restartNumberingAfterBreak="0">
    <w:nsid w:val="1D1CF123"/>
    <w:multiLevelType w:val="hybridMultilevel"/>
    <w:tmpl w:val="15FCCAD4"/>
    <w:lvl w:ilvl="0" w:tplc="A886C246">
      <w:start w:val="2"/>
      <w:numFmt w:val="decimal"/>
      <w:lvlText w:val="%1."/>
      <w:lvlJc w:val="left"/>
      <w:pPr>
        <w:ind w:left="720" w:hanging="360"/>
      </w:pPr>
    </w:lvl>
    <w:lvl w:ilvl="1" w:tplc="87822876">
      <w:start w:val="1"/>
      <w:numFmt w:val="lowerLetter"/>
      <w:lvlText w:val="%2."/>
      <w:lvlJc w:val="left"/>
      <w:pPr>
        <w:ind w:left="1440" w:hanging="360"/>
      </w:pPr>
    </w:lvl>
    <w:lvl w:ilvl="2" w:tplc="BB00A052">
      <w:start w:val="1"/>
      <w:numFmt w:val="lowerRoman"/>
      <w:lvlText w:val="%3."/>
      <w:lvlJc w:val="right"/>
      <w:pPr>
        <w:ind w:left="2160" w:hanging="180"/>
      </w:pPr>
    </w:lvl>
    <w:lvl w:ilvl="3" w:tplc="11067CA8">
      <w:start w:val="1"/>
      <w:numFmt w:val="decimal"/>
      <w:lvlText w:val="%4."/>
      <w:lvlJc w:val="left"/>
      <w:pPr>
        <w:ind w:left="2880" w:hanging="360"/>
      </w:pPr>
    </w:lvl>
    <w:lvl w:ilvl="4" w:tplc="B78AD91C">
      <w:start w:val="1"/>
      <w:numFmt w:val="lowerLetter"/>
      <w:lvlText w:val="%5."/>
      <w:lvlJc w:val="left"/>
      <w:pPr>
        <w:ind w:left="3600" w:hanging="360"/>
      </w:pPr>
    </w:lvl>
    <w:lvl w:ilvl="5" w:tplc="C156B23E">
      <w:start w:val="1"/>
      <w:numFmt w:val="lowerRoman"/>
      <w:lvlText w:val="%6."/>
      <w:lvlJc w:val="right"/>
      <w:pPr>
        <w:ind w:left="4320" w:hanging="180"/>
      </w:pPr>
    </w:lvl>
    <w:lvl w:ilvl="6" w:tplc="625A8A20">
      <w:start w:val="1"/>
      <w:numFmt w:val="decimal"/>
      <w:lvlText w:val="%7."/>
      <w:lvlJc w:val="left"/>
      <w:pPr>
        <w:ind w:left="5040" w:hanging="360"/>
      </w:pPr>
    </w:lvl>
    <w:lvl w:ilvl="7" w:tplc="8A08D794">
      <w:start w:val="1"/>
      <w:numFmt w:val="lowerLetter"/>
      <w:lvlText w:val="%8."/>
      <w:lvlJc w:val="left"/>
      <w:pPr>
        <w:ind w:left="5760" w:hanging="360"/>
      </w:pPr>
    </w:lvl>
    <w:lvl w:ilvl="8" w:tplc="E6F01E60">
      <w:start w:val="1"/>
      <w:numFmt w:val="lowerRoman"/>
      <w:lvlText w:val="%9."/>
      <w:lvlJc w:val="right"/>
      <w:pPr>
        <w:ind w:left="6480" w:hanging="180"/>
      </w:pPr>
    </w:lvl>
  </w:abstractNum>
  <w:abstractNum w:abstractNumId="6" w15:restartNumberingAfterBreak="0">
    <w:nsid w:val="231641D5"/>
    <w:multiLevelType w:val="hybridMultilevel"/>
    <w:tmpl w:val="D520D5E4"/>
    <w:lvl w:ilvl="0" w:tplc="24FC1FE0">
      <w:start w:val="1"/>
      <w:numFmt w:val="bullet"/>
      <w:lvlText w:val=""/>
      <w:lvlJc w:val="left"/>
      <w:pPr>
        <w:ind w:left="720" w:hanging="360"/>
      </w:pPr>
      <w:rPr>
        <w:rFonts w:ascii="Symbol" w:hAnsi="Symbol" w:hint="default"/>
      </w:rPr>
    </w:lvl>
    <w:lvl w:ilvl="1" w:tplc="3EE2F53E">
      <w:start w:val="1"/>
      <w:numFmt w:val="bullet"/>
      <w:lvlText w:val="o"/>
      <w:lvlJc w:val="left"/>
      <w:pPr>
        <w:ind w:left="1440" w:hanging="360"/>
      </w:pPr>
      <w:rPr>
        <w:rFonts w:ascii="Courier New" w:hAnsi="Courier New" w:hint="default"/>
      </w:rPr>
    </w:lvl>
    <w:lvl w:ilvl="2" w:tplc="050E63EA">
      <w:start w:val="1"/>
      <w:numFmt w:val="bullet"/>
      <w:lvlText w:val=""/>
      <w:lvlJc w:val="left"/>
      <w:pPr>
        <w:ind w:left="2160" w:hanging="360"/>
      </w:pPr>
      <w:rPr>
        <w:rFonts w:ascii="Wingdings" w:hAnsi="Wingdings" w:hint="default"/>
      </w:rPr>
    </w:lvl>
    <w:lvl w:ilvl="3" w:tplc="67EC4CFE">
      <w:start w:val="1"/>
      <w:numFmt w:val="bullet"/>
      <w:lvlText w:val=""/>
      <w:lvlJc w:val="left"/>
      <w:pPr>
        <w:ind w:left="2880" w:hanging="360"/>
      </w:pPr>
      <w:rPr>
        <w:rFonts w:ascii="Symbol" w:hAnsi="Symbol" w:hint="default"/>
      </w:rPr>
    </w:lvl>
    <w:lvl w:ilvl="4" w:tplc="325C42F2">
      <w:start w:val="1"/>
      <w:numFmt w:val="bullet"/>
      <w:lvlText w:val="o"/>
      <w:lvlJc w:val="left"/>
      <w:pPr>
        <w:ind w:left="3600" w:hanging="360"/>
      </w:pPr>
      <w:rPr>
        <w:rFonts w:ascii="Courier New" w:hAnsi="Courier New" w:hint="default"/>
      </w:rPr>
    </w:lvl>
    <w:lvl w:ilvl="5" w:tplc="B1742F6C">
      <w:start w:val="1"/>
      <w:numFmt w:val="bullet"/>
      <w:lvlText w:val=""/>
      <w:lvlJc w:val="left"/>
      <w:pPr>
        <w:ind w:left="4320" w:hanging="360"/>
      </w:pPr>
      <w:rPr>
        <w:rFonts w:ascii="Wingdings" w:hAnsi="Wingdings" w:hint="default"/>
      </w:rPr>
    </w:lvl>
    <w:lvl w:ilvl="6" w:tplc="C2829DEA">
      <w:start w:val="1"/>
      <w:numFmt w:val="bullet"/>
      <w:lvlText w:val=""/>
      <w:lvlJc w:val="left"/>
      <w:pPr>
        <w:ind w:left="5040" w:hanging="360"/>
      </w:pPr>
      <w:rPr>
        <w:rFonts w:ascii="Symbol" w:hAnsi="Symbol" w:hint="default"/>
      </w:rPr>
    </w:lvl>
    <w:lvl w:ilvl="7" w:tplc="BE3CB3A8">
      <w:start w:val="1"/>
      <w:numFmt w:val="bullet"/>
      <w:lvlText w:val="o"/>
      <w:lvlJc w:val="left"/>
      <w:pPr>
        <w:ind w:left="5760" w:hanging="360"/>
      </w:pPr>
      <w:rPr>
        <w:rFonts w:ascii="Courier New" w:hAnsi="Courier New" w:hint="default"/>
      </w:rPr>
    </w:lvl>
    <w:lvl w:ilvl="8" w:tplc="B65EE7BE">
      <w:start w:val="1"/>
      <w:numFmt w:val="bullet"/>
      <w:lvlText w:val=""/>
      <w:lvlJc w:val="left"/>
      <w:pPr>
        <w:ind w:left="6480" w:hanging="360"/>
      </w:pPr>
      <w:rPr>
        <w:rFonts w:ascii="Wingdings" w:hAnsi="Wingdings" w:hint="default"/>
      </w:rPr>
    </w:lvl>
  </w:abstractNum>
  <w:abstractNum w:abstractNumId="7" w15:restartNumberingAfterBreak="0">
    <w:nsid w:val="33FF775B"/>
    <w:multiLevelType w:val="hybridMultilevel"/>
    <w:tmpl w:val="A25E9704"/>
    <w:lvl w:ilvl="0" w:tplc="F82EC0BE">
      <w:start w:val="1"/>
      <w:numFmt w:val="bullet"/>
      <w:lvlText w:val=""/>
      <w:lvlJc w:val="left"/>
      <w:pPr>
        <w:ind w:left="720" w:hanging="360"/>
      </w:pPr>
      <w:rPr>
        <w:rFonts w:ascii="Symbol" w:hAnsi="Symbol" w:hint="default"/>
      </w:rPr>
    </w:lvl>
    <w:lvl w:ilvl="1" w:tplc="E6749AFC">
      <w:start w:val="1"/>
      <w:numFmt w:val="bullet"/>
      <w:lvlText w:val="o"/>
      <w:lvlJc w:val="left"/>
      <w:pPr>
        <w:ind w:left="1440" w:hanging="360"/>
      </w:pPr>
      <w:rPr>
        <w:rFonts w:ascii="Courier New" w:hAnsi="Courier New" w:hint="default"/>
      </w:rPr>
    </w:lvl>
    <w:lvl w:ilvl="2" w:tplc="55D6531E">
      <w:start w:val="1"/>
      <w:numFmt w:val="bullet"/>
      <w:lvlText w:val=""/>
      <w:lvlJc w:val="left"/>
      <w:pPr>
        <w:ind w:left="2160" w:hanging="360"/>
      </w:pPr>
      <w:rPr>
        <w:rFonts w:ascii="Wingdings" w:hAnsi="Wingdings" w:hint="default"/>
      </w:rPr>
    </w:lvl>
    <w:lvl w:ilvl="3" w:tplc="239EAEEA">
      <w:start w:val="1"/>
      <w:numFmt w:val="bullet"/>
      <w:lvlText w:val=""/>
      <w:lvlJc w:val="left"/>
      <w:pPr>
        <w:ind w:left="2880" w:hanging="360"/>
      </w:pPr>
      <w:rPr>
        <w:rFonts w:ascii="Symbol" w:hAnsi="Symbol" w:hint="default"/>
      </w:rPr>
    </w:lvl>
    <w:lvl w:ilvl="4" w:tplc="B32874E0">
      <w:start w:val="1"/>
      <w:numFmt w:val="bullet"/>
      <w:lvlText w:val="o"/>
      <w:lvlJc w:val="left"/>
      <w:pPr>
        <w:ind w:left="3600" w:hanging="360"/>
      </w:pPr>
      <w:rPr>
        <w:rFonts w:ascii="Courier New" w:hAnsi="Courier New" w:hint="default"/>
      </w:rPr>
    </w:lvl>
    <w:lvl w:ilvl="5" w:tplc="5612713A">
      <w:start w:val="1"/>
      <w:numFmt w:val="bullet"/>
      <w:lvlText w:val=""/>
      <w:lvlJc w:val="left"/>
      <w:pPr>
        <w:ind w:left="4320" w:hanging="360"/>
      </w:pPr>
      <w:rPr>
        <w:rFonts w:ascii="Wingdings" w:hAnsi="Wingdings" w:hint="default"/>
      </w:rPr>
    </w:lvl>
    <w:lvl w:ilvl="6" w:tplc="2A401E3C">
      <w:start w:val="1"/>
      <w:numFmt w:val="bullet"/>
      <w:lvlText w:val=""/>
      <w:lvlJc w:val="left"/>
      <w:pPr>
        <w:ind w:left="5040" w:hanging="360"/>
      </w:pPr>
      <w:rPr>
        <w:rFonts w:ascii="Symbol" w:hAnsi="Symbol" w:hint="default"/>
      </w:rPr>
    </w:lvl>
    <w:lvl w:ilvl="7" w:tplc="61E4CBBE">
      <w:start w:val="1"/>
      <w:numFmt w:val="bullet"/>
      <w:lvlText w:val="o"/>
      <w:lvlJc w:val="left"/>
      <w:pPr>
        <w:ind w:left="5760" w:hanging="360"/>
      </w:pPr>
      <w:rPr>
        <w:rFonts w:ascii="Courier New" w:hAnsi="Courier New" w:hint="default"/>
      </w:rPr>
    </w:lvl>
    <w:lvl w:ilvl="8" w:tplc="D0BA1B4A">
      <w:start w:val="1"/>
      <w:numFmt w:val="bullet"/>
      <w:lvlText w:val=""/>
      <w:lvlJc w:val="left"/>
      <w:pPr>
        <w:ind w:left="6480" w:hanging="360"/>
      </w:pPr>
      <w:rPr>
        <w:rFonts w:ascii="Wingdings" w:hAnsi="Wingdings" w:hint="default"/>
      </w:rPr>
    </w:lvl>
  </w:abstractNum>
  <w:abstractNum w:abstractNumId="8" w15:restartNumberingAfterBreak="0">
    <w:nsid w:val="3EF87D9B"/>
    <w:multiLevelType w:val="hybridMultilevel"/>
    <w:tmpl w:val="1778D12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0" w15:restartNumberingAfterBreak="0">
    <w:nsid w:val="499A6025"/>
    <w:multiLevelType w:val="hybridMultilevel"/>
    <w:tmpl w:val="5164FF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8CFDE9F"/>
    <w:multiLevelType w:val="hybridMultilevel"/>
    <w:tmpl w:val="37F05D04"/>
    <w:lvl w:ilvl="0" w:tplc="CAC8DCBE">
      <w:start w:val="1"/>
      <w:numFmt w:val="bullet"/>
      <w:lvlText w:val=""/>
      <w:lvlJc w:val="left"/>
      <w:pPr>
        <w:ind w:left="720" w:hanging="360"/>
      </w:pPr>
      <w:rPr>
        <w:rFonts w:ascii="Symbol" w:hAnsi="Symbol" w:hint="default"/>
      </w:rPr>
    </w:lvl>
    <w:lvl w:ilvl="1" w:tplc="030C2C3A">
      <w:start w:val="1"/>
      <w:numFmt w:val="bullet"/>
      <w:lvlText w:val="o"/>
      <w:lvlJc w:val="left"/>
      <w:pPr>
        <w:ind w:left="1440" w:hanging="360"/>
      </w:pPr>
      <w:rPr>
        <w:rFonts w:ascii="Courier New" w:hAnsi="Courier New" w:hint="default"/>
      </w:rPr>
    </w:lvl>
    <w:lvl w:ilvl="2" w:tplc="133E7640">
      <w:start w:val="1"/>
      <w:numFmt w:val="bullet"/>
      <w:lvlText w:val=""/>
      <w:lvlJc w:val="left"/>
      <w:pPr>
        <w:ind w:left="2160" w:hanging="360"/>
      </w:pPr>
      <w:rPr>
        <w:rFonts w:ascii="Wingdings" w:hAnsi="Wingdings" w:hint="default"/>
      </w:rPr>
    </w:lvl>
    <w:lvl w:ilvl="3" w:tplc="171AAB56">
      <w:start w:val="1"/>
      <w:numFmt w:val="bullet"/>
      <w:lvlText w:val=""/>
      <w:lvlJc w:val="left"/>
      <w:pPr>
        <w:ind w:left="2880" w:hanging="360"/>
      </w:pPr>
      <w:rPr>
        <w:rFonts w:ascii="Symbol" w:hAnsi="Symbol" w:hint="default"/>
      </w:rPr>
    </w:lvl>
    <w:lvl w:ilvl="4" w:tplc="A672E336">
      <w:start w:val="1"/>
      <w:numFmt w:val="bullet"/>
      <w:lvlText w:val="o"/>
      <w:lvlJc w:val="left"/>
      <w:pPr>
        <w:ind w:left="3600" w:hanging="360"/>
      </w:pPr>
      <w:rPr>
        <w:rFonts w:ascii="Courier New" w:hAnsi="Courier New" w:hint="default"/>
      </w:rPr>
    </w:lvl>
    <w:lvl w:ilvl="5" w:tplc="11AA1208">
      <w:start w:val="1"/>
      <w:numFmt w:val="bullet"/>
      <w:lvlText w:val=""/>
      <w:lvlJc w:val="left"/>
      <w:pPr>
        <w:ind w:left="4320" w:hanging="360"/>
      </w:pPr>
      <w:rPr>
        <w:rFonts w:ascii="Wingdings" w:hAnsi="Wingdings" w:hint="default"/>
      </w:rPr>
    </w:lvl>
    <w:lvl w:ilvl="6" w:tplc="0D06076A">
      <w:start w:val="1"/>
      <w:numFmt w:val="bullet"/>
      <w:lvlText w:val=""/>
      <w:lvlJc w:val="left"/>
      <w:pPr>
        <w:ind w:left="5040" w:hanging="360"/>
      </w:pPr>
      <w:rPr>
        <w:rFonts w:ascii="Symbol" w:hAnsi="Symbol" w:hint="default"/>
      </w:rPr>
    </w:lvl>
    <w:lvl w:ilvl="7" w:tplc="BA4A2350">
      <w:start w:val="1"/>
      <w:numFmt w:val="bullet"/>
      <w:lvlText w:val="o"/>
      <w:lvlJc w:val="left"/>
      <w:pPr>
        <w:ind w:left="5760" w:hanging="360"/>
      </w:pPr>
      <w:rPr>
        <w:rFonts w:ascii="Courier New" w:hAnsi="Courier New" w:hint="default"/>
      </w:rPr>
    </w:lvl>
    <w:lvl w:ilvl="8" w:tplc="1AFC7BB8">
      <w:start w:val="1"/>
      <w:numFmt w:val="bullet"/>
      <w:lvlText w:val=""/>
      <w:lvlJc w:val="left"/>
      <w:pPr>
        <w:ind w:left="6480" w:hanging="360"/>
      </w:pPr>
      <w:rPr>
        <w:rFonts w:ascii="Wingdings" w:hAnsi="Wingdings" w:hint="default"/>
      </w:rPr>
    </w:lvl>
  </w:abstractNum>
  <w:abstractNum w:abstractNumId="12" w15:restartNumberingAfterBreak="0">
    <w:nsid w:val="5CEED36E"/>
    <w:multiLevelType w:val="hybridMultilevel"/>
    <w:tmpl w:val="12E66714"/>
    <w:lvl w:ilvl="0" w:tplc="01C0760C">
      <w:start w:val="1"/>
      <w:numFmt w:val="decimal"/>
      <w:lvlText w:val="%1."/>
      <w:lvlJc w:val="left"/>
      <w:pPr>
        <w:ind w:left="720" w:hanging="360"/>
      </w:pPr>
    </w:lvl>
    <w:lvl w:ilvl="1" w:tplc="1DCA3952">
      <w:start w:val="1"/>
      <w:numFmt w:val="lowerLetter"/>
      <w:lvlText w:val="%2."/>
      <w:lvlJc w:val="left"/>
      <w:pPr>
        <w:ind w:left="1440" w:hanging="360"/>
      </w:pPr>
    </w:lvl>
    <w:lvl w:ilvl="2" w:tplc="5D9CA600">
      <w:start w:val="1"/>
      <w:numFmt w:val="lowerRoman"/>
      <w:lvlText w:val="%3."/>
      <w:lvlJc w:val="right"/>
      <w:pPr>
        <w:ind w:left="2160" w:hanging="180"/>
      </w:pPr>
    </w:lvl>
    <w:lvl w:ilvl="3" w:tplc="EF260FE6">
      <w:start w:val="1"/>
      <w:numFmt w:val="decimal"/>
      <w:lvlText w:val="%4."/>
      <w:lvlJc w:val="left"/>
      <w:pPr>
        <w:ind w:left="2880" w:hanging="360"/>
      </w:pPr>
    </w:lvl>
    <w:lvl w:ilvl="4" w:tplc="2954F9BE">
      <w:start w:val="1"/>
      <w:numFmt w:val="lowerLetter"/>
      <w:lvlText w:val="%5."/>
      <w:lvlJc w:val="left"/>
      <w:pPr>
        <w:ind w:left="3600" w:hanging="360"/>
      </w:pPr>
    </w:lvl>
    <w:lvl w:ilvl="5" w:tplc="A196A2B6">
      <w:start w:val="1"/>
      <w:numFmt w:val="lowerRoman"/>
      <w:lvlText w:val="%6."/>
      <w:lvlJc w:val="right"/>
      <w:pPr>
        <w:ind w:left="4320" w:hanging="180"/>
      </w:pPr>
    </w:lvl>
    <w:lvl w:ilvl="6" w:tplc="C6F66F3C">
      <w:start w:val="1"/>
      <w:numFmt w:val="decimal"/>
      <w:lvlText w:val="%7."/>
      <w:lvlJc w:val="left"/>
      <w:pPr>
        <w:ind w:left="5040" w:hanging="360"/>
      </w:pPr>
    </w:lvl>
    <w:lvl w:ilvl="7" w:tplc="BB125A70">
      <w:start w:val="1"/>
      <w:numFmt w:val="lowerLetter"/>
      <w:lvlText w:val="%8."/>
      <w:lvlJc w:val="left"/>
      <w:pPr>
        <w:ind w:left="5760" w:hanging="360"/>
      </w:pPr>
    </w:lvl>
    <w:lvl w:ilvl="8" w:tplc="DEB8CC3A">
      <w:start w:val="1"/>
      <w:numFmt w:val="lowerRoman"/>
      <w:lvlText w:val="%9."/>
      <w:lvlJc w:val="right"/>
      <w:pPr>
        <w:ind w:left="6480" w:hanging="180"/>
      </w:pPr>
    </w:lvl>
  </w:abstractNum>
  <w:abstractNum w:abstractNumId="13" w15:restartNumberingAfterBreak="0">
    <w:nsid w:val="6203EDE9"/>
    <w:multiLevelType w:val="hybridMultilevel"/>
    <w:tmpl w:val="158025BA"/>
    <w:lvl w:ilvl="0" w:tplc="97AADC64">
      <w:start w:val="3"/>
      <w:numFmt w:val="decimal"/>
      <w:lvlText w:val="%1."/>
      <w:lvlJc w:val="left"/>
      <w:pPr>
        <w:ind w:left="720" w:hanging="360"/>
      </w:pPr>
    </w:lvl>
    <w:lvl w:ilvl="1" w:tplc="6A4A3244">
      <w:start w:val="1"/>
      <w:numFmt w:val="lowerLetter"/>
      <w:lvlText w:val="%2."/>
      <w:lvlJc w:val="left"/>
      <w:pPr>
        <w:ind w:left="1440" w:hanging="360"/>
      </w:pPr>
    </w:lvl>
    <w:lvl w:ilvl="2" w:tplc="DAD8398C">
      <w:start w:val="1"/>
      <w:numFmt w:val="lowerRoman"/>
      <w:lvlText w:val="%3."/>
      <w:lvlJc w:val="right"/>
      <w:pPr>
        <w:ind w:left="2160" w:hanging="180"/>
      </w:pPr>
    </w:lvl>
    <w:lvl w:ilvl="3" w:tplc="2A86CDCE">
      <w:start w:val="1"/>
      <w:numFmt w:val="decimal"/>
      <w:lvlText w:val="%4."/>
      <w:lvlJc w:val="left"/>
      <w:pPr>
        <w:ind w:left="2880" w:hanging="360"/>
      </w:pPr>
    </w:lvl>
    <w:lvl w:ilvl="4" w:tplc="0602F052">
      <w:start w:val="1"/>
      <w:numFmt w:val="lowerLetter"/>
      <w:lvlText w:val="%5."/>
      <w:lvlJc w:val="left"/>
      <w:pPr>
        <w:ind w:left="3600" w:hanging="360"/>
      </w:pPr>
    </w:lvl>
    <w:lvl w:ilvl="5" w:tplc="3EC683A0">
      <w:start w:val="1"/>
      <w:numFmt w:val="lowerRoman"/>
      <w:lvlText w:val="%6."/>
      <w:lvlJc w:val="right"/>
      <w:pPr>
        <w:ind w:left="4320" w:hanging="180"/>
      </w:pPr>
    </w:lvl>
    <w:lvl w:ilvl="6" w:tplc="F586DA26">
      <w:start w:val="1"/>
      <w:numFmt w:val="decimal"/>
      <w:lvlText w:val="%7."/>
      <w:lvlJc w:val="left"/>
      <w:pPr>
        <w:ind w:left="5040" w:hanging="360"/>
      </w:pPr>
    </w:lvl>
    <w:lvl w:ilvl="7" w:tplc="7CA2C896">
      <w:start w:val="1"/>
      <w:numFmt w:val="lowerLetter"/>
      <w:lvlText w:val="%8."/>
      <w:lvlJc w:val="left"/>
      <w:pPr>
        <w:ind w:left="5760" w:hanging="360"/>
      </w:pPr>
    </w:lvl>
    <w:lvl w:ilvl="8" w:tplc="CDE08CA0">
      <w:start w:val="1"/>
      <w:numFmt w:val="lowerRoman"/>
      <w:lvlText w:val="%9."/>
      <w:lvlJc w:val="right"/>
      <w:pPr>
        <w:ind w:left="6480" w:hanging="180"/>
      </w:pPr>
    </w:lvl>
  </w:abstractNum>
  <w:abstractNum w:abstractNumId="14" w15:restartNumberingAfterBreak="0">
    <w:nsid w:val="699E2B88"/>
    <w:multiLevelType w:val="hybridMultilevel"/>
    <w:tmpl w:val="395E3C2E"/>
    <w:lvl w:ilvl="0" w:tplc="2CF65F2A">
      <w:start w:val="165"/>
      <w:numFmt w:val="bullet"/>
      <w:pStyle w:val="CEABullet-Level1"/>
      <w:lvlText w:val=""/>
      <w:lvlJc w:val="left"/>
      <w:pPr>
        <w:ind w:left="1068" w:hanging="360"/>
      </w:pPr>
      <w:rPr>
        <w:rFonts w:ascii="Symbol" w:hAnsi="Symbol" w:hint="default"/>
        <w:color w:val="auto"/>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78287FE3"/>
    <w:multiLevelType w:val="hybridMultilevel"/>
    <w:tmpl w:val="75886028"/>
    <w:lvl w:ilvl="0" w:tplc="47A606C8">
      <w:start w:val="1"/>
      <w:numFmt w:val="bullet"/>
      <w:lvlText w:val=""/>
      <w:lvlJc w:val="left"/>
      <w:pPr>
        <w:ind w:left="720" w:hanging="360"/>
      </w:pPr>
      <w:rPr>
        <w:rFonts w:ascii="Symbol" w:hAnsi="Symbol" w:hint="default"/>
      </w:rPr>
    </w:lvl>
    <w:lvl w:ilvl="1" w:tplc="71AC4B3C">
      <w:start w:val="1"/>
      <w:numFmt w:val="bullet"/>
      <w:lvlText w:val="o"/>
      <w:lvlJc w:val="left"/>
      <w:pPr>
        <w:ind w:left="1440" w:hanging="360"/>
      </w:pPr>
      <w:rPr>
        <w:rFonts w:ascii="Courier New" w:hAnsi="Courier New" w:hint="default"/>
      </w:rPr>
    </w:lvl>
    <w:lvl w:ilvl="2" w:tplc="A47E255A">
      <w:start w:val="1"/>
      <w:numFmt w:val="bullet"/>
      <w:lvlText w:val=""/>
      <w:lvlJc w:val="left"/>
      <w:pPr>
        <w:ind w:left="2160" w:hanging="360"/>
      </w:pPr>
      <w:rPr>
        <w:rFonts w:ascii="Wingdings" w:hAnsi="Wingdings" w:hint="default"/>
      </w:rPr>
    </w:lvl>
    <w:lvl w:ilvl="3" w:tplc="716CAB22">
      <w:start w:val="1"/>
      <w:numFmt w:val="bullet"/>
      <w:lvlText w:val=""/>
      <w:lvlJc w:val="left"/>
      <w:pPr>
        <w:ind w:left="2880" w:hanging="360"/>
      </w:pPr>
      <w:rPr>
        <w:rFonts w:ascii="Symbol" w:hAnsi="Symbol" w:hint="default"/>
      </w:rPr>
    </w:lvl>
    <w:lvl w:ilvl="4" w:tplc="D4AEBAFE">
      <w:start w:val="1"/>
      <w:numFmt w:val="bullet"/>
      <w:lvlText w:val="o"/>
      <w:lvlJc w:val="left"/>
      <w:pPr>
        <w:ind w:left="3600" w:hanging="360"/>
      </w:pPr>
      <w:rPr>
        <w:rFonts w:ascii="Courier New" w:hAnsi="Courier New" w:hint="default"/>
      </w:rPr>
    </w:lvl>
    <w:lvl w:ilvl="5" w:tplc="173CCE3A">
      <w:start w:val="1"/>
      <w:numFmt w:val="bullet"/>
      <w:lvlText w:val=""/>
      <w:lvlJc w:val="left"/>
      <w:pPr>
        <w:ind w:left="4320" w:hanging="360"/>
      </w:pPr>
      <w:rPr>
        <w:rFonts w:ascii="Wingdings" w:hAnsi="Wingdings" w:hint="default"/>
      </w:rPr>
    </w:lvl>
    <w:lvl w:ilvl="6" w:tplc="FCD417F0">
      <w:start w:val="1"/>
      <w:numFmt w:val="bullet"/>
      <w:lvlText w:val=""/>
      <w:lvlJc w:val="left"/>
      <w:pPr>
        <w:ind w:left="5040" w:hanging="360"/>
      </w:pPr>
      <w:rPr>
        <w:rFonts w:ascii="Symbol" w:hAnsi="Symbol" w:hint="default"/>
      </w:rPr>
    </w:lvl>
    <w:lvl w:ilvl="7" w:tplc="BD9EDA34">
      <w:start w:val="1"/>
      <w:numFmt w:val="bullet"/>
      <w:lvlText w:val="o"/>
      <w:lvlJc w:val="left"/>
      <w:pPr>
        <w:ind w:left="5760" w:hanging="360"/>
      </w:pPr>
      <w:rPr>
        <w:rFonts w:ascii="Courier New" w:hAnsi="Courier New" w:hint="default"/>
      </w:rPr>
    </w:lvl>
    <w:lvl w:ilvl="8" w:tplc="B700FF40">
      <w:start w:val="1"/>
      <w:numFmt w:val="bullet"/>
      <w:lvlText w:val=""/>
      <w:lvlJc w:val="left"/>
      <w:pPr>
        <w:ind w:left="6480" w:hanging="360"/>
      </w:pPr>
      <w:rPr>
        <w:rFonts w:ascii="Wingdings" w:hAnsi="Wingdings" w:hint="default"/>
      </w:rPr>
    </w:lvl>
  </w:abstractNum>
  <w:abstractNum w:abstractNumId="16"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BC082C"/>
    <w:multiLevelType w:val="hybridMultilevel"/>
    <w:tmpl w:val="117E51CE"/>
    <w:lvl w:ilvl="0" w:tplc="C4440BD8">
      <w:start w:val="1"/>
      <w:numFmt w:val="bullet"/>
      <w:lvlText w:val=""/>
      <w:lvlJc w:val="left"/>
      <w:pPr>
        <w:ind w:left="720" w:hanging="360"/>
      </w:pPr>
      <w:rPr>
        <w:rFonts w:ascii="Symbol" w:hAnsi="Symbol" w:hint="default"/>
      </w:rPr>
    </w:lvl>
    <w:lvl w:ilvl="1" w:tplc="AFEECD98">
      <w:start w:val="1"/>
      <w:numFmt w:val="bullet"/>
      <w:lvlText w:val="o"/>
      <w:lvlJc w:val="left"/>
      <w:pPr>
        <w:ind w:left="1440" w:hanging="360"/>
      </w:pPr>
      <w:rPr>
        <w:rFonts w:ascii="Courier New" w:hAnsi="Courier New" w:hint="default"/>
      </w:rPr>
    </w:lvl>
    <w:lvl w:ilvl="2" w:tplc="C1149A2C">
      <w:start w:val="1"/>
      <w:numFmt w:val="bullet"/>
      <w:lvlText w:val=""/>
      <w:lvlJc w:val="left"/>
      <w:pPr>
        <w:ind w:left="2160" w:hanging="360"/>
      </w:pPr>
      <w:rPr>
        <w:rFonts w:ascii="Wingdings" w:hAnsi="Wingdings" w:hint="default"/>
      </w:rPr>
    </w:lvl>
    <w:lvl w:ilvl="3" w:tplc="2F32F678">
      <w:start w:val="1"/>
      <w:numFmt w:val="bullet"/>
      <w:lvlText w:val=""/>
      <w:lvlJc w:val="left"/>
      <w:pPr>
        <w:ind w:left="2880" w:hanging="360"/>
      </w:pPr>
      <w:rPr>
        <w:rFonts w:ascii="Symbol" w:hAnsi="Symbol" w:hint="default"/>
      </w:rPr>
    </w:lvl>
    <w:lvl w:ilvl="4" w:tplc="11C6168C">
      <w:start w:val="1"/>
      <w:numFmt w:val="bullet"/>
      <w:lvlText w:val="o"/>
      <w:lvlJc w:val="left"/>
      <w:pPr>
        <w:ind w:left="3600" w:hanging="360"/>
      </w:pPr>
      <w:rPr>
        <w:rFonts w:ascii="Courier New" w:hAnsi="Courier New" w:hint="default"/>
      </w:rPr>
    </w:lvl>
    <w:lvl w:ilvl="5" w:tplc="5EAE9FC8">
      <w:start w:val="1"/>
      <w:numFmt w:val="bullet"/>
      <w:lvlText w:val=""/>
      <w:lvlJc w:val="left"/>
      <w:pPr>
        <w:ind w:left="4320" w:hanging="360"/>
      </w:pPr>
      <w:rPr>
        <w:rFonts w:ascii="Wingdings" w:hAnsi="Wingdings" w:hint="default"/>
      </w:rPr>
    </w:lvl>
    <w:lvl w:ilvl="6" w:tplc="530A0ABA">
      <w:start w:val="1"/>
      <w:numFmt w:val="bullet"/>
      <w:lvlText w:val=""/>
      <w:lvlJc w:val="left"/>
      <w:pPr>
        <w:ind w:left="5040" w:hanging="360"/>
      </w:pPr>
      <w:rPr>
        <w:rFonts w:ascii="Symbol" w:hAnsi="Symbol" w:hint="default"/>
      </w:rPr>
    </w:lvl>
    <w:lvl w:ilvl="7" w:tplc="D340C582">
      <w:start w:val="1"/>
      <w:numFmt w:val="bullet"/>
      <w:lvlText w:val="o"/>
      <w:lvlJc w:val="left"/>
      <w:pPr>
        <w:ind w:left="5760" w:hanging="360"/>
      </w:pPr>
      <w:rPr>
        <w:rFonts w:ascii="Courier New" w:hAnsi="Courier New" w:hint="default"/>
      </w:rPr>
    </w:lvl>
    <w:lvl w:ilvl="8" w:tplc="C0CE1852">
      <w:start w:val="1"/>
      <w:numFmt w:val="bullet"/>
      <w:lvlText w:val=""/>
      <w:lvlJc w:val="left"/>
      <w:pPr>
        <w:ind w:left="6480" w:hanging="360"/>
      </w:pPr>
      <w:rPr>
        <w:rFonts w:ascii="Wingdings" w:hAnsi="Wingdings" w:hint="default"/>
      </w:rPr>
    </w:lvl>
  </w:abstractNum>
  <w:num w:numId="1" w16cid:durableId="1548295269">
    <w:abstractNumId w:val="13"/>
  </w:num>
  <w:num w:numId="2" w16cid:durableId="1141537634">
    <w:abstractNumId w:val="1"/>
  </w:num>
  <w:num w:numId="3" w16cid:durableId="1920141161">
    <w:abstractNumId w:val="11"/>
  </w:num>
  <w:num w:numId="4" w16cid:durableId="1445615374">
    <w:abstractNumId w:val="5"/>
  </w:num>
  <w:num w:numId="5" w16cid:durableId="863326485">
    <w:abstractNumId w:val="17"/>
  </w:num>
  <w:num w:numId="6" w16cid:durableId="1054233791">
    <w:abstractNumId w:val="7"/>
  </w:num>
  <w:num w:numId="7" w16cid:durableId="944926311">
    <w:abstractNumId w:val="0"/>
  </w:num>
  <w:num w:numId="8" w16cid:durableId="1182742311">
    <w:abstractNumId w:val="15"/>
  </w:num>
  <w:num w:numId="9" w16cid:durableId="692924943">
    <w:abstractNumId w:val="4"/>
  </w:num>
  <w:num w:numId="10" w16cid:durableId="567616128">
    <w:abstractNumId w:val="12"/>
  </w:num>
  <w:num w:numId="11" w16cid:durableId="1940327307">
    <w:abstractNumId w:val="6"/>
  </w:num>
  <w:num w:numId="12" w16cid:durableId="906188202">
    <w:abstractNumId w:val="14"/>
  </w:num>
  <w:num w:numId="13" w16cid:durableId="2029601903">
    <w:abstractNumId w:val="2"/>
  </w:num>
  <w:num w:numId="14" w16cid:durableId="2080708474">
    <w:abstractNumId w:val="9"/>
  </w:num>
  <w:num w:numId="15" w16cid:durableId="743527448">
    <w:abstractNumId w:val="14"/>
  </w:num>
  <w:num w:numId="16" w16cid:durableId="2077122927">
    <w:abstractNumId w:val="2"/>
  </w:num>
  <w:num w:numId="17" w16cid:durableId="1537506263">
    <w:abstractNumId w:val="2"/>
  </w:num>
  <w:num w:numId="18" w16cid:durableId="1954559564">
    <w:abstractNumId w:val="2"/>
  </w:num>
  <w:num w:numId="19" w16cid:durableId="808592398">
    <w:abstractNumId w:val="3"/>
  </w:num>
  <w:num w:numId="20" w16cid:durableId="1755472628">
    <w:abstractNumId w:val="14"/>
  </w:num>
  <w:num w:numId="21" w16cid:durableId="1036585444">
    <w:abstractNumId w:val="14"/>
  </w:num>
  <w:num w:numId="22" w16cid:durableId="1541556122">
    <w:abstractNumId w:val="2"/>
  </w:num>
  <w:num w:numId="23" w16cid:durableId="1004939742">
    <w:abstractNumId w:val="14"/>
  </w:num>
  <w:num w:numId="24" w16cid:durableId="1743142454">
    <w:abstractNumId w:val="16"/>
  </w:num>
  <w:num w:numId="25" w16cid:durableId="1842505865">
    <w:abstractNumId w:val="2"/>
  </w:num>
  <w:num w:numId="26" w16cid:durableId="479924222">
    <w:abstractNumId w:val="8"/>
  </w:num>
  <w:num w:numId="27" w16cid:durableId="1082726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01B68"/>
    <w:rsid w:val="000104F9"/>
    <w:rsid w:val="0001120B"/>
    <w:rsid w:val="000127CD"/>
    <w:rsid w:val="00017E2D"/>
    <w:rsid w:val="00020124"/>
    <w:rsid w:val="000211D9"/>
    <w:rsid w:val="00027B01"/>
    <w:rsid w:val="00030807"/>
    <w:rsid w:val="00031EE6"/>
    <w:rsid w:val="00034012"/>
    <w:rsid w:val="00035171"/>
    <w:rsid w:val="000409F9"/>
    <w:rsid w:val="00040BB0"/>
    <w:rsid w:val="000419E1"/>
    <w:rsid w:val="00050A81"/>
    <w:rsid w:val="00056459"/>
    <w:rsid w:val="0005728E"/>
    <w:rsid w:val="00057471"/>
    <w:rsid w:val="00057653"/>
    <w:rsid w:val="00060659"/>
    <w:rsid w:val="0006237E"/>
    <w:rsid w:val="0007166E"/>
    <w:rsid w:val="000743B9"/>
    <w:rsid w:val="0008034A"/>
    <w:rsid w:val="0008041B"/>
    <w:rsid w:val="00085A38"/>
    <w:rsid w:val="00085C9F"/>
    <w:rsid w:val="000868C1"/>
    <w:rsid w:val="000925AF"/>
    <w:rsid w:val="00092FC7"/>
    <w:rsid w:val="000933C0"/>
    <w:rsid w:val="000936E7"/>
    <w:rsid w:val="000944BD"/>
    <w:rsid w:val="000947AC"/>
    <w:rsid w:val="00095100"/>
    <w:rsid w:val="0009569F"/>
    <w:rsid w:val="00095FFB"/>
    <w:rsid w:val="000A42BB"/>
    <w:rsid w:val="000A5465"/>
    <w:rsid w:val="000A54FF"/>
    <w:rsid w:val="000A6BC4"/>
    <w:rsid w:val="000B2CB2"/>
    <w:rsid w:val="000B409E"/>
    <w:rsid w:val="000B56E3"/>
    <w:rsid w:val="000B5CEA"/>
    <w:rsid w:val="000B6CD8"/>
    <w:rsid w:val="000C18F3"/>
    <w:rsid w:val="000C230C"/>
    <w:rsid w:val="000C4FA7"/>
    <w:rsid w:val="000D07E8"/>
    <w:rsid w:val="000D0B31"/>
    <w:rsid w:val="000D1B44"/>
    <w:rsid w:val="000D3A9E"/>
    <w:rsid w:val="000D58F0"/>
    <w:rsid w:val="000E17D8"/>
    <w:rsid w:val="000E18DE"/>
    <w:rsid w:val="000E1F79"/>
    <w:rsid w:val="000E253A"/>
    <w:rsid w:val="000E491A"/>
    <w:rsid w:val="000E4948"/>
    <w:rsid w:val="000E5222"/>
    <w:rsid w:val="000E5506"/>
    <w:rsid w:val="000E5D60"/>
    <w:rsid w:val="000F09B9"/>
    <w:rsid w:val="000F78A9"/>
    <w:rsid w:val="001057E5"/>
    <w:rsid w:val="00105A04"/>
    <w:rsid w:val="00110397"/>
    <w:rsid w:val="0011070F"/>
    <w:rsid w:val="0011098F"/>
    <w:rsid w:val="00115DDE"/>
    <w:rsid w:val="001167E9"/>
    <w:rsid w:val="0012134C"/>
    <w:rsid w:val="0012469D"/>
    <w:rsid w:val="001302A5"/>
    <w:rsid w:val="00131489"/>
    <w:rsid w:val="00135EF1"/>
    <w:rsid w:val="00136836"/>
    <w:rsid w:val="001377F6"/>
    <w:rsid w:val="0014535E"/>
    <w:rsid w:val="00146C01"/>
    <w:rsid w:val="00146C89"/>
    <w:rsid w:val="00150DF8"/>
    <w:rsid w:val="0015211C"/>
    <w:rsid w:val="0015217F"/>
    <w:rsid w:val="00152882"/>
    <w:rsid w:val="0015524E"/>
    <w:rsid w:val="00155E2A"/>
    <w:rsid w:val="00162718"/>
    <w:rsid w:val="001664CF"/>
    <w:rsid w:val="00166F9B"/>
    <w:rsid w:val="00167D10"/>
    <w:rsid w:val="0017261F"/>
    <w:rsid w:val="00176A03"/>
    <w:rsid w:val="00176DE5"/>
    <w:rsid w:val="001777ED"/>
    <w:rsid w:val="00182370"/>
    <w:rsid w:val="00182A5A"/>
    <w:rsid w:val="00190922"/>
    <w:rsid w:val="001911FB"/>
    <w:rsid w:val="001945DF"/>
    <w:rsid w:val="00194D49"/>
    <w:rsid w:val="001A0018"/>
    <w:rsid w:val="001A1CF9"/>
    <w:rsid w:val="001A4787"/>
    <w:rsid w:val="001A6692"/>
    <w:rsid w:val="001A7589"/>
    <w:rsid w:val="001B4AB3"/>
    <w:rsid w:val="001B7575"/>
    <w:rsid w:val="001C0285"/>
    <w:rsid w:val="001C1A36"/>
    <w:rsid w:val="001C20EF"/>
    <w:rsid w:val="001C2199"/>
    <w:rsid w:val="001C24B8"/>
    <w:rsid w:val="001C3FDA"/>
    <w:rsid w:val="001C594F"/>
    <w:rsid w:val="001C6FF0"/>
    <w:rsid w:val="001D007B"/>
    <w:rsid w:val="001D3126"/>
    <w:rsid w:val="001D3B94"/>
    <w:rsid w:val="001D535B"/>
    <w:rsid w:val="001D597A"/>
    <w:rsid w:val="001D5B4D"/>
    <w:rsid w:val="001D7340"/>
    <w:rsid w:val="001E19FD"/>
    <w:rsid w:val="001E5CF8"/>
    <w:rsid w:val="001E5E13"/>
    <w:rsid w:val="001E731D"/>
    <w:rsid w:val="001F0280"/>
    <w:rsid w:val="001F163C"/>
    <w:rsid w:val="001F683D"/>
    <w:rsid w:val="00200335"/>
    <w:rsid w:val="00200D42"/>
    <w:rsid w:val="00202074"/>
    <w:rsid w:val="0021272A"/>
    <w:rsid w:val="00212FD0"/>
    <w:rsid w:val="0021653F"/>
    <w:rsid w:val="00216F92"/>
    <w:rsid w:val="00222384"/>
    <w:rsid w:val="0022455F"/>
    <w:rsid w:val="002279D1"/>
    <w:rsid w:val="002313E3"/>
    <w:rsid w:val="00240F50"/>
    <w:rsid w:val="002419AE"/>
    <w:rsid w:val="0024200B"/>
    <w:rsid w:val="00245434"/>
    <w:rsid w:val="00250D3F"/>
    <w:rsid w:val="00253DE3"/>
    <w:rsid w:val="0025763C"/>
    <w:rsid w:val="00261545"/>
    <w:rsid w:val="00262579"/>
    <w:rsid w:val="00265EBD"/>
    <w:rsid w:val="002662A8"/>
    <w:rsid w:val="00274604"/>
    <w:rsid w:val="00275B62"/>
    <w:rsid w:val="00276755"/>
    <w:rsid w:val="00277118"/>
    <w:rsid w:val="00277F68"/>
    <w:rsid w:val="002803F6"/>
    <w:rsid w:val="00292AF8"/>
    <w:rsid w:val="00294F06"/>
    <w:rsid w:val="00295E86"/>
    <w:rsid w:val="002A5761"/>
    <w:rsid w:val="002B0AF8"/>
    <w:rsid w:val="002B1131"/>
    <w:rsid w:val="002B19CA"/>
    <w:rsid w:val="002B1FF0"/>
    <w:rsid w:val="002B50EE"/>
    <w:rsid w:val="002B79CD"/>
    <w:rsid w:val="002B7EC6"/>
    <w:rsid w:val="002C2837"/>
    <w:rsid w:val="002C589D"/>
    <w:rsid w:val="002C6479"/>
    <w:rsid w:val="002D02B3"/>
    <w:rsid w:val="002D59BE"/>
    <w:rsid w:val="002D7028"/>
    <w:rsid w:val="002E0B80"/>
    <w:rsid w:val="002E0E7F"/>
    <w:rsid w:val="002E474E"/>
    <w:rsid w:val="002E7D08"/>
    <w:rsid w:val="002E7E3A"/>
    <w:rsid w:val="002F12C5"/>
    <w:rsid w:val="003078DB"/>
    <w:rsid w:val="00310A0B"/>
    <w:rsid w:val="0031285B"/>
    <w:rsid w:val="00314459"/>
    <w:rsid w:val="00317C40"/>
    <w:rsid w:val="00317EDF"/>
    <w:rsid w:val="0032055A"/>
    <w:rsid w:val="00321713"/>
    <w:rsid w:val="00324AC3"/>
    <w:rsid w:val="003274C6"/>
    <w:rsid w:val="00331589"/>
    <w:rsid w:val="00331706"/>
    <w:rsid w:val="003318A4"/>
    <w:rsid w:val="00331D58"/>
    <w:rsid w:val="00333279"/>
    <w:rsid w:val="00333789"/>
    <w:rsid w:val="003358B3"/>
    <w:rsid w:val="00335AE7"/>
    <w:rsid w:val="0033798A"/>
    <w:rsid w:val="003425AB"/>
    <w:rsid w:val="00344681"/>
    <w:rsid w:val="00345632"/>
    <w:rsid w:val="00345D4C"/>
    <w:rsid w:val="00346792"/>
    <w:rsid w:val="00347572"/>
    <w:rsid w:val="0034787B"/>
    <w:rsid w:val="00350647"/>
    <w:rsid w:val="00356201"/>
    <w:rsid w:val="00363A95"/>
    <w:rsid w:val="003668F6"/>
    <w:rsid w:val="00370E09"/>
    <w:rsid w:val="003715C9"/>
    <w:rsid w:val="00371AF6"/>
    <w:rsid w:val="00372858"/>
    <w:rsid w:val="003739F4"/>
    <w:rsid w:val="003755DE"/>
    <w:rsid w:val="00375861"/>
    <w:rsid w:val="003767D3"/>
    <w:rsid w:val="00376C7A"/>
    <w:rsid w:val="00382F7E"/>
    <w:rsid w:val="003865C1"/>
    <w:rsid w:val="00394222"/>
    <w:rsid w:val="003975A7"/>
    <w:rsid w:val="003A29D1"/>
    <w:rsid w:val="003A3B65"/>
    <w:rsid w:val="003A683D"/>
    <w:rsid w:val="003B2AC0"/>
    <w:rsid w:val="003B428A"/>
    <w:rsid w:val="003B6BA7"/>
    <w:rsid w:val="003D0236"/>
    <w:rsid w:val="003D1847"/>
    <w:rsid w:val="003D218F"/>
    <w:rsid w:val="003D2C75"/>
    <w:rsid w:val="003D33B8"/>
    <w:rsid w:val="003D4330"/>
    <w:rsid w:val="003E0EFA"/>
    <w:rsid w:val="003E3445"/>
    <w:rsid w:val="003E3B0F"/>
    <w:rsid w:val="003E3B7A"/>
    <w:rsid w:val="003E3D7B"/>
    <w:rsid w:val="003E487F"/>
    <w:rsid w:val="003E5F3E"/>
    <w:rsid w:val="003F34DC"/>
    <w:rsid w:val="003F71F4"/>
    <w:rsid w:val="003F7937"/>
    <w:rsid w:val="004011B6"/>
    <w:rsid w:val="00402C31"/>
    <w:rsid w:val="00406CE8"/>
    <w:rsid w:val="00407038"/>
    <w:rsid w:val="00407B3E"/>
    <w:rsid w:val="00407FCB"/>
    <w:rsid w:val="004101DF"/>
    <w:rsid w:val="00414339"/>
    <w:rsid w:val="00416AAB"/>
    <w:rsid w:val="00420DBB"/>
    <w:rsid w:val="004250CC"/>
    <w:rsid w:val="00426F66"/>
    <w:rsid w:val="0042704F"/>
    <w:rsid w:val="004302A0"/>
    <w:rsid w:val="004378E5"/>
    <w:rsid w:val="00440FEE"/>
    <w:rsid w:val="00447F40"/>
    <w:rsid w:val="00450788"/>
    <w:rsid w:val="00450ED2"/>
    <w:rsid w:val="0045159F"/>
    <w:rsid w:val="00453ACC"/>
    <w:rsid w:val="00453B7C"/>
    <w:rsid w:val="004546FB"/>
    <w:rsid w:val="0045643C"/>
    <w:rsid w:val="004568FE"/>
    <w:rsid w:val="00460FB1"/>
    <w:rsid w:val="00461A9C"/>
    <w:rsid w:val="00466FB3"/>
    <w:rsid w:val="0047049E"/>
    <w:rsid w:val="004705E3"/>
    <w:rsid w:val="0047119E"/>
    <w:rsid w:val="00481520"/>
    <w:rsid w:val="00481BD1"/>
    <w:rsid w:val="00482B87"/>
    <w:rsid w:val="00483C2A"/>
    <w:rsid w:val="00485369"/>
    <w:rsid w:val="004927DA"/>
    <w:rsid w:val="004938CA"/>
    <w:rsid w:val="00495AC5"/>
    <w:rsid w:val="004A405A"/>
    <w:rsid w:val="004B6C42"/>
    <w:rsid w:val="004B6CFF"/>
    <w:rsid w:val="004C195D"/>
    <w:rsid w:val="004C5E93"/>
    <w:rsid w:val="004D0110"/>
    <w:rsid w:val="004D156A"/>
    <w:rsid w:val="004D6BDA"/>
    <w:rsid w:val="004D6D42"/>
    <w:rsid w:val="004E1CC1"/>
    <w:rsid w:val="004E303C"/>
    <w:rsid w:val="004F5834"/>
    <w:rsid w:val="004F5D14"/>
    <w:rsid w:val="004F772C"/>
    <w:rsid w:val="00500388"/>
    <w:rsid w:val="00500A00"/>
    <w:rsid w:val="00502DD7"/>
    <w:rsid w:val="00504C7D"/>
    <w:rsid w:val="00505A40"/>
    <w:rsid w:val="00506519"/>
    <w:rsid w:val="005067E0"/>
    <w:rsid w:val="00514D36"/>
    <w:rsid w:val="00520A0A"/>
    <w:rsid w:val="00523F3C"/>
    <w:rsid w:val="005269C0"/>
    <w:rsid w:val="00533C6D"/>
    <w:rsid w:val="00536483"/>
    <w:rsid w:val="005448B4"/>
    <w:rsid w:val="00550E57"/>
    <w:rsid w:val="00554234"/>
    <w:rsid w:val="00555570"/>
    <w:rsid w:val="00556B8D"/>
    <w:rsid w:val="00557257"/>
    <w:rsid w:val="0056021D"/>
    <w:rsid w:val="005634E5"/>
    <w:rsid w:val="00564F47"/>
    <w:rsid w:val="005652FC"/>
    <w:rsid w:val="00566391"/>
    <w:rsid w:val="00567506"/>
    <w:rsid w:val="00571CC4"/>
    <w:rsid w:val="00572DA4"/>
    <w:rsid w:val="00572F0D"/>
    <w:rsid w:val="00573377"/>
    <w:rsid w:val="00575E04"/>
    <w:rsid w:val="00583B95"/>
    <w:rsid w:val="00586BB9"/>
    <w:rsid w:val="00586E27"/>
    <w:rsid w:val="005955B9"/>
    <w:rsid w:val="00595906"/>
    <w:rsid w:val="005A7B01"/>
    <w:rsid w:val="005B06FD"/>
    <w:rsid w:val="005B382F"/>
    <w:rsid w:val="005B77AB"/>
    <w:rsid w:val="005C241E"/>
    <w:rsid w:val="005C5D88"/>
    <w:rsid w:val="005D4EED"/>
    <w:rsid w:val="005D6DBE"/>
    <w:rsid w:val="005E1CE8"/>
    <w:rsid w:val="005E1D48"/>
    <w:rsid w:val="005E3B31"/>
    <w:rsid w:val="005E5C63"/>
    <w:rsid w:val="005F058D"/>
    <w:rsid w:val="005F5863"/>
    <w:rsid w:val="005F7075"/>
    <w:rsid w:val="00603998"/>
    <w:rsid w:val="00603D86"/>
    <w:rsid w:val="0060589D"/>
    <w:rsid w:val="00611F26"/>
    <w:rsid w:val="0061203D"/>
    <w:rsid w:val="00615F11"/>
    <w:rsid w:val="00621E81"/>
    <w:rsid w:val="00622DDE"/>
    <w:rsid w:val="00626D65"/>
    <w:rsid w:val="006275A4"/>
    <w:rsid w:val="0064032C"/>
    <w:rsid w:val="0065783B"/>
    <w:rsid w:val="00660A2F"/>
    <w:rsid w:val="006616B6"/>
    <w:rsid w:val="00663ED4"/>
    <w:rsid w:val="006673C0"/>
    <w:rsid w:val="0067037A"/>
    <w:rsid w:val="00674251"/>
    <w:rsid w:val="006821D2"/>
    <w:rsid w:val="00683785"/>
    <w:rsid w:val="00683C6F"/>
    <w:rsid w:val="006868B8"/>
    <w:rsid w:val="00686BB4"/>
    <w:rsid w:val="00692DBA"/>
    <w:rsid w:val="006A292D"/>
    <w:rsid w:val="006A3208"/>
    <w:rsid w:val="006A3D4B"/>
    <w:rsid w:val="006B21CD"/>
    <w:rsid w:val="006B2D65"/>
    <w:rsid w:val="006B4484"/>
    <w:rsid w:val="006C740F"/>
    <w:rsid w:val="006D0AB1"/>
    <w:rsid w:val="006D19E0"/>
    <w:rsid w:val="006D480B"/>
    <w:rsid w:val="006E2B8E"/>
    <w:rsid w:val="006E32C6"/>
    <w:rsid w:val="006E7FEB"/>
    <w:rsid w:val="006F1705"/>
    <w:rsid w:val="006F1E30"/>
    <w:rsid w:val="006F425D"/>
    <w:rsid w:val="006F4D1A"/>
    <w:rsid w:val="006F54A1"/>
    <w:rsid w:val="00702041"/>
    <w:rsid w:val="0070668D"/>
    <w:rsid w:val="007067FB"/>
    <w:rsid w:val="007070A3"/>
    <w:rsid w:val="007130FF"/>
    <w:rsid w:val="007144E0"/>
    <w:rsid w:val="007156DB"/>
    <w:rsid w:val="0072650F"/>
    <w:rsid w:val="007313F5"/>
    <w:rsid w:val="007335D1"/>
    <w:rsid w:val="00733B91"/>
    <w:rsid w:val="0073564D"/>
    <w:rsid w:val="00741703"/>
    <w:rsid w:val="0074228C"/>
    <w:rsid w:val="00743226"/>
    <w:rsid w:val="00747333"/>
    <w:rsid w:val="00747AA1"/>
    <w:rsid w:val="00747E83"/>
    <w:rsid w:val="00750C20"/>
    <w:rsid w:val="00751082"/>
    <w:rsid w:val="00752590"/>
    <w:rsid w:val="0075277A"/>
    <w:rsid w:val="00754273"/>
    <w:rsid w:val="0075640F"/>
    <w:rsid w:val="00761F1F"/>
    <w:rsid w:val="0076561F"/>
    <w:rsid w:val="0076741A"/>
    <w:rsid w:val="00767E1B"/>
    <w:rsid w:val="00770433"/>
    <w:rsid w:val="0077164B"/>
    <w:rsid w:val="00771FCA"/>
    <w:rsid w:val="0077236D"/>
    <w:rsid w:val="0077270E"/>
    <w:rsid w:val="0077381A"/>
    <w:rsid w:val="007748EE"/>
    <w:rsid w:val="007777A1"/>
    <w:rsid w:val="0077798E"/>
    <w:rsid w:val="00781352"/>
    <w:rsid w:val="00781518"/>
    <w:rsid w:val="007820CC"/>
    <w:rsid w:val="00784F06"/>
    <w:rsid w:val="00787557"/>
    <w:rsid w:val="00791EBB"/>
    <w:rsid w:val="00792358"/>
    <w:rsid w:val="007A1DE6"/>
    <w:rsid w:val="007A71A9"/>
    <w:rsid w:val="007A71FC"/>
    <w:rsid w:val="007A72BB"/>
    <w:rsid w:val="007A7C4E"/>
    <w:rsid w:val="007B01DC"/>
    <w:rsid w:val="007B0816"/>
    <w:rsid w:val="007B405B"/>
    <w:rsid w:val="007B5760"/>
    <w:rsid w:val="007B5E44"/>
    <w:rsid w:val="007C086D"/>
    <w:rsid w:val="007C35DF"/>
    <w:rsid w:val="007D160F"/>
    <w:rsid w:val="007D5F42"/>
    <w:rsid w:val="007E1FB3"/>
    <w:rsid w:val="007E325B"/>
    <w:rsid w:val="007E48FF"/>
    <w:rsid w:val="007F2B24"/>
    <w:rsid w:val="007F2C37"/>
    <w:rsid w:val="007F3C6E"/>
    <w:rsid w:val="007F4523"/>
    <w:rsid w:val="00800380"/>
    <w:rsid w:val="00803E18"/>
    <w:rsid w:val="00805EDB"/>
    <w:rsid w:val="00810A43"/>
    <w:rsid w:val="0081115A"/>
    <w:rsid w:val="0081167F"/>
    <w:rsid w:val="0081253F"/>
    <w:rsid w:val="00816A69"/>
    <w:rsid w:val="00817128"/>
    <w:rsid w:val="008211CC"/>
    <w:rsid w:val="00823F2D"/>
    <w:rsid w:val="0082594C"/>
    <w:rsid w:val="00825DAE"/>
    <w:rsid w:val="00827536"/>
    <w:rsid w:val="00827689"/>
    <w:rsid w:val="00830B61"/>
    <w:rsid w:val="008310FD"/>
    <w:rsid w:val="00833CD6"/>
    <w:rsid w:val="00840A41"/>
    <w:rsid w:val="00841AAC"/>
    <w:rsid w:val="00844075"/>
    <w:rsid w:val="00846DE7"/>
    <w:rsid w:val="00847B92"/>
    <w:rsid w:val="00850924"/>
    <w:rsid w:val="008512CA"/>
    <w:rsid w:val="00854D17"/>
    <w:rsid w:val="00864FC2"/>
    <w:rsid w:val="00870092"/>
    <w:rsid w:val="00870357"/>
    <w:rsid w:val="00870794"/>
    <w:rsid w:val="008707A0"/>
    <w:rsid w:val="00872EC9"/>
    <w:rsid w:val="00874FCC"/>
    <w:rsid w:val="008779B1"/>
    <w:rsid w:val="0088001F"/>
    <w:rsid w:val="008811D3"/>
    <w:rsid w:val="0088468C"/>
    <w:rsid w:val="00890809"/>
    <w:rsid w:val="00890ED0"/>
    <w:rsid w:val="008935C3"/>
    <w:rsid w:val="00895C8A"/>
    <w:rsid w:val="00895D27"/>
    <w:rsid w:val="008A2904"/>
    <w:rsid w:val="008A2E1B"/>
    <w:rsid w:val="008A33EF"/>
    <w:rsid w:val="008B6733"/>
    <w:rsid w:val="008B77D2"/>
    <w:rsid w:val="008C043F"/>
    <w:rsid w:val="008C0E4D"/>
    <w:rsid w:val="008C43B5"/>
    <w:rsid w:val="008D03B8"/>
    <w:rsid w:val="008D4820"/>
    <w:rsid w:val="008D4EA6"/>
    <w:rsid w:val="008E327E"/>
    <w:rsid w:val="008E6B03"/>
    <w:rsid w:val="008E7C36"/>
    <w:rsid w:val="008F0DA4"/>
    <w:rsid w:val="008F0DFD"/>
    <w:rsid w:val="008F68A4"/>
    <w:rsid w:val="008F6E80"/>
    <w:rsid w:val="008F707E"/>
    <w:rsid w:val="008F7594"/>
    <w:rsid w:val="008F7D8B"/>
    <w:rsid w:val="009019C9"/>
    <w:rsid w:val="00904522"/>
    <w:rsid w:val="009049A6"/>
    <w:rsid w:val="009058B9"/>
    <w:rsid w:val="00907D47"/>
    <w:rsid w:val="00910156"/>
    <w:rsid w:val="00914552"/>
    <w:rsid w:val="00915957"/>
    <w:rsid w:val="009176A1"/>
    <w:rsid w:val="00925C4E"/>
    <w:rsid w:val="0093414A"/>
    <w:rsid w:val="00936ECB"/>
    <w:rsid w:val="00937B40"/>
    <w:rsid w:val="009404EA"/>
    <w:rsid w:val="0094777D"/>
    <w:rsid w:val="0095183A"/>
    <w:rsid w:val="00953F54"/>
    <w:rsid w:val="009541E8"/>
    <w:rsid w:val="009548C2"/>
    <w:rsid w:val="009642B0"/>
    <w:rsid w:val="00964B80"/>
    <w:rsid w:val="00964F63"/>
    <w:rsid w:val="00965566"/>
    <w:rsid w:val="00966121"/>
    <w:rsid w:val="00967849"/>
    <w:rsid w:val="00971FAF"/>
    <w:rsid w:val="009728B6"/>
    <w:rsid w:val="00973A58"/>
    <w:rsid w:val="00973E8C"/>
    <w:rsid w:val="00974483"/>
    <w:rsid w:val="009757CB"/>
    <w:rsid w:val="00977D94"/>
    <w:rsid w:val="00977DE4"/>
    <w:rsid w:val="00982A8A"/>
    <w:rsid w:val="00983746"/>
    <w:rsid w:val="0098682B"/>
    <w:rsid w:val="00993363"/>
    <w:rsid w:val="009A3597"/>
    <w:rsid w:val="009A42DA"/>
    <w:rsid w:val="009A68C8"/>
    <w:rsid w:val="009A7EE9"/>
    <w:rsid w:val="009B4498"/>
    <w:rsid w:val="009B60DB"/>
    <w:rsid w:val="009B6C4C"/>
    <w:rsid w:val="009C2B3E"/>
    <w:rsid w:val="009C41DD"/>
    <w:rsid w:val="009C6847"/>
    <w:rsid w:val="009D2283"/>
    <w:rsid w:val="009E3500"/>
    <w:rsid w:val="009E76E6"/>
    <w:rsid w:val="009E7AFF"/>
    <w:rsid w:val="009F1CD1"/>
    <w:rsid w:val="009F27C7"/>
    <w:rsid w:val="009F36CD"/>
    <w:rsid w:val="009F45D0"/>
    <w:rsid w:val="009F4740"/>
    <w:rsid w:val="00A07F58"/>
    <w:rsid w:val="00A147D3"/>
    <w:rsid w:val="00A1518D"/>
    <w:rsid w:val="00A151DC"/>
    <w:rsid w:val="00A169F9"/>
    <w:rsid w:val="00A20508"/>
    <w:rsid w:val="00A21787"/>
    <w:rsid w:val="00A23D1D"/>
    <w:rsid w:val="00A2596F"/>
    <w:rsid w:val="00A26A62"/>
    <w:rsid w:val="00A32412"/>
    <w:rsid w:val="00A36DBF"/>
    <w:rsid w:val="00A370F8"/>
    <w:rsid w:val="00A4463C"/>
    <w:rsid w:val="00A44780"/>
    <w:rsid w:val="00A45712"/>
    <w:rsid w:val="00A51B71"/>
    <w:rsid w:val="00A5297F"/>
    <w:rsid w:val="00A5454C"/>
    <w:rsid w:val="00A576A2"/>
    <w:rsid w:val="00A61DE0"/>
    <w:rsid w:val="00A64CA2"/>
    <w:rsid w:val="00A729C6"/>
    <w:rsid w:val="00A8311F"/>
    <w:rsid w:val="00A864E6"/>
    <w:rsid w:val="00A934E6"/>
    <w:rsid w:val="00A94012"/>
    <w:rsid w:val="00AB2181"/>
    <w:rsid w:val="00AB24E7"/>
    <w:rsid w:val="00AB4B8D"/>
    <w:rsid w:val="00AB661A"/>
    <w:rsid w:val="00AC39B0"/>
    <w:rsid w:val="00AD3786"/>
    <w:rsid w:val="00AE00BF"/>
    <w:rsid w:val="00AE3BE2"/>
    <w:rsid w:val="00AF1170"/>
    <w:rsid w:val="00AF18F5"/>
    <w:rsid w:val="00AF1E2C"/>
    <w:rsid w:val="00AF214C"/>
    <w:rsid w:val="00AF3833"/>
    <w:rsid w:val="00B00E26"/>
    <w:rsid w:val="00B01DF6"/>
    <w:rsid w:val="00B03AA8"/>
    <w:rsid w:val="00B07945"/>
    <w:rsid w:val="00B1537A"/>
    <w:rsid w:val="00B15D50"/>
    <w:rsid w:val="00B1659F"/>
    <w:rsid w:val="00B166F2"/>
    <w:rsid w:val="00B22791"/>
    <w:rsid w:val="00B23767"/>
    <w:rsid w:val="00B30988"/>
    <w:rsid w:val="00B34235"/>
    <w:rsid w:val="00B36955"/>
    <w:rsid w:val="00B43D4D"/>
    <w:rsid w:val="00B50363"/>
    <w:rsid w:val="00B50AC2"/>
    <w:rsid w:val="00B511A5"/>
    <w:rsid w:val="00B52236"/>
    <w:rsid w:val="00B5303C"/>
    <w:rsid w:val="00B55C89"/>
    <w:rsid w:val="00B55ECA"/>
    <w:rsid w:val="00B56E55"/>
    <w:rsid w:val="00B60F72"/>
    <w:rsid w:val="00B63A62"/>
    <w:rsid w:val="00B63BF0"/>
    <w:rsid w:val="00B645FF"/>
    <w:rsid w:val="00B64D48"/>
    <w:rsid w:val="00B679C3"/>
    <w:rsid w:val="00B7112D"/>
    <w:rsid w:val="00B74B1D"/>
    <w:rsid w:val="00B81D11"/>
    <w:rsid w:val="00B84E68"/>
    <w:rsid w:val="00B87A37"/>
    <w:rsid w:val="00B922B4"/>
    <w:rsid w:val="00B923F8"/>
    <w:rsid w:val="00B95985"/>
    <w:rsid w:val="00B96B63"/>
    <w:rsid w:val="00BA0B2E"/>
    <w:rsid w:val="00BB2FFA"/>
    <w:rsid w:val="00BB3D71"/>
    <w:rsid w:val="00BC0F51"/>
    <w:rsid w:val="00BC2243"/>
    <w:rsid w:val="00BC30F0"/>
    <w:rsid w:val="00BC4E09"/>
    <w:rsid w:val="00BC5C1D"/>
    <w:rsid w:val="00BD2791"/>
    <w:rsid w:val="00BD2B1F"/>
    <w:rsid w:val="00BD3110"/>
    <w:rsid w:val="00BD3B60"/>
    <w:rsid w:val="00BD52CE"/>
    <w:rsid w:val="00BD6A88"/>
    <w:rsid w:val="00BD7EB8"/>
    <w:rsid w:val="00BE1051"/>
    <w:rsid w:val="00BE3680"/>
    <w:rsid w:val="00BF11D2"/>
    <w:rsid w:val="00BF222D"/>
    <w:rsid w:val="00BF3D99"/>
    <w:rsid w:val="00BF3DB3"/>
    <w:rsid w:val="00BF461E"/>
    <w:rsid w:val="00BF4AA7"/>
    <w:rsid w:val="00BF787A"/>
    <w:rsid w:val="00C03E65"/>
    <w:rsid w:val="00C04111"/>
    <w:rsid w:val="00C11185"/>
    <w:rsid w:val="00C1304F"/>
    <w:rsid w:val="00C138BA"/>
    <w:rsid w:val="00C16F08"/>
    <w:rsid w:val="00C23D19"/>
    <w:rsid w:val="00C25850"/>
    <w:rsid w:val="00C3339F"/>
    <w:rsid w:val="00C33407"/>
    <w:rsid w:val="00C336E7"/>
    <w:rsid w:val="00C34B30"/>
    <w:rsid w:val="00C34DC6"/>
    <w:rsid w:val="00C3572E"/>
    <w:rsid w:val="00C40B9A"/>
    <w:rsid w:val="00C449D1"/>
    <w:rsid w:val="00C44B19"/>
    <w:rsid w:val="00C45BE3"/>
    <w:rsid w:val="00C47A5D"/>
    <w:rsid w:val="00C53469"/>
    <w:rsid w:val="00C5468B"/>
    <w:rsid w:val="00C56284"/>
    <w:rsid w:val="00C678B4"/>
    <w:rsid w:val="00C728C8"/>
    <w:rsid w:val="00C743EF"/>
    <w:rsid w:val="00C74BA7"/>
    <w:rsid w:val="00C74E0F"/>
    <w:rsid w:val="00C758B2"/>
    <w:rsid w:val="00C75FF0"/>
    <w:rsid w:val="00C76940"/>
    <w:rsid w:val="00C81119"/>
    <w:rsid w:val="00C8568F"/>
    <w:rsid w:val="00C91C91"/>
    <w:rsid w:val="00C9274A"/>
    <w:rsid w:val="00C938FC"/>
    <w:rsid w:val="00C9645E"/>
    <w:rsid w:val="00C96AC5"/>
    <w:rsid w:val="00CA0F01"/>
    <w:rsid w:val="00CA152F"/>
    <w:rsid w:val="00CB225D"/>
    <w:rsid w:val="00CB59F3"/>
    <w:rsid w:val="00CB7EEA"/>
    <w:rsid w:val="00CC0772"/>
    <w:rsid w:val="00CC2CF2"/>
    <w:rsid w:val="00CC45D8"/>
    <w:rsid w:val="00CD041D"/>
    <w:rsid w:val="00CD064F"/>
    <w:rsid w:val="00CD0785"/>
    <w:rsid w:val="00CD2DFE"/>
    <w:rsid w:val="00CD48E7"/>
    <w:rsid w:val="00CE0139"/>
    <w:rsid w:val="00CE068B"/>
    <w:rsid w:val="00CE10C2"/>
    <w:rsid w:val="00CE4FF9"/>
    <w:rsid w:val="00CE611B"/>
    <w:rsid w:val="00CF0879"/>
    <w:rsid w:val="00CF0977"/>
    <w:rsid w:val="00CF15E1"/>
    <w:rsid w:val="00D02A20"/>
    <w:rsid w:val="00D1053A"/>
    <w:rsid w:val="00D15FEB"/>
    <w:rsid w:val="00D17083"/>
    <w:rsid w:val="00D26891"/>
    <w:rsid w:val="00D31549"/>
    <w:rsid w:val="00D33C6E"/>
    <w:rsid w:val="00D347E5"/>
    <w:rsid w:val="00D351E6"/>
    <w:rsid w:val="00D401CA"/>
    <w:rsid w:val="00D430EC"/>
    <w:rsid w:val="00D4699B"/>
    <w:rsid w:val="00D469EC"/>
    <w:rsid w:val="00D4771D"/>
    <w:rsid w:val="00D50369"/>
    <w:rsid w:val="00D531EE"/>
    <w:rsid w:val="00D537A1"/>
    <w:rsid w:val="00D539D2"/>
    <w:rsid w:val="00D543B7"/>
    <w:rsid w:val="00D57DF8"/>
    <w:rsid w:val="00D615BB"/>
    <w:rsid w:val="00D71610"/>
    <w:rsid w:val="00D71794"/>
    <w:rsid w:val="00D73D08"/>
    <w:rsid w:val="00D74967"/>
    <w:rsid w:val="00D83881"/>
    <w:rsid w:val="00D838F6"/>
    <w:rsid w:val="00D86665"/>
    <w:rsid w:val="00D86980"/>
    <w:rsid w:val="00D872F6"/>
    <w:rsid w:val="00D87670"/>
    <w:rsid w:val="00D87871"/>
    <w:rsid w:val="00DA5813"/>
    <w:rsid w:val="00DA76D2"/>
    <w:rsid w:val="00DC7834"/>
    <w:rsid w:val="00DD0B9A"/>
    <w:rsid w:val="00DD0D47"/>
    <w:rsid w:val="00DD1EF7"/>
    <w:rsid w:val="00DD30A2"/>
    <w:rsid w:val="00DD3E0A"/>
    <w:rsid w:val="00DD480B"/>
    <w:rsid w:val="00DD5D3F"/>
    <w:rsid w:val="00DD7EC4"/>
    <w:rsid w:val="00DE0A2F"/>
    <w:rsid w:val="00DE1B79"/>
    <w:rsid w:val="00DE3494"/>
    <w:rsid w:val="00DE4858"/>
    <w:rsid w:val="00DE6F59"/>
    <w:rsid w:val="00DF1657"/>
    <w:rsid w:val="00E051C7"/>
    <w:rsid w:val="00E05272"/>
    <w:rsid w:val="00E0651A"/>
    <w:rsid w:val="00E06F0E"/>
    <w:rsid w:val="00E10596"/>
    <w:rsid w:val="00E13890"/>
    <w:rsid w:val="00E174D8"/>
    <w:rsid w:val="00E22F74"/>
    <w:rsid w:val="00E32F51"/>
    <w:rsid w:val="00E3789E"/>
    <w:rsid w:val="00E40766"/>
    <w:rsid w:val="00E40897"/>
    <w:rsid w:val="00E452B7"/>
    <w:rsid w:val="00E46A46"/>
    <w:rsid w:val="00E47A33"/>
    <w:rsid w:val="00E50A57"/>
    <w:rsid w:val="00E64B51"/>
    <w:rsid w:val="00E660AA"/>
    <w:rsid w:val="00E67C1B"/>
    <w:rsid w:val="00E704D0"/>
    <w:rsid w:val="00E70C62"/>
    <w:rsid w:val="00E718DC"/>
    <w:rsid w:val="00E77F51"/>
    <w:rsid w:val="00E81EEF"/>
    <w:rsid w:val="00E85B8B"/>
    <w:rsid w:val="00E93222"/>
    <w:rsid w:val="00E95674"/>
    <w:rsid w:val="00E961B5"/>
    <w:rsid w:val="00E979C3"/>
    <w:rsid w:val="00EB1A5A"/>
    <w:rsid w:val="00EB2AAD"/>
    <w:rsid w:val="00EC557D"/>
    <w:rsid w:val="00ED1D07"/>
    <w:rsid w:val="00ED3309"/>
    <w:rsid w:val="00ED7FF3"/>
    <w:rsid w:val="00EE00A9"/>
    <w:rsid w:val="00EE4947"/>
    <w:rsid w:val="00EE63E8"/>
    <w:rsid w:val="00EE7603"/>
    <w:rsid w:val="00EE7BF6"/>
    <w:rsid w:val="00EF2F71"/>
    <w:rsid w:val="00EF6275"/>
    <w:rsid w:val="00EF78C7"/>
    <w:rsid w:val="00F008D6"/>
    <w:rsid w:val="00F00A83"/>
    <w:rsid w:val="00F00BE6"/>
    <w:rsid w:val="00F013D5"/>
    <w:rsid w:val="00F03F30"/>
    <w:rsid w:val="00F12F5D"/>
    <w:rsid w:val="00F14017"/>
    <w:rsid w:val="00F151FA"/>
    <w:rsid w:val="00F1791A"/>
    <w:rsid w:val="00F179C6"/>
    <w:rsid w:val="00F22D80"/>
    <w:rsid w:val="00F2387B"/>
    <w:rsid w:val="00F2479D"/>
    <w:rsid w:val="00F31D17"/>
    <w:rsid w:val="00F32B67"/>
    <w:rsid w:val="00F35CEB"/>
    <w:rsid w:val="00F406F9"/>
    <w:rsid w:val="00F42056"/>
    <w:rsid w:val="00F47696"/>
    <w:rsid w:val="00F508F4"/>
    <w:rsid w:val="00F50B4B"/>
    <w:rsid w:val="00F55163"/>
    <w:rsid w:val="00F563F7"/>
    <w:rsid w:val="00F564D7"/>
    <w:rsid w:val="00F56ECF"/>
    <w:rsid w:val="00F60639"/>
    <w:rsid w:val="00F6079E"/>
    <w:rsid w:val="00F60D03"/>
    <w:rsid w:val="00F63063"/>
    <w:rsid w:val="00F6365A"/>
    <w:rsid w:val="00F65126"/>
    <w:rsid w:val="00F6531D"/>
    <w:rsid w:val="00F749D9"/>
    <w:rsid w:val="00F778BB"/>
    <w:rsid w:val="00F80FFC"/>
    <w:rsid w:val="00F84061"/>
    <w:rsid w:val="00F86F21"/>
    <w:rsid w:val="00F8705B"/>
    <w:rsid w:val="00F87A77"/>
    <w:rsid w:val="00F91722"/>
    <w:rsid w:val="00F96C48"/>
    <w:rsid w:val="00FA3A7D"/>
    <w:rsid w:val="00FA3AF8"/>
    <w:rsid w:val="00FA561C"/>
    <w:rsid w:val="00FA66D5"/>
    <w:rsid w:val="00FB02D6"/>
    <w:rsid w:val="00FB0563"/>
    <w:rsid w:val="00FB0980"/>
    <w:rsid w:val="00FB53BE"/>
    <w:rsid w:val="00FB6F68"/>
    <w:rsid w:val="00FB711F"/>
    <w:rsid w:val="00FC123E"/>
    <w:rsid w:val="00FC476F"/>
    <w:rsid w:val="00FC6467"/>
    <w:rsid w:val="00FD281F"/>
    <w:rsid w:val="00FD39E8"/>
    <w:rsid w:val="00FD4813"/>
    <w:rsid w:val="00FD60DB"/>
    <w:rsid w:val="00FD6784"/>
    <w:rsid w:val="00FE6CBE"/>
    <w:rsid w:val="00FF54D3"/>
    <w:rsid w:val="00FF778C"/>
    <w:rsid w:val="1EEAEA20"/>
    <w:rsid w:val="60B1638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7CE9"/>
  <w15:docId w15:val="{79F36AF7-3181-4D2C-A7F9-722A7451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2"/>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13"/>
      </w:numPr>
    </w:pPr>
  </w:style>
  <w:style w:type="paragraph" w:customStyle="1" w:styleId="CEABullet-Level3">
    <w:name w:val="CEA Bullet - Level 3"/>
    <w:basedOn w:val="Normlny"/>
    <w:qFormat/>
    <w:rsid w:val="00825DAE"/>
    <w:pPr>
      <w:numPr>
        <w:numId w:val="14"/>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table" w:styleId="Mriekatabuky">
    <w:name w:val="Table Grid"/>
    <w:basedOn w:val="Normlnatabuka"/>
    <w:uiPriority w:val="59"/>
    <w:rsid w:val="0012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748EE"/>
    <w:rPr>
      <w:color w:val="0000FF" w:themeColor="hyperlink"/>
      <w:u w:val="single"/>
    </w:rPr>
  </w:style>
  <w:style w:type="character" w:styleId="Nevyrieenzmienka">
    <w:name w:val="Unresolved Mention"/>
    <w:basedOn w:val="Predvolenpsmoodseku"/>
    <w:uiPriority w:val="99"/>
    <w:semiHidden/>
    <w:unhideWhenUsed/>
    <w:rsid w:val="007748EE"/>
    <w:rPr>
      <w:color w:val="605E5C"/>
      <w:shd w:val="clear" w:color="auto" w:fill="E1DFDD"/>
    </w:rPr>
  </w:style>
  <w:style w:type="character" w:styleId="PouitHypertextovPrepojenie">
    <w:name w:val="FollowedHyperlink"/>
    <w:basedOn w:val="Predvolenpsmoodseku"/>
    <w:uiPriority w:val="99"/>
    <w:semiHidden/>
    <w:unhideWhenUsed/>
    <w:rsid w:val="00371AF6"/>
    <w:rPr>
      <w:color w:val="800080" w:themeColor="followedHyperlink"/>
      <w:u w:val="single"/>
    </w:rPr>
  </w:style>
  <w:style w:type="paragraph" w:styleId="Odsekzoznamu">
    <w:name w:val="List Paragraph"/>
    <w:basedOn w:val="Normlny"/>
    <w:uiPriority w:val="34"/>
    <w:qFormat/>
    <w:pPr>
      <w:ind w:left="720"/>
      <w:contextualSpacing/>
    </w:pPr>
  </w:style>
  <w:style w:type="character" w:styleId="Odkaznakomentr">
    <w:name w:val="annotation reference"/>
    <w:basedOn w:val="Predvolenpsmoodseku"/>
    <w:uiPriority w:val="99"/>
    <w:semiHidden/>
    <w:unhideWhenUsed/>
    <w:rsid w:val="009058B9"/>
    <w:rPr>
      <w:sz w:val="16"/>
      <w:szCs w:val="16"/>
    </w:rPr>
  </w:style>
  <w:style w:type="paragraph" w:styleId="Textkomentra">
    <w:name w:val="annotation text"/>
    <w:basedOn w:val="Normlny"/>
    <w:link w:val="TextkomentraChar"/>
    <w:uiPriority w:val="99"/>
    <w:unhideWhenUsed/>
    <w:rsid w:val="009058B9"/>
    <w:pPr>
      <w:spacing w:line="240" w:lineRule="auto"/>
    </w:pPr>
    <w:rPr>
      <w:sz w:val="20"/>
      <w:szCs w:val="20"/>
    </w:rPr>
  </w:style>
  <w:style w:type="character" w:customStyle="1" w:styleId="TextkomentraChar">
    <w:name w:val="Text komentára Char"/>
    <w:basedOn w:val="Predvolenpsmoodseku"/>
    <w:link w:val="Textkomentra"/>
    <w:uiPriority w:val="99"/>
    <w:rsid w:val="009058B9"/>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9058B9"/>
    <w:rPr>
      <w:b/>
      <w:bCs/>
    </w:rPr>
  </w:style>
  <w:style w:type="character" w:customStyle="1" w:styleId="PredmetkomentraChar">
    <w:name w:val="Predmet komentára Char"/>
    <w:basedOn w:val="TextkomentraChar"/>
    <w:link w:val="Predmetkomentra"/>
    <w:uiPriority w:val="99"/>
    <w:semiHidden/>
    <w:rsid w:val="009058B9"/>
    <w:rPr>
      <w:rFonts w:ascii="Verdana" w:eastAsia="Times New Roman" w:hAnsi="Verdana" w:cs="Times New Roman"/>
      <w:b/>
      <w:bCs/>
      <w:sz w:val="20"/>
      <w:szCs w:val="20"/>
      <w:lang w:val="en-GB"/>
    </w:rPr>
  </w:style>
  <w:style w:type="character" w:styleId="Zmienka">
    <w:name w:val="Mention"/>
    <w:basedOn w:val="Predvolenpsmoodseku"/>
    <w:uiPriority w:val="99"/>
    <w:unhideWhenUsed/>
    <w:rsid w:val="002313E3"/>
    <w:rPr>
      <w:color w:val="2B579A"/>
      <w:shd w:val="clear" w:color="auto" w:fill="E1DFDD"/>
    </w:rPr>
  </w:style>
  <w:style w:type="paragraph" w:styleId="Revzia">
    <w:name w:val="Revision"/>
    <w:hidden/>
    <w:uiPriority w:val="99"/>
    <w:semiHidden/>
    <w:rsid w:val="004A405A"/>
    <w:pPr>
      <w:spacing w:after="0" w:line="240" w:lineRule="auto"/>
    </w:pPr>
    <w:rPr>
      <w:rFonts w:ascii="Verdana" w:eastAsia="Times New Roman" w:hAnsi="Verdana"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74995">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www.esma.europa.eu/sites/default/files/2023-12/JC_2023_55_-_Final_Report_SFDR_Delegated_Regulation_amending_RTS.pdf"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103175A-9402-4B30-B3A5-FCC1C0934D84}"/>
      </w:docPartPr>
      <w:docPartBody>
        <w:p w:rsidR="00427EDA" w:rsidRDefault="009C6847">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70"/>
    <w:rsid w:val="00067782"/>
    <w:rsid w:val="000D65E4"/>
    <w:rsid w:val="000F1CB6"/>
    <w:rsid w:val="001D0023"/>
    <w:rsid w:val="002753B8"/>
    <w:rsid w:val="002A249A"/>
    <w:rsid w:val="002C722D"/>
    <w:rsid w:val="00426FB5"/>
    <w:rsid w:val="00427EDA"/>
    <w:rsid w:val="004640BC"/>
    <w:rsid w:val="004D491E"/>
    <w:rsid w:val="0057158E"/>
    <w:rsid w:val="00616D07"/>
    <w:rsid w:val="00634188"/>
    <w:rsid w:val="006C4854"/>
    <w:rsid w:val="006E1795"/>
    <w:rsid w:val="006E26CE"/>
    <w:rsid w:val="007265B6"/>
    <w:rsid w:val="00866111"/>
    <w:rsid w:val="008A4CAB"/>
    <w:rsid w:val="00977452"/>
    <w:rsid w:val="009C63AD"/>
    <w:rsid w:val="009C6847"/>
    <w:rsid w:val="00A307CB"/>
    <w:rsid w:val="00A7517A"/>
    <w:rsid w:val="00AF50EC"/>
    <w:rsid w:val="00B07D87"/>
    <w:rsid w:val="00B11976"/>
    <w:rsid w:val="00BD6A93"/>
    <w:rsid w:val="00C144A1"/>
    <w:rsid w:val="00D12E68"/>
    <w:rsid w:val="00DE4567"/>
    <w:rsid w:val="00E00DD6"/>
    <w:rsid w:val="00E12B64"/>
    <w:rsid w:val="00E17FA1"/>
    <w:rsid w:val="00E31610"/>
    <w:rsid w:val="00E401F3"/>
    <w:rsid w:val="00E63D42"/>
    <w:rsid w:val="00E744D6"/>
    <w:rsid w:val="00EA47E7"/>
    <w:rsid w:val="00F05A0B"/>
    <w:rsid w:val="00F20F79"/>
    <w:rsid w:val="00F36970"/>
    <w:rsid w:val="00F633AE"/>
    <w:rsid w:val="00F6790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C68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CA08016993649B987301C6C20DE93" ma:contentTypeVersion="9" ma:contentTypeDescription="Create a new document." ma:contentTypeScope="" ma:versionID="9df650a23b796ee3225d8d0f06e14915">
  <xsd:schema xmlns:xsd="http://www.w3.org/2001/XMLSchema" xmlns:xs="http://www.w3.org/2001/XMLSchema" xmlns:p="http://schemas.microsoft.com/office/2006/metadata/properties" xmlns:ns2="ddee4349-d6c5-476b-a1c6-d791a1a12d6c" targetNamespace="http://schemas.microsoft.com/office/2006/metadata/properties" ma:root="true" ma:fieldsID="191b4cb0518fe7937a4b07a992340f03" ns2:_="">
    <xsd:import namespace="ddee4349-d6c5-476b-a1c6-d791a1a12d6c"/>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349-d6c5-476b-a1c6-d791a1a12d6c"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adline xmlns="ddee4349-d6c5-476b-a1c6-d791a1a12d6c" xsi:nil="true"/>
    <Feedback_x0020_type xmlns="ddee4349-d6c5-476b-a1c6-d791a1a12d6c" xsi:nil="true"/>
    <Allow_x0020_uploads xmlns="ddee4349-d6c5-476b-a1c6-d791a1a12d6c" xsi:nil="true"/>
    <Allow_x0020_comments xmlns="ddee4349-d6c5-476b-a1c6-d791a1a12d6c" xsi:nil="true"/>
    <Leading_x0020_document xmlns="ddee4349-d6c5-476b-a1c6-d791a1a12d6c" xsi:nil="true"/>
  </documentManagement>
</p:properties>
</file>

<file path=customXml/itemProps1.xml><?xml version="1.0" encoding="utf-8"?>
<ds:datastoreItem xmlns:ds="http://schemas.openxmlformats.org/officeDocument/2006/customXml" ds:itemID="{5BF0DC3C-DEE0-460C-B589-0465E6B44180}">
  <ds:schemaRefs>
    <ds:schemaRef ds:uri="http://schemas.openxmlformats.org/officeDocument/2006/bibliography"/>
  </ds:schemaRefs>
</ds:datastoreItem>
</file>

<file path=customXml/itemProps2.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3.xml><?xml version="1.0" encoding="utf-8"?>
<ds:datastoreItem xmlns:ds="http://schemas.openxmlformats.org/officeDocument/2006/customXml" ds:itemID="{2CA0A6EA-4087-4FFD-8735-85F873899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349-d6c5-476b-a1c6-d791a1a12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485A1-11AA-442D-8577-727460E39C5A}">
  <ds:schemaRefs>
    <ds:schemaRef ds:uri="http://www.w3.org/XML/1998/namespace"/>
    <ds:schemaRef ds:uri="http://schemas.microsoft.com/office/2006/metadata/properties"/>
    <ds:schemaRef ds:uri="http://schemas.microsoft.com/office/2006/documentManagement/types"/>
    <ds:schemaRef ds:uri="ddee4349-d6c5-476b-a1c6-d791a1a12d6c"/>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2653</Words>
  <Characters>15128</Characters>
  <Application>Microsoft Office Word</Application>
  <DocSecurity>4</DocSecurity>
  <Lines>126</Lines>
  <Paragraphs>35</Paragraphs>
  <ScaleCrop>false</ScaleCrop>
  <Company>Insurance Europe</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SFDR Level II review – Insurance Europe position on ESAs final report on Regulatory Technical Standards (RTS)</dc:title>
  <dc:subject/>
  <dc:creator>Insurance Europe</dc:creator>
  <cp:keywords/>
  <cp:lastModifiedBy>jozef.bachnicek</cp:lastModifiedBy>
  <cp:revision>2</cp:revision>
  <dcterms:created xsi:type="dcterms:W3CDTF">2024-02-08T10:02:00Z</dcterms:created>
  <dcterms:modified xsi:type="dcterms:W3CDTF">2024-02-08T10:02:00Z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0x010100F10CA08016993649B987301C6C20DE93</vt:lpwstr>
  </property>
  <property fmtid="{D5CDD505-2E9C-101B-9397-08002B2CF9AE}" pid="3" name="_dlc_DocIdItemGuid">
    <vt:lpwstr>53f2ccfc-cb5c-4b2a-a083-e4a7e98f292e</vt:lpwstr>
  </property>
  <property fmtid="{D5CDD505-2E9C-101B-9397-08002B2CF9AE}" pid="4" name="MediaServiceImageTags">
    <vt:lpwstr/>
  </property>
</Properties>
</file>