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A667" w14:textId="63610236" w:rsidR="004310F5" w:rsidRPr="003C5315" w:rsidRDefault="00742739" w:rsidP="00DA40BA">
      <w:pPr>
        <w:spacing w:line="240" w:lineRule="auto"/>
        <w:rPr>
          <w:sz w:val="17"/>
          <w:szCs w:val="17"/>
        </w:rPr>
      </w:pPr>
      <w:r w:rsidRPr="003C5315">
        <w:rPr>
          <w:sz w:val="17"/>
          <w:szCs w:val="17"/>
        </w:rPr>
        <w:t>EFRAG has published a Draft Comment Letter on the IASB Proposed Amendments to IFRS S2 Greenhouse Gas Emissions Disclosures</w:t>
      </w:r>
      <w:r w:rsidR="004310F5" w:rsidRPr="003C5315">
        <w:rPr>
          <w:sz w:val="17"/>
          <w:szCs w:val="17"/>
        </w:rPr>
        <w:t xml:space="preserve">: </w:t>
      </w:r>
      <w:hyperlink r:id="rId11" w:history="1">
        <w:r w:rsidR="004310F5" w:rsidRPr="003C5315">
          <w:rPr>
            <w:rStyle w:val="Hyperlink"/>
            <w:sz w:val="17"/>
            <w:szCs w:val="17"/>
          </w:rPr>
          <w:t>here</w:t>
        </w:r>
      </w:hyperlink>
      <w:r w:rsidRPr="003C5315">
        <w:rPr>
          <w:sz w:val="17"/>
          <w:szCs w:val="17"/>
        </w:rPr>
        <w:t>.</w:t>
      </w:r>
      <w:r w:rsidR="004310F5" w:rsidRPr="003C5315">
        <w:rPr>
          <w:sz w:val="17"/>
          <w:szCs w:val="17"/>
        </w:rPr>
        <w:t xml:space="preserve"> </w:t>
      </w:r>
    </w:p>
    <w:p w14:paraId="1940C030" w14:textId="77777777" w:rsidR="004310F5" w:rsidRPr="003C5315" w:rsidRDefault="004310F5" w:rsidP="00DA40BA">
      <w:pPr>
        <w:spacing w:line="240" w:lineRule="auto"/>
        <w:rPr>
          <w:sz w:val="17"/>
          <w:szCs w:val="17"/>
        </w:rPr>
      </w:pPr>
    </w:p>
    <w:p w14:paraId="6D47CDEB" w14:textId="7A7E0C7F" w:rsidR="00ED236E" w:rsidRPr="003C5315" w:rsidRDefault="004310F5" w:rsidP="00DA40BA">
      <w:pPr>
        <w:spacing w:line="240" w:lineRule="auto"/>
        <w:rPr>
          <w:sz w:val="17"/>
          <w:szCs w:val="17"/>
        </w:rPr>
      </w:pPr>
      <w:r w:rsidRPr="003C5315">
        <w:rPr>
          <w:sz w:val="17"/>
          <w:szCs w:val="17"/>
        </w:rPr>
        <w:t xml:space="preserve">Please find below the Secretariat’s </w:t>
      </w:r>
      <w:r w:rsidR="00612748">
        <w:rPr>
          <w:sz w:val="17"/>
          <w:szCs w:val="17"/>
        </w:rPr>
        <w:t>final contribution to EFRAG’s consultation</w:t>
      </w:r>
      <w:r w:rsidR="0077705D">
        <w:rPr>
          <w:sz w:val="17"/>
          <w:szCs w:val="17"/>
        </w:rPr>
        <w:t>, which will be submitted on 20 June.</w:t>
      </w:r>
    </w:p>
    <w:p w14:paraId="3A00A6C9" w14:textId="77777777" w:rsidR="00DA40BA" w:rsidRPr="003C5315" w:rsidRDefault="00DA40BA" w:rsidP="00DA40BA">
      <w:pPr>
        <w:spacing w:line="240" w:lineRule="auto"/>
        <w:rPr>
          <w:b/>
          <w:bCs/>
          <w:sz w:val="17"/>
          <w:szCs w:val="17"/>
          <w:u w:val="single"/>
        </w:rPr>
      </w:pPr>
    </w:p>
    <w:p w14:paraId="5438D7D5" w14:textId="5E24FE56" w:rsidR="00BC7B61" w:rsidRPr="003C5315" w:rsidRDefault="00BC7B61" w:rsidP="00DA40BA">
      <w:pPr>
        <w:spacing w:line="240" w:lineRule="auto"/>
        <w:rPr>
          <w:b/>
          <w:bCs/>
          <w:sz w:val="17"/>
          <w:szCs w:val="17"/>
          <w:u w:val="single"/>
        </w:rPr>
      </w:pPr>
      <w:r w:rsidRPr="003C5315">
        <w:rPr>
          <w:b/>
          <w:bCs/>
          <w:sz w:val="17"/>
          <w:szCs w:val="17"/>
          <w:u w:val="single"/>
        </w:rPr>
        <w:t>Question 1 – Measurement and disclosure of Scope 3</w:t>
      </w:r>
      <w:r w:rsidR="005E1114" w:rsidRPr="003C5315">
        <w:rPr>
          <w:b/>
          <w:bCs/>
          <w:sz w:val="17"/>
          <w:szCs w:val="17"/>
          <w:u w:val="single"/>
        </w:rPr>
        <w:t xml:space="preserve"> Category 15 greenhouse gas emissions</w:t>
      </w:r>
    </w:p>
    <w:p w14:paraId="3F1F59BE" w14:textId="77777777" w:rsidR="005E1114" w:rsidRPr="003C5315" w:rsidRDefault="005E1114" w:rsidP="00DA40BA">
      <w:pPr>
        <w:spacing w:line="240" w:lineRule="auto"/>
        <w:rPr>
          <w:sz w:val="17"/>
          <w:szCs w:val="17"/>
        </w:rPr>
      </w:pPr>
    </w:p>
    <w:p w14:paraId="38C7D101" w14:textId="0C4F2B32" w:rsidR="0016089A" w:rsidRPr="003C5315" w:rsidRDefault="00796536" w:rsidP="00DA40BA">
      <w:pPr>
        <w:spacing w:line="240" w:lineRule="auto"/>
        <w:rPr>
          <w:sz w:val="17"/>
          <w:szCs w:val="17"/>
        </w:rPr>
      </w:pPr>
      <w:r w:rsidRPr="003C5315">
        <w:rPr>
          <w:sz w:val="17"/>
          <w:szCs w:val="17"/>
        </w:rPr>
        <w:t>Do you agree with EFRAG’s position on emissions associated with derivatives?</w:t>
      </w:r>
    </w:p>
    <w:p w14:paraId="640C1659" w14:textId="257A6B99" w:rsidR="00796536" w:rsidRPr="003C5315" w:rsidRDefault="00796536" w:rsidP="00925ADA">
      <w:pPr>
        <w:pStyle w:val="ListParagraph"/>
        <w:numPr>
          <w:ilvl w:val="0"/>
          <w:numId w:val="7"/>
        </w:numPr>
        <w:spacing w:line="240" w:lineRule="auto"/>
        <w:jc w:val="left"/>
        <w:rPr>
          <w:sz w:val="17"/>
          <w:szCs w:val="17"/>
          <w:highlight w:val="yellow"/>
        </w:rPr>
      </w:pPr>
      <w:r w:rsidRPr="003C5315">
        <w:rPr>
          <w:sz w:val="17"/>
          <w:szCs w:val="17"/>
          <w:highlight w:val="yellow"/>
        </w:rPr>
        <w:t>Yes</w:t>
      </w:r>
    </w:p>
    <w:p w14:paraId="2697F66C" w14:textId="647E9975" w:rsidR="00796536" w:rsidRPr="003C5315" w:rsidRDefault="00796536" w:rsidP="00925ADA">
      <w:pPr>
        <w:pStyle w:val="ListParagraph"/>
        <w:numPr>
          <w:ilvl w:val="0"/>
          <w:numId w:val="7"/>
        </w:numPr>
        <w:spacing w:line="240" w:lineRule="auto"/>
        <w:jc w:val="left"/>
        <w:rPr>
          <w:sz w:val="17"/>
          <w:szCs w:val="17"/>
        </w:rPr>
      </w:pPr>
      <w:r w:rsidRPr="003C5315">
        <w:rPr>
          <w:sz w:val="17"/>
          <w:szCs w:val="17"/>
        </w:rPr>
        <w:t>No</w:t>
      </w:r>
    </w:p>
    <w:p w14:paraId="2A4AC5DE" w14:textId="16B64308" w:rsidR="00796536" w:rsidRPr="003C5315" w:rsidRDefault="00796536" w:rsidP="00925ADA">
      <w:pPr>
        <w:pStyle w:val="ListParagraph"/>
        <w:numPr>
          <w:ilvl w:val="0"/>
          <w:numId w:val="7"/>
        </w:numPr>
        <w:spacing w:line="240" w:lineRule="auto"/>
        <w:jc w:val="left"/>
        <w:rPr>
          <w:sz w:val="17"/>
          <w:szCs w:val="17"/>
        </w:rPr>
      </w:pPr>
      <w:r w:rsidRPr="003C5315">
        <w:rPr>
          <w:sz w:val="17"/>
          <w:szCs w:val="17"/>
        </w:rPr>
        <w:t>Abstai</w:t>
      </w:r>
      <w:r w:rsidR="00925ADA" w:rsidRPr="003C5315">
        <w:rPr>
          <w:sz w:val="17"/>
          <w:szCs w:val="17"/>
        </w:rPr>
        <w:t>n</w:t>
      </w:r>
    </w:p>
    <w:p w14:paraId="17F2053E" w14:textId="77777777" w:rsidR="00925ADA" w:rsidRPr="003C5315" w:rsidRDefault="00925ADA" w:rsidP="00925ADA">
      <w:pPr>
        <w:spacing w:line="240" w:lineRule="auto"/>
        <w:jc w:val="left"/>
        <w:rPr>
          <w:sz w:val="17"/>
          <w:szCs w:val="17"/>
        </w:rPr>
      </w:pPr>
    </w:p>
    <w:p w14:paraId="6793D08A" w14:textId="7ADCCFFE" w:rsidR="008E38C2" w:rsidRPr="003C5315" w:rsidRDefault="00925ADA" w:rsidP="0016089A">
      <w:pPr>
        <w:spacing w:line="240" w:lineRule="auto"/>
        <w:jc w:val="left"/>
        <w:rPr>
          <w:sz w:val="17"/>
          <w:szCs w:val="17"/>
        </w:rPr>
      </w:pPr>
      <w:r w:rsidRPr="003C5315">
        <w:rPr>
          <w:sz w:val="17"/>
          <w:szCs w:val="17"/>
        </w:rPr>
        <w:t>Please Explain:</w:t>
      </w:r>
    </w:p>
    <w:tbl>
      <w:tblPr>
        <w:tblStyle w:val="TableGrid"/>
        <w:tblW w:w="0" w:type="auto"/>
        <w:tblLook w:val="04A0" w:firstRow="1" w:lastRow="0" w:firstColumn="1" w:lastColumn="0" w:noHBand="0" w:noVBand="1"/>
      </w:tblPr>
      <w:tblGrid>
        <w:gridCol w:w="9572"/>
      </w:tblGrid>
      <w:tr w:rsidR="005608E5" w:rsidRPr="003C5315" w14:paraId="312A6791" w14:textId="77777777" w:rsidTr="665E0AB1">
        <w:tc>
          <w:tcPr>
            <w:tcW w:w="9572" w:type="dxa"/>
          </w:tcPr>
          <w:p w14:paraId="13294435" w14:textId="1A921703" w:rsidR="00F05196" w:rsidRPr="003C5315" w:rsidRDefault="541D0ED6" w:rsidP="00FE19AB">
            <w:pPr>
              <w:spacing w:after="200" w:line="276" w:lineRule="auto"/>
              <w:rPr>
                <w:sz w:val="17"/>
                <w:szCs w:val="17"/>
              </w:rPr>
            </w:pPr>
            <w:r w:rsidRPr="003C5315">
              <w:rPr>
                <w:sz w:val="17"/>
                <w:szCs w:val="17"/>
              </w:rPr>
              <w:t>There is currently no widely adopted methodology for calculating financed emissions attributable to derivative contracts, making it inappropriate to mandate their disclosure within IFRS S2. Derivatives are typically used by insurers and financial institutions for hedging, liability matching, or risk management purposes, rather than direct investment in emission-generating activities. Attempting to attribute emissions to these instruments could lead to un-economic outcomes and would not provide decision-useful information for users of sustainability reports. This position aligns with current practice and reflects the practical and conceptual challenges of linking derivatives to underlying emissions.</w:t>
            </w:r>
          </w:p>
        </w:tc>
      </w:tr>
    </w:tbl>
    <w:p w14:paraId="5EAFBFD6" w14:textId="03B0E3F0" w:rsidR="005608E5" w:rsidRPr="003C5315" w:rsidRDefault="005608E5" w:rsidP="005608E5">
      <w:pPr>
        <w:spacing w:after="200" w:line="276" w:lineRule="auto"/>
        <w:jc w:val="left"/>
        <w:rPr>
          <w:sz w:val="17"/>
          <w:szCs w:val="17"/>
        </w:rPr>
      </w:pPr>
    </w:p>
    <w:p w14:paraId="6CFDC117" w14:textId="259A48CA" w:rsidR="00583C9D" w:rsidRPr="003C5315" w:rsidRDefault="00583C9D" w:rsidP="005608E5">
      <w:pPr>
        <w:spacing w:after="200" w:line="276" w:lineRule="auto"/>
        <w:jc w:val="left"/>
        <w:rPr>
          <w:sz w:val="17"/>
          <w:szCs w:val="17"/>
        </w:rPr>
      </w:pPr>
      <w:r w:rsidRPr="003C5315">
        <w:rPr>
          <w:sz w:val="17"/>
          <w:szCs w:val="17"/>
        </w:rPr>
        <w:t>Do you agree with EFRAG’s position on facilitated emissions?</w:t>
      </w:r>
    </w:p>
    <w:p w14:paraId="176DAD5C" w14:textId="77777777" w:rsidR="00583C9D" w:rsidRPr="003C5315" w:rsidRDefault="00583C9D" w:rsidP="00583C9D">
      <w:pPr>
        <w:pStyle w:val="ListParagraph"/>
        <w:numPr>
          <w:ilvl w:val="0"/>
          <w:numId w:val="7"/>
        </w:numPr>
        <w:spacing w:line="240" w:lineRule="auto"/>
        <w:jc w:val="left"/>
        <w:rPr>
          <w:sz w:val="17"/>
          <w:szCs w:val="17"/>
        </w:rPr>
      </w:pPr>
      <w:r w:rsidRPr="003C5315">
        <w:rPr>
          <w:sz w:val="17"/>
          <w:szCs w:val="17"/>
        </w:rPr>
        <w:t>Yes</w:t>
      </w:r>
    </w:p>
    <w:p w14:paraId="65A072F8" w14:textId="77777777" w:rsidR="00583C9D" w:rsidRPr="003C5315" w:rsidRDefault="00583C9D" w:rsidP="00583C9D">
      <w:pPr>
        <w:pStyle w:val="ListParagraph"/>
        <w:numPr>
          <w:ilvl w:val="0"/>
          <w:numId w:val="7"/>
        </w:numPr>
        <w:spacing w:line="240" w:lineRule="auto"/>
        <w:jc w:val="left"/>
        <w:rPr>
          <w:sz w:val="17"/>
          <w:szCs w:val="17"/>
        </w:rPr>
      </w:pPr>
      <w:r w:rsidRPr="003C5315">
        <w:rPr>
          <w:sz w:val="17"/>
          <w:szCs w:val="17"/>
        </w:rPr>
        <w:t>No</w:t>
      </w:r>
    </w:p>
    <w:p w14:paraId="5767780C" w14:textId="77777777" w:rsidR="00583C9D" w:rsidRPr="003C5315" w:rsidRDefault="00583C9D" w:rsidP="00583C9D">
      <w:pPr>
        <w:pStyle w:val="ListParagraph"/>
        <w:numPr>
          <w:ilvl w:val="0"/>
          <w:numId w:val="7"/>
        </w:numPr>
        <w:spacing w:line="240" w:lineRule="auto"/>
        <w:jc w:val="left"/>
        <w:rPr>
          <w:sz w:val="17"/>
          <w:szCs w:val="17"/>
          <w:highlight w:val="yellow"/>
        </w:rPr>
      </w:pPr>
      <w:r w:rsidRPr="003C5315">
        <w:rPr>
          <w:sz w:val="17"/>
          <w:szCs w:val="17"/>
          <w:highlight w:val="yellow"/>
        </w:rPr>
        <w:t>Abstain</w:t>
      </w:r>
    </w:p>
    <w:p w14:paraId="37754A0A" w14:textId="77777777" w:rsidR="00583C9D" w:rsidRPr="003C5315" w:rsidRDefault="00583C9D" w:rsidP="00583C9D">
      <w:pPr>
        <w:spacing w:line="240" w:lineRule="auto"/>
        <w:jc w:val="left"/>
        <w:rPr>
          <w:sz w:val="17"/>
          <w:szCs w:val="17"/>
        </w:rPr>
      </w:pPr>
    </w:p>
    <w:p w14:paraId="3A9EF064" w14:textId="054BF82F" w:rsidR="00583C9D" w:rsidRPr="003C5315" w:rsidRDefault="00583C9D" w:rsidP="00583C9D">
      <w:pPr>
        <w:spacing w:line="240" w:lineRule="auto"/>
        <w:jc w:val="left"/>
        <w:rPr>
          <w:sz w:val="17"/>
          <w:szCs w:val="17"/>
        </w:rPr>
      </w:pPr>
      <w:r w:rsidRPr="003C5315">
        <w:rPr>
          <w:sz w:val="17"/>
          <w:szCs w:val="17"/>
        </w:rPr>
        <w:t>Please Explain:</w:t>
      </w:r>
    </w:p>
    <w:tbl>
      <w:tblPr>
        <w:tblStyle w:val="TableGrid"/>
        <w:tblW w:w="0" w:type="auto"/>
        <w:tblLook w:val="04A0" w:firstRow="1" w:lastRow="0" w:firstColumn="1" w:lastColumn="0" w:noHBand="0" w:noVBand="1"/>
      </w:tblPr>
      <w:tblGrid>
        <w:gridCol w:w="9572"/>
      </w:tblGrid>
      <w:tr w:rsidR="005608E5" w:rsidRPr="003C5315" w14:paraId="3437F5F0" w14:textId="77777777" w:rsidTr="005608E5">
        <w:tc>
          <w:tcPr>
            <w:tcW w:w="9572" w:type="dxa"/>
          </w:tcPr>
          <w:p w14:paraId="2E6001F6" w14:textId="77777777" w:rsidR="005608E5" w:rsidRPr="003C5315" w:rsidRDefault="005608E5" w:rsidP="008A53A9">
            <w:pPr>
              <w:spacing w:line="240" w:lineRule="auto"/>
              <w:jc w:val="left"/>
              <w:rPr>
                <w:sz w:val="17"/>
                <w:szCs w:val="17"/>
              </w:rPr>
            </w:pPr>
          </w:p>
        </w:tc>
      </w:tr>
    </w:tbl>
    <w:p w14:paraId="2639F128" w14:textId="77777777" w:rsidR="00583C9D" w:rsidRPr="003C5315" w:rsidRDefault="00583C9D" w:rsidP="00583C9D">
      <w:pPr>
        <w:spacing w:line="240" w:lineRule="auto"/>
        <w:jc w:val="left"/>
        <w:rPr>
          <w:sz w:val="17"/>
          <w:szCs w:val="17"/>
        </w:rPr>
      </w:pPr>
    </w:p>
    <w:p w14:paraId="51D9F3F3" w14:textId="77777777" w:rsidR="00583C9D" w:rsidRPr="003C5315" w:rsidRDefault="00583C9D" w:rsidP="00583C9D">
      <w:pPr>
        <w:spacing w:line="240" w:lineRule="auto"/>
        <w:jc w:val="left"/>
        <w:rPr>
          <w:sz w:val="17"/>
          <w:szCs w:val="17"/>
        </w:rPr>
      </w:pPr>
    </w:p>
    <w:p w14:paraId="647F5EF6" w14:textId="04F2B88B" w:rsidR="006E6FA2" w:rsidRPr="003C5315" w:rsidRDefault="006E6FA2" w:rsidP="00583C9D">
      <w:pPr>
        <w:spacing w:line="240" w:lineRule="auto"/>
        <w:jc w:val="left"/>
        <w:rPr>
          <w:sz w:val="17"/>
          <w:szCs w:val="17"/>
        </w:rPr>
      </w:pPr>
      <w:r w:rsidRPr="003C5315">
        <w:rPr>
          <w:sz w:val="17"/>
          <w:szCs w:val="17"/>
        </w:rPr>
        <w:t>Do you agree with EFRAG’s</w:t>
      </w:r>
      <w:r w:rsidR="00011146" w:rsidRPr="003C5315">
        <w:rPr>
          <w:sz w:val="17"/>
          <w:szCs w:val="17"/>
        </w:rPr>
        <w:t xml:space="preserve"> position on insurance-associated emissions?</w:t>
      </w:r>
    </w:p>
    <w:p w14:paraId="4222B450" w14:textId="77777777" w:rsidR="00011146" w:rsidRPr="003C5315" w:rsidRDefault="00011146" w:rsidP="00011146">
      <w:pPr>
        <w:pStyle w:val="ListParagraph"/>
        <w:numPr>
          <w:ilvl w:val="0"/>
          <w:numId w:val="7"/>
        </w:numPr>
        <w:spacing w:line="240" w:lineRule="auto"/>
        <w:jc w:val="left"/>
        <w:rPr>
          <w:sz w:val="17"/>
          <w:szCs w:val="17"/>
        </w:rPr>
      </w:pPr>
      <w:r w:rsidRPr="003C5315">
        <w:rPr>
          <w:sz w:val="17"/>
          <w:szCs w:val="17"/>
        </w:rPr>
        <w:t>Yes</w:t>
      </w:r>
    </w:p>
    <w:p w14:paraId="486C2FE3" w14:textId="77777777" w:rsidR="00011146" w:rsidRPr="003C5315" w:rsidRDefault="00011146" w:rsidP="00011146">
      <w:pPr>
        <w:pStyle w:val="ListParagraph"/>
        <w:numPr>
          <w:ilvl w:val="0"/>
          <w:numId w:val="7"/>
        </w:numPr>
        <w:spacing w:line="240" w:lineRule="auto"/>
        <w:jc w:val="left"/>
        <w:rPr>
          <w:sz w:val="17"/>
          <w:szCs w:val="17"/>
          <w:highlight w:val="yellow"/>
        </w:rPr>
      </w:pPr>
      <w:r w:rsidRPr="003C5315">
        <w:rPr>
          <w:sz w:val="17"/>
          <w:szCs w:val="17"/>
          <w:highlight w:val="yellow"/>
        </w:rPr>
        <w:t>No</w:t>
      </w:r>
    </w:p>
    <w:p w14:paraId="7975F499" w14:textId="77777777" w:rsidR="00011146" w:rsidRPr="003C5315" w:rsidRDefault="00011146" w:rsidP="00011146">
      <w:pPr>
        <w:pStyle w:val="ListParagraph"/>
        <w:numPr>
          <w:ilvl w:val="0"/>
          <w:numId w:val="7"/>
        </w:numPr>
        <w:spacing w:line="240" w:lineRule="auto"/>
        <w:jc w:val="left"/>
        <w:rPr>
          <w:sz w:val="17"/>
          <w:szCs w:val="17"/>
        </w:rPr>
      </w:pPr>
      <w:r w:rsidRPr="003C5315">
        <w:rPr>
          <w:sz w:val="17"/>
          <w:szCs w:val="17"/>
        </w:rPr>
        <w:t>Abstain</w:t>
      </w:r>
    </w:p>
    <w:p w14:paraId="3D358951" w14:textId="77777777" w:rsidR="00011146" w:rsidRPr="003C5315" w:rsidRDefault="00011146" w:rsidP="00011146">
      <w:pPr>
        <w:spacing w:line="240" w:lineRule="auto"/>
        <w:jc w:val="left"/>
        <w:rPr>
          <w:sz w:val="17"/>
          <w:szCs w:val="17"/>
        </w:rPr>
      </w:pPr>
    </w:p>
    <w:p w14:paraId="4CA3C754" w14:textId="49E1CC74" w:rsidR="00011146" w:rsidRPr="003C5315" w:rsidRDefault="00011146" w:rsidP="00011146">
      <w:pPr>
        <w:spacing w:line="240" w:lineRule="auto"/>
        <w:jc w:val="left"/>
        <w:rPr>
          <w:sz w:val="17"/>
          <w:szCs w:val="17"/>
        </w:rPr>
      </w:pPr>
      <w:r w:rsidRPr="003C5315">
        <w:rPr>
          <w:sz w:val="17"/>
          <w:szCs w:val="17"/>
        </w:rPr>
        <w:t>Please Explain</w:t>
      </w:r>
    </w:p>
    <w:tbl>
      <w:tblPr>
        <w:tblStyle w:val="TableGrid"/>
        <w:tblW w:w="0" w:type="auto"/>
        <w:tblLook w:val="04A0" w:firstRow="1" w:lastRow="0" w:firstColumn="1" w:lastColumn="0" w:noHBand="0" w:noVBand="1"/>
      </w:tblPr>
      <w:tblGrid>
        <w:gridCol w:w="9572"/>
      </w:tblGrid>
      <w:tr w:rsidR="005608E5" w:rsidRPr="003C5315" w14:paraId="7D4167E7" w14:textId="77777777" w:rsidTr="665E0AB1">
        <w:tc>
          <w:tcPr>
            <w:tcW w:w="9572" w:type="dxa"/>
          </w:tcPr>
          <w:p w14:paraId="26EBFA44" w14:textId="774524FF" w:rsidR="005608E5" w:rsidRPr="003C5315" w:rsidRDefault="3BD8EDF6" w:rsidP="665E0AB1">
            <w:pPr>
              <w:spacing w:line="240" w:lineRule="auto"/>
              <w:rPr>
                <w:rFonts w:eastAsia="Verdana" w:cs="Verdana"/>
                <w:sz w:val="17"/>
                <w:szCs w:val="17"/>
                <w:lang w:val="en-US"/>
              </w:rPr>
            </w:pPr>
            <w:r w:rsidRPr="003C5315">
              <w:rPr>
                <w:rFonts w:eastAsia="Verdana" w:cs="Verdana"/>
                <w:sz w:val="17"/>
                <w:szCs w:val="17"/>
                <w:lang w:val="en-US"/>
              </w:rPr>
              <w:t xml:space="preserve">We believe EFRAG’s approach to insurance-associated emissions (IAEs) should be reconsidered to reflect both the current methodological limitations and the need to </w:t>
            </w:r>
            <w:proofErr w:type="spellStart"/>
            <w:r w:rsidRPr="003C5315">
              <w:rPr>
                <w:rFonts w:eastAsia="Verdana" w:cs="Verdana"/>
                <w:sz w:val="17"/>
                <w:szCs w:val="17"/>
                <w:lang w:val="en-US"/>
              </w:rPr>
              <w:t>recognise</w:t>
            </w:r>
            <w:proofErr w:type="spellEnd"/>
            <w:r w:rsidRPr="003C5315">
              <w:rPr>
                <w:rFonts w:eastAsia="Verdana" w:cs="Verdana"/>
                <w:sz w:val="17"/>
                <w:szCs w:val="17"/>
                <w:lang w:val="en-US"/>
              </w:rPr>
              <w:t xml:space="preserve"> the role insurers can play in enabling the transition through a range of actions beyond emissions reporting.</w:t>
            </w:r>
          </w:p>
          <w:p w14:paraId="2DBDDD6B" w14:textId="4D0DF954" w:rsidR="005608E5" w:rsidRPr="003C5315" w:rsidRDefault="005608E5" w:rsidP="665E0AB1">
            <w:pPr>
              <w:spacing w:line="240" w:lineRule="auto"/>
              <w:rPr>
                <w:rFonts w:eastAsia="Verdana" w:cs="Verdana"/>
                <w:sz w:val="17"/>
                <w:szCs w:val="17"/>
                <w:lang w:val="en-US"/>
              </w:rPr>
            </w:pPr>
          </w:p>
          <w:p w14:paraId="43552754" w14:textId="71055D64" w:rsidR="005608E5" w:rsidRPr="003C5315" w:rsidRDefault="3BD8EDF6" w:rsidP="665E0AB1">
            <w:pPr>
              <w:spacing w:line="240" w:lineRule="auto"/>
              <w:rPr>
                <w:rFonts w:eastAsia="Verdana" w:cs="Verdana"/>
                <w:sz w:val="17"/>
                <w:szCs w:val="17"/>
              </w:rPr>
            </w:pPr>
            <w:r w:rsidRPr="003C5315">
              <w:rPr>
                <w:rFonts w:eastAsia="Verdana" w:cs="Verdana"/>
                <w:b/>
                <w:bCs/>
                <w:sz w:val="17"/>
                <w:szCs w:val="17"/>
                <w:lang w:val="en-US"/>
              </w:rPr>
              <w:t>While we do not oppose the transitional nature of the optional relief proposed by the ISSB, we caution against moving too quickly toward mandatory disclosure of IAEs.</w:t>
            </w:r>
            <w:r w:rsidRPr="003C5315">
              <w:rPr>
                <w:rFonts w:eastAsia="Verdana" w:cs="Verdana"/>
                <w:sz w:val="17"/>
                <w:szCs w:val="17"/>
                <w:lang w:val="en-US"/>
              </w:rPr>
              <w:t xml:space="preserve"> Accounting methodologies </w:t>
            </w:r>
            <w:r w:rsidRPr="003C5315">
              <w:rPr>
                <w:rFonts w:eastAsia="Verdana" w:cs="Verdana"/>
                <w:sz w:val="17"/>
                <w:szCs w:val="17"/>
                <w:lang w:val="en-US"/>
              </w:rPr>
              <w:lastRenderedPageBreak/>
              <w:t>for IAEs, particularly those linked to underwriting portfolios</w:t>
            </w:r>
            <w:r w:rsidR="173324F4" w:rsidRPr="003C5315">
              <w:rPr>
                <w:rFonts w:eastAsia="Verdana" w:cs="Verdana"/>
                <w:sz w:val="17"/>
                <w:szCs w:val="17"/>
                <w:lang w:val="en-US"/>
              </w:rPr>
              <w:t xml:space="preserve">, </w:t>
            </w:r>
            <w:r w:rsidRPr="003C5315">
              <w:rPr>
                <w:rFonts w:eastAsia="Verdana" w:cs="Verdana"/>
                <w:sz w:val="17"/>
                <w:szCs w:val="17"/>
                <w:lang w:val="en-US"/>
              </w:rPr>
              <w:t xml:space="preserve">are still in an early phase of development. There is no </w:t>
            </w:r>
            <w:proofErr w:type="spellStart"/>
            <w:r w:rsidRPr="003C5315">
              <w:rPr>
                <w:rFonts w:eastAsia="Verdana" w:cs="Verdana"/>
                <w:sz w:val="17"/>
                <w:szCs w:val="17"/>
                <w:lang w:val="en-US"/>
              </w:rPr>
              <w:t>harmonised</w:t>
            </w:r>
            <w:proofErr w:type="spellEnd"/>
            <w:r w:rsidRPr="003C5315">
              <w:rPr>
                <w:rFonts w:eastAsia="Verdana" w:cs="Verdana"/>
                <w:sz w:val="17"/>
                <w:szCs w:val="17"/>
                <w:lang w:val="en-US"/>
              </w:rPr>
              <w:t xml:space="preserve"> definition, broad consensus on relevance, or mature methodology for measurement. While initiatives such as PCAF’s Part C</w:t>
            </w:r>
            <w:r w:rsidR="0DFC2289" w:rsidRPr="003C5315">
              <w:rPr>
                <w:rFonts w:eastAsia="Verdana" w:cs="Verdana"/>
                <w:sz w:val="17"/>
                <w:szCs w:val="17"/>
                <w:lang w:val="en-US"/>
              </w:rPr>
              <w:t xml:space="preserve"> </w:t>
            </w:r>
            <w:r w:rsidRPr="003C5315">
              <w:rPr>
                <w:rFonts w:eastAsia="Verdana" w:cs="Verdana"/>
                <w:sz w:val="17"/>
                <w:szCs w:val="17"/>
              </w:rPr>
              <w:t>standard have made progress, adoption remains limited, and questions persist regarding its reliability and applicability across diverse insurance business models.</w:t>
            </w:r>
          </w:p>
          <w:p w14:paraId="392318D7" w14:textId="2952E3F7" w:rsidR="005608E5" w:rsidRPr="003C5315" w:rsidRDefault="005608E5" w:rsidP="665E0AB1">
            <w:pPr>
              <w:spacing w:line="240" w:lineRule="auto"/>
              <w:rPr>
                <w:rFonts w:eastAsia="Verdana" w:cs="Verdana"/>
                <w:sz w:val="17"/>
                <w:szCs w:val="17"/>
              </w:rPr>
            </w:pPr>
          </w:p>
          <w:p w14:paraId="2C9DD8E8" w14:textId="3B6088F4" w:rsidR="005608E5" w:rsidRPr="003C5315" w:rsidRDefault="3BD8EDF6" w:rsidP="665E0AB1">
            <w:pPr>
              <w:spacing w:line="240" w:lineRule="auto"/>
              <w:rPr>
                <w:rFonts w:eastAsia="Verdana" w:cs="Verdana"/>
                <w:sz w:val="17"/>
                <w:szCs w:val="17"/>
              </w:rPr>
            </w:pPr>
            <w:r w:rsidRPr="003C5315">
              <w:rPr>
                <w:rFonts w:eastAsia="Verdana" w:cs="Verdana"/>
                <w:b/>
                <w:bCs/>
                <w:sz w:val="17"/>
                <w:szCs w:val="17"/>
              </w:rPr>
              <w:t>We therefore stress the need for a shared and operational definition of insurance-associated emissions</w:t>
            </w:r>
            <w:r w:rsidRPr="003C5315">
              <w:rPr>
                <w:rFonts w:eastAsia="Verdana" w:cs="Verdana"/>
                <w:sz w:val="17"/>
                <w:szCs w:val="17"/>
              </w:rPr>
              <w:t>. In our view, IAEs should refer only to emissions linked to underwriting portfolios in the (re)insurance sector. Other emissions</w:t>
            </w:r>
            <w:r w:rsidR="69055CA4" w:rsidRPr="003C5315">
              <w:rPr>
                <w:rFonts w:eastAsia="Verdana" w:cs="Verdana"/>
                <w:sz w:val="17"/>
                <w:szCs w:val="17"/>
              </w:rPr>
              <w:t xml:space="preserve">, </w:t>
            </w:r>
            <w:r w:rsidRPr="003C5315">
              <w:rPr>
                <w:rFonts w:eastAsia="Verdana" w:cs="Verdana"/>
                <w:sz w:val="17"/>
                <w:szCs w:val="17"/>
              </w:rPr>
              <w:t>such as those arising from claims management</w:t>
            </w:r>
            <w:r w:rsidR="344A377E" w:rsidRPr="003C5315">
              <w:rPr>
                <w:rFonts w:eastAsia="Verdana" w:cs="Verdana"/>
                <w:sz w:val="17"/>
                <w:szCs w:val="17"/>
              </w:rPr>
              <w:t xml:space="preserve">, </w:t>
            </w:r>
            <w:r w:rsidRPr="003C5315">
              <w:rPr>
                <w:rFonts w:eastAsia="Verdana" w:cs="Verdana"/>
                <w:sz w:val="17"/>
                <w:szCs w:val="17"/>
              </w:rPr>
              <w:t>should fall under Scope 3 Category 11 ("Use of sold products"), not Category 15. EFRAG’s inclusion of claims management risks introducing confusion and diluting the clarity needed for effective reporting.</w:t>
            </w:r>
          </w:p>
          <w:p w14:paraId="5719E323" w14:textId="07AC14E7" w:rsidR="005608E5" w:rsidRPr="003C5315" w:rsidRDefault="005608E5" w:rsidP="665E0AB1">
            <w:pPr>
              <w:spacing w:line="240" w:lineRule="auto"/>
              <w:rPr>
                <w:rFonts w:eastAsia="Verdana" w:cs="Verdana"/>
                <w:sz w:val="17"/>
                <w:szCs w:val="17"/>
              </w:rPr>
            </w:pPr>
          </w:p>
          <w:p w14:paraId="6E589AE1" w14:textId="66B391C1" w:rsidR="005608E5" w:rsidRPr="003C5315" w:rsidRDefault="3BD8EDF6" w:rsidP="665E0AB1">
            <w:pPr>
              <w:spacing w:line="240" w:lineRule="auto"/>
              <w:rPr>
                <w:rFonts w:eastAsia="Verdana" w:cs="Verdana"/>
                <w:sz w:val="17"/>
                <w:szCs w:val="17"/>
              </w:rPr>
            </w:pPr>
            <w:r w:rsidRPr="003C5315">
              <w:rPr>
                <w:rFonts w:eastAsia="Verdana" w:cs="Verdana"/>
                <w:sz w:val="17"/>
                <w:szCs w:val="17"/>
              </w:rPr>
              <w:t>At present, only a limited number of insurers disclose IAEs, and even fewer have set targets</w:t>
            </w:r>
            <w:r w:rsidR="2EBB6DFD" w:rsidRPr="003C5315">
              <w:rPr>
                <w:rFonts w:eastAsia="Verdana" w:cs="Verdana"/>
                <w:sz w:val="17"/>
                <w:szCs w:val="17"/>
              </w:rPr>
              <w:t xml:space="preserve">, </w:t>
            </w:r>
            <w:r w:rsidRPr="003C5315">
              <w:rPr>
                <w:rFonts w:eastAsia="Verdana" w:cs="Verdana"/>
                <w:sz w:val="17"/>
                <w:szCs w:val="17"/>
              </w:rPr>
              <w:t xml:space="preserve">usually confined to specific segments. While the insurance sector has been proactive in managing climate-related risks through underwriting, investment, and risk prevention, the reporting of IAEs remains in its infancy. Significant challenges persist, including </w:t>
            </w:r>
            <w:r w:rsidRPr="003C5315">
              <w:rPr>
                <w:rFonts w:eastAsia="Verdana" w:cs="Verdana"/>
                <w:b/>
                <w:bCs/>
                <w:sz w:val="17"/>
                <w:szCs w:val="17"/>
              </w:rPr>
              <w:t>methodological uncertainty, limited data availability, and proportionality concerns for smaller entities</w:t>
            </w:r>
            <w:r w:rsidRPr="003C5315">
              <w:rPr>
                <w:rFonts w:eastAsia="Verdana" w:cs="Verdana"/>
                <w:sz w:val="17"/>
                <w:szCs w:val="17"/>
              </w:rPr>
              <w:t>. These factors justify a cautious and flexible approach.</w:t>
            </w:r>
          </w:p>
          <w:p w14:paraId="1A96E5A1" w14:textId="4E5E65FD" w:rsidR="005608E5" w:rsidRPr="003C5315" w:rsidRDefault="005608E5" w:rsidP="665E0AB1">
            <w:pPr>
              <w:spacing w:line="240" w:lineRule="auto"/>
              <w:rPr>
                <w:rFonts w:eastAsia="Verdana" w:cs="Verdana"/>
                <w:sz w:val="17"/>
                <w:szCs w:val="17"/>
              </w:rPr>
            </w:pPr>
          </w:p>
          <w:p w14:paraId="356A4F8D" w14:textId="163451C9" w:rsidR="005608E5" w:rsidRPr="003C5315" w:rsidRDefault="3BD8EDF6" w:rsidP="665E0AB1">
            <w:pPr>
              <w:spacing w:line="240" w:lineRule="auto"/>
              <w:rPr>
                <w:rFonts w:eastAsia="Verdana" w:cs="Verdana"/>
                <w:sz w:val="17"/>
                <w:szCs w:val="17"/>
              </w:rPr>
            </w:pPr>
            <w:r w:rsidRPr="003C5315">
              <w:rPr>
                <w:rFonts w:eastAsia="Verdana" w:cs="Verdana"/>
                <w:sz w:val="17"/>
                <w:szCs w:val="17"/>
              </w:rPr>
              <w:t xml:space="preserve">Importantly, we emphasise that </w:t>
            </w:r>
            <w:r w:rsidRPr="003C5315">
              <w:rPr>
                <w:rFonts w:eastAsia="Verdana" w:cs="Verdana"/>
                <w:b/>
                <w:bCs/>
                <w:sz w:val="17"/>
                <w:szCs w:val="17"/>
              </w:rPr>
              <w:t>IAE metrics are not always the most meaningful or useful indicators of insurers’ climate action</w:t>
            </w:r>
            <w:r w:rsidRPr="003C5315">
              <w:rPr>
                <w:rFonts w:eastAsia="Verdana" w:cs="Verdana"/>
                <w:sz w:val="17"/>
                <w:szCs w:val="17"/>
              </w:rPr>
              <w:t>. GHG reporting in isolation does little to drive real-world decarbonisation unless it is connected to credible, context-specific targets. Even then, there is a risk that overly rigid focus on IAE targets could distort priorities or incentivise insurers to withdraw coverage from high-emission sectors, potentially disrupting access to essential goods and services.</w:t>
            </w:r>
          </w:p>
          <w:p w14:paraId="187895E4" w14:textId="4FDCE5F1" w:rsidR="005608E5" w:rsidRPr="003C5315" w:rsidRDefault="005608E5" w:rsidP="665E0AB1">
            <w:pPr>
              <w:spacing w:line="240" w:lineRule="auto"/>
              <w:rPr>
                <w:rFonts w:eastAsia="Verdana" w:cs="Verdana"/>
                <w:sz w:val="17"/>
                <w:szCs w:val="17"/>
              </w:rPr>
            </w:pPr>
          </w:p>
          <w:p w14:paraId="4EE12A8F" w14:textId="6F0F79E6" w:rsidR="005608E5" w:rsidRPr="003C5315" w:rsidRDefault="3BD8EDF6" w:rsidP="665E0AB1">
            <w:pPr>
              <w:spacing w:line="240" w:lineRule="auto"/>
              <w:rPr>
                <w:rFonts w:eastAsia="Verdana" w:cs="Verdana"/>
                <w:sz w:val="17"/>
                <w:szCs w:val="17"/>
              </w:rPr>
            </w:pPr>
            <w:r w:rsidRPr="003C5315">
              <w:rPr>
                <w:rFonts w:eastAsia="Verdana" w:cs="Verdana"/>
                <w:b/>
                <w:bCs/>
                <w:sz w:val="17"/>
                <w:szCs w:val="17"/>
              </w:rPr>
              <w:t>A broader perspective is needed</w:t>
            </w:r>
            <w:r w:rsidRPr="003C5315">
              <w:rPr>
                <w:rFonts w:eastAsia="Verdana" w:cs="Verdana"/>
                <w:sz w:val="17"/>
                <w:szCs w:val="17"/>
              </w:rPr>
              <w:t>. Insurers can support the low-carbon transition through underwriting policies that favour transitioning companies, by offering incentives and services that help customers adapt to climate change, and through risk prevention, education, and claims management practices that promote repair and reuse. These levers are no less important than absolute emissions metrics and may, in fact, be more effective in some contexts.</w:t>
            </w:r>
          </w:p>
          <w:p w14:paraId="44920EB2" w14:textId="7402FE75" w:rsidR="005608E5" w:rsidRPr="003C5315" w:rsidRDefault="005608E5" w:rsidP="665E0AB1">
            <w:pPr>
              <w:spacing w:line="240" w:lineRule="auto"/>
              <w:rPr>
                <w:rFonts w:eastAsia="Verdana" w:cs="Verdana"/>
                <w:sz w:val="17"/>
                <w:szCs w:val="17"/>
              </w:rPr>
            </w:pPr>
          </w:p>
          <w:p w14:paraId="0AF479F9" w14:textId="1062276C" w:rsidR="005608E5" w:rsidRPr="003C5315" w:rsidRDefault="3BD8EDF6" w:rsidP="665E0AB1">
            <w:pPr>
              <w:spacing w:line="240" w:lineRule="auto"/>
              <w:rPr>
                <w:rFonts w:eastAsia="Verdana" w:cs="Verdana"/>
                <w:sz w:val="17"/>
                <w:szCs w:val="17"/>
              </w:rPr>
            </w:pPr>
            <w:r w:rsidRPr="003C5315">
              <w:rPr>
                <w:rFonts w:eastAsia="Verdana" w:cs="Verdana"/>
                <w:sz w:val="17"/>
                <w:szCs w:val="17"/>
              </w:rPr>
              <w:t>EFRAG’s concern that permanent relief might slow progress is understandable but, in our view, misplaced. A balanced approach that allows flexibility</w:t>
            </w:r>
            <w:r w:rsidR="3E76C0E4" w:rsidRPr="003C5315">
              <w:rPr>
                <w:rFonts w:eastAsia="Verdana" w:cs="Verdana"/>
                <w:sz w:val="17"/>
                <w:szCs w:val="17"/>
              </w:rPr>
              <w:t xml:space="preserve">, </w:t>
            </w:r>
            <w:r w:rsidRPr="003C5315">
              <w:rPr>
                <w:rFonts w:eastAsia="Verdana" w:cs="Verdana"/>
                <w:sz w:val="17"/>
                <w:szCs w:val="17"/>
              </w:rPr>
              <w:t>while methodologies and definitions mature</w:t>
            </w:r>
            <w:r w:rsidR="01201ADB" w:rsidRPr="003C5315">
              <w:rPr>
                <w:rFonts w:eastAsia="Verdana" w:cs="Verdana"/>
                <w:sz w:val="17"/>
                <w:szCs w:val="17"/>
              </w:rPr>
              <w:t xml:space="preserve">, </w:t>
            </w:r>
            <w:r w:rsidRPr="003C5315">
              <w:rPr>
                <w:rFonts w:eastAsia="Verdana" w:cs="Verdana"/>
                <w:sz w:val="17"/>
                <w:szCs w:val="17"/>
              </w:rPr>
              <w:t>can foster innovation and lead to more robust and consistent reporting frameworks over time. Mandating disclosures prematurely, without clear technical foundations, risks producing unreliable or non-comparable data.</w:t>
            </w:r>
          </w:p>
          <w:p w14:paraId="3239CA72" w14:textId="3AB6095C" w:rsidR="005608E5" w:rsidRPr="003C5315" w:rsidRDefault="005608E5" w:rsidP="665E0AB1">
            <w:pPr>
              <w:spacing w:line="240" w:lineRule="auto"/>
              <w:rPr>
                <w:rFonts w:eastAsia="Verdana" w:cs="Verdana"/>
                <w:sz w:val="17"/>
                <w:szCs w:val="17"/>
              </w:rPr>
            </w:pPr>
          </w:p>
          <w:p w14:paraId="3E9555A2" w14:textId="0A6D6C3E" w:rsidR="005608E5" w:rsidRPr="003C5315" w:rsidRDefault="3BD8EDF6" w:rsidP="665E0AB1">
            <w:pPr>
              <w:spacing w:line="240" w:lineRule="auto"/>
              <w:rPr>
                <w:rFonts w:eastAsia="Verdana" w:cs="Verdana"/>
                <w:sz w:val="17"/>
                <w:szCs w:val="17"/>
              </w:rPr>
            </w:pPr>
            <w:r w:rsidRPr="003C5315">
              <w:rPr>
                <w:rFonts w:eastAsia="Verdana" w:cs="Verdana"/>
                <w:sz w:val="17"/>
                <w:szCs w:val="17"/>
              </w:rPr>
              <w:t>As EFRAG’s draft itself acknowledges, IFRS S2 currently lacks a definition of insurance-associated emissions. This gap must be addressed before narrowing relief provisions, as a clear scope is essential to ensure proportional and technically grounded requirements.</w:t>
            </w:r>
          </w:p>
          <w:p w14:paraId="559CA7F0" w14:textId="61A41857" w:rsidR="005608E5" w:rsidRPr="003C5315" w:rsidRDefault="005608E5" w:rsidP="665E0AB1">
            <w:pPr>
              <w:spacing w:line="240" w:lineRule="auto"/>
              <w:rPr>
                <w:rFonts w:eastAsia="Verdana" w:cs="Verdana"/>
                <w:sz w:val="17"/>
                <w:szCs w:val="17"/>
              </w:rPr>
            </w:pPr>
          </w:p>
          <w:p w14:paraId="44A4B1AF" w14:textId="46663CC4" w:rsidR="005608E5" w:rsidRPr="003C5315" w:rsidRDefault="3BD8EDF6" w:rsidP="665E0AB1">
            <w:pPr>
              <w:spacing w:line="240" w:lineRule="auto"/>
              <w:rPr>
                <w:rFonts w:eastAsia="Verdana" w:cs="Verdana"/>
                <w:sz w:val="17"/>
                <w:szCs w:val="17"/>
              </w:rPr>
            </w:pPr>
            <w:r w:rsidRPr="003C5315">
              <w:rPr>
                <w:rFonts w:eastAsia="Verdana" w:cs="Verdana"/>
                <w:sz w:val="17"/>
                <w:szCs w:val="17"/>
              </w:rPr>
              <w:t xml:space="preserve">In conclusion, while we support the direction of travel toward enhanced sustainability reporting, we call on EFRAG to adopt a </w:t>
            </w:r>
            <w:r w:rsidRPr="003C5315">
              <w:rPr>
                <w:rFonts w:eastAsia="Verdana" w:cs="Verdana"/>
                <w:b/>
                <w:bCs/>
                <w:sz w:val="17"/>
                <w:szCs w:val="17"/>
              </w:rPr>
              <w:t>more pragmatic and phased approach to IAE disclosures</w:t>
            </w:r>
            <w:r w:rsidR="79D245C5" w:rsidRPr="003C5315">
              <w:rPr>
                <w:rFonts w:eastAsia="Verdana" w:cs="Verdana"/>
                <w:b/>
                <w:bCs/>
                <w:sz w:val="17"/>
                <w:szCs w:val="17"/>
              </w:rPr>
              <w:t xml:space="preserve">, </w:t>
            </w:r>
            <w:r w:rsidRPr="003C5315">
              <w:rPr>
                <w:rFonts w:eastAsia="Verdana" w:cs="Verdana"/>
                <w:sz w:val="17"/>
                <w:szCs w:val="17"/>
              </w:rPr>
              <w:t>one that acknowledges the current limitations, respects insurers’ broader transition role, and prioritises meaningful, decision-useful information over premature standardisation.</w:t>
            </w:r>
          </w:p>
        </w:tc>
      </w:tr>
    </w:tbl>
    <w:p w14:paraId="6332149A" w14:textId="77777777" w:rsidR="00011146" w:rsidRPr="003C5315" w:rsidRDefault="00011146" w:rsidP="00011146">
      <w:pPr>
        <w:spacing w:line="240" w:lineRule="auto"/>
        <w:jc w:val="left"/>
        <w:rPr>
          <w:sz w:val="17"/>
          <w:szCs w:val="17"/>
        </w:rPr>
      </w:pPr>
    </w:p>
    <w:p w14:paraId="14B7EF78" w14:textId="77777777" w:rsidR="00011146" w:rsidRPr="003C5315" w:rsidRDefault="00011146" w:rsidP="00011146">
      <w:pPr>
        <w:spacing w:line="240" w:lineRule="auto"/>
        <w:jc w:val="left"/>
        <w:rPr>
          <w:sz w:val="17"/>
          <w:szCs w:val="17"/>
        </w:rPr>
      </w:pPr>
    </w:p>
    <w:p w14:paraId="6509B2D4" w14:textId="6D1A6ECD" w:rsidR="00011146" w:rsidRPr="003C5315" w:rsidRDefault="00011146" w:rsidP="00011146">
      <w:pPr>
        <w:spacing w:line="240" w:lineRule="auto"/>
        <w:jc w:val="left"/>
        <w:rPr>
          <w:sz w:val="17"/>
          <w:szCs w:val="17"/>
        </w:rPr>
      </w:pPr>
      <w:r w:rsidRPr="003C5315">
        <w:rPr>
          <w:sz w:val="17"/>
          <w:szCs w:val="17"/>
        </w:rPr>
        <w:t xml:space="preserve">Do you agree with EFRAG’s </w:t>
      </w:r>
      <w:r w:rsidR="006E720C" w:rsidRPr="003C5315">
        <w:rPr>
          <w:sz w:val="17"/>
          <w:szCs w:val="17"/>
        </w:rPr>
        <w:t xml:space="preserve">position on the disclosure of the </w:t>
      </w:r>
      <w:proofErr w:type="gramStart"/>
      <w:r w:rsidR="006E720C" w:rsidRPr="003C5315">
        <w:rPr>
          <w:sz w:val="17"/>
          <w:szCs w:val="17"/>
        </w:rPr>
        <w:t>amount</w:t>
      </w:r>
      <w:proofErr w:type="gramEnd"/>
      <w:r w:rsidR="006E720C" w:rsidRPr="003C5315">
        <w:rPr>
          <w:sz w:val="17"/>
          <w:szCs w:val="17"/>
        </w:rPr>
        <w:t xml:space="preserve"> of derivatives or other financial activities excluded?</w:t>
      </w:r>
    </w:p>
    <w:p w14:paraId="54F2AB81" w14:textId="77777777" w:rsidR="006E720C" w:rsidRPr="003C5315" w:rsidRDefault="006E720C" w:rsidP="006E720C">
      <w:pPr>
        <w:pStyle w:val="ListParagraph"/>
        <w:numPr>
          <w:ilvl w:val="0"/>
          <w:numId w:val="7"/>
        </w:numPr>
        <w:spacing w:line="240" w:lineRule="auto"/>
        <w:jc w:val="left"/>
        <w:rPr>
          <w:sz w:val="17"/>
          <w:szCs w:val="17"/>
        </w:rPr>
      </w:pPr>
      <w:r w:rsidRPr="003C5315">
        <w:rPr>
          <w:sz w:val="17"/>
          <w:szCs w:val="17"/>
        </w:rPr>
        <w:t>Yes</w:t>
      </w:r>
    </w:p>
    <w:p w14:paraId="7CAA4C5A" w14:textId="77777777" w:rsidR="006E720C" w:rsidRPr="003C5315" w:rsidRDefault="006E720C" w:rsidP="006E720C">
      <w:pPr>
        <w:pStyle w:val="ListParagraph"/>
        <w:numPr>
          <w:ilvl w:val="0"/>
          <w:numId w:val="7"/>
        </w:numPr>
        <w:spacing w:line="240" w:lineRule="auto"/>
        <w:jc w:val="left"/>
        <w:rPr>
          <w:sz w:val="17"/>
          <w:szCs w:val="17"/>
          <w:highlight w:val="yellow"/>
        </w:rPr>
      </w:pPr>
      <w:r w:rsidRPr="003C5315">
        <w:rPr>
          <w:sz w:val="17"/>
          <w:szCs w:val="17"/>
          <w:highlight w:val="yellow"/>
        </w:rPr>
        <w:t>No</w:t>
      </w:r>
    </w:p>
    <w:p w14:paraId="2C400664" w14:textId="77777777" w:rsidR="006E720C" w:rsidRPr="003C5315" w:rsidRDefault="006E720C" w:rsidP="006E720C">
      <w:pPr>
        <w:pStyle w:val="ListParagraph"/>
        <w:numPr>
          <w:ilvl w:val="0"/>
          <w:numId w:val="7"/>
        </w:numPr>
        <w:spacing w:line="240" w:lineRule="auto"/>
        <w:jc w:val="left"/>
        <w:rPr>
          <w:sz w:val="17"/>
          <w:szCs w:val="17"/>
        </w:rPr>
      </w:pPr>
      <w:r w:rsidRPr="003C5315">
        <w:rPr>
          <w:sz w:val="17"/>
          <w:szCs w:val="17"/>
        </w:rPr>
        <w:t>Abstain</w:t>
      </w:r>
    </w:p>
    <w:p w14:paraId="2F42012C" w14:textId="77777777" w:rsidR="006E720C" w:rsidRPr="003C5315" w:rsidRDefault="006E720C" w:rsidP="006E720C">
      <w:pPr>
        <w:spacing w:line="240" w:lineRule="auto"/>
        <w:jc w:val="left"/>
        <w:rPr>
          <w:sz w:val="17"/>
          <w:szCs w:val="17"/>
        </w:rPr>
      </w:pPr>
    </w:p>
    <w:p w14:paraId="33440EA5" w14:textId="1233BC78" w:rsidR="006E720C" w:rsidRPr="003C5315" w:rsidRDefault="006E720C" w:rsidP="006E720C">
      <w:pPr>
        <w:spacing w:line="240" w:lineRule="auto"/>
        <w:jc w:val="left"/>
        <w:rPr>
          <w:sz w:val="17"/>
          <w:szCs w:val="17"/>
        </w:rPr>
      </w:pPr>
      <w:r w:rsidRPr="003C5315">
        <w:rPr>
          <w:sz w:val="17"/>
          <w:szCs w:val="17"/>
        </w:rPr>
        <w:t>Please Explain</w:t>
      </w:r>
    </w:p>
    <w:tbl>
      <w:tblPr>
        <w:tblStyle w:val="TableGrid"/>
        <w:tblW w:w="0" w:type="auto"/>
        <w:tblLook w:val="04A0" w:firstRow="1" w:lastRow="0" w:firstColumn="1" w:lastColumn="0" w:noHBand="0" w:noVBand="1"/>
      </w:tblPr>
      <w:tblGrid>
        <w:gridCol w:w="9572"/>
      </w:tblGrid>
      <w:tr w:rsidR="005608E5" w:rsidRPr="003C5315" w14:paraId="3889B472" w14:textId="77777777" w:rsidTr="665E0AB1">
        <w:tc>
          <w:tcPr>
            <w:tcW w:w="9572" w:type="dxa"/>
          </w:tcPr>
          <w:p w14:paraId="446FD2FB" w14:textId="3D39E8F7" w:rsidR="005608E5" w:rsidRPr="003C5315" w:rsidRDefault="74C056E3" w:rsidP="009F343E">
            <w:pPr>
              <w:spacing w:line="240" w:lineRule="auto"/>
              <w:rPr>
                <w:sz w:val="17"/>
                <w:szCs w:val="17"/>
              </w:rPr>
            </w:pPr>
            <w:r w:rsidRPr="003C5315">
              <w:rPr>
                <w:sz w:val="17"/>
                <w:szCs w:val="17"/>
              </w:rPr>
              <w:t xml:space="preserve">While we support the overall objective of maintaining transparency, we have strong reservations regarding the usefulness and practicality of requiring disclosure of absolute figures, such as the magnitude or amount, of derivatives or insurance-related activities excluded from financed emissions calculations. </w:t>
            </w:r>
          </w:p>
          <w:p w14:paraId="45C01C16" w14:textId="3A90915C" w:rsidR="005608E5" w:rsidRPr="003C5315" w:rsidRDefault="74C056E3" w:rsidP="665E0AB1">
            <w:pPr>
              <w:spacing w:line="240" w:lineRule="auto"/>
              <w:rPr>
                <w:sz w:val="17"/>
                <w:szCs w:val="17"/>
              </w:rPr>
            </w:pPr>
            <w:r w:rsidRPr="003C5315">
              <w:rPr>
                <w:sz w:val="17"/>
                <w:szCs w:val="17"/>
              </w:rPr>
              <w:t xml:space="preserve"> </w:t>
            </w:r>
          </w:p>
          <w:p w14:paraId="7593C9D3" w14:textId="6D45BFD2" w:rsidR="005608E5" w:rsidRPr="003C5315" w:rsidRDefault="74C056E3" w:rsidP="665E0AB1">
            <w:pPr>
              <w:spacing w:line="240" w:lineRule="auto"/>
              <w:rPr>
                <w:sz w:val="17"/>
                <w:szCs w:val="17"/>
              </w:rPr>
            </w:pPr>
            <w:r w:rsidRPr="003C5315">
              <w:rPr>
                <w:sz w:val="17"/>
                <w:szCs w:val="17"/>
              </w:rPr>
              <w:t xml:space="preserve">European insurers acknowledge the ISSB’s intention to strike a balance between transparency and feasibility through paragraph 29A(b), and we welcome the flexibility to use definitions and data aligned with entities’ own financial statements, in line with the IFRS S1 principle of “connected information.” This approach allows insurers to provide information that is more relevant and meaningful to stakeholders, particularly given the complexities introduced by IFRS 17 and the absence of standardised concepts such as Gross Written Premium under IFRS. </w:t>
            </w:r>
          </w:p>
          <w:p w14:paraId="20F6313F" w14:textId="5F9EBE52" w:rsidR="005608E5" w:rsidRPr="003C5315" w:rsidRDefault="74C056E3" w:rsidP="665E0AB1">
            <w:pPr>
              <w:spacing w:line="240" w:lineRule="auto"/>
              <w:rPr>
                <w:sz w:val="17"/>
                <w:szCs w:val="17"/>
              </w:rPr>
            </w:pPr>
            <w:r w:rsidRPr="003C5315">
              <w:rPr>
                <w:sz w:val="17"/>
                <w:szCs w:val="17"/>
              </w:rPr>
              <w:t xml:space="preserve"> </w:t>
            </w:r>
          </w:p>
          <w:p w14:paraId="1394B694" w14:textId="5877228B" w:rsidR="005608E5" w:rsidRPr="003C5315" w:rsidRDefault="74C056E3" w:rsidP="665E0AB1">
            <w:pPr>
              <w:spacing w:line="240" w:lineRule="auto"/>
              <w:rPr>
                <w:sz w:val="17"/>
                <w:szCs w:val="17"/>
              </w:rPr>
            </w:pPr>
            <w:r w:rsidRPr="003C5315">
              <w:rPr>
                <w:sz w:val="17"/>
                <w:szCs w:val="17"/>
              </w:rPr>
              <w:lastRenderedPageBreak/>
              <w:t xml:space="preserve">However, we caution against introducing prescriptive quantitative disclosure requirements at this stage, particularly in areas where clear links to underlying emissions do not exist or are highly ambiguous. For example, in the case of financial derivatives, insurers typically hold significant positions for hedging and risk management purposes. These do not directly relate to financed or facilitated emissions, except in limited cases such as commodity-linked contracts. Requiring disclosure of the “amount” of such excluded derivatives risks creating confusion and misinterpretation among users, as such figures may not reflect real-world emissions exposure. </w:t>
            </w:r>
          </w:p>
          <w:p w14:paraId="23246F65" w14:textId="3D19311D" w:rsidR="005608E5" w:rsidRPr="003C5315" w:rsidRDefault="005608E5" w:rsidP="665E0AB1">
            <w:pPr>
              <w:spacing w:line="240" w:lineRule="auto"/>
              <w:rPr>
                <w:sz w:val="17"/>
                <w:szCs w:val="17"/>
              </w:rPr>
            </w:pPr>
          </w:p>
          <w:p w14:paraId="61F4CEF0" w14:textId="49991035" w:rsidR="005608E5" w:rsidRPr="003C5315" w:rsidRDefault="74C056E3" w:rsidP="665E0AB1">
            <w:pPr>
              <w:spacing w:line="240" w:lineRule="auto"/>
              <w:rPr>
                <w:sz w:val="17"/>
                <w:szCs w:val="17"/>
              </w:rPr>
            </w:pPr>
            <w:r w:rsidRPr="003C5315">
              <w:rPr>
                <w:sz w:val="17"/>
                <w:szCs w:val="17"/>
              </w:rPr>
              <w:t xml:space="preserve">Similarly, the requirement to disclose insurance-related exclusions using Gross Written Premiums is not appropriate. GWP does not account for the level of influence insurers have over different types of policyholders, the social role of certain lines of business (e.g. health insurance), or the fact that beneficiaries of insurance contracts often extend beyond policyholders themselves. As such, </w:t>
            </w:r>
            <w:r w:rsidR="008C4331" w:rsidRPr="003C5315">
              <w:rPr>
                <w:sz w:val="17"/>
                <w:szCs w:val="17"/>
              </w:rPr>
              <w:t>these metric lacks</w:t>
            </w:r>
            <w:r w:rsidRPr="003C5315">
              <w:rPr>
                <w:sz w:val="17"/>
                <w:szCs w:val="17"/>
              </w:rPr>
              <w:t xml:space="preserve"> relevance and could obscure rather than clarify the scope and nature of emissions excluded from reporting. </w:t>
            </w:r>
          </w:p>
          <w:p w14:paraId="75FB5908" w14:textId="1F76F3A8" w:rsidR="005608E5" w:rsidRPr="003C5315" w:rsidRDefault="74C056E3" w:rsidP="665E0AB1">
            <w:pPr>
              <w:spacing w:line="240" w:lineRule="auto"/>
              <w:rPr>
                <w:sz w:val="17"/>
                <w:szCs w:val="17"/>
              </w:rPr>
            </w:pPr>
            <w:r w:rsidRPr="003C5315">
              <w:rPr>
                <w:sz w:val="17"/>
                <w:szCs w:val="17"/>
              </w:rPr>
              <w:t xml:space="preserve"> </w:t>
            </w:r>
          </w:p>
          <w:p w14:paraId="3A032194" w14:textId="05512BC5" w:rsidR="005608E5" w:rsidRPr="003C5315" w:rsidRDefault="74C056E3" w:rsidP="665E0AB1">
            <w:pPr>
              <w:spacing w:line="240" w:lineRule="auto"/>
              <w:rPr>
                <w:sz w:val="17"/>
                <w:szCs w:val="17"/>
              </w:rPr>
            </w:pPr>
            <w:r w:rsidRPr="003C5315">
              <w:rPr>
                <w:sz w:val="17"/>
                <w:szCs w:val="17"/>
              </w:rPr>
              <w:t xml:space="preserve">In both cases, we believe a more meaningful and decision-useful approach would be to allow entities to explain exclusions through narrative disclosures, providing context on the types of financial or insurance activities excluded, their purpose, and the reasons for exclusion. This approach would also give insurers the opportunity to describe complementary actions undertaken to support decarbonisation and resilience, such as adapting underwriting policies, offering incentives to policyholders, or engaging in risk prevention and repair-focused claims management. </w:t>
            </w:r>
          </w:p>
          <w:p w14:paraId="58AC51CD" w14:textId="649C7064" w:rsidR="005608E5" w:rsidRPr="003C5315" w:rsidRDefault="74C056E3" w:rsidP="665E0AB1">
            <w:pPr>
              <w:spacing w:line="240" w:lineRule="auto"/>
              <w:rPr>
                <w:sz w:val="17"/>
                <w:szCs w:val="17"/>
              </w:rPr>
            </w:pPr>
            <w:r w:rsidRPr="003C5315">
              <w:rPr>
                <w:sz w:val="17"/>
                <w:szCs w:val="17"/>
              </w:rPr>
              <w:t xml:space="preserve"> </w:t>
            </w:r>
          </w:p>
          <w:p w14:paraId="2249917C" w14:textId="60381082" w:rsidR="005608E5" w:rsidRPr="003C5315" w:rsidRDefault="74C056E3" w:rsidP="665E0AB1">
            <w:pPr>
              <w:spacing w:line="240" w:lineRule="auto"/>
              <w:rPr>
                <w:sz w:val="17"/>
                <w:szCs w:val="17"/>
              </w:rPr>
            </w:pPr>
            <w:r w:rsidRPr="003C5315">
              <w:rPr>
                <w:sz w:val="17"/>
                <w:szCs w:val="17"/>
              </w:rPr>
              <w:t xml:space="preserve">We also emphasise that while insurers can contribute to the transition through underwriting and investment practices, they often operate within legal, regulatory, and social frameworks that limit their ability to control </w:t>
            </w:r>
            <w:proofErr w:type="gramStart"/>
            <w:r w:rsidRPr="003C5315">
              <w:rPr>
                <w:sz w:val="17"/>
                <w:szCs w:val="17"/>
              </w:rPr>
              <w:t>counterparties’</w:t>
            </w:r>
            <w:proofErr w:type="gramEnd"/>
            <w:r w:rsidRPr="003C5315">
              <w:rPr>
                <w:sz w:val="17"/>
                <w:szCs w:val="17"/>
              </w:rPr>
              <w:t xml:space="preserve"> or policyholders’ emissions. It is important to avoid overstating insurers’ influence in areas where their leverage is limited or indirect. At the same time, insurers play a key enabling role in the transition, through the products and services they offer, the incentives they design, and the resilience they help build across sectors. </w:t>
            </w:r>
          </w:p>
          <w:p w14:paraId="1BA71DAF" w14:textId="0D8957D2" w:rsidR="005608E5" w:rsidRPr="003C5315" w:rsidRDefault="74C056E3" w:rsidP="665E0AB1">
            <w:pPr>
              <w:spacing w:line="240" w:lineRule="auto"/>
              <w:rPr>
                <w:sz w:val="17"/>
                <w:szCs w:val="17"/>
              </w:rPr>
            </w:pPr>
            <w:r w:rsidRPr="003C5315">
              <w:rPr>
                <w:sz w:val="17"/>
                <w:szCs w:val="17"/>
              </w:rPr>
              <w:t xml:space="preserve"> </w:t>
            </w:r>
          </w:p>
          <w:p w14:paraId="78538E5E" w14:textId="65076C9F" w:rsidR="005608E5" w:rsidRPr="003C5315" w:rsidRDefault="74C056E3" w:rsidP="665E0AB1">
            <w:pPr>
              <w:spacing w:line="240" w:lineRule="auto"/>
              <w:rPr>
                <w:sz w:val="17"/>
                <w:szCs w:val="17"/>
              </w:rPr>
            </w:pPr>
            <w:r w:rsidRPr="003C5315">
              <w:rPr>
                <w:sz w:val="17"/>
                <w:szCs w:val="17"/>
              </w:rPr>
              <w:t>In conclusion, while we remain supportive of the broader transparency goals underpinning IFRS S2, we recommend that EFRAG advocate for greater flexibility and proportionality in how exclusions are communicated. Narrative, qualitative disclosures</w:t>
            </w:r>
            <w:r w:rsidR="009A75E5" w:rsidRPr="003C5315">
              <w:rPr>
                <w:sz w:val="17"/>
                <w:szCs w:val="17"/>
              </w:rPr>
              <w:t xml:space="preserve">, </w:t>
            </w:r>
            <w:r w:rsidRPr="003C5315">
              <w:rPr>
                <w:sz w:val="17"/>
                <w:szCs w:val="17"/>
              </w:rPr>
              <w:t>rather than mandatory, standardised figures</w:t>
            </w:r>
            <w:r w:rsidR="009A75E5" w:rsidRPr="003C5315">
              <w:rPr>
                <w:sz w:val="17"/>
                <w:szCs w:val="17"/>
              </w:rPr>
              <w:t xml:space="preserve">, </w:t>
            </w:r>
            <w:r w:rsidRPr="003C5315">
              <w:rPr>
                <w:sz w:val="17"/>
                <w:szCs w:val="17"/>
              </w:rPr>
              <w:t>are more appropriate at this stage to reflect the true complexity of insurers’ activities and ensure disclosures remain both accurate and useful.</w:t>
            </w:r>
          </w:p>
        </w:tc>
      </w:tr>
    </w:tbl>
    <w:p w14:paraId="62D59FBE" w14:textId="77777777" w:rsidR="005608E5" w:rsidRPr="003C5315" w:rsidRDefault="005608E5" w:rsidP="006E720C">
      <w:pPr>
        <w:spacing w:line="240" w:lineRule="auto"/>
        <w:jc w:val="left"/>
        <w:rPr>
          <w:sz w:val="17"/>
          <w:szCs w:val="17"/>
        </w:rPr>
      </w:pPr>
    </w:p>
    <w:p w14:paraId="359AA760" w14:textId="77777777" w:rsidR="005E1114" w:rsidRPr="003C5315" w:rsidRDefault="005E1114" w:rsidP="006E720C">
      <w:pPr>
        <w:spacing w:line="240" w:lineRule="auto"/>
        <w:jc w:val="left"/>
        <w:rPr>
          <w:sz w:val="17"/>
          <w:szCs w:val="17"/>
        </w:rPr>
      </w:pPr>
    </w:p>
    <w:p w14:paraId="57A81773" w14:textId="54A0F5BD" w:rsidR="005E1114" w:rsidRPr="003C5315" w:rsidRDefault="00A4400C" w:rsidP="006E720C">
      <w:pPr>
        <w:spacing w:line="240" w:lineRule="auto"/>
        <w:jc w:val="left"/>
        <w:rPr>
          <w:b/>
          <w:bCs/>
          <w:sz w:val="17"/>
          <w:szCs w:val="17"/>
          <w:u w:val="single"/>
        </w:rPr>
      </w:pPr>
      <w:r w:rsidRPr="003C5315">
        <w:rPr>
          <w:b/>
          <w:bCs/>
          <w:sz w:val="17"/>
          <w:szCs w:val="17"/>
          <w:u w:val="single"/>
        </w:rPr>
        <w:t>Question 2 – Use of the Global Industry Classification Standard in applying specific requirements related to financed emissions</w:t>
      </w:r>
    </w:p>
    <w:p w14:paraId="27E1390B" w14:textId="77777777" w:rsidR="00A4400C" w:rsidRPr="003C5315" w:rsidRDefault="00A4400C" w:rsidP="006E720C">
      <w:pPr>
        <w:spacing w:line="240" w:lineRule="auto"/>
        <w:jc w:val="left"/>
        <w:rPr>
          <w:b/>
          <w:bCs/>
          <w:sz w:val="17"/>
          <w:szCs w:val="17"/>
          <w:u w:val="single"/>
        </w:rPr>
      </w:pPr>
    </w:p>
    <w:p w14:paraId="33866F4E" w14:textId="4D2F0EA3" w:rsidR="00A4400C" w:rsidRPr="003C5315" w:rsidRDefault="004A0935" w:rsidP="006E720C">
      <w:pPr>
        <w:spacing w:line="240" w:lineRule="auto"/>
        <w:jc w:val="left"/>
        <w:rPr>
          <w:sz w:val="17"/>
          <w:szCs w:val="17"/>
        </w:rPr>
      </w:pPr>
      <w:r w:rsidRPr="003C5315">
        <w:rPr>
          <w:sz w:val="17"/>
          <w:szCs w:val="17"/>
        </w:rPr>
        <w:t>Do you agree with EFRAG’s position on the use of the Global Industry Classification Standard in applying requirements related to financed emissions?</w:t>
      </w:r>
    </w:p>
    <w:p w14:paraId="6EAC7520" w14:textId="77777777" w:rsidR="004A0935" w:rsidRPr="003C5315" w:rsidRDefault="004A0935" w:rsidP="004A0935">
      <w:pPr>
        <w:pStyle w:val="ListParagraph"/>
        <w:numPr>
          <w:ilvl w:val="0"/>
          <w:numId w:val="7"/>
        </w:numPr>
        <w:spacing w:line="240" w:lineRule="auto"/>
        <w:jc w:val="left"/>
        <w:rPr>
          <w:sz w:val="17"/>
          <w:szCs w:val="17"/>
          <w:highlight w:val="yellow"/>
        </w:rPr>
      </w:pPr>
      <w:r w:rsidRPr="003C5315">
        <w:rPr>
          <w:sz w:val="17"/>
          <w:szCs w:val="17"/>
          <w:highlight w:val="yellow"/>
        </w:rPr>
        <w:t>Yes</w:t>
      </w:r>
    </w:p>
    <w:p w14:paraId="69163406" w14:textId="77777777" w:rsidR="004A0935" w:rsidRPr="003C5315" w:rsidRDefault="004A0935" w:rsidP="004A0935">
      <w:pPr>
        <w:pStyle w:val="ListParagraph"/>
        <w:numPr>
          <w:ilvl w:val="0"/>
          <w:numId w:val="7"/>
        </w:numPr>
        <w:spacing w:line="240" w:lineRule="auto"/>
        <w:jc w:val="left"/>
        <w:rPr>
          <w:sz w:val="17"/>
          <w:szCs w:val="17"/>
        </w:rPr>
      </w:pPr>
      <w:r w:rsidRPr="003C5315">
        <w:rPr>
          <w:sz w:val="17"/>
          <w:szCs w:val="17"/>
        </w:rPr>
        <w:t>No</w:t>
      </w:r>
    </w:p>
    <w:p w14:paraId="13D6BD7F" w14:textId="77777777" w:rsidR="004A0935" w:rsidRPr="003C5315" w:rsidRDefault="004A0935" w:rsidP="004A0935">
      <w:pPr>
        <w:pStyle w:val="ListParagraph"/>
        <w:numPr>
          <w:ilvl w:val="0"/>
          <w:numId w:val="7"/>
        </w:numPr>
        <w:spacing w:line="240" w:lineRule="auto"/>
        <w:jc w:val="left"/>
        <w:rPr>
          <w:sz w:val="17"/>
          <w:szCs w:val="17"/>
        </w:rPr>
      </w:pPr>
      <w:r w:rsidRPr="003C5315">
        <w:rPr>
          <w:sz w:val="17"/>
          <w:szCs w:val="17"/>
        </w:rPr>
        <w:t>Abstain</w:t>
      </w:r>
    </w:p>
    <w:p w14:paraId="30307985" w14:textId="77777777" w:rsidR="004A0935" w:rsidRPr="003C5315" w:rsidRDefault="004A0935" w:rsidP="004A0935">
      <w:pPr>
        <w:spacing w:line="240" w:lineRule="auto"/>
        <w:jc w:val="left"/>
        <w:rPr>
          <w:sz w:val="17"/>
          <w:szCs w:val="17"/>
        </w:rPr>
      </w:pPr>
    </w:p>
    <w:p w14:paraId="4C799095" w14:textId="4EB2A8A0" w:rsidR="004A0935" w:rsidRPr="003C5315" w:rsidRDefault="004A0935" w:rsidP="004A0935">
      <w:pPr>
        <w:spacing w:line="240" w:lineRule="auto"/>
        <w:jc w:val="left"/>
        <w:rPr>
          <w:sz w:val="17"/>
          <w:szCs w:val="17"/>
        </w:rPr>
      </w:pPr>
      <w:r w:rsidRPr="003C5315">
        <w:rPr>
          <w:sz w:val="17"/>
          <w:szCs w:val="17"/>
        </w:rPr>
        <w:t>Please Explain</w:t>
      </w:r>
    </w:p>
    <w:tbl>
      <w:tblPr>
        <w:tblStyle w:val="TableGrid"/>
        <w:tblW w:w="0" w:type="auto"/>
        <w:tblLook w:val="04A0" w:firstRow="1" w:lastRow="0" w:firstColumn="1" w:lastColumn="0" w:noHBand="0" w:noVBand="1"/>
      </w:tblPr>
      <w:tblGrid>
        <w:gridCol w:w="9572"/>
      </w:tblGrid>
      <w:tr w:rsidR="005608E5" w:rsidRPr="003C5315" w14:paraId="248F48EB" w14:textId="77777777" w:rsidTr="665E0AB1">
        <w:tc>
          <w:tcPr>
            <w:tcW w:w="9572" w:type="dxa"/>
          </w:tcPr>
          <w:p w14:paraId="436B8F5B" w14:textId="161C9848" w:rsidR="00CE3D27" w:rsidRPr="003C5315" w:rsidRDefault="00CE3D27" w:rsidP="004A0935">
            <w:pPr>
              <w:spacing w:line="240" w:lineRule="auto"/>
              <w:jc w:val="left"/>
              <w:rPr>
                <w:sz w:val="17"/>
                <w:szCs w:val="17"/>
              </w:rPr>
            </w:pPr>
            <w:r w:rsidRPr="003C5315">
              <w:rPr>
                <w:sz w:val="17"/>
                <w:szCs w:val="17"/>
              </w:rPr>
              <w:t>We agree with EFRAG’s position on the use of the Global Industry Classification Standard (GICS) in applying reporting requirements related to financed emissions. European insurers support the flexibility to use alternative industry-classification systems, as this approach balances the need for comparability with practical feasibility and avoids unnecessary legal, licensing, and cost burdens, especially for entities already subject to other regulatory frameworks. Mandating GICS across all activities could create significant implementation challenges for large, global organisations and may require unproductive annual investigations to verify GICS usage throughout the group.</w:t>
            </w:r>
          </w:p>
          <w:p w14:paraId="6A266064" w14:textId="77777777" w:rsidR="00CE3D27" w:rsidRPr="003C5315" w:rsidRDefault="00CE3D27" w:rsidP="004A0935">
            <w:pPr>
              <w:spacing w:line="240" w:lineRule="auto"/>
              <w:jc w:val="left"/>
              <w:rPr>
                <w:sz w:val="17"/>
                <w:szCs w:val="17"/>
              </w:rPr>
            </w:pPr>
          </w:p>
          <w:p w14:paraId="6B329387" w14:textId="77777777" w:rsidR="005608E5" w:rsidRPr="003C5315" w:rsidRDefault="41CF4DED" w:rsidP="004A0935">
            <w:pPr>
              <w:spacing w:line="240" w:lineRule="auto"/>
              <w:jc w:val="left"/>
              <w:rPr>
                <w:sz w:val="17"/>
                <w:szCs w:val="17"/>
              </w:rPr>
            </w:pPr>
            <w:r w:rsidRPr="003C5315">
              <w:rPr>
                <w:sz w:val="17"/>
                <w:szCs w:val="17"/>
              </w:rPr>
              <w:t>Allowing institutions to apply the most appropriate classification systems for their specific business areas respects existing operational structures and enhances the usability and scalability of IFRS S2, without compromising the decision-usefulness of disclosures. However, we share EFRAG’s concern that the current drafting could undermine intended flexibility, and we support clarifying the requirements to ensure the relief is meaningful and practical for preparers.</w:t>
            </w:r>
          </w:p>
          <w:p w14:paraId="7EDAA23F" w14:textId="1FAE6314" w:rsidR="00225D31" w:rsidRPr="003C5315" w:rsidRDefault="00225D31" w:rsidP="004A0935">
            <w:pPr>
              <w:spacing w:line="240" w:lineRule="auto"/>
              <w:jc w:val="left"/>
              <w:rPr>
                <w:sz w:val="17"/>
                <w:szCs w:val="17"/>
              </w:rPr>
            </w:pPr>
          </w:p>
        </w:tc>
      </w:tr>
    </w:tbl>
    <w:p w14:paraId="5F3EBEDA" w14:textId="77777777" w:rsidR="004A0935" w:rsidRPr="003C5315" w:rsidRDefault="004A0935" w:rsidP="004A0935">
      <w:pPr>
        <w:spacing w:line="240" w:lineRule="auto"/>
        <w:jc w:val="left"/>
        <w:rPr>
          <w:sz w:val="17"/>
          <w:szCs w:val="17"/>
        </w:rPr>
      </w:pPr>
    </w:p>
    <w:p w14:paraId="18C1EB3D" w14:textId="77777777" w:rsidR="004A0935" w:rsidRPr="003C5315" w:rsidRDefault="004A0935" w:rsidP="004A0935">
      <w:pPr>
        <w:spacing w:line="240" w:lineRule="auto"/>
        <w:jc w:val="left"/>
        <w:rPr>
          <w:sz w:val="17"/>
          <w:szCs w:val="17"/>
        </w:rPr>
      </w:pPr>
    </w:p>
    <w:p w14:paraId="2B53192C" w14:textId="0FCDB3B2" w:rsidR="0026095E" w:rsidRPr="003C5315" w:rsidRDefault="0026095E" w:rsidP="004A0935">
      <w:pPr>
        <w:spacing w:line="240" w:lineRule="auto"/>
        <w:jc w:val="left"/>
        <w:rPr>
          <w:b/>
          <w:bCs/>
          <w:sz w:val="17"/>
          <w:szCs w:val="17"/>
          <w:u w:val="single"/>
        </w:rPr>
      </w:pPr>
      <w:r w:rsidRPr="003C5315">
        <w:rPr>
          <w:b/>
          <w:bCs/>
          <w:sz w:val="17"/>
          <w:szCs w:val="17"/>
          <w:u w:val="single"/>
        </w:rPr>
        <w:t>Question 3 – Jurisdictional relief from using the GHG Protocol Corporate Standard</w:t>
      </w:r>
    </w:p>
    <w:p w14:paraId="23D29B8B" w14:textId="77777777" w:rsidR="0026095E" w:rsidRPr="003C5315" w:rsidRDefault="0026095E" w:rsidP="004A0935">
      <w:pPr>
        <w:spacing w:line="240" w:lineRule="auto"/>
        <w:jc w:val="left"/>
        <w:rPr>
          <w:sz w:val="17"/>
          <w:szCs w:val="17"/>
        </w:rPr>
      </w:pPr>
    </w:p>
    <w:p w14:paraId="36FD6909" w14:textId="189FED3E" w:rsidR="0026095E" w:rsidRPr="003C5315" w:rsidRDefault="0026095E" w:rsidP="004A0935">
      <w:pPr>
        <w:spacing w:line="240" w:lineRule="auto"/>
        <w:jc w:val="left"/>
        <w:rPr>
          <w:sz w:val="17"/>
          <w:szCs w:val="17"/>
        </w:rPr>
      </w:pPr>
      <w:r w:rsidRPr="003C5315">
        <w:rPr>
          <w:sz w:val="17"/>
          <w:szCs w:val="17"/>
        </w:rPr>
        <w:lastRenderedPageBreak/>
        <w:t>Do you agree with EFRAG’s position</w:t>
      </w:r>
      <w:r w:rsidR="009E4575" w:rsidRPr="003C5315">
        <w:rPr>
          <w:sz w:val="17"/>
          <w:szCs w:val="17"/>
        </w:rPr>
        <w:t xml:space="preserve"> on Jurisdictional relief from using the GHG Protocol Corporate Standards</w:t>
      </w:r>
      <w:r w:rsidR="00E70BD5" w:rsidRPr="003C5315">
        <w:rPr>
          <w:sz w:val="17"/>
          <w:szCs w:val="17"/>
        </w:rPr>
        <w:t>?</w:t>
      </w:r>
    </w:p>
    <w:p w14:paraId="7C7F71FE" w14:textId="77777777" w:rsidR="00E70BD5" w:rsidRPr="003C5315" w:rsidRDefault="00E70BD5" w:rsidP="00E70BD5">
      <w:pPr>
        <w:pStyle w:val="ListParagraph"/>
        <w:numPr>
          <w:ilvl w:val="0"/>
          <w:numId w:val="7"/>
        </w:numPr>
        <w:spacing w:line="240" w:lineRule="auto"/>
        <w:jc w:val="left"/>
        <w:rPr>
          <w:sz w:val="17"/>
          <w:szCs w:val="17"/>
          <w:highlight w:val="yellow"/>
        </w:rPr>
      </w:pPr>
      <w:r w:rsidRPr="003C5315">
        <w:rPr>
          <w:sz w:val="17"/>
          <w:szCs w:val="17"/>
          <w:highlight w:val="yellow"/>
        </w:rPr>
        <w:t>Yes</w:t>
      </w:r>
    </w:p>
    <w:p w14:paraId="40452352" w14:textId="77777777" w:rsidR="00E70BD5" w:rsidRPr="003C5315" w:rsidRDefault="00E70BD5" w:rsidP="00E70BD5">
      <w:pPr>
        <w:pStyle w:val="ListParagraph"/>
        <w:numPr>
          <w:ilvl w:val="0"/>
          <w:numId w:val="7"/>
        </w:numPr>
        <w:spacing w:line="240" w:lineRule="auto"/>
        <w:jc w:val="left"/>
        <w:rPr>
          <w:sz w:val="17"/>
          <w:szCs w:val="17"/>
        </w:rPr>
      </w:pPr>
      <w:r w:rsidRPr="003C5315">
        <w:rPr>
          <w:sz w:val="17"/>
          <w:szCs w:val="17"/>
        </w:rPr>
        <w:t>No</w:t>
      </w:r>
    </w:p>
    <w:p w14:paraId="3768D8FB" w14:textId="77777777" w:rsidR="00E70BD5" w:rsidRPr="003C5315" w:rsidRDefault="00E70BD5" w:rsidP="00E70BD5">
      <w:pPr>
        <w:pStyle w:val="ListParagraph"/>
        <w:numPr>
          <w:ilvl w:val="0"/>
          <w:numId w:val="7"/>
        </w:numPr>
        <w:spacing w:line="240" w:lineRule="auto"/>
        <w:jc w:val="left"/>
        <w:rPr>
          <w:sz w:val="17"/>
          <w:szCs w:val="17"/>
        </w:rPr>
      </w:pPr>
      <w:r w:rsidRPr="003C5315">
        <w:rPr>
          <w:sz w:val="17"/>
          <w:szCs w:val="17"/>
        </w:rPr>
        <w:t>Abstain</w:t>
      </w:r>
    </w:p>
    <w:p w14:paraId="4C58E701" w14:textId="77777777" w:rsidR="00E70BD5" w:rsidRPr="003C5315" w:rsidRDefault="00E70BD5" w:rsidP="00E70BD5">
      <w:pPr>
        <w:spacing w:line="240" w:lineRule="auto"/>
        <w:jc w:val="left"/>
        <w:rPr>
          <w:sz w:val="17"/>
          <w:szCs w:val="17"/>
        </w:rPr>
      </w:pPr>
    </w:p>
    <w:p w14:paraId="6FA733E9" w14:textId="09A2F8B1" w:rsidR="00E70BD5" w:rsidRPr="003C5315" w:rsidRDefault="00E70BD5" w:rsidP="00E70BD5">
      <w:pPr>
        <w:spacing w:line="240" w:lineRule="auto"/>
        <w:jc w:val="left"/>
        <w:rPr>
          <w:sz w:val="17"/>
          <w:szCs w:val="17"/>
        </w:rPr>
      </w:pPr>
      <w:r w:rsidRPr="003C5315">
        <w:rPr>
          <w:sz w:val="17"/>
          <w:szCs w:val="17"/>
        </w:rPr>
        <w:t>Please Explain</w:t>
      </w:r>
    </w:p>
    <w:tbl>
      <w:tblPr>
        <w:tblStyle w:val="TableGrid"/>
        <w:tblW w:w="0" w:type="auto"/>
        <w:tblLook w:val="04A0" w:firstRow="1" w:lastRow="0" w:firstColumn="1" w:lastColumn="0" w:noHBand="0" w:noVBand="1"/>
      </w:tblPr>
      <w:tblGrid>
        <w:gridCol w:w="9572"/>
      </w:tblGrid>
      <w:tr w:rsidR="005608E5" w:rsidRPr="003C5315" w14:paraId="41857E1F" w14:textId="77777777" w:rsidTr="005608E5">
        <w:tc>
          <w:tcPr>
            <w:tcW w:w="9572" w:type="dxa"/>
          </w:tcPr>
          <w:p w14:paraId="11E4F9C6" w14:textId="77777777" w:rsidR="00606BD6" w:rsidRPr="003C5315" w:rsidRDefault="00606BD6" w:rsidP="00606BD6">
            <w:pPr>
              <w:spacing w:line="240" w:lineRule="auto"/>
              <w:rPr>
                <w:sz w:val="17"/>
                <w:szCs w:val="17"/>
              </w:rPr>
            </w:pPr>
          </w:p>
          <w:p w14:paraId="05281522" w14:textId="77777777" w:rsidR="00486BF5" w:rsidRPr="003C5315" w:rsidRDefault="00486BF5" w:rsidP="00486BF5">
            <w:pPr>
              <w:spacing w:line="240" w:lineRule="auto"/>
              <w:rPr>
                <w:sz w:val="17"/>
                <w:szCs w:val="17"/>
              </w:rPr>
            </w:pPr>
            <w:r w:rsidRPr="003C5315">
              <w:rPr>
                <w:sz w:val="17"/>
                <w:szCs w:val="17"/>
              </w:rPr>
              <w:t>European insurers broadly support EFRAG’s position on the proposed clarification of jurisdictional relief for greenhouse gas emissions measurement. This amendment provides essential flexibility for entities operating in multiple jurisdictions by allowing them to comply with local regulations that may require alternative methodologies for specific parts of the entity, such as subsidiaries in different jurisdictions. By reducing duplicative reporting and administrative burden, this approach enhances regulatory alignment and ensures entities can meet both global and local requirements efficiently.</w:t>
            </w:r>
          </w:p>
          <w:p w14:paraId="3EAAC943" w14:textId="77777777" w:rsidR="007F2CB3" w:rsidRPr="003C5315" w:rsidRDefault="007F2CB3" w:rsidP="00486BF5">
            <w:pPr>
              <w:spacing w:line="240" w:lineRule="auto"/>
              <w:rPr>
                <w:sz w:val="17"/>
                <w:szCs w:val="17"/>
              </w:rPr>
            </w:pPr>
          </w:p>
          <w:p w14:paraId="32A6BBF5" w14:textId="1C11C991" w:rsidR="00D3305E" w:rsidRPr="003C5315" w:rsidRDefault="00836048" w:rsidP="00D3305E">
            <w:pPr>
              <w:spacing w:line="240" w:lineRule="auto"/>
              <w:rPr>
                <w:sz w:val="17"/>
                <w:szCs w:val="17"/>
              </w:rPr>
            </w:pPr>
            <w:r w:rsidRPr="003C5315">
              <w:rPr>
                <w:sz w:val="17"/>
                <w:szCs w:val="17"/>
              </w:rPr>
              <w:t>However, we emphasise that the scope of this relief must be strictly limited to situations where local regulations mandate an alternative methodology. As the GHG Protocol serves as an internationally recognised standard and reference for GHG accounting, using alternative methods risks undermining the consistency and comparability of reported data across entities and jurisdictions. Expanding this flexibility beyond cases required by local regulations could further jeopardize data alignment. We encourage the ISSB to safeguard the integrity of global reporting standards by restricting optionality in methodology selection and continuing collaboration on updates to the GHG Protocol.</w:t>
            </w:r>
          </w:p>
        </w:tc>
      </w:tr>
    </w:tbl>
    <w:p w14:paraId="126CAAAA" w14:textId="77777777" w:rsidR="00657044" w:rsidRPr="003C5315" w:rsidRDefault="00657044" w:rsidP="00E70BD5">
      <w:pPr>
        <w:spacing w:line="240" w:lineRule="auto"/>
        <w:jc w:val="left"/>
        <w:rPr>
          <w:sz w:val="17"/>
          <w:szCs w:val="17"/>
        </w:rPr>
      </w:pPr>
    </w:p>
    <w:p w14:paraId="291106FF" w14:textId="4DA029B0" w:rsidR="00657044" w:rsidRPr="003C5315" w:rsidRDefault="00657044" w:rsidP="00E70BD5">
      <w:pPr>
        <w:spacing w:line="240" w:lineRule="auto"/>
        <w:jc w:val="left"/>
        <w:rPr>
          <w:b/>
          <w:bCs/>
          <w:sz w:val="17"/>
          <w:szCs w:val="17"/>
          <w:u w:val="single"/>
        </w:rPr>
      </w:pPr>
      <w:r w:rsidRPr="003C5315">
        <w:rPr>
          <w:b/>
          <w:bCs/>
          <w:sz w:val="17"/>
          <w:szCs w:val="17"/>
          <w:u w:val="single"/>
        </w:rPr>
        <w:t xml:space="preserve">Question 4 </w:t>
      </w:r>
      <w:r w:rsidR="00EE22DB" w:rsidRPr="003C5315">
        <w:rPr>
          <w:b/>
          <w:bCs/>
          <w:sz w:val="17"/>
          <w:szCs w:val="17"/>
          <w:u w:val="single"/>
        </w:rPr>
        <w:t>– Applicability of jurisdictional relief for global warming potential values</w:t>
      </w:r>
      <w:r w:rsidR="008719EA" w:rsidRPr="003C5315">
        <w:rPr>
          <w:b/>
          <w:bCs/>
          <w:sz w:val="17"/>
          <w:szCs w:val="17"/>
          <w:u w:val="single"/>
        </w:rPr>
        <w:t>?</w:t>
      </w:r>
    </w:p>
    <w:p w14:paraId="5F494E2D" w14:textId="77777777" w:rsidR="008719EA" w:rsidRPr="003C5315" w:rsidRDefault="008719EA" w:rsidP="00E70BD5">
      <w:pPr>
        <w:spacing w:line="240" w:lineRule="auto"/>
        <w:jc w:val="left"/>
        <w:rPr>
          <w:sz w:val="17"/>
          <w:szCs w:val="17"/>
        </w:rPr>
      </w:pPr>
    </w:p>
    <w:p w14:paraId="7AEF2FB9" w14:textId="1FA6A45A" w:rsidR="008719EA" w:rsidRPr="003C5315" w:rsidRDefault="008719EA" w:rsidP="00E70BD5">
      <w:pPr>
        <w:spacing w:line="240" w:lineRule="auto"/>
        <w:jc w:val="left"/>
        <w:rPr>
          <w:sz w:val="17"/>
          <w:szCs w:val="17"/>
        </w:rPr>
      </w:pPr>
      <w:r w:rsidRPr="003C5315">
        <w:rPr>
          <w:sz w:val="17"/>
          <w:szCs w:val="17"/>
        </w:rPr>
        <w:t>Do you agree with EFRAG’s position on the applicability of jurisdictional relief for global warming potential values?</w:t>
      </w:r>
    </w:p>
    <w:p w14:paraId="6B0703D0" w14:textId="77777777" w:rsidR="008719EA" w:rsidRPr="003C5315" w:rsidRDefault="008719EA" w:rsidP="665E0AB1">
      <w:pPr>
        <w:pStyle w:val="ListParagraph"/>
        <w:numPr>
          <w:ilvl w:val="0"/>
          <w:numId w:val="7"/>
        </w:numPr>
        <w:spacing w:line="240" w:lineRule="auto"/>
        <w:jc w:val="left"/>
        <w:rPr>
          <w:sz w:val="17"/>
          <w:szCs w:val="17"/>
          <w:highlight w:val="yellow"/>
        </w:rPr>
      </w:pPr>
      <w:r w:rsidRPr="003C5315">
        <w:rPr>
          <w:sz w:val="17"/>
          <w:szCs w:val="17"/>
          <w:highlight w:val="yellow"/>
        </w:rPr>
        <w:t>Yes</w:t>
      </w:r>
    </w:p>
    <w:p w14:paraId="072A36DB" w14:textId="77777777" w:rsidR="008719EA" w:rsidRPr="003C5315" w:rsidRDefault="008719EA" w:rsidP="008719EA">
      <w:pPr>
        <w:pStyle w:val="ListParagraph"/>
        <w:numPr>
          <w:ilvl w:val="0"/>
          <w:numId w:val="7"/>
        </w:numPr>
        <w:spacing w:line="240" w:lineRule="auto"/>
        <w:jc w:val="left"/>
        <w:rPr>
          <w:sz w:val="17"/>
          <w:szCs w:val="17"/>
        </w:rPr>
      </w:pPr>
      <w:r w:rsidRPr="003C5315">
        <w:rPr>
          <w:sz w:val="17"/>
          <w:szCs w:val="17"/>
        </w:rPr>
        <w:t>No</w:t>
      </w:r>
    </w:p>
    <w:p w14:paraId="79871F6F" w14:textId="77777777" w:rsidR="008719EA" w:rsidRPr="003C5315" w:rsidRDefault="008719EA" w:rsidP="008719EA">
      <w:pPr>
        <w:pStyle w:val="ListParagraph"/>
        <w:numPr>
          <w:ilvl w:val="0"/>
          <w:numId w:val="7"/>
        </w:numPr>
        <w:spacing w:line="240" w:lineRule="auto"/>
        <w:jc w:val="left"/>
        <w:rPr>
          <w:sz w:val="17"/>
          <w:szCs w:val="17"/>
        </w:rPr>
      </w:pPr>
      <w:r w:rsidRPr="003C5315">
        <w:rPr>
          <w:sz w:val="17"/>
          <w:szCs w:val="17"/>
        </w:rPr>
        <w:t>Abstain</w:t>
      </w:r>
    </w:p>
    <w:p w14:paraId="4FCDE826" w14:textId="77777777" w:rsidR="008719EA" w:rsidRPr="003C5315" w:rsidRDefault="008719EA" w:rsidP="008719EA">
      <w:pPr>
        <w:spacing w:line="240" w:lineRule="auto"/>
        <w:jc w:val="left"/>
        <w:rPr>
          <w:sz w:val="17"/>
          <w:szCs w:val="17"/>
        </w:rPr>
      </w:pPr>
    </w:p>
    <w:p w14:paraId="152FEF96" w14:textId="294FD957" w:rsidR="008719EA" w:rsidRPr="003C5315" w:rsidRDefault="008719EA" w:rsidP="008719EA">
      <w:pPr>
        <w:spacing w:line="240" w:lineRule="auto"/>
        <w:jc w:val="left"/>
        <w:rPr>
          <w:sz w:val="17"/>
          <w:szCs w:val="17"/>
        </w:rPr>
      </w:pPr>
      <w:r w:rsidRPr="003C5315">
        <w:rPr>
          <w:sz w:val="17"/>
          <w:szCs w:val="17"/>
        </w:rPr>
        <w:t>Please Explain</w:t>
      </w:r>
    </w:p>
    <w:tbl>
      <w:tblPr>
        <w:tblStyle w:val="TableGrid"/>
        <w:tblW w:w="0" w:type="auto"/>
        <w:tblLook w:val="04A0" w:firstRow="1" w:lastRow="0" w:firstColumn="1" w:lastColumn="0" w:noHBand="0" w:noVBand="1"/>
      </w:tblPr>
      <w:tblGrid>
        <w:gridCol w:w="9572"/>
      </w:tblGrid>
      <w:tr w:rsidR="005608E5" w:rsidRPr="003C5315" w14:paraId="3A334510" w14:textId="77777777" w:rsidTr="665E0AB1">
        <w:tc>
          <w:tcPr>
            <w:tcW w:w="9572" w:type="dxa"/>
          </w:tcPr>
          <w:p w14:paraId="0A93275A" w14:textId="77777777" w:rsidR="009F7520" w:rsidRPr="003C5315" w:rsidRDefault="009F7520" w:rsidP="009F7520">
            <w:pPr>
              <w:spacing w:line="240" w:lineRule="auto"/>
              <w:rPr>
                <w:sz w:val="17"/>
                <w:szCs w:val="17"/>
              </w:rPr>
            </w:pPr>
            <w:r w:rsidRPr="003C5315">
              <w:rPr>
                <w:sz w:val="17"/>
                <w:szCs w:val="17"/>
              </w:rPr>
              <w:t>We agree with EFRAG’s position on extending jurisdictional relief for the use of global warming potential (GWP) values. European insurers support this amendment because it addresses the practical challenges faced by entities operating in multiple jurisdictions that may require different GWP values than those specified in IFRS S2. The proposed relief reduces duplicative effort and compliance costs, allowing insurers to meet both local and global reporting requirements efficiently. This flexibility is particularly important for multinational insurers navigating diverse regulatory environments.</w:t>
            </w:r>
          </w:p>
          <w:p w14:paraId="70876A43" w14:textId="77777777" w:rsidR="009F7520" w:rsidRPr="003C5315" w:rsidRDefault="009F7520" w:rsidP="009F7520">
            <w:pPr>
              <w:spacing w:line="240" w:lineRule="auto"/>
              <w:rPr>
                <w:sz w:val="17"/>
                <w:szCs w:val="17"/>
              </w:rPr>
            </w:pPr>
          </w:p>
          <w:p w14:paraId="4A59595F" w14:textId="29E0BCE1" w:rsidR="009F7520" w:rsidRPr="003C5315" w:rsidRDefault="004F61DD" w:rsidP="009F7520">
            <w:pPr>
              <w:spacing w:line="240" w:lineRule="auto"/>
              <w:rPr>
                <w:sz w:val="17"/>
                <w:szCs w:val="17"/>
              </w:rPr>
            </w:pPr>
            <w:r w:rsidRPr="003C5315">
              <w:rPr>
                <w:sz w:val="17"/>
                <w:szCs w:val="17"/>
              </w:rPr>
              <w:t>However, w</w:t>
            </w:r>
            <w:r w:rsidR="009F7520" w:rsidRPr="003C5315">
              <w:rPr>
                <w:sz w:val="17"/>
                <w:szCs w:val="17"/>
              </w:rPr>
              <w:t>hile we support the need for flexibility where jurisdictional authorities may require entities to use GWP values other than those specified by the IPCC, it is essential to recognize that IPCC GWP values are scientifically established and widely used at the international level. These values should remain the standard basis for global warming potential calculations to ensure consistency and comparability in reporting. By allowing practical jurisdictional adjustments while maintaining the IPCC values as the reference point, the amendment strikes a balance between regulatory coherence and operational practicality.</w:t>
            </w:r>
          </w:p>
          <w:p w14:paraId="4087F0F2" w14:textId="2ADBA433" w:rsidR="005608E5" w:rsidRPr="003C5315" w:rsidRDefault="005608E5" w:rsidP="00853E75">
            <w:pPr>
              <w:spacing w:line="240" w:lineRule="auto"/>
              <w:rPr>
                <w:sz w:val="17"/>
                <w:szCs w:val="17"/>
              </w:rPr>
            </w:pPr>
          </w:p>
        </w:tc>
      </w:tr>
    </w:tbl>
    <w:p w14:paraId="6F12239A" w14:textId="77777777" w:rsidR="005608E5" w:rsidRPr="003C5315" w:rsidRDefault="005608E5" w:rsidP="008719EA">
      <w:pPr>
        <w:spacing w:line="240" w:lineRule="auto"/>
        <w:jc w:val="left"/>
        <w:rPr>
          <w:sz w:val="17"/>
          <w:szCs w:val="17"/>
        </w:rPr>
      </w:pPr>
    </w:p>
    <w:sectPr w:rsidR="005608E5" w:rsidRPr="003C5315" w:rsidSect="0016089A">
      <w:headerReference w:type="default" r:id="rId12"/>
      <w:footerReference w:type="default" r:id="rId13"/>
      <w:headerReference w:type="first" r:id="rId14"/>
      <w:footerReference w:type="first" r:id="rId15"/>
      <w:pgSz w:w="11907" w:h="16839" w:code="9"/>
      <w:pgMar w:top="2410" w:right="907" w:bottom="1253" w:left="1418" w:header="709"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433D" w14:textId="77777777" w:rsidR="008D14A8" w:rsidRDefault="008D14A8" w:rsidP="0016089A">
      <w:pPr>
        <w:spacing w:line="240" w:lineRule="auto"/>
      </w:pPr>
      <w:r>
        <w:separator/>
      </w:r>
    </w:p>
  </w:endnote>
  <w:endnote w:type="continuationSeparator" w:id="0">
    <w:p w14:paraId="505A6B0F" w14:textId="77777777" w:rsidR="008D14A8" w:rsidRDefault="008D14A8" w:rsidP="0016089A">
      <w:pPr>
        <w:spacing w:line="240" w:lineRule="auto"/>
      </w:pPr>
      <w:r>
        <w:continuationSeparator/>
      </w:r>
    </w:p>
  </w:endnote>
  <w:endnote w:type="continuationNotice" w:id="1">
    <w:p w14:paraId="59444C31" w14:textId="77777777" w:rsidR="008D14A8" w:rsidRDefault="008D14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0AA7" w14:textId="77777777" w:rsidR="00CB7858" w:rsidRPr="008E38C2" w:rsidRDefault="00E20C68" w:rsidP="00E20C68">
    <w:pPr>
      <w:framePr w:w="708" w:h="391" w:hRule="exact" w:hSpace="181" w:wrap="around" w:vAnchor="page" w:hAnchor="page" w:x="10320" w:y="16111" w:anchorLock="1"/>
      <w:jc w:val="right"/>
      <w:rPr>
        <w:rFonts w:cs="Tahoma"/>
        <w:color w:val="002957"/>
        <w:sz w:val="16"/>
        <w:szCs w:val="14"/>
      </w:rPr>
    </w:pPr>
    <w:r w:rsidRPr="008E38C2">
      <w:rPr>
        <w:rFonts w:cs="Tahoma"/>
        <w:color w:val="002957"/>
        <w:sz w:val="14"/>
        <w:szCs w:val="12"/>
      </w:rPr>
      <w:fldChar w:fldCharType="begin"/>
    </w:r>
    <w:r w:rsidRPr="008E38C2">
      <w:rPr>
        <w:rFonts w:cs="Tahoma"/>
        <w:color w:val="002957"/>
        <w:sz w:val="14"/>
        <w:szCs w:val="12"/>
      </w:rPr>
      <w:instrText xml:space="preserve"> PAGE   \* MERGEFORMAT </w:instrText>
    </w:r>
    <w:r w:rsidRPr="008E38C2">
      <w:rPr>
        <w:rFonts w:cs="Tahoma"/>
        <w:color w:val="002957"/>
        <w:sz w:val="14"/>
        <w:szCs w:val="12"/>
      </w:rPr>
      <w:fldChar w:fldCharType="separate"/>
    </w:r>
    <w:r w:rsidR="002D5146" w:rsidRPr="008E38C2">
      <w:rPr>
        <w:rFonts w:cs="Tahoma"/>
        <w:noProof/>
        <w:color w:val="002957"/>
        <w:sz w:val="14"/>
        <w:szCs w:val="12"/>
      </w:rPr>
      <w:t>2</w:t>
    </w:r>
    <w:r w:rsidRPr="008E38C2">
      <w:rPr>
        <w:rFonts w:cs="Tahoma"/>
        <w:noProof/>
        <w:color w:val="002957"/>
        <w:sz w:val="14"/>
        <w:szCs w:val="12"/>
      </w:rPr>
      <w:fldChar w:fldCharType="end"/>
    </w:r>
  </w:p>
  <w:p w14:paraId="55F780C8" w14:textId="77777777" w:rsidR="00CB7858" w:rsidRPr="0089179F" w:rsidRDefault="00CB7858" w:rsidP="00CF35FD">
    <w:pPr>
      <w:tabs>
        <w:tab w:val="right" w:pos="10260"/>
      </w:tabs>
      <w:autoSpaceDE w:val="0"/>
      <w:autoSpaceDN w:val="0"/>
      <w:adjustRightInd w:val="0"/>
      <w:ind w:right="23"/>
      <w:jc w:val="right"/>
      <w:textAlignment w:val="center"/>
      <w:rPr>
        <w:color w:val="0000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4111"/>
    </w:tblGrid>
    <w:tr w:rsidR="00AE352F" w14:paraId="2FCD7D2F" w14:textId="77777777" w:rsidTr="004A40C4">
      <w:tc>
        <w:tcPr>
          <w:tcW w:w="5675" w:type="dxa"/>
        </w:tcPr>
        <w:p w14:paraId="00FC5EB9" w14:textId="7E398362" w:rsidR="00C0076E" w:rsidRPr="00E510A9" w:rsidRDefault="00C0076E" w:rsidP="004A40C4">
          <w:pPr>
            <w:pStyle w:val="CEAFooterauthorinfo"/>
            <w:ind w:left="0"/>
            <w:rPr>
              <w:b w:val="0"/>
              <w:color w:val="002957"/>
              <w:sz w:val="14"/>
              <w:szCs w:val="14"/>
              <w:lang w:val="es-AR"/>
            </w:rPr>
          </w:pPr>
          <w:r w:rsidRPr="00E510A9">
            <w:rPr>
              <w:b w:val="0"/>
              <w:color w:val="002957"/>
              <w:sz w:val="14"/>
              <w:szCs w:val="14"/>
              <w:lang w:val="es-AR"/>
            </w:rPr>
            <w:t>Maria Del Mar Narvaez Pineda • Ecofin</w:t>
          </w:r>
        </w:p>
        <w:p w14:paraId="6CCA7E3A" w14:textId="77777777" w:rsidR="00C0076E" w:rsidRPr="00353714" w:rsidRDefault="00C0076E" w:rsidP="004A40C4">
          <w:pPr>
            <w:pStyle w:val="CEAFooterauthorinfo"/>
            <w:ind w:left="0"/>
            <w:rPr>
              <w:b w:val="0"/>
              <w:color w:val="002957"/>
              <w:sz w:val="14"/>
              <w:szCs w:val="14"/>
              <w:lang w:val="fr-BE"/>
            </w:rPr>
          </w:pPr>
          <w:r w:rsidRPr="00353714">
            <w:rPr>
              <w:b w:val="0"/>
              <w:color w:val="002957"/>
              <w:sz w:val="14"/>
              <w:szCs w:val="14"/>
              <w:lang w:val="fr-BE"/>
            </w:rPr>
            <w:t xml:space="preserve">Insurance Europe </w:t>
          </w:r>
          <w:proofErr w:type="spellStart"/>
          <w:r w:rsidRPr="00353714">
            <w:rPr>
              <w:b w:val="0"/>
              <w:color w:val="002957"/>
              <w:sz w:val="14"/>
              <w:szCs w:val="14"/>
              <w:lang w:val="fr-BE"/>
            </w:rPr>
            <w:t>aisbl</w:t>
          </w:r>
          <w:proofErr w:type="spellEnd"/>
          <w:r w:rsidRPr="00353714">
            <w:rPr>
              <w:b w:val="0"/>
              <w:color w:val="002957"/>
              <w:sz w:val="14"/>
              <w:szCs w:val="14"/>
              <w:lang w:val="fr-BE"/>
            </w:rPr>
            <w:t xml:space="preserve"> </w:t>
          </w:r>
          <w:r w:rsidRPr="00CE6BD9">
            <w:rPr>
              <w:b w:val="0"/>
              <w:color w:val="002957"/>
              <w:sz w:val="14"/>
              <w:szCs w:val="14"/>
              <w:lang w:val="pt-PT"/>
            </w:rPr>
            <w:t>•</w:t>
          </w:r>
          <w:r w:rsidRPr="00353714">
            <w:rPr>
              <w:b w:val="0"/>
              <w:color w:val="002957"/>
              <w:sz w:val="14"/>
              <w:szCs w:val="14"/>
              <w:lang w:val="fr-BE"/>
            </w:rPr>
            <w:t xml:space="preserve"> Rue du Champ de Mars 2</w:t>
          </w:r>
          <w:r>
            <w:rPr>
              <w:b w:val="0"/>
              <w:color w:val="002957"/>
              <w:sz w:val="14"/>
              <w:szCs w:val="14"/>
              <w:lang w:val="fr-BE"/>
            </w:rPr>
            <w:t>3</w:t>
          </w:r>
          <w:r w:rsidRPr="00353714">
            <w:rPr>
              <w:b w:val="0"/>
              <w:color w:val="002957"/>
              <w:sz w:val="14"/>
              <w:szCs w:val="14"/>
              <w:lang w:val="fr-BE"/>
            </w:rPr>
            <w:t xml:space="preserve">, </w:t>
          </w:r>
          <w:r>
            <w:rPr>
              <w:b w:val="0"/>
              <w:color w:val="002957"/>
              <w:sz w:val="14"/>
              <w:szCs w:val="14"/>
              <w:lang w:val="fr-BE"/>
            </w:rPr>
            <w:t>B-1050 Brussels</w:t>
          </w:r>
        </w:p>
        <w:p w14:paraId="7D0DC67A" w14:textId="482101E9" w:rsidR="00C0076E" w:rsidRPr="00C0076E" w:rsidRDefault="00C0076E" w:rsidP="004A40C4">
          <w:pPr>
            <w:pStyle w:val="CEAFooterauthorinfo"/>
            <w:ind w:left="0"/>
            <w:rPr>
              <w:b w:val="0"/>
              <w:color w:val="002957"/>
              <w:sz w:val="14"/>
              <w:szCs w:val="14"/>
              <w:lang w:val="pt-PT"/>
            </w:rPr>
          </w:pPr>
          <w:r>
            <w:rPr>
              <w:b w:val="0"/>
              <w:color w:val="002957"/>
              <w:sz w:val="14"/>
              <w:szCs w:val="14"/>
              <w:lang w:val="pt-PT"/>
            </w:rPr>
            <w:t>Tel: +32 2 894 30 49 • E-mail: Narvaez@insuranceeurope.eu</w:t>
          </w:r>
        </w:p>
      </w:tc>
      <w:tc>
        <w:tcPr>
          <w:tcW w:w="4111" w:type="dxa"/>
        </w:tcPr>
        <w:p w14:paraId="14843AB9" w14:textId="261C0F9C" w:rsidR="00C0076E" w:rsidRDefault="00F15E1B" w:rsidP="004A40C4">
          <w:pPr>
            <w:pStyle w:val="CEAFooterauthorinfo"/>
            <w:ind w:left="0"/>
            <w:jc w:val="left"/>
            <w:rPr>
              <w:b w:val="0"/>
              <w:color w:val="002957"/>
              <w:sz w:val="14"/>
              <w:szCs w:val="14"/>
            </w:rPr>
          </w:pPr>
          <w:r w:rsidRPr="00F15E1B">
            <w:rPr>
              <w:b w:val="0"/>
              <w:color w:val="002957"/>
              <w:sz w:val="14"/>
              <w:szCs w:val="14"/>
            </w:rPr>
            <w:t>© Insurance Europe. Confidential, internal document. Not for distribution, all rights reserved.</w:t>
          </w:r>
        </w:p>
      </w:tc>
    </w:tr>
  </w:tbl>
  <w:p w14:paraId="52B6B284" w14:textId="77777777" w:rsidR="00C0076E" w:rsidRDefault="00C0076E" w:rsidP="008303BF">
    <w:pPr>
      <w:pStyle w:val="CEAFooterauthorinfo"/>
      <w:ind w:left="0"/>
      <w:rPr>
        <w:rFonts w:cs="Frutiger LT Std 55 Roman"/>
        <w:b w:val="0"/>
        <w:color w:val="82C55B"/>
        <w:sz w:val="14"/>
        <w:szCs w:val="14"/>
        <w:lang w:val="pt-PT"/>
      </w:rPr>
    </w:pPr>
  </w:p>
  <w:p w14:paraId="3CB87459" w14:textId="7F724899" w:rsidR="00776725" w:rsidRPr="00DD395E" w:rsidRDefault="00776725" w:rsidP="003B6D0D">
    <w:pPr>
      <w:pStyle w:val="CEAFooterauthorinfo"/>
      <w:tabs>
        <w:tab w:val="left" w:pos="7650"/>
      </w:tabs>
      <w:ind w:left="0"/>
      <w:rPr>
        <w:rFonts w:cs="Frutiger LT Std 55 Roman"/>
        <w:b w:val="0"/>
        <w:color w:val="82C55B"/>
        <w:sz w:val="14"/>
        <w:szCs w:val="14"/>
        <w:lang w:val="pt-PT"/>
      </w:rPr>
    </w:pPr>
    <w:r w:rsidRPr="00DD395E">
      <w:rPr>
        <w:rFonts w:cs="Frutiger LT Std 55 Roman"/>
        <w:b w:val="0"/>
        <w:color w:val="82C55B"/>
        <w:sz w:val="14"/>
        <w:szCs w:val="14"/>
        <w:lang w:val="pt-PT"/>
      </w:rPr>
      <w:t>www.insuranceeurope.eu</w:t>
    </w:r>
    <w:r w:rsidR="003B6D0D">
      <w:rPr>
        <w:rFonts w:cs="Frutiger LT Std 55 Roman"/>
        <w:b w:val="0"/>
        <w:color w:val="82C55B"/>
        <w:sz w:val="14"/>
        <w:szCs w:val="14"/>
        <w:lang w:val="pt-P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2CC2" w14:textId="77777777" w:rsidR="008D14A8" w:rsidRDefault="008D14A8" w:rsidP="0016089A">
      <w:pPr>
        <w:spacing w:line="240" w:lineRule="auto"/>
      </w:pPr>
      <w:r>
        <w:separator/>
      </w:r>
    </w:p>
  </w:footnote>
  <w:footnote w:type="continuationSeparator" w:id="0">
    <w:p w14:paraId="582E581C" w14:textId="77777777" w:rsidR="008D14A8" w:rsidRDefault="008D14A8" w:rsidP="0016089A">
      <w:pPr>
        <w:spacing w:line="240" w:lineRule="auto"/>
      </w:pPr>
      <w:r>
        <w:continuationSeparator/>
      </w:r>
    </w:p>
  </w:footnote>
  <w:footnote w:type="continuationNotice" w:id="1">
    <w:p w14:paraId="14E8A72D" w14:textId="77777777" w:rsidR="008D14A8" w:rsidRDefault="008D14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DB8D" w14:textId="77777777" w:rsidR="00CB7858" w:rsidRPr="000846C0" w:rsidRDefault="00CB7858" w:rsidP="000846C0">
    <w:pPr>
      <w:pStyle w:val="Noparagraphstyle"/>
      <w:jc w:val="right"/>
      <w:rPr>
        <w:sz w:val="18"/>
        <w:szCs w:val="18"/>
      </w:rPr>
    </w:pPr>
  </w:p>
  <w:p w14:paraId="74718C28" w14:textId="77777777" w:rsidR="00CB7858" w:rsidRPr="00CE6BD9" w:rsidRDefault="001C366D" w:rsidP="000846C0">
    <w:pPr>
      <w:pStyle w:val="Noparagraphstyle"/>
      <w:jc w:val="right"/>
      <w:rPr>
        <w:rFonts w:ascii="Arial" w:hAnsi="Arial" w:cs="Arial"/>
        <w:i/>
        <w:iCs/>
        <w:color w:val="034EA2"/>
      </w:rPr>
    </w:pPr>
    <w:r>
      <w:tab/>
    </w:r>
  </w:p>
  <w:p w14:paraId="431AD5DD" w14:textId="77777777" w:rsidR="00CB7858" w:rsidRDefault="001C366D" w:rsidP="005C0D74">
    <w:pPr>
      <w:pStyle w:val="Header"/>
      <w:tabs>
        <w:tab w:val="clear" w:pos="4320"/>
        <w:tab w:val="clear" w:pos="8640"/>
        <w:tab w:val="center" w:pos="0"/>
        <w:tab w:val="right" w:pos="10440"/>
      </w:tabs>
      <w:jc w:val="right"/>
      <w:rPr>
        <w:b/>
        <w:color w:val="034EA2"/>
        <w:sz w:val="40"/>
        <w:szCs w:val="40"/>
      </w:rPr>
    </w:pPr>
    <w:r w:rsidRPr="00763D6E">
      <w:rPr>
        <w:b/>
        <w:noProof/>
        <w:sz w:val="40"/>
        <w:szCs w:val="40"/>
        <w:lang w:val="en-US"/>
      </w:rPr>
      <w:drawing>
        <wp:anchor distT="0" distB="0" distL="114300" distR="114300" simplePos="0" relativeHeight="251658241" behindDoc="0" locked="0" layoutInCell="1" allowOverlap="1" wp14:anchorId="42212B25" wp14:editId="0D81137F">
          <wp:simplePos x="0" y="0"/>
          <wp:positionH relativeFrom="page">
            <wp:posOffset>521970</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Pr="005C0D74">
      <w:rPr>
        <w:b/>
        <w:color w:val="034EA2"/>
        <w:sz w:val="28"/>
        <w:szCs w:val="28"/>
      </w:rPr>
      <w:t xml:space="preserve"> </w:t>
    </w:r>
  </w:p>
  <w:p w14:paraId="778B5886" w14:textId="77777777" w:rsidR="00CB7858" w:rsidRDefault="00CB7858" w:rsidP="00665E76">
    <w:pPr>
      <w:pStyle w:val="Noparagraphsty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7B76" w14:textId="77777777" w:rsidR="00CB7858" w:rsidRPr="00CE615B" w:rsidRDefault="001C366D" w:rsidP="00732B64">
    <w:pPr>
      <w:pStyle w:val="Noparagraphstyle"/>
      <w:tabs>
        <w:tab w:val="left" w:pos="-1800"/>
      </w:tabs>
      <w:jc w:val="right"/>
      <w:rPr>
        <w:rFonts w:ascii="Verdana" w:hAnsi="Verdana"/>
        <w:sz w:val="22"/>
        <w:szCs w:val="22"/>
      </w:rPr>
    </w:pPr>
    <w:r w:rsidRPr="00CE615B">
      <w:rPr>
        <w:rFonts w:ascii="Verdana" w:hAnsi="Verdana"/>
        <w:sz w:val="18"/>
        <w:szCs w:val="18"/>
      </w:rPr>
      <w:br/>
    </w:r>
  </w:p>
  <w:p w14:paraId="0DB4CF59" w14:textId="5B2C5745" w:rsidR="00CB7858" w:rsidRPr="00CF35FD" w:rsidRDefault="001B3EA9" w:rsidP="004361E4">
    <w:pPr>
      <w:pStyle w:val="Noparagraphstyle"/>
      <w:tabs>
        <w:tab w:val="left" w:pos="-1800"/>
      </w:tabs>
      <w:jc w:val="right"/>
      <w:rPr>
        <w:b/>
        <w:color w:val="002957"/>
        <w:sz w:val="36"/>
        <w:szCs w:val="36"/>
      </w:rPr>
    </w:pPr>
    <w:r>
      <w:rPr>
        <w:rFonts w:ascii="Verdana" w:hAnsi="Verdana"/>
        <w:color w:val="002957"/>
        <w:sz w:val="36"/>
        <w:szCs w:val="36"/>
      </w:rPr>
      <w:t>Memo for</w:t>
    </w:r>
    <w:r w:rsidR="001C366D" w:rsidRPr="00CF35FD">
      <w:rPr>
        <w:b/>
        <w:noProof/>
        <w:color w:val="002957"/>
        <w:sz w:val="36"/>
        <w:szCs w:val="36"/>
        <w:lang w:val="en-US"/>
      </w:rPr>
      <w:drawing>
        <wp:anchor distT="0" distB="0" distL="114300" distR="114300" simplePos="0" relativeHeight="251658240" behindDoc="0" locked="0" layoutInCell="1" allowOverlap="1" wp14:anchorId="73A57463" wp14:editId="2D6EE75D">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004361E4">
      <w:rPr>
        <w:rFonts w:ascii="Verdana" w:hAnsi="Verdana"/>
        <w:color w:val="002957"/>
        <w:sz w:val="36"/>
        <w:szCs w:val="36"/>
      </w:rPr>
      <w:t xml:space="preserve"> </w:t>
    </w:r>
    <w:r w:rsidR="00473EAD">
      <w:rPr>
        <w:rFonts w:ascii="Verdana" w:hAnsi="Verdana"/>
        <w:color w:val="002957"/>
        <w:sz w:val="36"/>
        <w:szCs w:val="36"/>
      </w:rPr>
      <w:t>action</w:t>
    </w:r>
  </w:p>
  <w:p w14:paraId="6C833C81" w14:textId="2CBC8E84" w:rsidR="00875154" w:rsidRDefault="00875154" w:rsidP="00875154">
    <w:pPr>
      <w:jc w:val="right"/>
      <w:rPr>
        <w:b/>
        <w:i/>
        <w:color w:val="002957"/>
        <w:sz w:val="32"/>
        <w:szCs w:val="32"/>
      </w:rPr>
    </w:pPr>
  </w:p>
  <w:p w14:paraId="01B52364" w14:textId="77777777" w:rsidR="00CB7858" w:rsidRPr="002A5F53" w:rsidRDefault="00CB7858" w:rsidP="00732B64">
    <w:pPr>
      <w:pStyle w:val="CEADocumentTitle"/>
      <w:tabs>
        <w:tab w:val="clear" w:pos="10440"/>
      </w:tabs>
      <w:rPr>
        <w:b w:val="0"/>
        <w:color w:val="002957"/>
        <w:sz w:val="36"/>
        <w:szCs w:val="36"/>
      </w:rPr>
    </w:pPr>
  </w:p>
  <w:p w14:paraId="1D1B76FE" w14:textId="77777777" w:rsidR="00BB76FB" w:rsidRPr="00CE6BD9" w:rsidRDefault="00BB76FB" w:rsidP="00875154">
    <w:pPr>
      <w:pStyle w:val="CEADraft"/>
      <w:jc w:val="both"/>
      <w:rPr>
        <w:color w:val="auto"/>
      </w:rPr>
    </w:pPr>
    <w:bookmarkStart w:id="0" w:name="Draft1st"/>
    <w:bookmarkEnd w:id="0"/>
  </w:p>
  <w:p w14:paraId="41B0A293" w14:textId="77777777" w:rsidR="00CB7858" w:rsidRPr="00CE6BD9" w:rsidRDefault="00CB7858" w:rsidP="00732B64">
    <w:pPr>
      <w:pStyle w:val="BodyText-CEA"/>
      <w:jc w:val="left"/>
    </w:pPr>
    <w:bookmarkStart w:id="1" w:name="Header"/>
  </w:p>
  <w:tbl>
    <w:tblPr>
      <w:tblW w:w="0" w:type="auto"/>
      <w:tblInd w:w="-1026" w:type="dxa"/>
      <w:tblLook w:val="04A0" w:firstRow="1" w:lastRow="0" w:firstColumn="1" w:lastColumn="0" w:noHBand="0" w:noVBand="1"/>
    </w:tblPr>
    <w:tblGrid>
      <w:gridCol w:w="1012"/>
      <w:gridCol w:w="9596"/>
    </w:tblGrid>
    <w:tr w:rsidR="00732B64" w14:paraId="50F6D303" w14:textId="77777777" w:rsidTr="006C28D0">
      <w:trPr>
        <w:trHeight w:val="289"/>
      </w:trPr>
      <w:tc>
        <w:tcPr>
          <w:tcW w:w="1012" w:type="dxa"/>
        </w:tcPr>
        <w:p w14:paraId="3059CA01" w14:textId="77777777" w:rsidR="00CB7858" w:rsidRPr="00CE6BD9" w:rsidRDefault="001C366D" w:rsidP="00A05835">
          <w:pPr>
            <w:pStyle w:val="CEALabel"/>
            <w:rPr>
              <w:b w:val="0"/>
              <w:color w:val="002957"/>
              <w:sz w:val="17"/>
              <w:szCs w:val="17"/>
            </w:rPr>
          </w:pPr>
          <w:r w:rsidRPr="00CE6BD9">
            <w:rPr>
              <w:b w:val="0"/>
              <w:color w:val="002957"/>
              <w:sz w:val="17"/>
              <w:szCs w:val="17"/>
            </w:rPr>
            <w:t>To:</w:t>
          </w:r>
        </w:p>
      </w:tc>
      <w:tc>
        <w:tcPr>
          <w:tcW w:w="9596" w:type="dxa"/>
          <w:vAlign w:val="bottom"/>
        </w:tcPr>
        <w:p w14:paraId="7FA751B7" w14:textId="4B763EF2" w:rsidR="00CB7858" w:rsidRPr="001D1C85" w:rsidRDefault="00610C71" w:rsidP="006C28D0">
          <w:pPr>
            <w:ind w:left="-90"/>
            <w:jc w:val="left"/>
            <w:rPr>
              <w:color w:val="002957"/>
              <w:sz w:val="17"/>
              <w:szCs w:val="17"/>
            </w:rPr>
          </w:pPr>
          <w:r>
            <w:rPr>
              <w:color w:val="002957"/>
              <w:sz w:val="17"/>
              <w:szCs w:val="17"/>
            </w:rPr>
            <w:t>Corporate Reporting - Investments &amp; Sustainable Finance WG</w:t>
          </w:r>
        </w:p>
      </w:tc>
    </w:tr>
    <w:tr w:rsidR="00732B64" w:rsidRPr="009A75E5" w14:paraId="1B5225C1" w14:textId="77777777" w:rsidTr="006C28D0">
      <w:trPr>
        <w:trHeight w:hRule="exact" w:val="288"/>
      </w:trPr>
      <w:tc>
        <w:tcPr>
          <w:tcW w:w="1012" w:type="dxa"/>
          <w:vAlign w:val="center"/>
        </w:tcPr>
        <w:p w14:paraId="280A0BE8" w14:textId="77777777" w:rsidR="00CB7858" w:rsidRPr="00CE6BD9" w:rsidRDefault="001C366D" w:rsidP="00A05835">
          <w:pPr>
            <w:pStyle w:val="CEALabel"/>
            <w:rPr>
              <w:b w:val="0"/>
              <w:color w:val="002957"/>
              <w:sz w:val="17"/>
              <w:szCs w:val="17"/>
            </w:rPr>
          </w:pPr>
          <w:r w:rsidRPr="00CE6BD9">
            <w:rPr>
              <w:b w:val="0"/>
              <w:color w:val="002957"/>
              <w:sz w:val="17"/>
              <w:szCs w:val="17"/>
            </w:rPr>
            <w:t>From:</w:t>
          </w:r>
        </w:p>
      </w:tc>
      <w:tc>
        <w:tcPr>
          <w:tcW w:w="9596" w:type="dxa"/>
          <w:vAlign w:val="bottom"/>
        </w:tcPr>
        <w:p w14:paraId="247799C0" w14:textId="1440CEDD" w:rsidR="00CB7858" w:rsidRPr="00E510A9" w:rsidRDefault="006C28D0" w:rsidP="006C28D0">
          <w:pPr>
            <w:tabs>
              <w:tab w:val="left" w:pos="1755"/>
            </w:tabs>
            <w:ind w:left="-90"/>
            <w:jc w:val="left"/>
            <w:rPr>
              <w:color w:val="002957"/>
              <w:sz w:val="17"/>
              <w:szCs w:val="17"/>
              <w:lang w:val="es-AR"/>
            </w:rPr>
          </w:pPr>
          <w:bookmarkStart w:id="2" w:name="AuthSep"/>
          <w:bookmarkEnd w:id="2"/>
          <w:r>
            <w:rPr>
              <w:color w:val="002957"/>
              <w:sz w:val="17"/>
              <w:szCs w:val="17"/>
              <w:lang w:val="es-AR"/>
            </w:rPr>
            <w:t>Insurance Europe Secretariat</w:t>
          </w:r>
          <w:r w:rsidR="00923157" w:rsidRPr="00E510A9">
            <w:rPr>
              <w:color w:val="002957"/>
              <w:sz w:val="17"/>
              <w:szCs w:val="17"/>
              <w:lang w:val="es-AR"/>
            </w:rPr>
            <w:t xml:space="preserve"> </w:t>
          </w:r>
        </w:p>
      </w:tc>
    </w:tr>
    <w:tr w:rsidR="00732B64" w14:paraId="15FE1C48" w14:textId="77777777" w:rsidTr="006C28D0">
      <w:trPr>
        <w:trHeight w:hRule="exact" w:val="288"/>
      </w:trPr>
      <w:tc>
        <w:tcPr>
          <w:tcW w:w="1012" w:type="dxa"/>
          <w:vAlign w:val="center"/>
        </w:tcPr>
        <w:p w14:paraId="67936BE9" w14:textId="77777777" w:rsidR="00CB7858" w:rsidRPr="00CE6BD9" w:rsidRDefault="001C366D" w:rsidP="00A05835">
          <w:pPr>
            <w:pStyle w:val="CEALabel"/>
            <w:rPr>
              <w:b w:val="0"/>
              <w:color w:val="002957"/>
              <w:sz w:val="17"/>
              <w:szCs w:val="17"/>
            </w:rPr>
          </w:pPr>
          <w:r w:rsidRPr="00CE6BD9">
            <w:rPr>
              <w:b w:val="0"/>
              <w:color w:val="002957"/>
              <w:sz w:val="17"/>
              <w:szCs w:val="17"/>
            </w:rPr>
            <w:t>Date:</w:t>
          </w:r>
        </w:p>
      </w:tc>
      <w:tc>
        <w:tcPr>
          <w:tcW w:w="9596" w:type="dxa"/>
          <w:vAlign w:val="bottom"/>
        </w:tcPr>
        <w:p w14:paraId="1D9FC966" w14:textId="723030E2" w:rsidR="00CB7858" w:rsidRPr="001D1C85" w:rsidRDefault="00612748" w:rsidP="006C28D0">
          <w:pPr>
            <w:ind w:left="-90"/>
            <w:jc w:val="left"/>
            <w:rPr>
              <w:color w:val="002957"/>
              <w:sz w:val="17"/>
              <w:szCs w:val="17"/>
            </w:rPr>
          </w:pPr>
          <w:r>
            <w:rPr>
              <w:color w:val="002957"/>
              <w:sz w:val="17"/>
              <w:szCs w:val="17"/>
            </w:rPr>
            <w:t>19</w:t>
          </w:r>
          <w:r w:rsidR="00610C71">
            <w:rPr>
              <w:color w:val="002957"/>
              <w:sz w:val="17"/>
              <w:szCs w:val="17"/>
            </w:rPr>
            <w:t>-06-2025</w:t>
          </w:r>
        </w:p>
      </w:tc>
    </w:tr>
    <w:tr w:rsidR="00732B64" w14:paraId="71D95BA4" w14:textId="77777777" w:rsidTr="006C28D0">
      <w:trPr>
        <w:trHeight w:hRule="exact" w:val="288"/>
      </w:trPr>
      <w:tc>
        <w:tcPr>
          <w:tcW w:w="1012" w:type="dxa"/>
          <w:vAlign w:val="center"/>
        </w:tcPr>
        <w:p w14:paraId="508FC1E8" w14:textId="77777777" w:rsidR="00CB7858" w:rsidRPr="00CE6BD9" w:rsidRDefault="001C366D" w:rsidP="00A05835">
          <w:pPr>
            <w:pStyle w:val="CEALabel"/>
            <w:rPr>
              <w:b w:val="0"/>
              <w:color w:val="002957"/>
              <w:sz w:val="17"/>
              <w:szCs w:val="17"/>
            </w:rPr>
          </w:pPr>
          <w:r w:rsidRPr="00CE6BD9">
            <w:rPr>
              <w:b w:val="0"/>
              <w:color w:val="002957"/>
              <w:sz w:val="17"/>
              <w:szCs w:val="17"/>
            </w:rPr>
            <w:t>Reference:</w:t>
          </w:r>
        </w:p>
      </w:tc>
      <w:tc>
        <w:tcPr>
          <w:tcW w:w="9596" w:type="dxa"/>
          <w:vAlign w:val="bottom"/>
        </w:tcPr>
        <w:sdt>
          <w:sdtPr>
            <w:rPr>
              <w:color w:val="002957"/>
              <w:sz w:val="17"/>
              <w:szCs w:val="17"/>
            </w:rPr>
            <w:id w:val="-1487076316"/>
            <w:placeholder>
              <w:docPart w:val="DefaultPlaceholder_-1854013440"/>
            </w:placeholde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16BE8AC2-BC04-484A-AE5F-6753D3DE5469}" w16sdtdh:storeItemChecksum="Zfx5hA=="/>
          </w:sdtPr>
          <w:sdtEndPr/>
          <w:sdtContent>
            <w:p w14:paraId="360ED39F" w14:textId="5FE2D0F0" w:rsidR="00CB7858" w:rsidRPr="001D1C85" w:rsidRDefault="00646DB9" w:rsidP="006C28D0">
              <w:pPr>
                <w:ind w:left="-90"/>
                <w:jc w:val="left"/>
                <w:rPr>
                  <w:color w:val="002957"/>
                  <w:sz w:val="17"/>
                  <w:szCs w:val="17"/>
                </w:rPr>
              </w:pPr>
              <w:r>
                <w:rPr>
                  <w:color w:val="002957"/>
                  <w:sz w:val="17"/>
                  <w:szCs w:val="17"/>
                </w:rPr>
                <w:t>ECO-CRISF-25-1</w:t>
              </w:r>
              <w:r w:rsidR="00612748">
                <w:rPr>
                  <w:color w:val="002957"/>
                  <w:sz w:val="17"/>
                  <w:szCs w:val="17"/>
                </w:rPr>
                <w:t>91</w:t>
              </w:r>
            </w:p>
          </w:sdtContent>
        </w:sdt>
      </w:tc>
    </w:tr>
    <w:tr w:rsidR="00732B64" w14:paraId="0277A5AC" w14:textId="7C28D1F2" w:rsidTr="00E510A9">
      <w:trPr>
        <w:trHeight w:hRule="exact" w:val="288"/>
      </w:trPr>
      <w:tc>
        <w:tcPr>
          <w:tcW w:w="1012" w:type="dxa"/>
          <w:vAlign w:val="center"/>
        </w:tcPr>
        <w:p w14:paraId="3A9D9D76" w14:textId="77777777" w:rsidR="00CB7858" w:rsidRPr="00CE6BD9" w:rsidRDefault="00CB7858" w:rsidP="00A05835">
          <w:pPr>
            <w:pStyle w:val="CEALabel"/>
            <w:rPr>
              <w:b w:val="0"/>
              <w:color w:val="002957"/>
              <w:sz w:val="17"/>
              <w:szCs w:val="17"/>
            </w:rPr>
          </w:pPr>
        </w:p>
      </w:tc>
      <w:tc>
        <w:tcPr>
          <w:tcW w:w="9596" w:type="dxa"/>
        </w:tcPr>
        <w:p w14:paraId="4BAE8D83" w14:textId="77777777" w:rsidR="00CB7858" w:rsidRPr="001D1C85" w:rsidRDefault="00CB7858" w:rsidP="004A40C4">
          <w:pPr>
            <w:ind w:left="-90"/>
            <w:jc w:val="left"/>
            <w:rPr>
              <w:color w:val="002957"/>
              <w:sz w:val="17"/>
              <w:szCs w:val="17"/>
            </w:rPr>
          </w:pPr>
        </w:p>
      </w:tc>
    </w:tr>
    <w:tr w:rsidR="00732B64" w14:paraId="3C6A10CF" w14:textId="77777777" w:rsidTr="006C28D0">
      <w:trPr>
        <w:trHeight w:hRule="exact" w:val="288"/>
      </w:trPr>
      <w:tc>
        <w:tcPr>
          <w:tcW w:w="1012" w:type="dxa"/>
          <w:vAlign w:val="center"/>
        </w:tcPr>
        <w:p w14:paraId="431B6B1C" w14:textId="77777777" w:rsidR="00CB7858" w:rsidRPr="00CE6BD9" w:rsidRDefault="001C366D" w:rsidP="00A05835">
          <w:pPr>
            <w:pStyle w:val="CEALabel"/>
            <w:rPr>
              <w:b w:val="0"/>
              <w:color w:val="002957"/>
              <w:sz w:val="17"/>
              <w:szCs w:val="17"/>
            </w:rPr>
          </w:pPr>
          <w:r w:rsidRPr="00CE6BD9">
            <w:rPr>
              <w:b w:val="0"/>
              <w:color w:val="002957"/>
              <w:sz w:val="17"/>
              <w:szCs w:val="17"/>
            </w:rPr>
            <w:t>Subject:</w:t>
          </w:r>
        </w:p>
      </w:tc>
      <w:tc>
        <w:tcPr>
          <w:tcW w:w="9596" w:type="dxa"/>
          <w:vAlign w:val="bottom"/>
        </w:tcPr>
        <w:p w14:paraId="0DE8F0C9" w14:textId="28A00DC4" w:rsidR="00CB7858" w:rsidRPr="00CE6BD9" w:rsidRDefault="00865D5F" w:rsidP="006C28D0">
          <w:pPr>
            <w:pStyle w:val="CEASubjectLine"/>
            <w:ind w:left="-90"/>
            <w:jc w:val="left"/>
            <w:rPr>
              <w:b w:val="0"/>
              <w:color w:val="002957"/>
              <w:sz w:val="17"/>
              <w:szCs w:val="17"/>
            </w:rPr>
          </w:pPr>
          <w:sdt>
            <w:sdtPr>
              <w:rPr>
                <w:b w:val="0"/>
                <w:color w:val="002957"/>
                <w:sz w:val="17"/>
                <w:szCs w:val="17"/>
              </w:rPr>
              <w:alias w:val="Title"/>
              <w:tag w:val=""/>
              <w:id w:val="1845366650"/>
              <w:placeholder>
                <w:docPart w:val="584EF38CAE9A4F80AF2F6FA01859F6AD"/>
              </w:placeholder>
              <w:dataBinding w:prefixMappings="xmlns:ns0='http://purl.org/dc/elements/1.1/' xmlns:ns1='http://schemas.openxmlformats.org/package/2006/metadata/core-properties' " w:xpath="/ns1:coreProperties[1]/ns0:title[1]" w:storeItemID="{6C3C8BC8-F283-45AE-878A-BAB7291924A1}"/>
              <w:text/>
            </w:sdtPr>
            <w:sdtEndPr/>
            <w:sdtContent>
              <w:r w:rsidR="00541C68">
                <w:rPr>
                  <w:b w:val="0"/>
                  <w:color w:val="002957"/>
                  <w:sz w:val="17"/>
                  <w:szCs w:val="17"/>
                </w:rPr>
                <w:t>Final</w:t>
              </w:r>
              <w:r w:rsidR="00646DB9">
                <w:rPr>
                  <w:b w:val="0"/>
                  <w:color w:val="002957"/>
                  <w:sz w:val="17"/>
                  <w:szCs w:val="17"/>
                </w:rPr>
                <w:t xml:space="preserve"> Response to EFRAG's Comment Letter to IFRS on GHG disclosures</w:t>
              </w:r>
            </w:sdtContent>
          </w:sdt>
          <w:bookmarkEnd w:id="1"/>
        </w:p>
      </w:tc>
    </w:tr>
  </w:tbl>
  <w:p w14:paraId="4C139B1B" w14:textId="77777777" w:rsidR="00CB7858" w:rsidRPr="00CE6BD9" w:rsidRDefault="00CB7858" w:rsidP="00732B64">
    <w:pPr>
      <w:pStyle w:val="Noparagraphstyle"/>
      <w:rPr>
        <w:rFonts w:ascii="Verdana" w:hAnsi="Verdana" w:cs="Arial"/>
        <w:i/>
        <w:iCs/>
        <w:color w:val="034EA2"/>
      </w:rPr>
    </w:pPr>
  </w:p>
  <w:p w14:paraId="273246B5" w14:textId="77777777" w:rsidR="00CB7858" w:rsidRDefault="00CB7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06B92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8630715" o:spid="_x0000_i1025" type="#_x0000_t75" style="width:11.25pt;height:11.25pt;visibility:visible;mso-wrap-style:square">
            <v:imagedata r:id="rId1" o:title=""/>
          </v:shape>
        </w:pict>
      </mc:Choice>
      <mc:Fallback>
        <w:drawing>
          <wp:inline distT="0" distB="0" distL="0" distR="0" wp14:anchorId="2C85207B" wp14:editId="2C85207C">
            <wp:extent cx="142875" cy="142875"/>
            <wp:effectExtent l="0" t="0" r="0" b="0"/>
            <wp:docPr id="1778630715" name="Picture 177863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numPicBullet w:numPicBulletId="1">
    <mc:AlternateContent>
      <mc:Choice Requires="v">
        <w:pict>
          <v:shape w14:anchorId="1C9840CC" id="Picture 274131238" o:spid="_x0000_i1025" type="#_x0000_t75" style="width:7.5pt;height:7.5pt;visibility:visible;mso-wrap-style:square">
            <v:imagedata r:id="rId3" o:title=""/>
          </v:shape>
        </w:pict>
      </mc:Choice>
      <mc:Fallback>
        <w:drawing>
          <wp:inline distT="0" distB="0" distL="0" distR="0" wp14:anchorId="2C85207D" wp14:editId="2C85207E">
            <wp:extent cx="95250" cy="95250"/>
            <wp:effectExtent l="0" t="0" r="0" b="0"/>
            <wp:docPr id="274131238" name="Picture 27413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numPicBullet w:numPicBulletId="2">
    <mc:AlternateContent>
      <mc:Choice Requires="v">
        <w:pict>
          <v:shape w14:anchorId="5549FA27" id="Picture 393912551" o:spid="_x0000_i1025" type="#_x0000_t75" style="width:9pt;height:9pt;visibility:visible;mso-wrap-style:square">
            <v:imagedata r:id="rId5" o:title=""/>
          </v:shape>
        </w:pict>
      </mc:Choice>
      <mc:Fallback>
        <w:drawing>
          <wp:inline distT="0" distB="0" distL="0" distR="0" wp14:anchorId="2C85207F" wp14:editId="2C852080">
            <wp:extent cx="114300" cy="114300"/>
            <wp:effectExtent l="0" t="0" r="0" b="0"/>
            <wp:docPr id="393912551" name="Picture 39391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1054071E"/>
    <w:multiLevelType w:val="hybridMultilevel"/>
    <w:tmpl w:val="87F2D9AA"/>
    <w:lvl w:ilvl="0" w:tplc="2FD42A22">
      <w:start w:val="165"/>
      <w:numFmt w:val="bullet"/>
      <w:pStyle w:val="IEBullet-Level2"/>
      <w:lvlText w:val=""/>
      <w:lvlJc w:val="left"/>
      <w:pPr>
        <w:ind w:left="1800" w:hanging="360"/>
      </w:pPr>
      <w:rPr>
        <w:rFonts w:ascii="Wingdings" w:hAnsi="Wingdings" w:hint="default"/>
        <w:color w:val="82C55B"/>
        <w:position w:val="-2"/>
        <w:sz w:val="22"/>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2ACE6A9A"/>
    <w:multiLevelType w:val="multilevel"/>
    <w:tmpl w:val="A328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C48AE"/>
    <w:multiLevelType w:val="hybridMultilevel"/>
    <w:tmpl w:val="0D3CF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47E4D85"/>
    <w:multiLevelType w:val="hybridMultilevel"/>
    <w:tmpl w:val="CAB05164"/>
    <w:lvl w:ilvl="0" w:tplc="20C482DC">
      <w:start w:val="165"/>
      <w:numFmt w:val="bullet"/>
      <w:pStyle w:val="IEBullet-Level3"/>
      <w:lvlText w:val=""/>
      <w:lvlJc w:val="left"/>
      <w:pPr>
        <w:ind w:left="2673" w:hanging="360"/>
      </w:pPr>
      <w:rPr>
        <w:rFonts w:ascii="Wingdings" w:hAnsi="Wingdings" w:hint="default"/>
        <w:color w:val="002957"/>
        <w:position w:val="-2"/>
        <w:sz w:val="18"/>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4" w15:restartNumberingAfterBreak="0">
    <w:nsid w:val="699E2B88"/>
    <w:multiLevelType w:val="hybridMultilevel"/>
    <w:tmpl w:val="BB52DF06"/>
    <w:lvl w:ilvl="0" w:tplc="AB7A1D0C">
      <w:start w:val="165"/>
      <w:numFmt w:val="bullet"/>
      <w:pStyle w:val="IEBullet-Level1"/>
      <w:lvlText w:val=""/>
      <w:lvlJc w:val="left"/>
      <w:pPr>
        <w:ind w:left="720" w:hanging="360"/>
      </w:pPr>
      <w:rPr>
        <w:rFonts w:ascii="Wingdings" w:hAnsi="Wingdings" w:hint="default"/>
        <w:color w:val="002957"/>
        <w:position w:val="-2"/>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2590028">
    <w:abstractNumId w:val="4"/>
  </w:num>
  <w:num w:numId="2" w16cid:durableId="28268374">
    <w:abstractNumId w:val="0"/>
  </w:num>
  <w:num w:numId="3" w16cid:durableId="658657660">
    <w:abstractNumId w:val="3"/>
  </w:num>
  <w:num w:numId="4" w16cid:durableId="343552453">
    <w:abstractNumId w:val="4"/>
  </w:num>
  <w:num w:numId="5" w16cid:durableId="533348462">
    <w:abstractNumId w:val="0"/>
  </w:num>
  <w:num w:numId="6" w16cid:durableId="116409788">
    <w:abstractNumId w:val="3"/>
  </w:num>
  <w:num w:numId="7" w16cid:durableId="1990985171">
    <w:abstractNumId w:val="2"/>
  </w:num>
  <w:num w:numId="8" w16cid:durableId="125686265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35"/>
    <w:rsid w:val="00001D72"/>
    <w:rsid w:val="00003CBF"/>
    <w:rsid w:val="00011146"/>
    <w:rsid w:val="00016CD3"/>
    <w:rsid w:val="00027ABC"/>
    <w:rsid w:val="00032550"/>
    <w:rsid w:val="00036ECF"/>
    <w:rsid w:val="000455F6"/>
    <w:rsid w:val="00050ABD"/>
    <w:rsid w:val="00052075"/>
    <w:rsid w:val="00052BE0"/>
    <w:rsid w:val="0006529D"/>
    <w:rsid w:val="00065B61"/>
    <w:rsid w:val="00072FFD"/>
    <w:rsid w:val="00077904"/>
    <w:rsid w:val="000811D6"/>
    <w:rsid w:val="00085224"/>
    <w:rsid w:val="0009011B"/>
    <w:rsid w:val="00091055"/>
    <w:rsid w:val="0009395E"/>
    <w:rsid w:val="00094856"/>
    <w:rsid w:val="00096D6D"/>
    <w:rsid w:val="000A5C87"/>
    <w:rsid w:val="000B7615"/>
    <w:rsid w:val="000C2144"/>
    <w:rsid w:val="000D27FF"/>
    <w:rsid w:val="000D3EE1"/>
    <w:rsid w:val="000D44E5"/>
    <w:rsid w:val="000E550B"/>
    <w:rsid w:val="001026FA"/>
    <w:rsid w:val="001029FE"/>
    <w:rsid w:val="00105FE5"/>
    <w:rsid w:val="00117663"/>
    <w:rsid w:val="001208A8"/>
    <w:rsid w:val="00131AD9"/>
    <w:rsid w:val="00132273"/>
    <w:rsid w:val="00133074"/>
    <w:rsid w:val="00134B1A"/>
    <w:rsid w:val="00141B96"/>
    <w:rsid w:val="0016089A"/>
    <w:rsid w:val="00163BFD"/>
    <w:rsid w:val="00164389"/>
    <w:rsid w:val="00165AC7"/>
    <w:rsid w:val="00166F26"/>
    <w:rsid w:val="00171AB3"/>
    <w:rsid w:val="001822BD"/>
    <w:rsid w:val="001969B9"/>
    <w:rsid w:val="001A4B9C"/>
    <w:rsid w:val="001A6F6F"/>
    <w:rsid w:val="001B3EA9"/>
    <w:rsid w:val="001B60DB"/>
    <w:rsid w:val="001C366D"/>
    <w:rsid w:val="001C37D7"/>
    <w:rsid w:val="001C5218"/>
    <w:rsid w:val="001C6F2C"/>
    <w:rsid w:val="001D01F7"/>
    <w:rsid w:val="001D0481"/>
    <w:rsid w:val="001D1A16"/>
    <w:rsid w:val="001D2E8B"/>
    <w:rsid w:val="001D748F"/>
    <w:rsid w:val="001E0532"/>
    <w:rsid w:val="001E1BFA"/>
    <w:rsid w:val="001E2D75"/>
    <w:rsid w:val="001E64BF"/>
    <w:rsid w:val="001E791C"/>
    <w:rsid w:val="001F0523"/>
    <w:rsid w:val="001F0ACD"/>
    <w:rsid w:val="001F24F7"/>
    <w:rsid w:val="00201E25"/>
    <w:rsid w:val="0021061A"/>
    <w:rsid w:val="00214F9A"/>
    <w:rsid w:val="0021593C"/>
    <w:rsid w:val="00225D31"/>
    <w:rsid w:val="00227A4D"/>
    <w:rsid w:val="002441BC"/>
    <w:rsid w:val="0026095E"/>
    <w:rsid w:val="002648CF"/>
    <w:rsid w:val="00264CDB"/>
    <w:rsid w:val="002668F8"/>
    <w:rsid w:val="002669EC"/>
    <w:rsid w:val="00277F31"/>
    <w:rsid w:val="00280691"/>
    <w:rsid w:val="00283E95"/>
    <w:rsid w:val="00296BA5"/>
    <w:rsid w:val="002A15F4"/>
    <w:rsid w:val="002A3DEE"/>
    <w:rsid w:val="002A5315"/>
    <w:rsid w:val="002A62DA"/>
    <w:rsid w:val="002A6A1C"/>
    <w:rsid w:val="002C28DB"/>
    <w:rsid w:val="002C4235"/>
    <w:rsid w:val="002D5146"/>
    <w:rsid w:val="0030259A"/>
    <w:rsid w:val="00305888"/>
    <w:rsid w:val="00312ECE"/>
    <w:rsid w:val="003149A8"/>
    <w:rsid w:val="00320D8E"/>
    <w:rsid w:val="00333C77"/>
    <w:rsid w:val="0033527D"/>
    <w:rsid w:val="003402FB"/>
    <w:rsid w:val="00341753"/>
    <w:rsid w:val="00353714"/>
    <w:rsid w:val="00354796"/>
    <w:rsid w:val="00363630"/>
    <w:rsid w:val="00364910"/>
    <w:rsid w:val="00365D74"/>
    <w:rsid w:val="00366C66"/>
    <w:rsid w:val="00381C3A"/>
    <w:rsid w:val="003838CB"/>
    <w:rsid w:val="00384290"/>
    <w:rsid w:val="0039100B"/>
    <w:rsid w:val="00393B7F"/>
    <w:rsid w:val="00393FFD"/>
    <w:rsid w:val="0039600A"/>
    <w:rsid w:val="003A1551"/>
    <w:rsid w:val="003B003B"/>
    <w:rsid w:val="003B5822"/>
    <w:rsid w:val="003B6D0D"/>
    <w:rsid w:val="003B752E"/>
    <w:rsid w:val="003C259C"/>
    <w:rsid w:val="003C4ABD"/>
    <w:rsid w:val="003C5315"/>
    <w:rsid w:val="003D16B7"/>
    <w:rsid w:val="003D7FDC"/>
    <w:rsid w:val="003E31B8"/>
    <w:rsid w:val="003E60F1"/>
    <w:rsid w:val="003E7398"/>
    <w:rsid w:val="003F1191"/>
    <w:rsid w:val="003F4778"/>
    <w:rsid w:val="003F483C"/>
    <w:rsid w:val="003F60EE"/>
    <w:rsid w:val="003F6639"/>
    <w:rsid w:val="00403BAC"/>
    <w:rsid w:val="00406871"/>
    <w:rsid w:val="004076AB"/>
    <w:rsid w:val="00412013"/>
    <w:rsid w:val="004170BE"/>
    <w:rsid w:val="0042018D"/>
    <w:rsid w:val="004264C9"/>
    <w:rsid w:val="004306FE"/>
    <w:rsid w:val="00430E9F"/>
    <w:rsid w:val="004310F5"/>
    <w:rsid w:val="004361E4"/>
    <w:rsid w:val="00440FEE"/>
    <w:rsid w:val="004422F0"/>
    <w:rsid w:val="00445108"/>
    <w:rsid w:val="004567EF"/>
    <w:rsid w:val="00473041"/>
    <w:rsid w:val="00473775"/>
    <w:rsid w:val="00473C41"/>
    <w:rsid w:val="00473EAD"/>
    <w:rsid w:val="00480987"/>
    <w:rsid w:val="00486BF5"/>
    <w:rsid w:val="004879F6"/>
    <w:rsid w:val="0049424D"/>
    <w:rsid w:val="004A0935"/>
    <w:rsid w:val="004A1009"/>
    <w:rsid w:val="004A2941"/>
    <w:rsid w:val="004A2965"/>
    <w:rsid w:val="004A40C4"/>
    <w:rsid w:val="004A62C7"/>
    <w:rsid w:val="004B1FAC"/>
    <w:rsid w:val="004B32AC"/>
    <w:rsid w:val="004C19CA"/>
    <w:rsid w:val="004C72D7"/>
    <w:rsid w:val="004D0307"/>
    <w:rsid w:val="004D2FA2"/>
    <w:rsid w:val="004D4467"/>
    <w:rsid w:val="004D6E3B"/>
    <w:rsid w:val="004E0E06"/>
    <w:rsid w:val="004F56B7"/>
    <w:rsid w:val="004F61DD"/>
    <w:rsid w:val="004F6C0B"/>
    <w:rsid w:val="005019E6"/>
    <w:rsid w:val="00506562"/>
    <w:rsid w:val="005114F3"/>
    <w:rsid w:val="005150D3"/>
    <w:rsid w:val="0051557B"/>
    <w:rsid w:val="00516EA5"/>
    <w:rsid w:val="0052014A"/>
    <w:rsid w:val="005353E3"/>
    <w:rsid w:val="00541C68"/>
    <w:rsid w:val="00550F00"/>
    <w:rsid w:val="00554958"/>
    <w:rsid w:val="00555E2B"/>
    <w:rsid w:val="005608E5"/>
    <w:rsid w:val="00560FB7"/>
    <w:rsid w:val="00570583"/>
    <w:rsid w:val="005714F8"/>
    <w:rsid w:val="005758B6"/>
    <w:rsid w:val="00580E8F"/>
    <w:rsid w:val="00583C9D"/>
    <w:rsid w:val="00587BB3"/>
    <w:rsid w:val="00587DE7"/>
    <w:rsid w:val="005901AA"/>
    <w:rsid w:val="00593CBF"/>
    <w:rsid w:val="005A12A4"/>
    <w:rsid w:val="005A36E5"/>
    <w:rsid w:val="005B1A80"/>
    <w:rsid w:val="005B56B2"/>
    <w:rsid w:val="005B5951"/>
    <w:rsid w:val="005C0827"/>
    <w:rsid w:val="005C0866"/>
    <w:rsid w:val="005C1226"/>
    <w:rsid w:val="005C7563"/>
    <w:rsid w:val="005D1880"/>
    <w:rsid w:val="005D450C"/>
    <w:rsid w:val="005D6659"/>
    <w:rsid w:val="005E1114"/>
    <w:rsid w:val="005F16C2"/>
    <w:rsid w:val="005F6EC7"/>
    <w:rsid w:val="005F7FCC"/>
    <w:rsid w:val="00606BD6"/>
    <w:rsid w:val="00610C71"/>
    <w:rsid w:val="00612748"/>
    <w:rsid w:val="00620E0E"/>
    <w:rsid w:val="00633C4F"/>
    <w:rsid w:val="00637092"/>
    <w:rsid w:val="00640AE9"/>
    <w:rsid w:val="00642E14"/>
    <w:rsid w:val="00646DB9"/>
    <w:rsid w:val="0065553F"/>
    <w:rsid w:val="006563D9"/>
    <w:rsid w:val="00657044"/>
    <w:rsid w:val="00666ACF"/>
    <w:rsid w:val="00676083"/>
    <w:rsid w:val="0067660F"/>
    <w:rsid w:val="00680DA2"/>
    <w:rsid w:val="0068406E"/>
    <w:rsid w:val="00686091"/>
    <w:rsid w:val="006A1E01"/>
    <w:rsid w:val="006A7592"/>
    <w:rsid w:val="006B045B"/>
    <w:rsid w:val="006B1731"/>
    <w:rsid w:val="006B3072"/>
    <w:rsid w:val="006C233D"/>
    <w:rsid w:val="006C28D0"/>
    <w:rsid w:val="006C6A86"/>
    <w:rsid w:val="006C7EF0"/>
    <w:rsid w:val="006D7516"/>
    <w:rsid w:val="006E08CC"/>
    <w:rsid w:val="006E6FA2"/>
    <w:rsid w:val="006E720C"/>
    <w:rsid w:val="006E7BCA"/>
    <w:rsid w:val="006F1387"/>
    <w:rsid w:val="006F2263"/>
    <w:rsid w:val="006F464E"/>
    <w:rsid w:val="006F7268"/>
    <w:rsid w:val="0070012F"/>
    <w:rsid w:val="00707DC9"/>
    <w:rsid w:val="00713308"/>
    <w:rsid w:val="00716EF9"/>
    <w:rsid w:val="007170A3"/>
    <w:rsid w:val="00721FE5"/>
    <w:rsid w:val="0072318C"/>
    <w:rsid w:val="00726280"/>
    <w:rsid w:val="00730724"/>
    <w:rsid w:val="00742739"/>
    <w:rsid w:val="00756024"/>
    <w:rsid w:val="007574E8"/>
    <w:rsid w:val="007649E7"/>
    <w:rsid w:val="00765063"/>
    <w:rsid w:val="007664CB"/>
    <w:rsid w:val="00770997"/>
    <w:rsid w:val="00772AFA"/>
    <w:rsid w:val="00773632"/>
    <w:rsid w:val="00773CAB"/>
    <w:rsid w:val="00776725"/>
    <w:rsid w:val="0077705D"/>
    <w:rsid w:val="00782038"/>
    <w:rsid w:val="00783915"/>
    <w:rsid w:val="00791312"/>
    <w:rsid w:val="00791547"/>
    <w:rsid w:val="00796536"/>
    <w:rsid w:val="00797F0C"/>
    <w:rsid w:val="007A1D89"/>
    <w:rsid w:val="007A65C7"/>
    <w:rsid w:val="007B5B03"/>
    <w:rsid w:val="007B5F97"/>
    <w:rsid w:val="007B6C3B"/>
    <w:rsid w:val="007C17BE"/>
    <w:rsid w:val="007C45A1"/>
    <w:rsid w:val="007C5BF8"/>
    <w:rsid w:val="007C5E7B"/>
    <w:rsid w:val="007D1729"/>
    <w:rsid w:val="007D7FAF"/>
    <w:rsid w:val="007E2F8C"/>
    <w:rsid w:val="007E69EF"/>
    <w:rsid w:val="007F2CB3"/>
    <w:rsid w:val="007F3502"/>
    <w:rsid w:val="007F62CA"/>
    <w:rsid w:val="00801260"/>
    <w:rsid w:val="00804BE0"/>
    <w:rsid w:val="008148BA"/>
    <w:rsid w:val="00815393"/>
    <w:rsid w:val="0081588B"/>
    <w:rsid w:val="00815B8D"/>
    <w:rsid w:val="00820024"/>
    <w:rsid w:val="0082235C"/>
    <w:rsid w:val="00826187"/>
    <w:rsid w:val="0083203B"/>
    <w:rsid w:val="00836048"/>
    <w:rsid w:val="00836D1B"/>
    <w:rsid w:val="0085340B"/>
    <w:rsid w:val="00853E75"/>
    <w:rsid w:val="00855352"/>
    <w:rsid w:val="00861927"/>
    <w:rsid w:val="00861E70"/>
    <w:rsid w:val="00862359"/>
    <w:rsid w:val="0087141F"/>
    <w:rsid w:val="008719EA"/>
    <w:rsid w:val="00873145"/>
    <w:rsid w:val="00875154"/>
    <w:rsid w:val="008837C2"/>
    <w:rsid w:val="008871F6"/>
    <w:rsid w:val="0089000C"/>
    <w:rsid w:val="00891DB2"/>
    <w:rsid w:val="00895C4F"/>
    <w:rsid w:val="0089626C"/>
    <w:rsid w:val="008A0C42"/>
    <w:rsid w:val="008A1B44"/>
    <w:rsid w:val="008A53A9"/>
    <w:rsid w:val="008B30D5"/>
    <w:rsid w:val="008B37F2"/>
    <w:rsid w:val="008B7C66"/>
    <w:rsid w:val="008C1B07"/>
    <w:rsid w:val="008C4331"/>
    <w:rsid w:val="008C452F"/>
    <w:rsid w:val="008D1145"/>
    <w:rsid w:val="008D14A8"/>
    <w:rsid w:val="008E38C2"/>
    <w:rsid w:val="008E3D61"/>
    <w:rsid w:val="008E479A"/>
    <w:rsid w:val="008E6BD3"/>
    <w:rsid w:val="008F0DA0"/>
    <w:rsid w:val="008F5507"/>
    <w:rsid w:val="008F64A0"/>
    <w:rsid w:val="009019A8"/>
    <w:rsid w:val="00903122"/>
    <w:rsid w:val="00913EE7"/>
    <w:rsid w:val="00915F2C"/>
    <w:rsid w:val="00923157"/>
    <w:rsid w:val="009258B6"/>
    <w:rsid w:val="00925ADA"/>
    <w:rsid w:val="0093060D"/>
    <w:rsid w:val="00937081"/>
    <w:rsid w:val="009413CF"/>
    <w:rsid w:val="00966347"/>
    <w:rsid w:val="00973485"/>
    <w:rsid w:val="009765D6"/>
    <w:rsid w:val="00976D8D"/>
    <w:rsid w:val="009832AC"/>
    <w:rsid w:val="009A6A99"/>
    <w:rsid w:val="009A75E5"/>
    <w:rsid w:val="009A7B0F"/>
    <w:rsid w:val="009B19D5"/>
    <w:rsid w:val="009B3B0C"/>
    <w:rsid w:val="009B72A8"/>
    <w:rsid w:val="009C3D29"/>
    <w:rsid w:val="009C463D"/>
    <w:rsid w:val="009D796A"/>
    <w:rsid w:val="009E4575"/>
    <w:rsid w:val="009F343E"/>
    <w:rsid w:val="009F3F05"/>
    <w:rsid w:val="009F7520"/>
    <w:rsid w:val="00A03D65"/>
    <w:rsid w:val="00A22AC3"/>
    <w:rsid w:val="00A24739"/>
    <w:rsid w:val="00A4400C"/>
    <w:rsid w:val="00A4416B"/>
    <w:rsid w:val="00A458B6"/>
    <w:rsid w:val="00A535C2"/>
    <w:rsid w:val="00A63735"/>
    <w:rsid w:val="00A67645"/>
    <w:rsid w:val="00A67C79"/>
    <w:rsid w:val="00A71640"/>
    <w:rsid w:val="00A74998"/>
    <w:rsid w:val="00A75549"/>
    <w:rsid w:val="00AA0160"/>
    <w:rsid w:val="00AC2A32"/>
    <w:rsid w:val="00AC3247"/>
    <w:rsid w:val="00AC359E"/>
    <w:rsid w:val="00AC50E5"/>
    <w:rsid w:val="00AD08D3"/>
    <w:rsid w:val="00AD55BF"/>
    <w:rsid w:val="00AD6B21"/>
    <w:rsid w:val="00AE0074"/>
    <w:rsid w:val="00AE352F"/>
    <w:rsid w:val="00AE67E2"/>
    <w:rsid w:val="00AF72C4"/>
    <w:rsid w:val="00B02132"/>
    <w:rsid w:val="00B0503F"/>
    <w:rsid w:val="00B33451"/>
    <w:rsid w:val="00B37974"/>
    <w:rsid w:val="00B425CE"/>
    <w:rsid w:val="00B46A5A"/>
    <w:rsid w:val="00B47002"/>
    <w:rsid w:val="00B4721E"/>
    <w:rsid w:val="00B522E6"/>
    <w:rsid w:val="00B537DE"/>
    <w:rsid w:val="00B5543A"/>
    <w:rsid w:val="00B64497"/>
    <w:rsid w:val="00B7650E"/>
    <w:rsid w:val="00B9025E"/>
    <w:rsid w:val="00B94583"/>
    <w:rsid w:val="00B969FE"/>
    <w:rsid w:val="00B977A3"/>
    <w:rsid w:val="00B9786B"/>
    <w:rsid w:val="00BA58A9"/>
    <w:rsid w:val="00BB0CE6"/>
    <w:rsid w:val="00BB73B0"/>
    <w:rsid w:val="00BB76FB"/>
    <w:rsid w:val="00BB7A1D"/>
    <w:rsid w:val="00BC7B61"/>
    <w:rsid w:val="00BD02EB"/>
    <w:rsid w:val="00BD088C"/>
    <w:rsid w:val="00BD54D9"/>
    <w:rsid w:val="00BF14F5"/>
    <w:rsid w:val="00BF44BA"/>
    <w:rsid w:val="00C00536"/>
    <w:rsid w:val="00C0076E"/>
    <w:rsid w:val="00C07CBE"/>
    <w:rsid w:val="00C2347B"/>
    <w:rsid w:val="00C26BA1"/>
    <w:rsid w:val="00C27398"/>
    <w:rsid w:val="00C27FF5"/>
    <w:rsid w:val="00C30A91"/>
    <w:rsid w:val="00C3329E"/>
    <w:rsid w:val="00C35023"/>
    <w:rsid w:val="00C35B4A"/>
    <w:rsid w:val="00C42D26"/>
    <w:rsid w:val="00C601DC"/>
    <w:rsid w:val="00C634FC"/>
    <w:rsid w:val="00C64EB7"/>
    <w:rsid w:val="00C77B2C"/>
    <w:rsid w:val="00C81323"/>
    <w:rsid w:val="00C8182B"/>
    <w:rsid w:val="00C8239E"/>
    <w:rsid w:val="00C8300F"/>
    <w:rsid w:val="00C84BE0"/>
    <w:rsid w:val="00C86EC4"/>
    <w:rsid w:val="00C8733F"/>
    <w:rsid w:val="00C9321B"/>
    <w:rsid w:val="00C933FE"/>
    <w:rsid w:val="00C97518"/>
    <w:rsid w:val="00CA240F"/>
    <w:rsid w:val="00CA4708"/>
    <w:rsid w:val="00CA4B1C"/>
    <w:rsid w:val="00CB5563"/>
    <w:rsid w:val="00CB7281"/>
    <w:rsid w:val="00CB7858"/>
    <w:rsid w:val="00CC0243"/>
    <w:rsid w:val="00CC6973"/>
    <w:rsid w:val="00CD0E3E"/>
    <w:rsid w:val="00CD7286"/>
    <w:rsid w:val="00CD7D1A"/>
    <w:rsid w:val="00CE3D27"/>
    <w:rsid w:val="00CF3C95"/>
    <w:rsid w:val="00CF42D0"/>
    <w:rsid w:val="00D0000C"/>
    <w:rsid w:val="00D00CC7"/>
    <w:rsid w:val="00D0173B"/>
    <w:rsid w:val="00D022CF"/>
    <w:rsid w:val="00D05E7A"/>
    <w:rsid w:val="00D25FCC"/>
    <w:rsid w:val="00D3305E"/>
    <w:rsid w:val="00D340E9"/>
    <w:rsid w:val="00D34433"/>
    <w:rsid w:val="00D447D2"/>
    <w:rsid w:val="00D57208"/>
    <w:rsid w:val="00D64BF8"/>
    <w:rsid w:val="00D7319B"/>
    <w:rsid w:val="00D76449"/>
    <w:rsid w:val="00DA2E9F"/>
    <w:rsid w:val="00DA3ED3"/>
    <w:rsid w:val="00DA40BA"/>
    <w:rsid w:val="00DB584D"/>
    <w:rsid w:val="00DD2A9E"/>
    <w:rsid w:val="00DD395E"/>
    <w:rsid w:val="00DE5490"/>
    <w:rsid w:val="00DE6299"/>
    <w:rsid w:val="00DE73C3"/>
    <w:rsid w:val="00DF0EB7"/>
    <w:rsid w:val="00E054B0"/>
    <w:rsid w:val="00E13B86"/>
    <w:rsid w:val="00E14E2C"/>
    <w:rsid w:val="00E20C68"/>
    <w:rsid w:val="00E439E0"/>
    <w:rsid w:val="00E50282"/>
    <w:rsid w:val="00E510A9"/>
    <w:rsid w:val="00E5293A"/>
    <w:rsid w:val="00E61E51"/>
    <w:rsid w:val="00E6212A"/>
    <w:rsid w:val="00E70BD5"/>
    <w:rsid w:val="00E7462A"/>
    <w:rsid w:val="00E77DEB"/>
    <w:rsid w:val="00E819BA"/>
    <w:rsid w:val="00E82691"/>
    <w:rsid w:val="00E826D5"/>
    <w:rsid w:val="00E950D3"/>
    <w:rsid w:val="00E96B04"/>
    <w:rsid w:val="00EA349A"/>
    <w:rsid w:val="00EA6202"/>
    <w:rsid w:val="00EA79A9"/>
    <w:rsid w:val="00EA7CF3"/>
    <w:rsid w:val="00EB2F24"/>
    <w:rsid w:val="00EC38C3"/>
    <w:rsid w:val="00ED236E"/>
    <w:rsid w:val="00ED6DE9"/>
    <w:rsid w:val="00EE22DB"/>
    <w:rsid w:val="00EE4D8C"/>
    <w:rsid w:val="00EE5BA4"/>
    <w:rsid w:val="00EF0597"/>
    <w:rsid w:val="00EF53FD"/>
    <w:rsid w:val="00EF6A8E"/>
    <w:rsid w:val="00F01ACD"/>
    <w:rsid w:val="00F03678"/>
    <w:rsid w:val="00F05196"/>
    <w:rsid w:val="00F06C5A"/>
    <w:rsid w:val="00F131F4"/>
    <w:rsid w:val="00F15E1B"/>
    <w:rsid w:val="00F21C1F"/>
    <w:rsid w:val="00F25E15"/>
    <w:rsid w:val="00F33746"/>
    <w:rsid w:val="00F364DD"/>
    <w:rsid w:val="00F36719"/>
    <w:rsid w:val="00F40976"/>
    <w:rsid w:val="00F4257D"/>
    <w:rsid w:val="00F438EC"/>
    <w:rsid w:val="00F46A25"/>
    <w:rsid w:val="00F633F3"/>
    <w:rsid w:val="00F653B0"/>
    <w:rsid w:val="00F66FEC"/>
    <w:rsid w:val="00F72C1A"/>
    <w:rsid w:val="00F77520"/>
    <w:rsid w:val="00F8493B"/>
    <w:rsid w:val="00F8705B"/>
    <w:rsid w:val="00F874E5"/>
    <w:rsid w:val="00F96E10"/>
    <w:rsid w:val="00FA3146"/>
    <w:rsid w:val="00FB3FAA"/>
    <w:rsid w:val="00FB40FD"/>
    <w:rsid w:val="00FB6E5F"/>
    <w:rsid w:val="00FC1F52"/>
    <w:rsid w:val="00FC23F3"/>
    <w:rsid w:val="00FD49A0"/>
    <w:rsid w:val="00FD4BAA"/>
    <w:rsid w:val="00FE164B"/>
    <w:rsid w:val="00FE19AB"/>
    <w:rsid w:val="00FE2224"/>
    <w:rsid w:val="00FE25B5"/>
    <w:rsid w:val="00FE5A90"/>
    <w:rsid w:val="00FE6A60"/>
    <w:rsid w:val="00FF1315"/>
    <w:rsid w:val="01201ADB"/>
    <w:rsid w:val="055BDD7F"/>
    <w:rsid w:val="08D727D6"/>
    <w:rsid w:val="0DFC2289"/>
    <w:rsid w:val="0F696528"/>
    <w:rsid w:val="173324F4"/>
    <w:rsid w:val="19E9E789"/>
    <w:rsid w:val="1F88B649"/>
    <w:rsid w:val="224A0A30"/>
    <w:rsid w:val="24D9D06F"/>
    <w:rsid w:val="2677A58B"/>
    <w:rsid w:val="2C1E0FEC"/>
    <w:rsid w:val="2D370A8F"/>
    <w:rsid w:val="2EBB6DFD"/>
    <w:rsid w:val="344A377E"/>
    <w:rsid w:val="39BBC670"/>
    <w:rsid w:val="3B11EC77"/>
    <w:rsid w:val="3BD8EDF6"/>
    <w:rsid w:val="3E76C0E4"/>
    <w:rsid w:val="3EAE8607"/>
    <w:rsid w:val="41CF4DED"/>
    <w:rsid w:val="4E274094"/>
    <w:rsid w:val="541D0ED6"/>
    <w:rsid w:val="597AA68C"/>
    <w:rsid w:val="598CDC1D"/>
    <w:rsid w:val="5D4902FD"/>
    <w:rsid w:val="5F09D16C"/>
    <w:rsid w:val="63D65343"/>
    <w:rsid w:val="641E38CF"/>
    <w:rsid w:val="665E0AB1"/>
    <w:rsid w:val="66743415"/>
    <w:rsid w:val="69055CA4"/>
    <w:rsid w:val="6986AEF8"/>
    <w:rsid w:val="6B380A72"/>
    <w:rsid w:val="721BF09E"/>
    <w:rsid w:val="74C056E3"/>
    <w:rsid w:val="74D79D17"/>
    <w:rsid w:val="77A6EE6D"/>
    <w:rsid w:val="79D245C5"/>
    <w:rsid w:val="7D0D4E1A"/>
    <w:rsid w:val="7E7ED48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D5F03"/>
  <w15:docId w15:val="{681E05AE-B53D-4A76-A9A4-90BEA291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20C"/>
    <w:pPr>
      <w:spacing w:after="0" w:line="288" w:lineRule="auto"/>
      <w:jc w:val="both"/>
    </w:pPr>
    <w:rPr>
      <w:rFonts w:ascii="Verdana" w:eastAsia="Times New Roman" w:hAnsi="Verdana"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6089A"/>
    <w:pPr>
      <w:tabs>
        <w:tab w:val="center" w:pos="4320"/>
        <w:tab w:val="right" w:pos="8640"/>
      </w:tabs>
    </w:pPr>
  </w:style>
  <w:style w:type="character" w:customStyle="1" w:styleId="HeaderChar">
    <w:name w:val="Header Char"/>
    <w:basedOn w:val="DefaultParagraphFont"/>
    <w:link w:val="Header"/>
    <w:semiHidden/>
    <w:rsid w:val="0016089A"/>
    <w:rPr>
      <w:rFonts w:ascii="Verdana" w:eastAsia="Times New Roman" w:hAnsi="Verdana" w:cs="Times New Roman"/>
      <w:sz w:val="20"/>
      <w:szCs w:val="24"/>
      <w:lang w:val="en-GB"/>
    </w:rPr>
  </w:style>
  <w:style w:type="paragraph" w:styleId="Footer">
    <w:name w:val="footer"/>
    <w:basedOn w:val="Normal"/>
    <w:link w:val="FooterChar"/>
    <w:semiHidden/>
    <w:rsid w:val="0016089A"/>
    <w:pPr>
      <w:tabs>
        <w:tab w:val="center" w:pos="4320"/>
        <w:tab w:val="right" w:pos="8640"/>
      </w:tabs>
    </w:pPr>
  </w:style>
  <w:style w:type="character" w:customStyle="1" w:styleId="FooterChar">
    <w:name w:val="Footer Char"/>
    <w:basedOn w:val="DefaultParagraphFont"/>
    <w:link w:val="Footer"/>
    <w:semiHidden/>
    <w:rsid w:val="0016089A"/>
    <w:rPr>
      <w:rFonts w:ascii="Verdana" w:eastAsia="Times New Roman" w:hAnsi="Verdana" w:cs="Times New Roman"/>
      <w:sz w:val="20"/>
      <w:szCs w:val="24"/>
      <w:lang w:val="en-GB"/>
    </w:rPr>
  </w:style>
  <w:style w:type="paragraph" w:customStyle="1" w:styleId="Noparagraphstyle">
    <w:name w:val="[No paragraph style]"/>
    <w:semiHidden/>
    <w:rsid w:val="0016089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PageNumber">
    <w:name w:val="page number"/>
    <w:basedOn w:val="DefaultParagraphFont"/>
    <w:semiHidden/>
    <w:rsid w:val="0016089A"/>
  </w:style>
  <w:style w:type="paragraph" w:customStyle="1" w:styleId="BodyText-CEA">
    <w:name w:val="Body Text - CEA"/>
    <w:basedOn w:val="Normal"/>
    <w:semiHidden/>
    <w:rsid w:val="0016089A"/>
    <w:pPr>
      <w:autoSpaceDE w:val="0"/>
      <w:autoSpaceDN w:val="0"/>
      <w:adjustRightInd w:val="0"/>
      <w:spacing w:line="24" w:lineRule="atLeast"/>
      <w:jc w:val="right"/>
      <w:textAlignment w:val="center"/>
    </w:pPr>
    <w:rPr>
      <w:rFonts w:cs="Arial"/>
      <w:b/>
      <w:color w:val="034EA2"/>
      <w:w w:val="90"/>
      <w:sz w:val="16"/>
      <w:szCs w:val="16"/>
    </w:rPr>
  </w:style>
  <w:style w:type="character" w:styleId="PlaceholderText">
    <w:name w:val="Placeholder Text"/>
    <w:basedOn w:val="DefaultParagraphFont"/>
    <w:uiPriority w:val="99"/>
    <w:semiHidden/>
    <w:rsid w:val="0016089A"/>
    <w:rPr>
      <w:color w:val="808080"/>
    </w:rPr>
  </w:style>
  <w:style w:type="paragraph" w:customStyle="1" w:styleId="CEADraft">
    <w:name w:val="CEA Draft"/>
    <w:basedOn w:val="Normal"/>
    <w:semiHidden/>
    <w:qFormat/>
    <w:rsid w:val="0016089A"/>
    <w:pPr>
      <w:jc w:val="right"/>
    </w:pPr>
    <w:rPr>
      <w:rFonts w:cs="Arial"/>
      <w:b/>
      <w:color w:val="034EA2"/>
      <w:sz w:val="32"/>
      <w:szCs w:val="40"/>
    </w:rPr>
  </w:style>
  <w:style w:type="paragraph" w:customStyle="1" w:styleId="CEAFooterauthorinfo">
    <w:name w:val="CEA Footer (author info)"/>
    <w:basedOn w:val="Normal"/>
    <w:semiHidden/>
    <w:qFormat/>
    <w:rsid w:val="0016089A"/>
    <w:pPr>
      <w:autoSpaceDE w:val="0"/>
      <w:autoSpaceDN w:val="0"/>
      <w:adjustRightInd w:val="0"/>
      <w:ind w:left="546"/>
      <w:textAlignment w:val="center"/>
    </w:pPr>
    <w:rPr>
      <w:rFonts w:cs="Arial"/>
      <w:b/>
      <w:color w:val="034EA2"/>
      <w:sz w:val="16"/>
      <w:szCs w:val="16"/>
    </w:rPr>
  </w:style>
  <w:style w:type="paragraph" w:customStyle="1" w:styleId="CEALabel">
    <w:name w:val="CEA Label"/>
    <w:basedOn w:val="Normal"/>
    <w:semiHidden/>
    <w:qFormat/>
    <w:rsid w:val="0016089A"/>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al"/>
    <w:semiHidden/>
    <w:qFormat/>
    <w:rsid w:val="0016089A"/>
    <w:rPr>
      <w:rFonts w:cs="Arial"/>
      <w:b/>
      <w:szCs w:val="20"/>
    </w:rPr>
  </w:style>
  <w:style w:type="paragraph" w:customStyle="1" w:styleId="CEADocumentTitle">
    <w:name w:val="CEA Document Title"/>
    <w:basedOn w:val="Header"/>
    <w:semiHidden/>
    <w:qFormat/>
    <w:rsid w:val="0016089A"/>
    <w:pPr>
      <w:tabs>
        <w:tab w:val="clear" w:pos="4320"/>
        <w:tab w:val="clear" w:pos="8640"/>
        <w:tab w:val="center" w:pos="0"/>
        <w:tab w:val="right" w:pos="10440"/>
      </w:tabs>
      <w:jc w:val="right"/>
    </w:pPr>
    <w:rPr>
      <w:b/>
      <w:noProof/>
      <w:color w:val="034EA2"/>
      <w:sz w:val="40"/>
      <w:szCs w:val="40"/>
      <w:lang w:eastAsia="nl-NL"/>
    </w:rPr>
  </w:style>
  <w:style w:type="paragraph" w:customStyle="1" w:styleId="IEStandardHeading">
    <w:name w:val="IE Standard Heading"/>
    <w:basedOn w:val="Normal"/>
    <w:qFormat/>
    <w:rsid w:val="0016089A"/>
    <w:pPr>
      <w:autoSpaceDE w:val="0"/>
      <w:autoSpaceDN w:val="0"/>
      <w:adjustRightInd w:val="0"/>
      <w:textAlignment w:val="center"/>
    </w:pPr>
    <w:rPr>
      <w:rFonts w:cs="Arial"/>
      <w:color w:val="002957"/>
      <w:szCs w:val="22"/>
    </w:rPr>
  </w:style>
  <w:style w:type="paragraph" w:styleId="BalloonText">
    <w:name w:val="Balloon Text"/>
    <w:basedOn w:val="Normal"/>
    <w:link w:val="BalloonTextChar"/>
    <w:uiPriority w:val="99"/>
    <w:semiHidden/>
    <w:unhideWhenUsed/>
    <w:rsid w:val="001608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89A"/>
    <w:rPr>
      <w:rFonts w:ascii="Tahoma" w:eastAsia="Times New Roman" w:hAnsi="Tahoma" w:cs="Tahoma"/>
      <w:sz w:val="16"/>
      <w:szCs w:val="16"/>
      <w:lang w:val="en-GB"/>
    </w:rPr>
  </w:style>
  <w:style w:type="paragraph" w:customStyle="1" w:styleId="IEBullet-Level1">
    <w:name w:val="IE Bullet - Level 1"/>
    <w:basedOn w:val="Normal"/>
    <w:link w:val="IEBullet-Level1Char"/>
    <w:qFormat/>
    <w:rsid w:val="008C452F"/>
    <w:pPr>
      <w:numPr>
        <w:numId w:val="4"/>
      </w:numPr>
      <w:autoSpaceDE w:val="0"/>
      <w:autoSpaceDN w:val="0"/>
      <w:adjustRightInd w:val="0"/>
    </w:pPr>
    <w:rPr>
      <w:rFonts w:cs="Frutiger LT Std 45 Light"/>
      <w:color w:val="000000"/>
      <w:sz w:val="17"/>
      <w:szCs w:val="20"/>
    </w:rPr>
  </w:style>
  <w:style w:type="paragraph" w:customStyle="1" w:styleId="IEBullet-Level2">
    <w:name w:val="IE Bullet - Level 2"/>
    <w:basedOn w:val="IEBullet-Level1"/>
    <w:next w:val="IEBullet-Level3"/>
    <w:qFormat/>
    <w:rsid w:val="008C452F"/>
    <w:pPr>
      <w:numPr>
        <w:numId w:val="5"/>
      </w:numPr>
    </w:pPr>
  </w:style>
  <w:style w:type="paragraph" w:customStyle="1" w:styleId="IEBullet-Level3">
    <w:name w:val="IE Bullet - Level 3"/>
    <w:basedOn w:val="Normal"/>
    <w:qFormat/>
    <w:rsid w:val="008C452F"/>
    <w:pPr>
      <w:numPr>
        <w:numId w:val="6"/>
      </w:numPr>
      <w:autoSpaceDE w:val="0"/>
      <w:autoSpaceDN w:val="0"/>
      <w:adjustRightInd w:val="0"/>
    </w:pPr>
    <w:rPr>
      <w:rFonts w:cs="Frutiger LT Std 45 Light"/>
      <w:color w:val="000000"/>
      <w:sz w:val="17"/>
      <w:szCs w:val="20"/>
    </w:rPr>
  </w:style>
  <w:style w:type="paragraph" w:customStyle="1" w:styleId="CEADirectorGeneral">
    <w:name w:val="CEA Director General"/>
    <w:basedOn w:val="Normal"/>
    <w:semiHidden/>
    <w:qFormat/>
    <w:rsid w:val="001969B9"/>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al"/>
    <w:semiHidden/>
    <w:qFormat/>
    <w:rsid w:val="001969B9"/>
    <w:pPr>
      <w:jc w:val="right"/>
    </w:pPr>
    <w:rPr>
      <w:rFonts w:cs="Frutiger LT Std 55 Roman"/>
      <w:b/>
      <w:color w:val="0032FF"/>
      <w:sz w:val="40"/>
      <w:szCs w:val="40"/>
    </w:rPr>
  </w:style>
  <w:style w:type="paragraph" w:customStyle="1" w:styleId="CEAFootnote">
    <w:name w:val="CEA Footnote"/>
    <w:basedOn w:val="Normal"/>
    <w:semiHidden/>
    <w:qFormat/>
    <w:rsid w:val="001969B9"/>
    <w:pPr>
      <w:spacing w:line="240" w:lineRule="auto"/>
    </w:pPr>
    <w:rPr>
      <w:sz w:val="16"/>
    </w:rPr>
  </w:style>
  <w:style w:type="character" w:customStyle="1" w:styleId="CEAGraphTitle">
    <w:name w:val="CEA Graph Title"/>
    <w:uiPriority w:val="1"/>
    <w:qFormat/>
    <w:rsid w:val="001969B9"/>
    <w:rPr>
      <w:rFonts w:ascii="Verdana" w:hAnsi="Verdana"/>
      <w:smallCaps w:val="0"/>
      <w:sz w:val="19"/>
      <w:lang w:val="en-GB"/>
    </w:rPr>
  </w:style>
  <w:style w:type="character" w:customStyle="1" w:styleId="CEAGraphX">
    <w:name w:val="CEA Graph X"/>
    <w:uiPriority w:val="1"/>
    <w:qFormat/>
    <w:rsid w:val="001969B9"/>
    <w:rPr>
      <w:rFonts w:ascii="Verdana" w:hAnsi="Verdana"/>
      <w:smallCaps/>
      <w:sz w:val="19"/>
      <w:lang w:val="en-GB"/>
    </w:rPr>
  </w:style>
  <w:style w:type="paragraph" w:customStyle="1" w:styleId="CEAPositionPaperTitle">
    <w:name w:val="CEA Position Paper Title"/>
    <w:basedOn w:val="Normal"/>
    <w:semiHidden/>
    <w:qFormat/>
    <w:rsid w:val="001969B9"/>
    <w:pPr>
      <w:ind w:left="-27"/>
    </w:pPr>
    <w:rPr>
      <w:b/>
      <w:color w:val="034EA2"/>
      <w:sz w:val="32"/>
      <w:szCs w:val="32"/>
    </w:rPr>
  </w:style>
  <w:style w:type="paragraph" w:customStyle="1" w:styleId="CEAPressReleaseSubtitle">
    <w:name w:val="CEA Press Release Subtitle"/>
    <w:basedOn w:val="Normal"/>
    <w:semiHidden/>
    <w:qFormat/>
    <w:rsid w:val="001969B9"/>
    <w:rPr>
      <w:sz w:val="22"/>
      <w:szCs w:val="22"/>
    </w:rPr>
  </w:style>
  <w:style w:type="paragraph" w:customStyle="1" w:styleId="CEAPressReleaseTitle">
    <w:name w:val="CEA Press Release Title"/>
    <w:basedOn w:val="Normal"/>
    <w:semiHidden/>
    <w:qFormat/>
    <w:rsid w:val="001969B9"/>
    <w:pPr>
      <w:autoSpaceDE w:val="0"/>
      <w:autoSpaceDN w:val="0"/>
      <w:adjustRightInd w:val="0"/>
      <w:spacing w:line="240" w:lineRule="auto"/>
    </w:pPr>
    <w:rPr>
      <w:rFonts w:ascii="Frutiger LT Com 45 Light" w:hAnsi="Frutiger LT Com 45 Light"/>
      <w:b/>
      <w:color w:val="034EA2"/>
      <w:sz w:val="36"/>
      <w:szCs w:val="36"/>
    </w:rPr>
  </w:style>
  <w:style w:type="table" w:styleId="TableGrid">
    <w:name w:val="Table Grid"/>
    <w:basedOn w:val="TableNormal"/>
    <w:uiPriority w:val="59"/>
    <w:rsid w:val="00C0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Bullet-Level1Char">
    <w:name w:val="IE Bullet - Level 1 Char"/>
    <w:link w:val="IEBullet-Level1"/>
    <w:locked/>
    <w:rsid w:val="008C452F"/>
    <w:rPr>
      <w:rFonts w:ascii="Verdana" w:eastAsia="Times New Roman" w:hAnsi="Verdana" w:cs="Frutiger LT Std 45 Light"/>
      <w:color w:val="000000"/>
      <w:sz w:val="17"/>
      <w:szCs w:val="20"/>
      <w:lang w:val="en-GB"/>
    </w:rPr>
  </w:style>
  <w:style w:type="paragraph" w:styleId="ListParagraph">
    <w:name w:val="List Paragraph"/>
    <w:basedOn w:val="Normal"/>
    <w:uiPriority w:val="34"/>
    <w:qFormat/>
    <w:rsid w:val="00925ADA"/>
    <w:pPr>
      <w:ind w:left="720"/>
      <w:contextualSpacing/>
    </w:pPr>
  </w:style>
  <w:style w:type="character" w:styleId="Hyperlink">
    <w:name w:val="Hyperlink"/>
    <w:basedOn w:val="DefaultParagraphFont"/>
    <w:uiPriority w:val="99"/>
    <w:unhideWhenUsed/>
    <w:rsid w:val="00797F0C"/>
    <w:rPr>
      <w:color w:val="0000FF" w:themeColor="hyperlink"/>
      <w:u w:val="single"/>
    </w:rPr>
  </w:style>
  <w:style w:type="character" w:styleId="UnresolvedMention">
    <w:name w:val="Unresolved Mention"/>
    <w:basedOn w:val="DefaultParagraphFont"/>
    <w:uiPriority w:val="99"/>
    <w:semiHidden/>
    <w:unhideWhenUsed/>
    <w:rsid w:val="00797F0C"/>
    <w:rPr>
      <w:color w:val="605E5C"/>
      <w:shd w:val="clear" w:color="auto" w:fill="E1DFDD"/>
    </w:rPr>
  </w:style>
  <w:style w:type="character" w:styleId="CommentReference">
    <w:name w:val="annotation reference"/>
    <w:basedOn w:val="DefaultParagraphFont"/>
    <w:uiPriority w:val="99"/>
    <w:semiHidden/>
    <w:unhideWhenUsed/>
    <w:rsid w:val="00B47002"/>
    <w:rPr>
      <w:sz w:val="16"/>
      <w:szCs w:val="16"/>
    </w:rPr>
  </w:style>
  <w:style w:type="paragraph" w:styleId="CommentText">
    <w:name w:val="annotation text"/>
    <w:basedOn w:val="Normal"/>
    <w:link w:val="CommentTextChar"/>
    <w:uiPriority w:val="99"/>
    <w:unhideWhenUsed/>
    <w:rsid w:val="00B47002"/>
    <w:pPr>
      <w:spacing w:line="240" w:lineRule="auto"/>
    </w:pPr>
    <w:rPr>
      <w:szCs w:val="20"/>
    </w:rPr>
  </w:style>
  <w:style w:type="character" w:customStyle="1" w:styleId="CommentTextChar">
    <w:name w:val="Comment Text Char"/>
    <w:basedOn w:val="DefaultParagraphFont"/>
    <w:link w:val="CommentText"/>
    <w:uiPriority w:val="99"/>
    <w:rsid w:val="00B47002"/>
    <w:rPr>
      <w:rFonts w:ascii="Verdana" w:eastAsia="Times New Roman" w:hAnsi="Verdan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47002"/>
    <w:rPr>
      <w:b/>
      <w:bCs/>
    </w:rPr>
  </w:style>
  <w:style w:type="character" w:customStyle="1" w:styleId="CommentSubjectChar">
    <w:name w:val="Comment Subject Char"/>
    <w:basedOn w:val="CommentTextChar"/>
    <w:link w:val="CommentSubject"/>
    <w:uiPriority w:val="99"/>
    <w:semiHidden/>
    <w:rsid w:val="00B47002"/>
    <w:rPr>
      <w:rFonts w:ascii="Verdana" w:eastAsia="Times New Roman" w:hAnsi="Verdana" w:cs="Times New Roman"/>
      <w:b/>
      <w:bCs/>
      <w:sz w:val="20"/>
      <w:szCs w:val="20"/>
      <w:lang w:val="en-GB"/>
    </w:rPr>
  </w:style>
  <w:style w:type="character" w:styleId="FollowedHyperlink">
    <w:name w:val="FollowedHyperlink"/>
    <w:basedOn w:val="DefaultParagraphFont"/>
    <w:uiPriority w:val="99"/>
    <w:semiHidden/>
    <w:unhideWhenUsed/>
    <w:rsid w:val="004F56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771">
      <w:bodyDiv w:val="1"/>
      <w:marLeft w:val="0"/>
      <w:marRight w:val="0"/>
      <w:marTop w:val="0"/>
      <w:marBottom w:val="0"/>
      <w:divBdr>
        <w:top w:val="none" w:sz="0" w:space="0" w:color="auto"/>
        <w:left w:val="none" w:sz="0" w:space="0" w:color="auto"/>
        <w:bottom w:val="none" w:sz="0" w:space="0" w:color="auto"/>
        <w:right w:val="none" w:sz="0" w:space="0" w:color="auto"/>
      </w:divBdr>
    </w:div>
    <w:div w:id="56822154">
      <w:bodyDiv w:val="1"/>
      <w:marLeft w:val="0"/>
      <w:marRight w:val="0"/>
      <w:marTop w:val="0"/>
      <w:marBottom w:val="0"/>
      <w:divBdr>
        <w:top w:val="none" w:sz="0" w:space="0" w:color="auto"/>
        <w:left w:val="none" w:sz="0" w:space="0" w:color="auto"/>
        <w:bottom w:val="none" w:sz="0" w:space="0" w:color="auto"/>
        <w:right w:val="none" w:sz="0" w:space="0" w:color="auto"/>
      </w:divBdr>
    </w:div>
    <w:div w:id="482620773">
      <w:bodyDiv w:val="1"/>
      <w:marLeft w:val="0"/>
      <w:marRight w:val="0"/>
      <w:marTop w:val="0"/>
      <w:marBottom w:val="0"/>
      <w:divBdr>
        <w:top w:val="none" w:sz="0" w:space="0" w:color="auto"/>
        <w:left w:val="none" w:sz="0" w:space="0" w:color="auto"/>
        <w:bottom w:val="none" w:sz="0" w:space="0" w:color="auto"/>
        <w:right w:val="none" w:sz="0" w:space="0" w:color="auto"/>
      </w:divBdr>
      <w:divsChild>
        <w:div w:id="166142193">
          <w:marLeft w:val="0"/>
          <w:marRight w:val="0"/>
          <w:marTop w:val="0"/>
          <w:marBottom w:val="0"/>
          <w:divBdr>
            <w:top w:val="none" w:sz="0" w:space="0" w:color="auto"/>
            <w:left w:val="none" w:sz="0" w:space="0" w:color="auto"/>
            <w:bottom w:val="none" w:sz="0" w:space="0" w:color="auto"/>
            <w:right w:val="none" w:sz="0" w:space="0" w:color="auto"/>
          </w:divBdr>
        </w:div>
        <w:div w:id="1527795653">
          <w:marLeft w:val="0"/>
          <w:marRight w:val="0"/>
          <w:marTop w:val="0"/>
          <w:marBottom w:val="0"/>
          <w:divBdr>
            <w:top w:val="none" w:sz="0" w:space="0" w:color="auto"/>
            <w:left w:val="none" w:sz="0" w:space="0" w:color="auto"/>
            <w:bottom w:val="none" w:sz="0" w:space="0" w:color="auto"/>
            <w:right w:val="none" w:sz="0" w:space="0" w:color="auto"/>
          </w:divBdr>
        </w:div>
        <w:div w:id="1393578554">
          <w:marLeft w:val="0"/>
          <w:marRight w:val="0"/>
          <w:marTop w:val="0"/>
          <w:marBottom w:val="0"/>
          <w:divBdr>
            <w:top w:val="none" w:sz="0" w:space="0" w:color="auto"/>
            <w:left w:val="none" w:sz="0" w:space="0" w:color="auto"/>
            <w:bottom w:val="none" w:sz="0" w:space="0" w:color="auto"/>
            <w:right w:val="none" w:sz="0" w:space="0" w:color="auto"/>
          </w:divBdr>
        </w:div>
      </w:divsChild>
    </w:div>
    <w:div w:id="589195753">
      <w:bodyDiv w:val="1"/>
      <w:marLeft w:val="0"/>
      <w:marRight w:val="0"/>
      <w:marTop w:val="0"/>
      <w:marBottom w:val="0"/>
      <w:divBdr>
        <w:top w:val="none" w:sz="0" w:space="0" w:color="auto"/>
        <w:left w:val="none" w:sz="0" w:space="0" w:color="auto"/>
        <w:bottom w:val="none" w:sz="0" w:space="0" w:color="auto"/>
        <w:right w:val="none" w:sz="0" w:space="0" w:color="auto"/>
      </w:divBdr>
    </w:div>
    <w:div w:id="609167415">
      <w:bodyDiv w:val="1"/>
      <w:marLeft w:val="0"/>
      <w:marRight w:val="0"/>
      <w:marTop w:val="0"/>
      <w:marBottom w:val="0"/>
      <w:divBdr>
        <w:top w:val="none" w:sz="0" w:space="0" w:color="auto"/>
        <w:left w:val="none" w:sz="0" w:space="0" w:color="auto"/>
        <w:bottom w:val="none" w:sz="0" w:space="0" w:color="auto"/>
        <w:right w:val="none" w:sz="0" w:space="0" w:color="auto"/>
      </w:divBdr>
    </w:div>
    <w:div w:id="615410735">
      <w:bodyDiv w:val="1"/>
      <w:marLeft w:val="0"/>
      <w:marRight w:val="0"/>
      <w:marTop w:val="0"/>
      <w:marBottom w:val="0"/>
      <w:divBdr>
        <w:top w:val="none" w:sz="0" w:space="0" w:color="auto"/>
        <w:left w:val="none" w:sz="0" w:space="0" w:color="auto"/>
        <w:bottom w:val="none" w:sz="0" w:space="0" w:color="auto"/>
        <w:right w:val="none" w:sz="0" w:space="0" w:color="auto"/>
      </w:divBdr>
    </w:div>
    <w:div w:id="971517484">
      <w:bodyDiv w:val="1"/>
      <w:marLeft w:val="0"/>
      <w:marRight w:val="0"/>
      <w:marTop w:val="0"/>
      <w:marBottom w:val="0"/>
      <w:divBdr>
        <w:top w:val="none" w:sz="0" w:space="0" w:color="auto"/>
        <w:left w:val="none" w:sz="0" w:space="0" w:color="auto"/>
        <w:bottom w:val="none" w:sz="0" w:space="0" w:color="auto"/>
        <w:right w:val="none" w:sz="0" w:space="0" w:color="auto"/>
      </w:divBdr>
    </w:div>
    <w:div w:id="1032074436">
      <w:bodyDiv w:val="1"/>
      <w:marLeft w:val="0"/>
      <w:marRight w:val="0"/>
      <w:marTop w:val="0"/>
      <w:marBottom w:val="0"/>
      <w:divBdr>
        <w:top w:val="none" w:sz="0" w:space="0" w:color="auto"/>
        <w:left w:val="none" w:sz="0" w:space="0" w:color="auto"/>
        <w:bottom w:val="none" w:sz="0" w:space="0" w:color="auto"/>
        <w:right w:val="none" w:sz="0" w:space="0" w:color="auto"/>
      </w:divBdr>
    </w:div>
    <w:div w:id="1034187901">
      <w:bodyDiv w:val="1"/>
      <w:marLeft w:val="0"/>
      <w:marRight w:val="0"/>
      <w:marTop w:val="0"/>
      <w:marBottom w:val="0"/>
      <w:divBdr>
        <w:top w:val="none" w:sz="0" w:space="0" w:color="auto"/>
        <w:left w:val="none" w:sz="0" w:space="0" w:color="auto"/>
        <w:bottom w:val="none" w:sz="0" w:space="0" w:color="auto"/>
        <w:right w:val="none" w:sz="0" w:space="0" w:color="auto"/>
      </w:divBdr>
    </w:div>
    <w:div w:id="1082020301">
      <w:bodyDiv w:val="1"/>
      <w:marLeft w:val="0"/>
      <w:marRight w:val="0"/>
      <w:marTop w:val="0"/>
      <w:marBottom w:val="0"/>
      <w:divBdr>
        <w:top w:val="none" w:sz="0" w:space="0" w:color="auto"/>
        <w:left w:val="none" w:sz="0" w:space="0" w:color="auto"/>
        <w:bottom w:val="none" w:sz="0" w:space="0" w:color="auto"/>
        <w:right w:val="none" w:sz="0" w:space="0" w:color="auto"/>
      </w:divBdr>
    </w:div>
    <w:div w:id="1124082015">
      <w:bodyDiv w:val="1"/>
      <w:marLeft w:val="0"/>
      <w:marRight w:val="0"/>
      <w:marTop w:val="0"/>
      <w:marBottom w:val="0"/>
      <w:divBdr>
        <w:top w:val="none" w:sz="0" w:space="0" w:color="auto"/>
        <w:left w:val="none" w:sz="0" w:space="0" w:color="auto"/>
        <w:bottom w:val="none" w:sz="0" w:space="0" w:color="auto"/>
        <w:right w:val="none" w:sz="0" w:space="0" w:color="auto"/>
      </w:divBdr>
    </w:div>
    <w:div w:id="1124230391">
      <w:bodyDiv w:val="1"/>
      <w:marLeft w:val="0"/>
      <w:marRight w:val="0"/>
      <w:marTop w:val="0"/>
      <w:marBottom w:val="0"/>
      <w:divBdr>
        <w:top w:val="none" w:sz="0" w:space="0" w:color="auto"/>
        <w:left w:val="none" w:sz="0" w:space="0" w:color="auto"/>
        <w:bottom w:val="none" w:sz="0" w:space="0" w:color="auto"/>
        <w:right w:val="none" w:sz="0" w:space="0" w:color="auto"/>
      </w:divBdr>
    </w:div>
    <w:div w:id="1214272916">
      <w:bodyDiv w:val="1"/>
      <w:marLeft w:val="0"/>
      <w:marRight w:val="0"/>
      <w:marTop w:val="0"/>
      <w:marBottom w:val="0"/>
      <w:divBdr>
        <w:top w:val="none" w:sz="0" w:space="0" w:color="auto"/>
        <w:left w:val="none" w:sz="0" w:space="0" w:color="auto"/>
        <w:bottom w:val="none" w:sz="0" w:space="0" w:color="auto"/>
        <w:right w:val="none" w:sz="0" w:space="0" w:color="auto"/>
      </w:divBdr>
    </w:div>
    <w:div w:id="1340736298">
      <w:bodyDiv w:val="1"/>
      <w:marLeft w:val="0"/>
      <w:marRight w:val="0"/>
      <w:marTop w:val="0"/>
      <w:marBottom w:val="0"/>
      <w:divBdr>
        <w:top w:val="none" w:sz="0" w:space="0" w:color="auto"/>
        <w:left w:val="none" w:sz="0" w:space="0" w:color="auto"/>
        <w:bottom w:val="none" w:sz="0" w:space="0" w:color="auto"/>
        <w:right w:val="none" w:sz="0" w:space="0" w:color="auto"/>
      </w:divBdr>
    </w:div>
    <w:div w:id="1342010286">
      <w:bodyDiv w:val="1"/>
      <w:marLeft w:val="0"/>
      <w:marRight w:val="0"/>
      <w:marTop w:val="0"/>
      <w:marBottom w:val="0"/>
      <w:divBdr>
        <w:top w:val="none" w:sz="0" w:space="0" w:color="auto"/>
        <w:left w:val="none" w:sz="0" w:space="0" w:color="auto"/>
        <w:bottom w:val="none" w:sz="0" w:space="0" w:color="auto"/>
        <w:right w:val="none" w:sz="0" w:space="0" w:color="auto"/>
      </w:divBdr>
    </w:div>
    <w:div w:id="1373071196">
      <w:bodyDiv w:val="1"/>
      <w:marLeft w:val="0"/>
      <w:marRight w:val="0"/>
      <w:marTop w:val="0"/>
      <w:marBottom w:val="0"/>
      <w:divBdr>
        <w:top w:val="none" w:sz="0" w:space="0" w:color="auto"/>
        <w:left w:val="none" w:sz="0" w:space="0" w:color="auto"/>
        <w:bottom w:val="none" w:sz="0" w:space="0" w:color="auto"/>
        <w:right w:val="none" w:sz="0" w:space="0" w:color="auto"/>
      </w:divBdr>
    </w:div>
    <w:div w:id="1456026508">
      <w:bodyDiv w:val="1"/>
      <w:marLeft w:val="0"/>
      <w:marRight w:val="0"/>
      <w:marTop w:val="0"/>
      <w:marBottom w:val="0"/>
      <w:divBdr>
        <w:top w:val="none" w:sz="0" w:space="0" w:color="auto"/>
        <w:left w:val="none" w:sz="0" w:space="0" w:color="auto"/>
        <w:bottom w:val="none" w:sz="0" w:space="0" w:color="auto"/>
        <w:right w:val="none" w:sz="0" w:space="0" w:color="auto"/>
      </w:divBdr>
    </w:div>
    <w:div w:id="1574927910">
      <w:bodyDiv w:val="1"/>
      <w:marLeft w:val="0"/>
      <w:marRight w:val="0"/>
      <w:marTop w:val="0"/>
      <w:marBottom w:val="0"/>
      <w:divBdr>
        <w:top w:val="none" w:sz="0" w:space="0" w:color="auto"/>
        <w:left w:val="none" w:sz="0" w:space="0" w:color="auto"/>
        <w:bottom w:val="none" w:sz="0" w:space="0" w:color="auto"/>
        <w:right w:val="none" w:sz="0" w:space="0" w:color="auto"/>
      </w:divBdr>
    </w:div>
    <w:div w:id="1588002897">
      <w:bodyDiv w:val="1"/>
      <w:marLeft w:val="0"/>
      <w:marRight w:val="0"/>
      <w:marTop w:val="0"/>
      <w:marBottom w:val="0"/>
      <w:divBdr>
        <w:top w:val="none" w:sz="0" w:space="0" w:color="auto"/>
        <w:left w:val="none" w:sz="0" w:space="0" w:color="auto"/>
        <w:bottom w:val="none" w:sz="0" w:space="0" w:color="auto"/>
        <w:right w:val="none" w:sz="0" w:space="0" w:color="auto"/>
      </w:divBdr>
    </w:div>
    <w:div w:id="1660303731">
      <w:bodyDiv w:val="1"/>
      <w:marLeft w:val="0"/>
      <w:marRight w:val="0"/>
      <w:marTop w:val="0"/>
      <w:marBottom w:val="0"/>
      <w:divBdr>
        <w:top w:val="none" w:sz="0" w:space="0" w:color="auto"/>
        <w:left w:val="none" w:sz="0" w:space="0" w:color="auto"/>
        <w:bottom w:val="none" w:sz="0" w:space="0" w:color="auto"/>
        <w:right w:val="none" w:sz="0" w:space="0" w:color="auto"/>
      </w:divBdr>
      <w:divsChild>
        <w:div w:id="230121434">
          <w:marLeft w:val="0"/>
          <w:marRight w:val="0"/>
          <w:marTop w:val="0"/>
          <w:marBottom w:val="0"/>
          <w:divBdr>
            <w:top w:val="none" w:sz="0" w:space="0" w:color="auto"/>
            <w:left w:val="none" w:sz="0" w:space="0" w:color="auto"/>
            <w:bottom w:val="none" w:sz="0" w:space="0" w:color="auto"/>
            <w:right w:val="none" w:sz="0" w:space="0" w:color="auto"/>
          </w:divBdr>
        </w:div>
        <w:div w:id="1559434653">
          <w:marLeft w:val="0"/>
          <w:marRight w:val="0"/>
          <w:marTop w:val="0"/>
          <w:marBottom w:val="0"/>
          <w:divBdr>
            <w:top w:val="none" w:sz="0" w:space="0" w:color="auto"/>
            <w:left w:val="none" w:sz="0" w:space="0" w:color="auto"/>
            <w:bottom w:val="none" w:sz="0" w:space="0" w:color="auto"/>
            <w:right w:val="none" w:sz="0" w:space="0" w:color="auto"/>
          </w:divBdr>
        </w:div>
        <w:div w:id="1083646087">
          <w:marLeft w:val="0"/>
          <w:marRight w:val="0"/>
          <w:marTop w:val="0"/>
          <w:marBottom w:val="0"/>
          <w:divBdr>
            <w:top w:val="none" w:sz="0" w:space="0" w:color="auto"/>
            <w:left w:val="none" w:sz="0" w:space="0" w:color="auto"/>
            <w:bottom w:val="none" w:sz="0" w:space="0" w:color="auto"/>
            <w:right w:val="none" w:sz="0" w:space="0" w:color="auto"/>
          </w:divBdr>
        </w:div>
      </w:divsChild>
    </w:div>
    <w:div w:id="1791820485">
      <w:bodyDiv w:val="1"/>
      <w:marLeft w:val="0"/>
      <w:marRight w:val="0"/>
      <w:marTop w:val="0"/>
      <w:marBottom w:val="0"/>
      <w:divBdr>
        <w:top w:val="none" w:sz="0" w:space="0" w:color="auto"/>
        <w:left w:val="none" w:sz="0" w:space="0" w:color="auto"/>
        <w:bottom w:val="none" w:sz="0" w:space="0" w:color="auto"/>
        <w:right w:val="none" w:sz="0" w:space="0" w:color="auto"/>
      </w:divBdr>
    </w:div>
    <w:div w:id="1868445037">
      <w:bodyDiv w:val="1"/>
      <w:marLeft w:val="0"/>
      <w:marRight w:val="0"/>
      <w:marTop w:val="0"/>
      <w:marBottom w:val="0"/>
      <w:divBdr>
        <w:top w:val="none" w:sz="0" w:space="0" w:color="auto"/>
        <w:left w:val="none" w:sz="0" w:space="0" w:color="auto"/>
        <w:bottom w:val="none" w:sz="0" w:space="0" w:color="auto"/>
        <w:right w:val="none" w:sz="0" w:space="0" w:color="auto"/>
      </w:divBdr>
    </w:div>
    <w:div w:id="1893152082">
      <w:bodyDiv w:val="1"/>
      <w:marLeft w:val="0"/>
      <w:marRight w:val="0"/>
      <w:marTop w:val="0"/>
      <w:marBottom w:val="0"/>
      <w:divBdr>
        <w:top w:val="none" w:sz="0" w:space="0" w:color="auto"/>
        <w:left w:val="none" w:sz="0" w:space="0" w:color="auto"/>
        <w:bottom w:val="none" w:sz="0" w:space="0" w:color="auto"/>
        <w:right w:val="none" w:sz="0" w:space="0" w:color="auto"/>
      </w:divBdr>
    </w:div>
    <w:div w:id="2062748691">
      <w:bodyDiv w:val="1"/>
      <w:marLeft w:val="0"/>
      <w:marRight w:val="0"/>
      <w:marTop w:val="0"/>
      <w:marBottom w:val="0"/>
      <w:divBdr>
        <w:top w:val="none" w:sz="0" w:space="0" w:color="auto"/>
        <w:left w:val="none" w:sz="0" w:space="0" w:color="auto"/>
        <w:bottom w:val="none" w:sz="0" w:space="0" w:color="auto"/>
        <w:right w:val="none" w:sz="0" w:space="0" w:color="auto"/>
      </w:divBdr>
    </w:div>
    <w:div w:id="2112160386">
      <w:bodyDiv w:val="1"/>
      <w:marLeft w:val="0"/>
      <w:marRight w:val="0"/>
      <w:marTop w:val="0"/>
      <w:marBottom w:val="0"/>
      <w:divBdr>
        <w:top w:val="none" w:sz="0" w:space="0" w:color="auto"/>
        <w:left w:val="none" w:sz="0" w:space="0" w:color="auto"/>
        <w:bottom w:val="none" w:sz="0" w:space="0" w:color="auto"/>
        <w:right w:val="none" w:sz="0" w:space="0" w:color="auto"/>
      </w:divBdr>
    </w:div>
    <w:div w:id="2122067665">
      <w:bodyDiv w:val="1"/>
      <w:marLeft w:val="0"/>
      <w:marRight w:val="0"/>
      <w:marTop w:val="0"/>
      <w:marBottom w:val="0"/>
      <w:divBdr>
        <w:top w:val="none" w:sz="0" w:space="0" w:color="auto"/>
        <w:left w:val="none" w:sz="0" w:space="0" w:color="auto"/>
        <w:bottom w:val="none" w:sz="0" w:space="0" w:color="auto"/>
        <w:right w:val="none" w:sz="0" w:space="0" w:color="auto"/>
      </w:divBdr>
    </w:div>
    <w:div w:id="214638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rag.org/sites/default/files/media/document/2025-05/EFRAG%20DCL%20IFRS%20S2%20Amendmen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4EF38CAE9A4F80AF2F6FA01859F6AD"/>
        <w:category>
          <w:name w:val="General"/>
          <w:gallery w:val="placeholder"/>
        </w:category>
        <w:types>
          <w:type w:val="bbPlcHdr"/>
        </w:types>
        <w:behaviors>
          <w:behavior w:val="content"/>
        </w:behaviors>
        <w:guid w:val="{728CBCCC-8DFB-4F0E-A3A0-D9B9750E4ED6}"/>
      </w:docPartPr>
      <w:docPartBody>
        <w:p w:rsidR="00D92B7A" w:rsidRDefault="005F6EC7" w:rsidP="005F6EC7">
          <w:pPr>
            <w:pStyle w:val="584EF38CAE9A4F80AF2F6FA01859F6AD"/>
          </w:pPr>
          <w:r w:rsidRPr="00714930">
            <w:rPr>
              <w:rStyle w:val="PlaceholderText"/>
            </w:rPr>
            <w:t>[Reference]</w:t>
          </w:r>
        </w:p>
      </w:docPartBody>
    </w:docPart>
    <w:docPart>
      <w:docPartPr>
        <w:name w:val="DefaultPlaceholder_-1854013440"/>
        <w:category>
          <w:name w:val="General"/>
          <w:gallery w:val="placeholder"/>
        </w:category>
        <w:types>
          <w:type w:val="bbPlcHdr"/>
        </w:types>
        <w:behaviors>
          <w:behavior w:val="content"/>
        </w:behaviors>
        <w:guid w:val="{350E5685-6C96-4FE6-872F-19F6FA4E2ADB}"/>
      </w:docPartPr>
      <w:docPartBody>
        <w:p w:rsidR="003278DF" w:rsidRDefault="005901AA">
          <w:r w:rsidRPr="008C7E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EC7"/>
    <w:rsid w:val="00072FFD"/>
    <w:rsid w:val="00086777"/>
    <w:rsid w:val="00125A37"/>
    <w:rsid w:val="00157260"/>
    <w:rsid w:val="001F0766"/>
    <w:rsid w:val="002A3248"/>
    <w:rsid w:val="003149A8"/>
    <w:rsid w:val="003278DF"/>
    <w:rsid w:val="00366C66"/>
    <w:rsid w:val="00384290"/>
    <w:rsid w:val="003C10C7"/>
    <w:rsid w:val="003E28DA"/>
    <w:rsid w:val="004427E9"/>
    <w:rsid w:val="004567EF"/>
    <w:rsid w:val="00482FFB"/>
    <w:rsid w:val="0054070F"/>
    <w:rsid w:val="005901AA"/>
    <w:rsid w:val="005D21B1"/>
    <w:rsid w:val="005F2EC2"/>
    <w:rsid w:val="005F6EC7"/>
    <w:rsid w:val="006704B4"/>
    <w:rsid w:val="006E08CC"/>
    <w:rsid w:val="006F464E"/>
    <w:rsid w:val="00756109"/>
    <w:rsid w:val="00765063"/>
    <w:rsid w:val="007B5F97"/>
    <w:rsid w:val="007E1748"/>
    <w:rsid w:val="00916817"/>
    <w:rsid w:val="00931FEF"/>
    <w:rsid w:val="00981EE1"/>
    <w:rsid w:val="009A5F5F"/>
    <w:rsid w:val="009D348E"/>
    <w:rsid w:val="009E0A14"/>
    <w:rsid w:val="00A03D65"/>
    <w:rsid w:val="00A467DB"/>
    <w:rsid w:val="00A47A5F"/>
    <w:rsid w:val="00AB1078"/>
    <w:rsid w:val="00B16236"/>
    <w:rsid w:val="00B17031"/>
    <w:rsid w:val="00BC5215"/>
    <w:rsid w:val="00C67B6A"/>
    <w:rsid w:val="00C96AA8"/>
    <w:rsid w:val="00CC0E72"/>
    <w:rsid w:val="00CD0058"/>
    <w:rsid w:val="00CF4325"/>
    <w:rsid w:val="00D92B7A"/>
    <w:rsid w:val="00DE73C3"/>
    <w:rsid w:val="00E30A5C"/>
    <w:rsid w:val="00EA080A"/>
    <w:rsid w:val="00F12596"/>
    <w:rsid w:val="00F46A25"/>
    <w:rsid w:val="00F674CA"/>
    <w:rsid w:val="00FD141D"/>
    <w:rsid w:val="00FE25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AA"/>
    <w:rPr>
      <w:color w:val="808080"/>
    </w:rPr>
  </w:style>
  <w:style w:type="paragraph" w:customStyle="1" w:styleId="584EF38CAE9A4F80AF2F6FA01859F6AD">
    <w:name w:val="584EF38CAE9A4F80AF2F6FA01859F6AD"/>
    <w:rsid w:val="005F6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ddee4349-d6c5-476b-a1c6-d791a1a12d6c" xsi:nil="true"/>
    <Feedback_x0020_type xmlns="ddee4349-d6c5-476b-a1c6-d791a1a12d6c" xsi:nil="true"/>
    <Allow_x0020_uploads xmlns="ddee4349-d6c5-476b-a1c6-d791a1a12d6c" xsi:nil="true"/>
    <Allow_x0020_comments xmlns="ddee4349-d6c5-476b-a1c6-d791a1a12d6c" xsi:nil="true"/>
    <Leading_x0020_document xmlns="ddee4349-d6c5-476b-a1c6-d791a1a12d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0CA08016993649B987301C6C20DE93" ma:contentTypeVersion="11" ma:contentTypeDescription="Create a new document." ma:contentTypeScope="" ma:versionID="63ba4a142953e3874a4f611ac23dcbee">
  <xsd:schema xmlns:xsd="http://www.w3.org/2001/XMLSchema" xmlns:xs="http://www.w3.org/2001/XMLSchema" xmlns:p="http://schemas.microsoft.com/office/2006/metadata/properties" xmlns:ns2="ddee4349-d6c5-476b-a1c6-d791a1a12d6c" xmlns:ns3="efa07f0a-2279-4397-9381-96c735bff43a" targetNamespace="http://schemas.microsoft.com/office/2006/metadata/properties" ma:root="true" ma:fieldsID="a7f008d25419cfd282394c9e489fe384" ns2:_="" ns3:_="">
    <xsd:import namespace="ddee4349-d6c5-476b-a1c6-d791a1a12d6c"/>
    <xsd:import namespace="efa07f0a-2279-4397-9381-96c735bff43a"/>
    <xsd:element name="properties">
      <xsd:complexType>
        <xsd:sequence>
          <xsd:element name="documentManagement">
            <xsd:complexType>
              <xsd:all>
                <xsd:element ref="ns2:Feedback_x0020_type" minOccurs="0"/>
                <xsd:element ref="ns2:Allow_x0020_uploads" minOccurs="0"/>
                <xsd:element ref="ns2:Allow_x0020_comments" minOccurs="0"/>
                <xsd:element ref="ns2:Deadline" minOccurs="0"/>
                <xsd:element ref="ns2:Leading_x0020_document"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e4349-d6c5-476b-a1c6-d791a1a12d6c" elementFormDefault="qualified">
    <xsd:import namespace="http://schemas.microsoft.com/office/2006/documentManagement/types"/>
    <xsd:import namespace="http://schemas.microsoft.com/office/infopath/2007/PartnerControls"/>
    <xsd:element name="Feedback_x0020_type" ma:index="8" nillable="true" ma:displayName="Feedback type" ma:internalName="Feedback_x0020_type">
      <xsd:simpleType>
        <xsd:restriction base="dms:Text"/>
      </xsd:simpleType>
    </xsd:element>
    <xsd:element name="Allow_x0020_uploads" ma:index="9" nillable="true" ma:displayName="Allow uploads" ma:internalName="Allow_x0020_uploads">
      <xsd:simpleType>
        <xsd:restriction base="dms:Boolean"/>
      </xsd:simpleType>
    </xsd:element>
    <xsd:element name="Allow_x0020_comments" ma:index="10" nillable="true" ma:displayName="Allow comments" ma:internalName="Allow_x0020_comments">
      <xsd:simpleType>
        <xsd:restriction base="dms:Boolean"/>
      </xsd:simpleType>
    </xsd:element>
    <xsd:element name="Deadline" ma:index="11" nillable="true" ma:displayName="Deadline" ma:internalName="Deadline">
      <xsd:simpleType>
        <xsd:restriction base="dms:DateTime"/>
      </xsd:simpleType>
    </xsd:element>
    <xsd:element name="Leading_x0020_document" ma:index="12" nillable="true" ma:displayName="Leading document" ma:internalName="Leading_x0020_document">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07f0a-2279-4397-9381-96c735bff4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E8AC2-BC04-484A-AE5F-6753D3DE5469}">
  <ds:schemaRefs>
    <ds:schemaRef ds:uri="http://schemas.microsoft.com/office/2006/documentManagement/types"/>
    <ds:schemaRef ds:uri="http://schemas.openxmlformats.org/package/2006/metadata/core-properties"/>
    <ds:schemaRef ds:uri="http://purl.org/dc/elements/1.1/"/>
    <ds:schemaRef ds:uri="efa07f0a-2279-4397-9381-96c735bff43a"/>
    <ds:schemaRef ds:uri="http://purl.org/dc/terms/"/>
    <ds:schemaRef ds:uri="http://schemas.microsoft.com/office/infopath/2007/PartnerControls"/>
    <ds:schemaRef ds:uri="http://purl.org/dc/dcmitype/"/>
    <ds:schemaRef ds:uri="ef61bf54-3aa5-45ff-9430-1dd782e2505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E7E9438-4087-4639-9B1C-2F4E3EB26AC9}"/>
</file>

<file path=customXml/itemProps3.xml><?xml version="1.0" encoding="utf-8"?>
<ds:datastoreItem xmlns:ds="http://schemas.openxmlformats.org/officeDocument/2006/customXml" ds:itemID="{BAE09D75-F009-4B9E-BD47-BE2B6EEE60FD}">
  <ds:schemaRefs>
    <ds:schemaRef ds:uri="http://schemas.openxmlformats.org/officeDocument/2006/bibliography"/>
  </ds:schemaRefs>
</ds:datastoreItem>
</file>

<file path=customXml/itemProps4.xml><?xml version="1.0" encoding="utf-8"?>
<ds:datastoreItem xmlns:ds="http://schemas.openxmlformats.org/officeDocument/2006/customXml" ds:itemID="{80D543F7-D990-4A6E-8CB8-19DE2D0160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2030</Words>
  <Characters>11577</Characters>
  <Application>Microsoft Office Word</Application>
  <DocSecurity>0</DocSecurity>
  <Lines>96</Lines>
  <Paragraphs>27</Paragraphs>
  <ScaleCrop>false</ScaleCrop>
  <Company>Insurance Europe</Company>
  <LinksUpToDate>false</LinksUpToDate>
  <CharactersWithSpaces>13580</CharactersWithSpaces>
  <SharedDoc>false</SharedDoc>
  <HLinks>
    <vt:vector size="6" baseType="variant">
      <vt:variant>
        <vt:i4>6094855</vt:i4>
      </vt:variant>
      <vt:variant>
        <vt:i4>0</vt:i4>
      </vt:variant>
      <vt:variant>
        <vt:i4>0</vt:i4>
      </vt:variant>
      <vt:variant>
        <vt:i4>5</vt:i4>
      </vt:variant>
      <vt:variant>
        <vt:lpwstr>https://www.efrag.org/sites/default/files/media/document/2025-05/EFRAG DCL IFRS S2 Amendment.pdf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Response to EFRAG's Comment Letter to IFRS on GHG disclosures</dc:title>
  <dc:creator>Insurance Europe</dc:creator>
  <cp:lastModifiedBy>Philippe Angelis</cp:lastModifiedBy>
  <cp:revision>143</cp:revision>
  <dcterms:created xsi:type="dcterms:W3CDTF">2024-11-21T15:30:00Z</dcterms:created>
  <dcterms:modified xsi:type="dcterms:W3CDTF">2025-06-19T08:39:00Z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0x010100F10CA08016993649B987301C6C20DE93</vt:lpwstr>
  </property>
  <property fmtid="{D5CDD505-2E9C-101B-9397-08002B2CF9AE}" pid="3" name="_dlc_DocIdItemGuid">
    <vt:lpwstr>807015e5-4965-44a9-a54b-51b6e9b5700a</vt:lpwstr>
  </property>
</Properties>
</file>