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0ABF4" w14:textId="77777777" w:rsidR="004B170A" w:rsidRDefault="004B170A" w:rsidP="004B170A">
      <w:pPr>
        <w:rPr>
          <w:sz w:val="17"/>
          <w:szCs w:val="17"/>
        </w:rPr>
      </w:pPr>
    </w:p>
    <w:p w14:paraId="28CC033B" w14:textId="77777777" w:rsidR="004B170A" w:rsidRDefault="004B170A" w:rsidP="004B170A">
      <w:pPr>
        <w:rPr>
          <w:sz w:val="17"/>
          <w:szCs w:val="17"/>
        </w:rPr>
      </w:pPr>
    </w:p>
    <w:p w14:paraId="6F0288BC" w14:textId="77777777" w:rsidR="004B170A" w:rsidRPr="004B170A" w:rsidRDefault="004B170A" w:rsidP="004B170A">
      <w:pPr>
        <w:rPr>
          <w:sz w:val="17"/>
          <w:szCs w:val="17"/>
        </w:rPr>
        <w:sectPr w:rsidR="004B170A" w:rsidRPr="004B170A" w:rsidSect="00240F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2336" w:right="907" w:bottom="1599" w:left="1418" w:header="709" w:footer="238" w:gutter="0"/>
          <w:cols w:space="708"/>
          <w:titlePg/>
          <w:docGrid w:linePitch="360"/>
        </w:sectPr>
      </w:pPr>
    </w:p>
    <w:p w14:paraId="4F447F98" w14:textId="020888B2" w:rsidR="00152882" w:rsidRPr="00DB0A14" w:rsidRDefault="00D445C0" w:rsidP="003D0236">
      <w:pPr>
        <w:autoSpaceDE w:val="0"/>
        <w:autoSpaceDN w:val="0"/>
        <w:adjustRightInd w:val="0"/>
        <w:rPr>
          <w:b/>
          <w:color w:val="002957"/>
          <w:sz w:val="17"/>
          <w:szCs w:val="17"/>
        </w:rPr>
      </w:pPr>
      <w:bookmarkStart w:id="2" w:name="_Hlk167791022"/>
      <w:r>
        <w:rPr>
          <w:b/>
          <w:color w:val="002957"/>
          <w:sz w:val="17"/>
          <w:szCs w:val="17"/>
        </w:rPr>
        <w:t>Background</w:t>
      </w:r>
      <w:r w:rsidR="00FF3F87">
        <w:rPr>
          <w:b/>
          <w:color w:val="002957"/>
          <w:sz w:val="17"/>
          <w:szCs w:val="17"/>
        </w:rPr>
        <w:t xml:space="preserve"> information</w:t>
      </w:r>
    </w:p>
    <w:p w14:paraId="128E992C" w14:textId="3C43AA51" w:rsidR="00930DE2" w:rsidRPr="00DB0A14" w:rsidRDefault="00E166D5" w:rsidP="003D0236">
      <w:pPr>
        <w:rPr>
          <w:sz w:val="17"/>
          <w:szCs w:val="17"/>
        </w:rPr>
      </w:pPr>
      <w:r w:rsidRPr="00DB0A14">
        <w:rPr>
          <w:sz w:val="17"/>
          <w:szCs w:val="17"/>
        </w:rPr>
        <w:t xml:space="preserve">The European </w:t>
      </w:r>
      <w:bookmarkEnd w:id="2"/>
      <w:r w:rsidRPr="00DB0A14">
        <w:rPr>
          <w:sz w:val="17"/>
          <w:szCs w:val="17"/>
        </w:rPr>
        <w:t>Commission</w:t>
      </w:r>
      <w:r w:rsidR="005462BA">
        <w:rPr>
          <w:sz w:val="17"/>
          <w:szCs w:val="17"/>
        </w:rPr>
        <w:t xml:space="preserve"> </w:t>
      </w:r>
      <w:r w:rsidRPr="00DB0A14">
        <w:rPr>
          <w:sz w:val="17"/>
          <w:szCs w:val="17"/>
        </w:rPr>
        <w:t>is carrying out a comprehensive assessment of the</w:t>
      </w:r>
      <w:r w:rsidR="00E35E87" w:rsidRPr="00DB0A14">
        <w:rPr>
          <w:sz w:val="17"/>
          <w:szCs w:val="17"/>
        </w:rPr>
        <w:t xml:space="preserve"> </w:t>
      </w:r>
      <w:r w:rsidR="00B42FEA" w:rsidRPr="00DB0A14">
        <w:rPr>
          <w:sz w:val="17"/>
          <w:szCs w:val="17"/>
        </w:rPr>
        <w:t>Sustainable Finance Disclosure Regulation (SFDR)</w:t>
      </w:r>
      <w:r w:rsidRPr="00DB0A14">
        <w:rPr>
          <w:sz w:val="17"/>
          <w:szCs w:val="17"/>
        </w:rPr>
        <w:t xml:space="preserve">, looking at issues such as legal certainty, usability and how the Regulation can play its part in tackling </w:t>
      </w:r>
      <w:r w:rsidR="00930DE2" w:rsidRPr="00DB0A14">
        <w:rPr>
          <w:sz w:val="17"/>
          <w:szCs w:val="17"/>
        </w:rPr>
        <w:t>green washing</w:t>
      </w:r>
      <w:r w:rsidR="00F1280E" w:rsidRPr="00DB0A14">
        <w:rPr>
          <w:sz w:val="17"/>
          <w:szCs w:val="17"/>
        </w:rPr>
        <w:t xml:space="preserve"> (i</w:t>
      </w:r>
      <w:r w:rsidR="00930DE2" w:rsidRPr="00DB0A14">
        <w:rPr>
          <w:sz w:val="17"/>
          <w:szCs w:val="17"/>
        </w:rPr>
        <w:t>.</w:t>
      </w:r>
      <w:r w:rsidR="00F1280E" w:rsidRPr="00DB0A14">
        <w:rPr>
          <w:sz w:val="17"/>
          <w:szCs w:val="17"/>
        </w:rPr>
        <w:t>e. level 1 review).</w:t>
      </w:r>
    </w:p>
    <w:p w14:paraId="3B107F00" w14:textId="77777777" w:rsidR="00866402" w:rsidRPr="00DB0A14" w:rsidRDefault="00866402" w:rsidP="003D0236">
      <w:pPr>
        <w:rPr>
          <w:sz w:val="17"/>
          <w:szCs w:val="17"/>
        </w:rPr>
      </w:pPr>
    </w:p>
    <w:p w14:paraId="36375B61" w14:textId="68244E2D" w:rsidR="00037901" w:rsidRPr="00DB0A14" w:rsidRDefault="00D738C8" w:rsidP="003D0236">
      <w:pPr>
        <w:rPr>
          <w:sz w:val="17"/>
          <w:szCs w:val="17"/>
        </w:rPr>
      </w:pPr>
      <w:r w:rsidRPr="00DB0A14">
        <w:rPr>
          <w:sz w:val="17"/>
          <w:szCs w:val="17"/>
        </w:rPr>
        <w:t xml:space="preserve">Between September and </w:t>
      </w:r>
      <w:r w:rsidR="00037901" w:rsidRPr="00DB0A14">
        <w:rPr>
          <w:sz w:val="17"/>
          <w:szCs w:val="17"/>
        </w:rPr>
        <w:t>December 2023</w:t>
      </w:r>
      <w:r w:rsidR="002D36C5" w:rsidRPr="00DB0A14">
        <w:rPr>
          <w:sz w:val="17"/>
          <w:szCs w:val="17"/>
        </w:rPr>
        <w:t>,</w:t>
      </w:r>
      <w:r w:rsidR="00037901" w:rsidRPr="00DB0A14">
        <w:rPr>
          <w:sz w:val="17"/>
          <w:szCs w:val="17"/>
        </w:rPr>
        <w:t xml:space="preserve"> the </w:t>
      </w:r>
      <w:r w:rsidR="00F04B8F">
        <w:rPr>
          <w:sz w:val="17"/>
          <w:szCs w:val="17"/>
        </w:rPr>
        <w:t xml:space="preserve">European </w:t>
      </w:r>
      <w:r w:rsidR="009C780A" w:rsidRPr="00DB0A14">
        <w:rPr>
          <w:sz w:val="17"/>
          <w:szCs w:val="17"/>
        </w:rPr>
        <w:t>C</w:t>
      </w:r>
      <w:r w:rsidR="005462BA">
        <w:rPr>
          <w:sz w:val="17"/>
          <w:szCs w:val="17"/>
        </w:rPr>
        <w:t>ommission</w:t>
      </w:r>
      <w:r w:rsidR="009C780A" w:rsidRPr="00DB0A14">
        <w:rPr>
          <w:sz w:val="17"/>
          <w:szCs w:val="17"/>
        </w:rPr>
        <w:t xml:space="preserve"> </w:t>
      </w:r>
      <w:r w:rsidR="00E35E87" w:rsidRPr="00DB0A14">
        <w:rPr>
          <w:sz w:val="17"/>
          <w:szCs w:val="17"/>
        </w:rPr>
        <w:t>r</w:t>
      </w:r>
      <w:r w:rsidR="00B739C3">
        <w:rPr>
          <w:sz w:val="17"/>
          <w:szCs w:val="17"/>
        </w:rPr>
        <w:t>a</w:t>
      </w:r>
      <w:r w:rsidR="00E35E87" w:rsidRPr="00DB0A14">
        <w:rPr>
          <w:sz w:val="17"/>
          <w:szCs w:val="17"/>
        </w:rPr>
        <w:t xml:space="preserve">n </w:t>
      </w:r>
      <w:r w:rsidR="007A31A9" w:rsidRPr="00DB0A14">
        <w:rPr>
          <w:sz w:val="17"/>
          <w:szCs w:val="17"/>
        </w:rPr>
        <w:t xml:space="preserve">two </w:t>
      </w:r>
      <w:r w:rsidR="00E35E87" w:rsidRPr="00DB0A14">
        <w:rPr>
          <w:sz w:val="17"/>
          <w:szCs w:val="17"/>
        </w:rPr>
        <w:t>consultation</w:t>
      </w:r>
      <w:r w:rsidR="007A31A9" w:rsidRPr="00DB0A14">
        <w:rPr>
          <w:sz w:val="17"/>
          <w:szCs w:val="17"/>
        </w:rPr>
        <w:t>s</w:t>
      </w:r>
      <w:r w:rsidR="008129AB" w:rsidRPr="00DB0A14">
        <w:rPr>
          <w:sz w:val="17"/>
          <w:szCs w:val="17"/>
        </w:rPr>
        <w:t xml:space="preserve"> </w:t>
      </w:r>
      <w:r w:rsidR="00CB22B0" w:rsidRPr="00DB0A14">
        <w:rPr>
          <w:sz w:val="17"/>
          <w:szCs w:val="17"/>
        </w:rPr>
        <w:t xml:space="preserve">(public and targeted) </w:t>
      </w:r>
      <w:r w:rsidR="008129AB" w:rsidRPr="00DB0A14">
        <w:rPr>
          <w:sz w:val="17"/>
          <w:szCs w:val="17"/>
        </w:rPr>
        <w:t xml:space="preserve">on the implementation of the SFDR; Insurance Europe submitted its response to the </w:t>
      </w:r>
      <w:r w:rsidR="009C780A" w:rsidRPr="00DB0A14">
        <w:rPr>
          <w:sz w:val="17"/>
          <w:szCs w:val="17"/>
        </w:rPr>
        <w:t xml:space="preserve">targeted </w:t>
      </w:r>
      <w:r w:rsidR="008129AB" w:rsidRPr="00DB0A14">
        <w:rPr>
          <w:sz w:val="17"/>
          <w:szCs w:val="17"/>
        </w:rPr>
        <w:t xml:space="preserve">consultation </w:t>
      </w:r>
      <w:r w:rsidR="00874A30" w:rsidRPr="00DB0A14">
        <w:rPr>
          <w:sz w:val="17"/>
          <w:szCs w:val="17"/>
        </w:rPr>
        <w:t>in</w:t>
      </w:r>
      <w:r w:rsidR="008129AB" w:rsidRPr="00DB0A14">
        <w:rPr>
          <w:sz w:val="17"/>
          <w:szCs w:val="17"/>
        </w:rPr>
        <w:t xml:space="preserve"> December 2023 (</w:t>
      </w:r>
      <w:hyperlink r:id="rId17" w:history="1">
        <w:r w:rsidR="002D36C5" w:rsidRPr="00DB0A14">
          <w:rPr>
            <w:rStyle w:val="Hypertextovprepojenie"/>
            <w:sz w:val="17"/>
            <w:szCs w:val="17"/>
          </w:rPr>
          <w:t>ECO-LTI-23-100</w:t>
        </w:r>
      </w:hyperlink>
      <w:r w:rsidR="002D36C5" w:rsidRPr="00DB0A14">
        <w:rPr>
          <w:sz w:val="17"/>
          <w:szCs w:val="17"/>
        </w:rPr>
        <w:t>)</w:t>
      </w:r>
      <w:r w:rsidR="007A31A9" w:rsidRPr="00DB0A14">
        <w:rPr>
          <w:sz w:val="17"/>
          <w:szCs w:val="17"/>
        </w:rPr>
        <w:t>.</w:t>
      </w:r>
    </w:p>
    <w:p w14:paraId="7F5B52EE" w14:textId="77777777" w:rsidR="00537CEE" w:rsidRPr="00DB0A14" w:rsidRDefault="00537CEE" w:rsidP="003D0236">
      <w:pPr>
        <w:rPr>
          <w:sz w:val="17"/>
          <w:szCs w:val="17"/>
        </w:rPr>
      </w:pPr>
    </w:p>
    <w:p w14:paraId="34B9CF92" w14:textId="1F218B17" w:rsidR="00C81C9D" w:rsidRPr="008555E4" w:rsidRDefault="00121F51" w:rsidP="00121F51">
      <w:pPr>
        <w:autoSpaceDE w:val="0"/>
        <w:autoSpaceDN w:val="0"/>
        <w:adjustRightInd w:val="0"/>
        <w:rPr>
          <w:sz w:val="17"/>
          <w:szCs w:val="17"/>
        </w:rPr>
      </w:pPr>
      <w:r>
        <w:rPr>
          <w:sz w:val="17"/>
          <w:szCs w:val="17"/>
        </w:rPr>
        <w:t xml:space="preserve">In </w:t>
      </w:r>
      <w:r w:rsidR="0069131F">
        <w:rPr>
          <w:sz w:val="17"/>
          <w:szCs w:val="17"/>
        </w:rPr>
        <w:t>April 2024</w:t>
      </w:r>
      <w:r>
        <w:rPr>
          <w:sz w:val="17"/>
          <w:szCs w:val="17"/>
        </w:rPr>
        <w:t xml:space="preserve">, the </w:t>
      </w:r>
      <w:r w:rsidR="005F32CD">
        <w:rPr>
          <w:sz w:val="17"/>
          <w:szCs w:val="17"/>
        </w:rPr>
        <w:t xml:space="preserve">EU </w:t>
      </w:r>
      <w:r>
        <w:rPr>
          <w:sz w:val="17"/>
          <w:szCs w:val="17"/>
        </w:rPr>
        <w:t>P</w:t>
      </w:r>
      <w:r w:rsidR="0069131F">
        <w:rPr>
          <w:sz w:val="17"/>
          <w:szCs w:val="17"/>
        </w:rPr>
        <w:t xml:space="preserve">latform on </w:t>
      </w:r>
      <w:r>
        <w:rPr>
          <w:sz w:val="17"/>
          <w:szCs w:val="17"/>
        </w:rPr>
        <w:t>S</w:t>
      </w:r>
      <w:r w:rsidR="0069131F">
        <w:rPr>
          <w:sz w:val="17"/>
          <w:szCs w:val="17"/>
        </w:rPr>
        <w:t xml:space="preserve">ustainable </w:t>
      </w:r>
      <w:r>
        <w:rPr>
          <w:sz w:val="17"/>
          <w:szCs w:val="17"/>
        </w:rPr>
        <w:t>F</w:t>
      </w:r>
      <w:r w:rsidR="0069131F">
        <w:rPr>
          <w:sz w:val="17"/>
          <w:szCs w:val="17"/>
        </w:rPr>
        <w:t>inance</w:t>
      </w:r>
      <w:r w:rsidR="005E4997">
        <w:rPr>
          <w:sz w:val="17"/>
          <w:szCs w:val="17"/>
        </w:rPr>
        <w:t xml:space="preserve"> </w:t>
      </w:r>
      <w:r w:rsidR="00135099">
        <w:rPr>
          <w:sz w:val="17"/>
          <w:szCs w:val="17"/>
        </w:rPr>
        <w:t xml:space="preserve">(PSF) </w:t>
      </w:r>
      <w:r>
        <w:rPr>
          <w:sz w:val="17"/>
          <w:szCs w:val="17"/>
        </w:rPr>
        <w:t xml:space="preserve">invited </w:t>
      </w:r>
      <w:r w:rsidR="008271BB">
        <w:rPr>
          <w:sz w:val="17"/>
          <w:szCs w:val="17"/>
        </w:rPr>
        <w:t>i</w:t>
      </w:r>
      <w:r>
        <w:rPr>
          <w:sz w:val="17"/>
          <w:szCs w:val="17"/>
        </w:rPr>
        <w:t xml:space="preserve">nsurers to share </w:t>
      </w:r>
      <w:r w:rsidR="00E213C4">
        <w:rPr>
          <w:sz w:val="17"/>
          <w:szCs w:val="17"/>
        </w:rPr>
        <w:t xml:space="preserve">their </w:t>
      </w:r>
      <w:r w:rsidR="008271BB">
        <w:rPr>
          <w:sz w:val="17"/>
          <w:szCs w:val="17"/>
        </w:rPr>
        <w:t>input on the potential introduction</w:t>
      </w:r>
      <w:r>
        <w:rPr>
          <w:sz w:val="17"/>
          <w:szCs w:val="17"/>
        </w:rPr>
        <w:t xml:space="preserve"> </w:t>
      </w:r>
      <w:r w:rsidR="00C101F1">
        <w:rPr>
          <w:sz w:val="17"/>
          <w:szCs w:val="17"/>
        </w:rPr>
        <w:t>of</w:t>
      </w:r>
      <w:r>
        <w:rPr>
          <w:sz w:val="17"/>
          <w:szCs w:val="17"/>
        </w:rPr>
        <w:t xml:space="preserve"> </w:t>
      </w:r>
      <w:r w:rsidR="00B52F79">
        <w:rPr>
          <w:sz w:val="17"/>
          <w:szCs w:val="17"/>
        </w:rPr>
        <w:t xml:space="preserve">a categorisation system for financial products </w:t>
      </w:r>
      <w:r>
        <w:rPr>
          <w:sz w:val="17"/>
          <w:szCs w:val="17"/>
        </w:rPr>
        <w:t>(</w:t>
      </w:r>
      <w:hyperlink r:id="rId18" w:history="1">
        <w:r>
          <w:rPr>
            <w:rStyle w:val="Hypertextovprepojenie"/>
            <w:sz w:val="17"/>
            <w:szCs w:val="17"/>
          </w:rPr>
          <w:t>ECO-CRISF-24-068</w:t>
        </w:r>
      </w:hyperlink>
      <w:r>
        <w:rPr>
          <w:sz w:val="17"/>
          <w:szCs w:val="17"/>
        </w:rPr>
        <w:t xml:space="preserve">). </w:t>
      </w:r>
      <w:r w:rsidR="00C101F1">
        <w:rPr>
          <w:sz w:val="17"/>
          <w:szCs w:val="17"/>
        </w:rPr>
        <w:t>Key positions expressed during this outreach event are summarised below:</w:t>
      </w:r>
      <w:r w:rsidRPr="008555E4">
        <w:rPr>
          <w:sz w:val="17"/>
          <w:szCs w:val="17"/>
        </w:rPr>
        <w:t xml:space="preserve">   </w:t>
      </w:r>
    </w:p>
    <w:p w14:paraId="303BA06A" w14:textId="77777777" w:rsidR="008B335B" w:rsidRDefault="00121F51" w:rsidP="00121F51">
      <w:pPr>
        <w:pStyle w:val="CEABullet-Level1"/>
      </w:pPr>
      <w:r w:rsidRPr="008555E4">
        <w:t>A</w:t>
      </w:r>
      <w:r w:rsidR="00CA5915">
        <w:t>ny</w:t>
      </w:r>
      <w:r w:rsidRPr="008555E4">
        <w:t xml:space="preserve"> categorisation system should be inter-operable with the mandatory advisory process under IDD/MiFID II. </w:t>
      </w:r>
    </w:p>
    <w:p w14:paraId="1442ACFA" w14:textId="5B571F17" w:rsidR="00121F51" w:rsidRPr="008555E4" w:rsidRDefault="00121F51" w:rsidP="00121F51">
      <w:pPr>
        <w:pStyle w:val="CEABullet-Level1"/>
      </w:pPr>
      <w:r w:rsidRPr="008555E4">
        <w:t xml:space="preserve">It should be suitable also for broadly diversified portfolios </w:t>
      </w:r>
      <w:r w:rsidR="00AA5C72">
        <w:t xml:space="preserve">and the diversified range of products that they cover, </w:t>
      </w:r>
      <w:r w:rsidRPr="008555E4">
        <w:t xml:space="preserve">like general accounts for life insurance products or multi-asset funds and be based on information provided under the SFDR. </w:t>
      </w:r>
    </w:p>
    <w:p w14:paraId="5CF2B2F5" w14:textId="54952790" w:rsidR="00121F51" w:rsidRPr="008555E4" w:rsidRDefault="00121F51" w:rsidP="00121F51">
      <w:pPr>
        <w:pStyle w:val="CEABullet-Level1"/>
      </w:pPr>
      <w:r w:rsidRPr="008555E4">
        <w:t xml:space="preserve">There is merit in mutually exclusive categories, however it is crucial that </w:t>
      </w:r>
      <w:r>
        <w:t>Multi-Option Products</w:t>
      </w:r>
      <w:r w:rsidRPr="008555E4">
        <w:t xml:space="preserve"> and fund-of-funds can be allocated to a category. </w:t>
      </w:r>
    </w:p>
    <w:p w14:paraId="65C84D6C" w14:textId="06964328" w:rsidR="00121F51" w:rsidRPr="008555E4" w:rsidRDefault="00121F51" w:rsidP="00121F51">
      <w:pPr>
        <w:pStyle w:val="CEABullet-Level1"/>
      </w:pPr>
      <w:r w:rsidRPr="008555E4">
        <w:t xml:space="preserve">There is support for introducing a transition category, which criteria should be built on existing disclosure requirements/KPIs. </w:t>
      </w:r>
    </w:p>
    <w:p w14:paraId="6177415D" w14:textId="1BAC0729" w:rsidR="00BF62FA" w:rsidRPr="000549D7" w:rsidRDefault="0010247C" w:rsidP="00BF62FA">
      <w:pPr>
        <w:pStyle w:val="CEABullet-Level1"/>
      </w:pPr>
      <w:r w:rsidRPr="000549D7">
        <w:t>P</w:t>
      </w:r>
      <w:r w:rsidR="00AA5C72" w:rsidRPr="000549D7">
        <w:t>roducts heavily invested in public debt are penalized</w:t>
      </w:r>
      <w:r w:rsidRPr="000549D7">
        <w:t xml:space="preserve"> under the current SFDR regime.</w:t>
      </w:r>
    </w:p>
    <w:p w14:paraId="1989F4EB" w14:textId="77777777" w:rsidR="00057DC3" w:rsidRDefault="00057DC3" w:rsidP="003D0236">
      <w:pPr>
        <w:rPr>
          <w:sz w:val="17"/>
          <w:szCs w:val="17"/>
        </w:rPr>
      </w:pPr>
    </w:p>
    <w:p w14:paraId="3819D312" w14:textId="3789AB6A" w:rsidR="00780632" w:rsidRDefault="009F76A3" w:rsidP="003D0236">
      <w:pPr>
        <w:rPr>
          <w:sz w:val="17"/>
          <w:szCs w:val="17"/>
        </w:rPr>
      </w:pPr>
      <w:r w:rsidRPr="00A108FC">
        <w:rPr>
          <w:sz w:val="17"/>
          <w:szCs w:val="17"/>
        </w:rPr>
        <w:t>On 18 June</w:t>
      </w:r>
      <w:r w:rsidR="00D74A33">
        <w:rPr>
          <w:sz w:val="17"/>
          <w:szCs w:val="17"/>
        </w:rPr>
        <w:t xml:space="preserve"> 2024</w:t>
      </w:r>
      <w:r w:rsidRPr="00A108FC">
        <w:rPr>
          <w:sz w:val="17"/>
          <w:szCs w:val="17"/>
        </w:rPr>
        <w:t xml:space="preserve">, </w:t>
      </w:r>
      <w:r w:rsidR="00C206E3" w:rsidRPr="005B5212">
        <w:rPr>
          <w:sz w:val="17"/>
          <w:szCs w:val="17"/>
        </w:rPr>
        <w:t xml:space="preserve">the </w:t>
      </w:r>
      <w:r w:rsidR="00E1494C" w:rsidRPr="005B5212">
        <w:rPr>
          <w:sz w:val="17"/>
          <w:szCs w:val="17"/>
        </w:rPr>
        <w:t xml:space="preserve">ESAs </w:t>
      </w:r>
      <w:r w:rsidR="00B20332" w:rsidRPr="00A108FC">
        <w:rPr>
          <w:sz w:val="17"/>
          <w:szCs w:val="17"/>
        </w:rPr>
        <w:t xml:space="preserve">published their joint opinion on </w:t>
      </w:r>
      <w:r w:rsidR="00BF44EA" w:rsidRPr="005B5212">
        <w:rPr>
          <w:sz w:val="17"/>
          <w:szCs w:val="17"/>
        </w:rPr>
        <w:t>the assessment</w:t>
      </w:r>
      <w:r w:rsidR="00BF44EA" w:rsidRPr="00BF44EA">
        <w:rPr>
          <w:sz w:val="17"/>
          <w:szCs w:val="17"/>
        </w:rPr>
        <w:t xml:space="preserve"> of the </w:t>
      </w:r>
      <w:r w:rsidR="00BF44EA">
        <w:rPr>
          <w:sz w:val="17"/>
          <w:szCs w:val="17"/>
        </w:rPr>
        <w:t>SFDR</w:t>
      </w:r>
      <w:r w:rsidR="00B43608">
        <w:rPr>
          <w:sz w:val="17"/>
          <w:szCs w:val="17"/>
        </w:rPr>
        <w:t xml:space="preserve"> </w:t>
      </w:r>
      <w:r w:rsidR="00B43608" w:rsidRPr="00B43608">
        <w:rPr>
          <w:sz w:val="17"/>
          <w:szCs w:val="17"/>
        </w:rPr>
        <w:t>(</w:t>
      </w:r>
      <w:hyperlink r:id="rId19" w:history="1">
        <w:r w:rsidR="00B43608" w:rsidRPr="00B43608">
          <w:rPr>
            <w:rStyle w:val="Hypertextovprepojenie"/>
            <w:sz w:val="17"/>
            <w:szCs w:val="17"/>
          </w:rPr>
          <w:t>ECO-CRISF-24-097</w:t>
        </w:r>
      </w:hyperlink>
      <w:r w:rsidR="00B43608" w:rsidRPr="00B43608">
        <w:rPr>
          <w:sz w:val="17"/>
          <w:szCs w:val="17"/>
        </w:rPr>
        <w:t>)</w:t>
      </w:r>
      <w:r w:rsidR="00BF44EA">
        <w:rPr>
          <w:sz w:val="17"/>
          <w:szCs w:val="17"/>
        </w:rPr>
        <w:t xml:space="preserve">, </w:t>
      </w:r>
      <w:r w:rsidR="006528FC">
        <w:rPr>
          <w:sz w:val="17"/>
          <w:szCs w:val="17"/>
        </w:rPr>
        <w:t>which</w:t>
      </w:r>
      <w:r w:rsidR="000673BD">
        <w:rPr>
          <w:sz w:val="17"/>
          <w:szCs w:val="17"/>
        </w:rPr>
        <w:t xml:space="preserve"> </w:t>
      </w:r>
      <w:r w:rsidR="00917E43">
        <w:rPr>
          <w:sz w:val="17"/>
          <w:szCs w:val="17"/>
        </w:rPr>
        <w:t>recommend</w:t>
      </w:r>
      <w:r w:rsidR="005271A1">
        <w:rPr>
          <w:sz w:val="17"/>
          <w:szCs w:val="17"/>
        </w:rPr>
        <w:t xml:space="preserve">s </w:t>
      </w:r>
      <w:r w:rsidR="00917E43" w:rsidRPr="00414820">
        <w:rPr>
          <w:b/>
          <w:bCs/>
          <w:sz w:val="17"/>
          <w:szCs w:val="17"/>
        </w:rPr>
        <w:t xml:space="preserve">introducing </w:t>
      </w:r>
      <w:r w:rsidR="00B43608" w:rsidRPr="00414820">
        <w:rPr>
          <w:b/>
          <w:bCs/>
          <w:sz w:val="17"/>
          <w:szCs w:val="17"/>
        </w:rPr>
        <w:t xml:space="preserve">a </w:t>
      </w:r>
      <w:r w:rsidR="004665D8" w:rsidRPr="00414820">
        <w:rPr>
          <w:b/>
          <w:bCs/>
          <w:sz w:val="17"/>
          <w:szCs w:val="17"/>
        </w:rPr>
        <w:t xml:space="preserve">product classification </w:t>
      </w:r>
      <w:r w:rsidR="006528FC" w:rsidRPr="00414820">
        <w:rPr>
          <w:b/>
          <w:bCs/>
          <w:sz w:val="17"/>
          <w:szCs w:val="17"/>
        </w:rPr>
        <w:t>system</w:t>
      </w:r>
      <w:r w:rsidR="006528FC">
        <w:rPr>
          <w:sz w:val="17"/>
          <w:szCs w:val="17"/>
        </w:rPr>
        <w:t xml:space="preserve"> </w:t>
      </w:r>
      <w:r w:rsidR="00B43608">
        <w:rPr>
          <w:sz w:val="17"/>
          <w:szCs w:val="17"/>
        </w:rPr>
        <w:t xml:space="preserve">as follows: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25"/>
        <w:gridCol w:w="3125"/>
        <w:gridCol w:w="3271"/>
      </w:tblGrid>
      <w:tr w:rsidR="00415C75" w:rsidRPr="00415C75" w14:paraId="657A3454" w14:textId="77777777" w:rsidTr="00FF3B54">
        <w:tc>
          <w:tcPr>
            <w:tcW w:w="9572" w:type="dxa"/>
            <w:gridSpan w:val="3"/>
            <w:shd w:val="clear" w:color="auto" w:fill="C2D69B" w:themeFill="accent3" w:themeFillTint="99"/>
          </w:tcPr>
          <w:p w14:paraId="45839F11" w14:textId="77777777" w:rsidR="00415C75" w:rsidRPr="00415C75" w:rsidRDefault="00415C75" w:rsidP="00415C75">
            <w:pPr>
              <w:jc w:val="left"/>
              <w:rPr>
                <w:i/>
                <w:iCs/>
                <w:sz w:val="17"/>
                <w:szCs w:val="17"/>
              </w:rPr>
            </w:pPr>
            <w:commentRangeStart w:id="3"/>
            <w:r w:rsidRPr="00415C75">
              <w:rPr>
                <w:i/>
                <w:iCs/>
                <w:sz w:val="17"/>
                <w:szCs w:val="17"/>
              </w:rPr>
              <w:t>Sustainability categories for financial products</w:t>
            </w:r>
            <w:commentRangeEnd w:id="3"/>
            <w:r w:rsidR="00530344">
              <w:rPr>
                <w:rStyle w:val="Odkaznakomentr"/>
              </w:rPr>
              <w:commentReference w:id="3"/>
            </w:r>
          </w:p>
        </w:tc>
      </w:tr>
      <w:tr w:rsidR="00415C75" w:rsidRPr="00415C75" w14:paraId="0AEF6FC3" w14:textId="77777777" w:rsidTr="00FF3B54">
        <w:tc>
          <w:tcPr>
            <w:tcW w:w="3190" w:type="dxa"/>
            <w:shd w:val="clear" w:color="auto" w:fill="EAF1DD" w:themeFill="accent3" w:themeFillTint="33"/>
          </w:tcPr>
          <w:p w14:paraId="1C365C99" w14:textId="77777777" w:rsidR="00415C75" w:rsidRPr="00415C75" w:rsidRDefault="00415C75" w:rsidP="00415C75">
            <w:pPr>
              <w:jc w:val="left"/>
              <w:rPr>
                <w:i/>
                <w:iCs/>
                <w:sz w:val="17"/>
                <w:szCs w:val="17"/>
              </w:rPr>
            </w:pPr>
            <w:r w:rsidRPr="00415C75">
              <w:rPr>
                <w:i/>
                <w:iCs/>
                <w:sz w:val="17"/>
                <w:szCs w:val="17"/>
              </w:rPr>
              <w:t>‘Sustainable’ category</w:t>
            </w:r>
          </w:p>
        </w:tc>
        <w:tc>
          <w:tcPr>
            <w:tcW w:w="3191" w:type="dxa"/>
            <w:shd w:val="clear" w:color="auto" w:fill="EAF1DD" w:themeFill="accent3" w:themeFillTint="33"/>
          </w:tcPr>
          <w:p w14:paraId="6C8B2A81" w14:textId="77777777" w:rsidR="00415C75" w:rsidRPr="00415C75" w:rsidRDefault="00415C75" w:rsidP="00415C75">
            <w:pPr>
              <w:jc w:val="left"/>
              <w:rPr>
                <w:i/>
                <w:iCs/>
                <w:sz w:val="17"/>
                <w:szCs w:val="17"/>
              </w:rPr>
            </w:pPr>
            <w:r w:rsidRPr="00415C75">
              <w:rPr>
                <w:i/>
                <w:iCs/>
                <w:sz w:val="17"/>
                <w:szCs w:val="17"/>
              </w:rPr>
              <w:t>‘Transition’ category</w:t>
            </w:r>
          </w:p>
        </w:tc>
        <w:tc>
          <w:tcPr>
            <w:tcW w:w="3191" w:type="dxa"/>
            <w:shd w:val="clear" w:color="auto" w:fill="EAF1DD" w:themeFill="accent3" w:themeFillTint="33"/>
          </w:tcPr>
          <w:p w14:paraId="31EA774C" w14:textId="77777777" w:rsidR="00415C75" w:rsidRPr="00415C75" w:rsidRDefault="00415C75" w:rsidP="00415C75">
            <w:pPr>
              <w:jc w:val="left"/>
              <w:rPr>
                <w:i/>
                <w:iCs/>
                <w:sz w:val="17"/>
                <w:szCs w:val="17"/>
              </w:rPr>
            </w:pPr>
            <w:r w:rsidRPr="00415C75">
              <w:rPr>
                <w:i/>
                <w:iCs/>
                <w:sz w:val="17"/>
                <w:szCs w:val="17"/>
              </w:rPr>
              <w:t>Non-categorised products</w:t>
            </w:r>
          </w:p>
        </w:tc>
      </w:tr>
      <w:tr w:rsidR="00415C75" w:rsidRPr="00415C75" w14:paraId="416B29B6" w14:textId="77777777" w:rsidTr="00FF3B54">
        <w:tc>
          <w:tcPr>
            <w:tcW w:w="3190" w:type="dxa"/>
          </w:tcPr>
          <w:p w14:paraId="1E9F3474" w14:textId="10B38E66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  <w:r w:rsidRPr="00415C75">
              <w:rPr>
                <w:sz w:val="17"/>
                <w:szCs w:val="17"/>
              </w:rPr>
              <w:t>For products that invest in economic activities/assets that are already environmentally and/or socially sustainable</w:t>
            </w:r>
          </w:p>
        </w:tc>
        <w:tc>
          <w:tcPr>
            <w:tcW w:w="3191" w:type="dxa"/>
          </w:tcPr>
          <w:p w14:paraId="5CAC0AD9" w14:textId="77777777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  <w:r w:rsidRPr="00415C75">
              <w:rPr>
                <w:sz w:val="17"/>
                <w:szCs w:val="17"/>
              </w:rPr>
              <w:t xml:space="preserve">For products that invest in economic activities/assets that are not yet sustainable, but which improve their sustainability </w:t>
            </w:r>
            <w:r w:rsidRPr="00415C75">
              <w:rPr>
                <w:sz w:val="17"/>
                <w:szCs w:val="17"/>
              </w:rPr>
              <w:lastRenderedPageBreak/>
              <w:t>over time to become environmentally or socially sustainable</w:t>
            </w:r>
          </w:p>
        </w:tc>
        <w:tc>
          <w:tcPr>
            <w:tcW w:w="3191" w:type="dxa"/>
            <w:vMerge w:val="restart"/>
          </w:tcPr>
          <w:p w14:paraId="4F291653" w14:textId="77777777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  <w:r w:rsidRPr="00415C75">
              <w:rPr>
                <w:sz w:val="17"/>
                <w:szCs w:val="17"/>
              </w:rPr>
              <w:lastRenderedPageBreak/>
              <w:t xml:space="preserve">Products that have sustainability features but do not qualify for the sustainability categories should disclose on their sustainability </w:t>
            </w:r>
            <w:r w:rsidRPr="00415C75">
              <w:rPr>
                <w:sz w:val="17"/>
                <w:szCs w:val="17"/>
              </w:rPr>
              <w:lastRenderedPageBreak/>
              <w:t xml:space="preserve">features in regulatory documents, and face restrictions on using ESG/sustainability-related terms in naming and marketing </w:t>
            </w:r>
          </w:p>
          <w:p w14:paraId="764A52C7" w14:textId="77777777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</w:p>
          <w:p w14:paraId="1C569A53" w14:textId="77777777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  <w:r w:rsidRPr="00415C75">
              <w:rPr>
                <w:sz w:val="17"/>
                <w:szCs w:val="17"/>
              </w:rPr>
              <w:t>Products that do not have sustainability features at all should include a disclaimer, and should not be allowed to use ESG/sustainability-related terms in naming and marketing</w:t>
            </w:r>
          </w:p>
        </w:tc>
      </w:tr>
      <w:tr w:rsidR="00415C75" w:rsidRPr="00415C75" w14:paraId="2B763508" w14:textId="77777777" w:rsidTr="00FF3B54">
        <w:tc>
          <w:tcPr>
            <w:tcW w:w="3190" w:type="dxa"/>
          </w:tcPr>
          <w:p w14:paraId="472BF080" w14:textId="77777777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  <w:r w:rsidRPr="00415C75">
              <w:rPr>
                <w:sz w:val="17"/>
                <w:szCs w:val="17"/>
              </w:rPr>
              <w:lastRenderedPageBreak/>
              <w:t>Clear and objective minimum criteria</w:t>
            </w:r>
          </w:p>
        </w:tc>
        <w:tc>
          <w:tcPr>
            <w:tcW w:w="3191" w:type="dxa"/>
          </w:tcPr>
          <w:p w14:paraId="7BB63FFA" w14:textId="77777777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  <w:r w:rsidRPr="00415C75">
              <w:rPr>
                <w:sz w:val="17"/>
                <w:szCs w:val="17"/>
              </w:rPr>
              <w:t>Mix of EU Taxonomy KPIs, transition plans, decarbonisation trajectories</w:t>
            </w:r>
          </w:p>
        </w:tc>
        <w:tc>
          <w:tcPr>
            <w:tcW w:w="3191" w:type="dxa"/>
            <w:vMerge/>
          </w:tcPr>
          <w:p w14:paraId="19C16617" w14:textId="77777777" w:rsidR="00415C75" w:rsidRPr="00415C75" w:rsidRDefault="00415C75" w:rsidP="00415C75">
            <w:pPr>
              <w:rPr>
                <w:sz w:val="17"/>
                <w:szCs w:val="17"/>
              </w:rPr>
            </w:pPr>
          </w:p>
        </w:tc>
      </w:tr>
      <w:tr w:rsidR="00415C75" w:rsidRPr="00415C75" w14:paraId="71DFA870" w14:textId="77777777" w:rsidTr="00FF3B54">
        <w:tc>
          <w:tcPr>
            <w:tcW w:w="3190" w:type="dxa"/>
          </w:tcPr>
          <w:p w14:paraId="70DD41FB" w14:textId="77777777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  <w:r w:rsidRPr="00415C75">
              <w:rPr>
                <w:sz w:val="17"/>
                <w:szCs w:val="17"/>
              </w:rPr>
              <w:t>Comply with a minimum ‘sustainability threshold’; for environmentally sustainable products, such a threshold should be based on investments in EU Taxonomy-aligned economic activities and could evolve over time</w:t>
            </w:r>
          </w:p>
        </w:tc>
        <w:tc>
          <w:tcPr>
            <w:tcW w:w="3191" w:type="dxa"/>
          </w:tcPr>
          <w:p w14:paraId="73391E5C" w14:textId="77777777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  <w:r w:rsidRPr="00415C75">
              <w:rPr>
                <w:sz w:val="17"/>
                <w:szCs w:val="17"/>
              </w:rPr>
              <w:t>Consider initial ambitious but realistic share of investments, which can grow over time to reflect the progressive improvement of environmental performance</w:t>
            </w:r>
          </w:p>
        </w:tc>
        <w:tc>
          <w:tcPr>
            <w:tcW w:w="3191" w:type="dxa"/>
            <w:vMerge/>
          </w:tcPr>
          <w:p w14:paraId="714EAA14" w14:textId="77777777" w:rsidR="00415C75" w:rsidRPr="00415C75" w:rsidRDefault="00415C75" w:rsidP="00415C75">
            <w:pPr>
              <w:rPr>
                <w:sz w:val="17"/>
                <w:szCs w:val="17"/>
              </w:rPr>
            </w:pPr>
          </w:p>
        </w:tc>
      </w:tr>
      <w:tr w:rsidR="00415C75" w:rsidRPr="00415C75" w14:paraId="4105C48F" w14:textId="77777777" w:rsidTr="00FF3B54">
        <w:tc>
          <w:tcPr>
            <w:tcW w:w="9572" w:type="dxa"/>
            <w:gridSpan w:val="3"/>
            <w:shd w:val="clear" w:color="auto" w:fill="C2D69B" w:themeFill="accent3" w:themeFillTint="99"/>
          </w:tcPr>
          <w:p w14:paraId="2C4DD589" w14:textId="77777777" w:rsidR="00415C75" w:rsidRPr="00415C75" w:rsidRDefault="00415C75" w:rsidP="00415C75">
            <w:pPr>
              <w:jc w:val="left"/>
              <w:rPr>
                <w:i/>
                <w:iCs/>
                <w:sz w:val="17"/>
                <w:szCs w:val="17"/>
              </w:rPr>
            </w:pPr>
            <w:commentRangeStart w:id="4"/>
            <w:r w:rsidRPr="00415C75">
              <w:rPr>
                <w:i/>
                <w:iCs/>
                <w:sz w:val="17"/>
                <w:szCs w:val="17"/>
              </w:rPr>
              <w:t>Sustainability indicator for financial products</w:t>
            </w:r>
            <w:commentRangeEnd w:id="4"/>
            <w:r w:rsidR="000F3591">
              <w:rPr>
                <w:rStyle w:val="Odkaznakomentr"/>
              </w:rPr>
              <w:commentReference w:id="4"/>
            </w:r>
          </w:p>
        </w:tc>
      </w:tr>
      <w:tr w:rsidR="00415C75" w:rsidRPr="00415C75" w14:paraId="752AD3A6" w14:textId="77777777" w:rsidTr="00FF3B54">
        <w:tc>
          <w:tcPr>
            <w:tcW w:w="3190" w:type="dxa"/>
            <w:shd w:val="clear" w:color="auto" w:fill="EAF1DD" w:themeFill="accent3" w:themeFillTint="33"/>
          </w:tcPr>
          <w:p w14:paraId="155268FC" w14:textId="77777777" w:rsidR="00415C75" w:rsidRPr="00415C75" w:rsidRDefault="00415C75" w:rsidP="00415C75">
            <w:pPr>
              <w:jc w:val="left"/>
              <w:rPr>
                <w:i/>
                <w:iCs/>
                <w:sz w:val="17"/>
                <w:szCs w:val="17"/>
              </w:rPr>
            </w:pPr>
            <w:r w:rsidRPr="00415C75">
              <w:rPr>
                <w:i/>
                <w:iCs/>
                <w:sz w:val="17"/>
                <w:szCs w:val="17"/>
              </w:rPr>
              <w:t>Option 1</w:t>
            </w:r>
          </w:p>
        </w:tc>
        <w:tc>
          <w:tcPr>
            <w:tcW w:w="3191" w:type="dxa"/>
            <w:shd w:val="clear" w:color="auto" w:fill="EAF1DD" w:themeFill="accent3" w:themeFillTint="33"/>
          </w:tcPr>
          <w:p w14:paraId="15924685" w14:textId="77777777" w:rsidR="00415C75" w:rsidRPr="00415C75" w:rsidRDefault="00415C75" w:rsidP="00415C75">
            <w:pPr>
              <w:jc w:val="left"/>
              <w:rPr>
                <w:i/>
                <w:iCs/>
                <w:sz w:val="17"/>
                <w:szCs w:val="17"/>
              </w:rPr>
            </w:pPr>
            <w:r w:rsidRPr="00415C75">
              <w:rPr>
                <w:i/>
                <w:iCs/>
                <w:sz w:val="17"/>
                <w:szCs w:val="17"/>
              </w:rPr>
              <w:t xml:space="preserve">Option 2 </w:t>
            </w:r>
          </w:p>
        </w:tc>
        <w:tc>
          <w:tcPr>
            <w:tcW w:w="3191" w:type="dxa"/>
            <w:shd w:val="clear" w:color="auto" w:fill="EAF1DD" w:themeFill="accent3" w:themeFillTint="33"/>
          </w:tcPr>
          <w:p w14:paraId="27A80DEC" w14:textId="77777777" w:rsidR="00415C75" w:rsidRPr="00415C75" w:rsidRDefault="00415C75" w:rsidP="00415C75">
            <w:pPr>
              <w:jc w:val="left"/>
              <w:rPr>
                <w:i/>
                <w:iCs/>
                <w:sz w:val="17"/>
                <w:szCs w:val="17"/>
              </w:rPr>
            </w:pPr>
            <w:r w:rsidRPr="00415C75">
              <w:rPr>
                <w:i/>
                <w:iCs/>
                <w:sz w:val="17"/>
                <w:szCs w:val="17"/>
              </w:rPr>
              <w:t xml:space="preserve">Examples for grading </w:t>
            </w:r>
          </w:p>
        </w:tc>
      </w:tr>
      <w:tr w:rsidR="00415C75" w:rsidRPr="00415C75" w14:paraId="34891F47" w14:textId="77777777" w:rsidTr="00FF3B54">
        <w:tc>
          <w:tcPr>
            <w:tcW w:w="3190" w:type="dxa"/>
          </w:tcPr>
          <w:p w14:paraId="07067AFF" w14:textId="77777777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  <w:r w:rsidRPr="00415C75">
              <w:rPr>
                <w:sz w:val="17"/>
                <w:szCs w:val="17"/>
              </w:rPr>
              <w:t xml:space="preserve">One narrow indicator measuring climate change mitigation based on financed emissions, which is translated into a contribution to climate change presented in </w:t>
            </w:r>
            <w:proofErr w:type="spellStart"/>
            <w:r w:rsidRPr="00415C75">
              <w:rPr>
                <w:sz w:val="17"/>
                <w:szCs w:val="17"/>
              </w:rPr>
              <w:t>nutri</w:t>
            </w:r>
            <w:proofErr w:type="spellEnd"/>
            <w:r w:rsidRPr="00415C75">
              <w:rPr>
                <w:sz w:val="17"/>
                <w:szCs w:val="17"/>
              </w:rPr>
              <w:t xml:space="preserve">-score like system (non-categorised products are excluded)  </w:t>
            </w:r>
          </w:p>
        </w:tc>
        <w:tc>
          <w:tcPr>
            <w:tcW w:w="3191" w:type="dxa"/>
          </w:tcPr>
          <w:p w14:paraId="1EA94D80" w14:textId="77777777" w:rsidR="00415C75" w:rsidRPr="00415C75" w:rsidRDefault="00415C75" w:rsidP="00415C75">
            <w:pPr>
              <w:jc w:val="left"/>
              <w:rPr>
                <w:sz w:val="17"/>
                <w:szCs w:val="17"/>
              </w:rPr>
            </w:pPr>
            <w:r w:rsidRPr="00415C75">
              <w:rPr>
                <w:sz w:val="17"/>
                <w:szCs w:val="17"/>
              </w:rPr>
              <w:t xml:space="preserve">One broader indicator giving the best grade where the expected impact on the environment or society is significant, based on a decarbonisation target or a social improvement expected from the investment strategy </w:t>
            </w:r>
          </w:p>
        </w:tc>
        <w:tc>
          <w:tcPr>
            <w:tcW w:w="3191" w:type="dxa"/>
          </w:tcPr>
          <w:p w14:paraId="600ED834" w14:textId="77777777" w:rsidR="00415C75" w:rsidRPr="00415C75" w:rsidRDefault="00415C75" w:rsidP="00415C75">
            <w:pPr>
              <w:rPr>
                <w:sz w:val="17"/>
                <w:szCs w:val="17"/>
              </w:rPr>
            </w:pPr>
            <w:r w:rsidRPr="00415C75">
              <w:rPr>
                <w:noProof/>
                <w:sz w:val="17"/>
                <w:szCs w:val="17"/>
              </w:rPr>
              <w:drawing>
                <wp:inline distT="0" distB="0" distL="0" distR="0" wp14:anchorId="0B81BF36" wp14:editId="124A6665">
                  <wp:extent cx="1931159" cy="906686"/>
                  <wp:effectExtent l="0" t="0" r="8890" b="0"/>
                  <wp:docPr id="226348514" name="Picture 1" descr="A screenshot of a computer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48514" name="Picture 1" descr="A screenshot of a computer scre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159" cy="906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78397" w14:textId="77777777" w:rsidR="006528FC" w:rsidRDefault="006528FC" w:rsidP="003D0236">
      <w:pPr>
        <w:rPr>
          <w:sz w:val="17"/>
          <w:szCs w:val="17"/>
        </w:rPr>
      </w:pPr>
    </w:p>
    <w:p w14:paraId="6DBB6511" w14:textId="5C43F0E6" w:rsidR="00BB0F6B" w:rsidRDefault="00B75364" w:rsidP="003D0236">
      <w:pPr>
        <w:rPr>
          <w:sz w:val="17"/>
          <w:szCs w:val="17"/>
        </w:rPr>
      </w:pPr>
      <w:r>
        <w:rPr>
          <w:sz w:val="17"/>
          <w:szCs w:val="17"/>
        </w:rPr>
        <w:t xml:space="preserve">The </w:t>
      </w:r>
      <w:commentRangeStart w:id="5"/>
      <w:r>
        <w:rPr>
          <w:sz w:val="17"/>
          <w:szCs w:val="17"/>
        </w:rPr>
        <w:t>o</w:t>
      </w:r>
      <w:r w:rsidR="00BB0F6B">
        <w:rPr>
          <w:sz w:val="17"/>
          <w:szCs w:val="17"/>
        </w:rPr>
        <w:t>ther</w:t>
      </w:r>
      <w:r>
        <w:rPr>
          <w:sz w:val="17"/>
          <w:szCs w:val="17"/>
        </w:rPr>
        <w:t xml:space="preserve"> recommendations </w:t>
      </w:r>
      <w:commentRangeEnd w:id="5"/>
      <w:r w:rsidR="004D450E">
        <w:rPr>
          <w:rStyle w:val="Odkaznakomentr"/>
        </w:rPr>
        <w:commentReference w:id="5"/>
      </w:r>
      <w:r>
        <w:rPr>
          <w:sz w:val="17"/>
          <w:szCs w:val="17"/>
        </w:rPr>
        <w:t>of the ESAs are as follows:</w:t>
      </w:r>
      <w:r w:rsidR="00BB0F6B">
        <w:rPr>
          <w:sz w:val="17"/>
          <w:szCs w:val="17"/>
        </w:rPr>
        <w:t xml:space="preserve"> </w:t>
      </w:r>
    </w:p>
    <w:p w14:paraId="16FB14ED" w14:textId="656C117B" w:rsidR="00BB0F6B" w:rsidRDefault="00B320FC" w:rsidP="0035057C">
      <w:pPr>
        <w:pStyle w:val="CEABullet-Level1"/>
      </w:pPr>
      <w:r w:rsidRPr="00B320FC">
        <w:t xml:space="preserve">Consider revisiting the </w:t>
      </w:r>
      <w:r w:rsidRPr="00414820">
        <w:rPr>
          <w:b/>
          <w:bCs/>
        </w:rPr>
        <w:t>coexistence of the two parallel concepts of ‘sustainable investment’</w:t>
      </w:r>
      <w:r w:rsidR="003D5C55" w:rsidRPr="00414820">
        <w:rPr>
          <w:b/>
          <w:bCs/>
        </w:rPr>
        <w:t xml:space="preserve"> </w:t>
      </w:r>
      <w:r w:rsidRPr="00414820">
        <w:rPr>
          <w:b/>
          <w:bCs/>
        </w:rPr>
        <w:t>defined in the SFDR and ‘Taxonomy-aligned investment’ defined in the EU Taxonomy</w:t>
      </w:r>
      <w:r w:rsidR="003D5C55">
        <w:t>:</w:t>
      </w:r>
      <w:r w:rsidR="001D087D">
        <w:t xml:space="preserve"> </w:t>
      </w:r>
      <w:r w:rsidR="0035057C" w:rsidRPr="0035057C">
        <w:t xml:space="preserve">the ESAs suggest making the key parameters under art. 2(17) of the SFDR prescriptive. </w:t>
      </w:r>
      <w:r w:rsidR="001D087D">
        <w:t>T</w:t>
      </w:r>
      <w:r w:rsidR="0035057C" w:rsidRPr="0035057C">
        <w:t xml:space="preserve">he EC should </w:t>
      </w:r>
      <w:r w:rsidR="001D087D">
        <w:t xml:space="preserve">also </w:t>
      </w:r>
      <w:r w:rsidR="0035057C" w:rsidRPr="0035057C">
        <w:t>prioritise completing the EU Taxonomy and extend it to social sustainability.</w:t>
      </w:r>
    </w:p>
    <w:p w14:paraId="49C9B712" w14:textId="5F7874AE" w:rsidR="0013268D" w:rsidRPr="0013268D" w:rsidRDefault="004F48A8" w:rsidP="0013268D">
      <w:pPr>
        <w:pStyle w:val="CEABullet-Level1"/>
      </w:pPr>
      <w:r w:rsidRPr="004F48A8">
        <w:t xml:space="preserve">Consider </w:t>
      </w:r>
      <w:r w:rsidRPr="001D087D">
        <w:rPr>
          <w:b/>
          <w:bCs/>
        </w:rPr>
        <w:t>improvements in sustainability disclosures</w:t>
      </w:r>
      <w:r w:rsidR="0013268D" w:rsidRPr="001D087D">
        <w:t>: the</w:t>
      </w:r>
      <w:r w:rsidR="0013268D" w:rsidRPr="0013268D">
        <w:t xml:space="preserve"> EC should prioritise only essential information for retail investors, while professional investors may benefit from more detailed information.</w:t>
      </w:r>
    </w:p>
    <w:p w14:paraId="364C07EA" w14:textId="4B773CE5" w:rsidR="00487D05" w:rsidRDefault="00414820" w:rsidP="0035057C">
      <w:pPr>
        <w:pStyle w:val="CEABullet-Level1"/>
      </w:pPr>
      <w:r w:rsidRPr="00FF3B0E">
        <w:t xml:space="preserve">Consider </w:t>
      </w:r>
      <w:r w:rsidRPr="00FF3B0E">
        <w:rPr>
          <w:b/>
          <w:bCs/>
        </w:rPr>
        <w:t>including other products in the SFDR scope to ensure harmonised disclosures</w:t>
      </w:r>
      <w:r w:rsidRPr="00414820">
        <w:t xml:space="preserve">, </w:t>
      </w:r>
      <w:r>
        <w:t xml:space="preserve">e.g. </w:t>
      </w:r>
      <w:r w:rsidRPr="00414820">
        <w:t>multi-option products (MOPs) operating under non-discretionary management</w:t>
      </w:r>
      <w:r w:rsidR="00FF3B0E">
        <w:t>.</w:t>
      </w:r>
    </w:p>
    <w:p w14:paraId="0D45EEA3" w14:textId="77777777" w:rsidR="00AE0589" w:rsidRPr="00AE0589" w:rsidRDefault="00AE0589" w:rsidP="00AE0589">
      <w:pPr>
        <w:pStyle w:val="CEABullet-Level1"/>
      </w:pPr>
      <w:r w:rsidRPr="00AE0589">
        <w:t xml:space="preserve">Consider </w:t>
      </w:r>
      <w:r w:rsidRPr="00AE0589">
        <w:rPr>
          <w:b/>
          <w:bCs/>
        </w:rPr>
        <w:t>key adverse impact indicators for all financial products</w:t>
      </w:r>
      <w:r w:rsidRPr="00AE0589">
        <w:t>, based on a cost-benefit analysis justifying the introduction of such requirement.</w:t>
      </w:r>
    </w:p>
    <w:p w14:paraId="09DB444B" w14:textId="79E2B21B" w:rsidR="00FF3B0E" w:rsidRPr="00414820" w:rsidRDefault="00A60447" w:rsidP="00A60447">
      <w:pPr>
        <w:pStyle w:val="CEABullet-Level1"/>
      </w:pPr>
      <w:r w:rsidRPr="00A60447">
        <w:t xml:space="preserve">Consider introducing a </w:t>
      </w:r>
      <w:r w:rsidRPr="00A60447">
        <w:rPr>
          <w:b/>
          <w:bCs/>
        </w:rPr>
        <w:t>framework to assess the sustainability features of government bonds</w:t>
      </w:r>
      <w:r w:rsidRPr="00A60447">
        <w:t>, based on general criteria which address the specificities of this asset class.</w:t>
      </w:r>
    </w:p>
    <w:p w14:paraId="1D5BFE03" w14:textId="77777777" w:rsidR="00B320FC" w:rsidRDefault="00B320FC" w:rsidP="00B320FC">
      <w:pPr>
        <w:rPr>
          <w:sz w:val="17"/>
          <w:szCs w:val="17"/>
        </w:rPr>
      </w:pPr>
    </w:p>
    <w:p w14:paraId="78CC40B7" w14:textId="492120FB" w:rsidR="00C206E3" w:rsidRDefault="000A7D8F" w:rsidP="003D0236">
      <w:pPr>
        <w:rPr>
          <w:sz w:val="17"/>
          <w:szCs w:val="17"/>
        </w:rPr>
      </w:pPr>
      <w:r>
        <w:rPr>
          <w:sz w:val="17"/>
          <w:szCs w:val="17"/>
        </w:rPr>
        <w:t xml:space="preserve">On 21 June 2024, </w:t>
      </w:r>
      <w:r w:rsidR="00B56E83">
        <w:rPr>
          <w:sz w:val="17"/>
          <w:szCs w:val="17"/>
        </w:rPr>
        <w:t>Insurance Europe held a meeting with the Sustainability Unit of EIOPA,</w:t>
      </w:r>
      <w:r w:rsidR="00AD5794">
        <w:rPr>
          <w:sz w:val="17"/>
          <w:szCs w:val="17"/>
        </w:rPr>
        <w:t xml:space="preserve"> </w:t>
      </w:r>
      <w:r w:rsidR="001E77AA">
        <w:rPr>
          <w:sz w:val="17"/>
          <w:szCs w:val="17"/>
        </w:rPr>
        <w:t xml:space="preserve">a </w:t>
      </w:r>
      <w:r w:rsidR="00E9209D">
        <w:rPr>
          <w:sz w:val="17"/>
          <w:szCs w:val="17"/>
        </w:rPr>
        <w:t>newly established</w:t>
      </w:r>
      <w:r w:rsidR="001E77AA">
        <w:rPr>
          <w:sz w:val="17"/>
          <w:szCs w:val="17"/>
        </w:rPr>
        <w:t xml:space="preserve"> cross-sectorial unit </w:t>
      </w:r>
      <w:r w:rsidR="00F262D3">
        <w:rPr>
          <w:sz w:val="17"/>
          <w:szCs w:val="17"/>
        </w:rPr>
        <w:t xml:space="preserve">for </w:t>
      </w:r>
      <w:r w:rsidR="00E9209D">
        <w:rPr>
          <w:sz w:val="17"/>
          <w:szCs w:val="17"/>
        </w:rPr>
        <w:t xml:space="preserve">the management of </w:t>
      </w:r>
      <w:r w:rsidR="00F05DAE">
        <w:rPr>
          <w:sz w:val="17"/>
          <w:szCs w:val="17"/>
        </w:rPr>
        <w:t xml:space="preserve">all sustainable finance-related files </w:t>
      </w:r>
      <w:r w:rsidR="000807D4">
        <w:rPr>
          <w:sz w:val="17"/>
          <w:szCs w:val="17"/>
        </w:rPr>
        <w:t xml:space="preserve">through </w:t>
      </w:r>
      <w:r w:rsidR="00E9209D">
        <w:rPr>
          <w:sz w:val="17"/>
          <w:szCs w:val="17"/>
        </w:rPr>
        <w:t>a</w:t>
      </w:r>
      <w:r w:rsidR="000807D4">
        <w:rPr>
          <w:sz w:val="17"/>
          <w:szCs w:val="17"/>
        </w:rPr>
        <w:t xml:space="preserve"> horizontal approach. </w:t>
      </w:r>
      <w:r w:rsidR="00E9209D">
        <w:rPr>
          <w:sz w:val="17"/>
          <w:szCs w:val="17"/>
        </w:rPr>
        <w:t xml:space="preserve">The Sustainability Unit </w:t>
      </w:r>
      <w:r w:rsidR="004211E7">
        <w:rPr>
          <w:sz w:val="17"/>
          <w:szCs w:val="17"/>
        </w:rPr>
        <w:t xml:space="preserve">foresees </w:t>
      </w:r>
      <w:r w:rsidR="00236651">
        <w:rPr>
          <w:sz w:val="17"/>
          <w:szCs w:val="17"/>
        </w:rPr>
        <w:t>the propose</w:t>
      </w:r>
      <w:r w:rsidR="001B36B1">
        <w:rPr>
          <w:sz w:val="17"/>
          <w:szCs w:val="17"/>
        </w:rPr>
        <w:t>d</w:t>
      </w:r>
      <w:r w:rsidR="00236651">
        <w:rPr>
          <w:sz w:val="17"/>
          <w:szCs w:val="17"/>
        </w:rPr>
        <w:t xml:space="preserve"> </w:t>
      </w:r>
      <w:r w:rsidR="00236651" w:rsidRPr="00236651">
        <w:rPr>
          <w:sz w:val="17"/>
          <w:szCs w:val="17"/>
        </w:rPr>
        <w:t xml:space="preserve">‘Sustainable’ </w:t>
      </w:r>
      <w:r w:rsidR="00236651">
        <w:rPr>
          <w:sz w:val="17"/>
          <w:szCs w:val="17"/>
        </w:rPr>
        <w:t xml:space="preserve">and </w:t>
      </w:r>
      <w:r w:rsidR="00236651" w:rsidRPr="00236651">
        <w:rPr>
          <w:sz w:val="17"/>
          <w:szCs w:val="17"/>
        </w:rPr>
        <w:t xml:space="preserve">‘Transition’ </w:t>
      </w:r>
      <w:r w:rsidR="00236651">
        <w:rPr>
          <w:sz w:val="17"/>
          <w:szCs w:val="17"/>
        </w:rPr>
        <w:t xml:space="preserve">product </w:t>
      </w:r>
      <w:r w:rsidR="00236651" w:rsidRPr="00236651">
        <w:rPr>
          <w:sz w:val="17"/>
          <w:szCs w:val="17"/>
        </w:rPr>
        <w:t>categor</w:t>
      </w:r>
      <w:r w:rsidR="00236651">
        <w:rPr>
          <w:sz w:val="17"/>
          <w:szCs w:val="17"/>
        </w:rPr>
        <w:t xml:space="preserve">ies as separate and distinct from the existing </w:t>
      </w:r>
      <w:r w:rsidR="00E2538F">
        <w:rPr>
          <w:sz w:val="17"/>
          <w:szCs w:val="17"/>
        </w:rPr>
        <w:t xml:space="preserve">SFDR </w:t>
      </w:r>
      <w:r w:rsidR="00236651">
        <w:rPr>
          <w:sz w:val="17"/>
          <w:szCs w:val="17"/>
        </w:rPr>
        <w:t xml:space="preserve">arts. 8 and 9, which </w:t>
      </w:r>
      <w:r w:rsidR="00A449DD">
        <w:rPr>
          <w:sz w:val="17"/>
          <w:szCs w:val="17"/>
        </w:rPr>
        <w:t xml:space="preserve">should </w:t>
      </w:r>
      <w:r w:rsidR="008F21CB">
        <w:rPr>
          <w:sz w:val="17"/>
          <w:szCs w:val="17"/>
        </w:rPr>
        <w:t xml:space="preserve">only define </w:t>
      </w:r>
      <w:r w:rsidR="00AD5794">
        <w:rPr>
          <w:sz w:val="17"/>
          <w:szCs w:val="17"/>
        </w:rPr>
        <w:t xml:space="preserve">the </w:t>
      </w:r>
      <w:r w:rsidR="008F21CB">
        <w:rPr>
          <w:sz w:val="17"/>
          <w:szCs w:val="17"/>
        </w:rPr>
        <w:t xml:space="preserve">measures </w:t>
      </w:r>
      <w:r w:rsidR="00A449DD">
        <w:rPr>
          <w:sz w:val="17"/>
          <w:szCs w:val="17"/>
        </w:rPr>
        <w:t xml:space="preserve">for transparency in pre-contractual disclosures. </w:t>
      </w:r>
      <w:r w:rsidR="00236651">
        <w:rPr>
          <w:sz w:val="17"/>
          <w:szCs w:val="17"/>
        </w:rPr>
        <w:t xml:space="preserve"> </w:t>
      </w:r>
    </w:p>
    <w:p w14:paraId="5CC46403" w14:textId="77777777" w:rsidR="00C206E3" w:rsidRDefault="00C206E3" w:rsidP="003D0236">
      <w:pPr>
        <w:rPr>
          <w:sz w:val="17"/>
          <w:szCs w:val="17"/>
        </w:rPr>
      </w:pPr>
    </w:p>
    <w:p w14:paraId="2AAC247E" w14:textId="095BE626" w:rsidR="007B4AC4" w:rsidRPr="00DB0A14" w:rsidRDefault="007B4AC4" w:rsidP="003D0236">
      <w:pPr>
        <w:rPr>
          <w:sz w:val="17"/>
          <w:szCs w:val="17"/>
        </w:rPr>
      </w:pPr>
      <w:r>
        <w:rPr>
          <w:sz w:val="17"/>
          <w:szCs w:val="17"/>
        </w:rPr>
        <w:t>Th</w:t>
      </w:r>
      <w:r w:rsidR="00AE2AA4">
        <w:rPr>
          <w:sz w:val="17"/>
          <w:szCs w:val="17"/>
        </w:rPr>
        <w:t>e purpose of this document is to formalise Insurance Europe’s position on the level 1 review of the SFDR, considering the input received and discussions held since our written contribution of December 2023.</w:t>
      </w:r>
    </w:p>
    <w:p w14:paraId="03E81335" w14:textId="77777777" w:rsidR="000549D7" w:rsidRPr="00DB0A14" w:rsidRDefault="000549D7" w:rsidP="003D0236">
      <w:pPr>
        <w:rPr>
          <w:sz w:val="17"/>
          <w:szCs w:val="17"/>
        </w:rPr>
      </w:pPr>
    </w:p>
    <w:p w14:paraId="2A1924A7" w14:textId="4139A9FC" w:rsidR="005E6128" w:rsidRPr="00DB0A14" w:rsidRDefault="00AE2AA4" w:rsidP="005E6128">
      <w:pPr>
        <w:rPr>
          <w:b/>
          <w:color w:val="002060"/>
          <w:sz w:val="17"/>
          <w:szCs w:val="17"/>
        </w:rPr>
      </w:pPr>
      <w:commentRangeStart w:id="6"/>
      <w:r>
        <w:rPr>
          <w:b/>
          <w:color w:val="002060"/>
          <w:sz w:val="17"/>
          <w:szCs w:val="17"/>
        </w:rPr>
        <w:t xml:space="preserve">Insurance Europe’s updated </w:t>
      </w:r>
      <w:r w:rsidR="00FD1B38">
        <w:rPr>
          <w:b/>
          <w:color w:val="002060"/>
          <w:sz w:val="17"/>
          <w:szCs w:val="17"/>
        </w:rPr>
        <w:t xml:space="preserve">position </w:t>
      </w:r>
      <w:r w:rsidR="00584A88">
        <w:rPr>
          <w:b/>
          <w:color w:val="002060"/>
          <w:sz w:val="17"/>
          <w:szCs w:val="17"/>
        </w:rPr>
        <w:t>on the SFDR Level 1 review</w:t>
      </w:r>
      <w:commentRangeEnd w:id="6"/>
      <w:r w:rsidR="00FF6244">
        <w:rPr>
          <w:rStyle w:val="Odkaznakomentr"/>
        </w:rPr>
        <w:commentReference w:id="6"/>
      </w:r>
    </w:p>
    <w:p w14:paraId="63B56B40" w14:textId="77777777" w:rsidR="00F04B8F" w:rsidRDefault="00AF18BB" w:rsidP="006760DB">
      <w:pPr>
        <w:rPr>
          <w:sz w:val="17"/>
          <w:szCs w:val="17"/>
        </w:rPr>
      </w:pPr>
      <w:r>
        <w:rPr>
          <w:sz w:val="17"/>
          <w:szCs w:val="17"/>
        </w:rPr>
        <w:t xml:space="preserve">The following position builds on the key messages </w:t>
      </w:r>
      <w:r w:rsidR="00C206E3">
        <w:rPr>
          <w:sz w:val="17"/>
          <w:szCs w:val="17"/>
        </w:rPr>
        <w:t>shared with the E</w:t>
      </w:r>
      <w:r w:rsidR="00824F80">
        <w:rPr>
          <w:sz w:val="17"/>
          <w:szCs w:val="17"/>
        </w:rPr>
        <w:t xml:space="preserve">uropean </w:t>
      </w:r>
      <w:r w:rsidR="00C206E3">
        <w:rPr>
          <w:sz w:val="17"/>
          <w:szCs w:val="17"/>
        </w:rPr>
        <w:t>C</w:t>
      </w:r>
      <w:r w:rsidR="00824F80">
        <w:rPr>
          <w:sz w:val="17"/>
          <w:szCs w:val="17"/>
        </w:rPr>
        <w:t>ommission</w:t>
      </w:r>
      <w:r w:rsidR="00C206E3">
        <w:rPr>
          <w:sz w:val="17"/>
          <w:szCs w:val="17"/>
        </w:rPr>
        <w:t xml:space="preserve"> in December 2023, </w:t>
      </w:r>
    </w:p>
    <w:p w14:paraId="587850FB" w14:textId="3B36EE71" w:rsidR="00F04B8F" w:rsidRDefault="00C206E3" w:rsidP="006760DB">
      <w:pPr>
        <w:rPr>
          <w:sz w:val="17"/>
          <w:szCs w:val="17"/>
        </w:rPr>
      </w:pPr>
      <w:r>
        <w:rPr>
          <w:sz w:val="17"/>
          <w:szCs w:val="17"/>
        </w:rPr>
        <w:t>which were also</w:t>
      </w:r>
      <w:r w:rsidR="00DD106D">
        <w:rPr>
          <w:sz w:val="17"/>
          <w:szCs w:val="17"/>
        </w:rPr>
        <w:t xml:space="preserve"> published on the Insurance Europe website.</w:t>
      </w:r>
      <w:r>
        <w:rPr>
          <w:sz w:val="17"/>
          <w:szCs w:val="17"/>
        </w:rPr>
        <w:t xml:space="preserve"> </w:t>
      </w:r>
      <w:r w:rsidR="00DD106D">
        <w:rPr>
          <w:sz w:val="17"/>
          <w:szCs w:val="17"/>
        </w:rPr>
        <w:t>The proposed updated position below reflects the</w:t>
      </w:r>
      <w:r w:rsidR="00D84A61">
        <w:rPr>
          <w:sz w:val="17"/>
          <w:szCs w:val="17"/>
        </w:rPr>
        <w:t xml:space="preserve"> input received and discussions held since December 2023</w:t>
      </w:r>
      <w:r w:rsidR="001C6E89">
        <w:rPr>
          <w:sz w:val="17"/>
          <w:szCs w:val="17"/>
        </w:rPr>
        <w:t>.</w:t>
      </w:r>
      <w:r w:rsidR="00DD106D">
        <w:rPr>
          <w:sz w:val="17"/>
          <w:szCs w:val="17"/>
        </w:rPr>
        <w:t xml:space="preserve"> </w:t>
      </w:r>
    </w:p>
    <w:p w14:paraId="1001F730" w14:textId="5E285F5E" w:rsidR="00A47778" w:rsidRPr="006760DB" w:rsidRDefault="0010247C" w:rsidP="006760DB">
      <w:pPr>
        <w:rPr>
          <w:sz w:val="17"/>
          <w:szCs w:val="17"/>
        </w:rPr>
      </w:pPr>
      <w:r w:rsidRPr="007B0645">
        <w:rPr>
          <w:noProof/>
          <w:sz w:val="17"/>
          <w:szCs w:val="17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D52CE1" wp14:editId="4FCD3052">
                <wp:simplePos x="0" y="0"/>
                <wp:positionH relativeFrom="column">
                  <wp:posOffset>-12065</wp:posOffset>
                </wp:positionH>
                <wp:positionV relativeFrom="paragraph">
                  <wp:posOffset>196850</wp:posOffset>
                </wp:positionV>
                <wp:extent cx="6057900" cy="1404620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A4E1D" w14:textId="089EB7A8" w:rsidR="007B0645" w:rsidRPr="0042668C" w:rsidRDefault="007B0645" w:rsidP="0042668C">
                            <w:pPr>
                              <w:pStyle w:val="CEABullet-Level1"/>
                            </w:pPr>
                            <w:r w:rsidRPr="00325C9E">
                              <w:rPr>
                                <w:b/>
                                <w:bCs/>
                              </w:rPr>
                              <w:t>The SFDR’s main goal should remain product transparency</w:t>
                            </w:r>
                            <w:r w:rsidRPr="0042668C">
                              <w:t>. One of the main reasons for today’s dysfunction is the misinterpretation of the goals of the SFDR as a categorisation system.</w:t>
                            </w:r>
                          </w:p>
                          <w:p w14:paraId="4073EB83" w14:textId="05394908" w:rsidR="00E35B3F" w:rsidRPr="0042668C" w:rsidRDefault="00E77101" w:rsidP="0042668C">
                            <w:pPr>
                              <w:pStyle w:val="CEABullet-Level1"/>
                            </w:pPr>
                            <w:r w:rsidRPr="00B73793">
                              <w:rPr>
                                <w:b/>
                                <w:bCs/>
                              </w:rPr>
                              <w:t xml:space="preserve">The SFDR review should </w:t>
                            </w:r>
                            <w:r w:rsidR="00B73793" w:rsidRPr="00B73793">
                              <w:rPr>
                                <w:b/>
                                <w:bCs/>
                              </w:rPr>
                              <w:t>focus on disclosure simplification</w:t>
                            </w:r>
                            <w:r w:rsidR="00B73793">
                              <w:t xml:space="preserve">. </w:t>
                            </w:r>
                            <w:r w:rsidR="00E35B3F" w:rsidRPr="0042668C">
                              <w:t xml:space="preserve">The SFDR templates are difficult to understand for consumers, and the increased disclosure requirements have surged the burden on product manufacturers with no significant increase in consumers </w:t>
                            </w:r>
                            <w:r w:rsidR="00B863C9">
                              <w:t xml:space="preserve">comprehension and </w:t>
                            </w:r>
                            <w:r w:rsidR="00E35B3F" w:rsidRPr="0042668C">
                              <w:t xml:space="preserve">protection. </w:t>
                            </w:r>
                          </w:p>
                          <w:p w14:paraId="7D7FD915" w14:textId="78AD3BD0" w:rsidR="00E35B3F" w:rsidRPr="0042668C" w:rsidRDefault="000C5523" w:rsidP="0042668C">
                            <w:pPr>
                              <w:pStyle w:val="CEABullet-Level1"/>
                            </w:pPr>
                            <w:r w:rsidRPr="00392268">
                              <w:rPr>
                                <w:b/>
                                <w:bCs/>
                              </w:rPr>
                              <w:t xml:space="preserve">The SFDR should </w:t>
                            </w:r>
                            <w:r w:rsidR="001E5430">
                              <w:rPr>
                                <w:b/>
                                <w:bCs/>
                              </w:rPr>
                              <w:t xml:space="preserve">mainly </w:t>
                            </w:r>
                            <w:r w:rsidR="00392268" w:rsidRPr="00392268">
                              <w:rPr>
                                <w:b/>
                                <w:bCs/>
                              </w:rPr>
                              <w:t xml:space="preserve">focus on product level disclosures, entity level disclosures should be </w:t>
                            </w:r>
                            <w:r w:rsidR="001E5430">
                              <w:rPr>
                                <w:b/>
                                <w:bCs/>
                              </w:rPr>
                              <w:t xml:space="preserve">limited to FMPs that are not subject </w:t>
                            </w:r>
                            <w:r w:rsidR="00541D9E">
                              <w:rPr>
                                <w:b/>
                                <w:bCs/>
                              </w:rPr>
                              <w:t xml:space="preserve">to </w:t>
                            </w:r>
                            <w:r w:rsidR="00AA5C72">
                              <w:rPr>
                                <w:b/>
                                <w:bCs/>
                              </w:rPr>
                              <w:t>the</w:t>
                            </w:r>
                            <w:r w:rsidR="00392268" w:rsidRPr="00392268">
                              <w:rPr>
                                <w:b/>
                                <w:bCs/>
                              </w:rPr>
                              <w:t xml:space="preserve"> CSRD</w:t>
                            </w:r>
                            <w:r w:rsidR="00541D9E">
                              <w:rPr>
                                <w:b/>
                                <w:bCs/>
                              </w:rPr>
                              <w:t xml:space="preserve"> and to the information not covered by ESRS</w:t>
                            </w:r>
                            <w:r w:rsidR="00392268">
                              <w:t xml:space="preserve">. </w:t>
                            </w:r>
                            <w:r w:rsidR="00E35B3F" w:rsidRPr="0042668C">
                              <w:t xml:space="preserve">A more effective and coherent EU sustainable finance legislative framework could be attained by </w:t>
                            </w:r>
                            <w:r w:rsidR="00E371C2">
                              <w:t xml:space="preserve">increasing consistency between entity-level disclosures in SFDR and in the </w:t>
                            </w:r>
                            <w:r w:rsidR="00E35B3F" w:rsidRPr="0042668C">
                              <w:t>ESRS under the CSRD, while product-level disclosures should be covered by the SFDR. Moreover, the mandatory list of PAI indicators should be revised to only keep the most relevant ones.</w:t>
                            </w:r>
                          </w:p>
                          <w:p w14:paraId="5A6D1A9C" w14:textId="463C2C15" w:rsidR="00E35B3F" w:rsidRDefault="00E35B3F" w:rsidP="0042668C">
                            <w:pPr>
                              <w:pStyle w:val="CEABullet-Level1"/>
                            </w:pPr>
                            <w:r w:rsidRPr="0042668C">
                              <w:t xml:space="preserve">Before considering other changes, priority should be given to </w:t>
                            </w:r>
                            <w:r w:rsidR="00B863C9">
                              <w:t>streamlining, simplifying</w:t>
                            </w:r>
                            <w:r w:rsidR="004E7F06">
                              <w:t xml:space="preserve"> </w:t>
                            </w:r>
                            <w:r w:rsidRPr="0042668C">
                              <w:t>and harmonising the transparency requirements</w:t>
                            </w:r>
                            <w:r w:rsidR="00233AA7" w:rsidRPr="0042668C">
                              <w:t xml:space="preserve"> under the SFDR</w:t>
                            </w:r>
                            <w:r w:rsidRPr="0042668C">
                              <w:t>. As such, further guidance on the concept of sustainable investments rather than a strict definition should be provided.</w:t>
                            </w:r>
                          </w:p>
                          <w:p w14:paraId="4A7039EA" w14:textId="77777777" w:rsidR="00325C9E" w:rsidRDefault="00325C9E" w:rsidP="00325C9E">
                            <w:pPr>
                              <w:pStyle w:val="CEABullet-Level1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</w:p>
                          <w:p w14:paraId="54694BF7" w14:textId="77891DA6" w:rsidR="00CF13ED" w:rsidRPr="0042668C" w:rsidRDefault="00325C9E" w:rsidP="000309A8">
                            <w:pPr>
                              <w:pStyle w:val="CEABullet-Level1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Regarding the</w:t>
                            </w:r>
                            <w:r w:rsidR="00CF13ED" w:rsidRPr="0042668C">
                              <w:t xml:space="preserve"> </w:t>
                            </w:r>
                            <w:r w:rsidR="000309A8">
                              <w:t>potential</w:t>
                            </w:r>
                            <w:r>
                              <w:t xml:space="preserve"> introduction of a </w:t>
                            </w:r>
                            <w:r w:rsidR="00CF13ED" w:rsidRPr="0042668C">
                              <w:rPr>
                                <w:b/>
                                <w:bCs/>
                              </w:rPr>
                              <w:t>categorisation system for financial products</w:t>
                            </w:r>
                            <w:r w:rsidR="00CF13ED" w:rsidRPr="0042668C">
                              <w:t>:</w:t>
                            </w:r>
                          </w:p>
                          <w:p w14:paraId="2680EAF4" w14:textId="77777777" w:rsidR="00325C9E" w:rsidRDefault="00325C9E" w:rsidP="00325C9E">
                            <w:pPr>
                              <w:pStyle w:val="CEABullet-Level1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  <w:p w14:paraId="5FC53BD2" w14:textId="449A2353" w:rsidR="00CF13ED" w:rsidRPr="0042668C" w:rsidRDefault="00F5629F" w:rsidP="0042668C">
                            <w:pPr>
                              <w:pStyle w:val="CEABullet-Level1"/>
                            </w:pPr>
                            <w:r>
                              <w:t>Any categorisation system</w:t>
                            </w:r>
                            <w:r w:rsidR="00CF13ED" w:rsidRPr="0042668C">
                              <w:t xml:space="preserve"> </w:t>
                            </w:r>
                            <w:r w:rsidR="00CF13ED" w:rsidRPr="00F5629F">
                              <w:rPr>
                                <w:b/>
                                <w:bCs/>
                              </w:rPr>
                              <w:t>should be added to the existing SFDR framework</w:t>
                            </w:r>
                            <w:r w:rsidR="007E2A1C">
                              <w:t>;</w:t>
                            </w:r>
                            <w:r w:rsidR="00CF13ED" w:rsidRPr="0042668C">
                              <w:t xml:space="preserve"> it should be built on the existing SFDR framework and </w:t>
                            </w:r>
                            <w:r w:rsidR="0064247B">
                              <w:t xml:space="preserve">be based on </w:t>
                            </w:r>
                            <w:r w:rsidR="009C1E97">
                              <w:t>information</w:t>
                            </w:r>
                            <w:r w:rsidR="0064247B">
                              <w:t xml:space="preserve"> </w:t>
                            </w:r>
                            <w:r w:rsidR="0007146F">
                              <w:t>provide under the SFDR</w:t>
                            </w:r>
                            <w:r w:rsidR="00CF13ED" w:rsidRPr="0042668C">
                              <w:t>.</w:t>
                            </w:r>
                            <w:r w:rsidR="008F2D2A">
                              <w:t xml:space="preserve"> (</w:t>
                            </w:r>
                            <w:r w:rsidR="00327F7C">
                              <w:t>R</w:t>
                            </w:r>
                            <w:r w:rsidR="008F2D2A">
                              <w:t xml:space="preserve">e)insurers </w:t>
                            </w:r>
                            <w:r w:rsidR="00327F7C" w:rsidRPr="00327F7C">
                              <w:t>call for simplification of the framework which will be of benefit for providers, investors and retail consumers</w:t>
                            </w:r>
                            <w:r w:rsidR="00AA5C72">
                              <w:t xml:space="preserve"> as well</w:t>
                            </w:r>
                            <w:r w:rsidR="00327F7C">
                              <w:t>.</w:t>
                            </w:r>
                          </w:p>
                          <w:p w14:paraId="667C0A36" w14:textId="0E7CBA78" w:rsidR="00CF13ED" w:rsidRPr="0042668C" w:rsidRDefault="009260FE" w:rsidP="00845FB0">
                            <w:pPr>
                              <w:pStyle w:val="CEABullet-Level1"/>
                            </w:pPr>
                            <w:r w:rsidRPr="00C91DD1">
                              <w:rPr>
                                <w:b/>
                                <w:bCs/>
                              </w:rPr>
                              <w:t>Categories should be built on</w:t>
                            </w:r>
                            <w:r w:rsidR="00C91DD1" w:rsidRPr="00C91DD1">
                              <w:rPr>
                                <w:b/>
                                <w:bCs/>
                              </w:rPr>
                              <w:t xml:space="preserve"> existing</w:t>
                            </w:r>
                            <w:r w:rsidR="00CF13ED" w:rsidRPr="00C91DD1">
                              <w:rPr>
                                <w:b/>
                                <w:bCs/>
                              </w:rPr>
                              <w:t xml:space="preserve"> arts. 8 and 9</w:t>
                            </w:r>
                            <w:r w:rsidR="00C91DD1" w:rsidRPr="00C91DD1">
                              <w:rPr>
                                <w:b/>
                                <w:bCs/>
                              </w:rPr>
                              <w:t xml:space="preserve"> products</w:t>
                            </w:r>
                            <w:r w:rsidR="00CF13ED" w:rsidRPr="0042668C">
                              <w:t xml:space="preserve">, by clarifying and adding criteria to underpin the existing concepts of environmental/social characteristics, sustainable investment, do not significant harm, etc. </w:t>
                            </w:r>
                            <w:r w:rsidR="00B84F46" w:rsidRPr="00B84F46">
                              <w:t>There is merit in mutually exclusive categories</w:t>
                            </w:r>
                            <w:r w:rsidR="00327F7C">
                              <w:t>.</w:t>
                            </w:r>
                            <w:r w:rsidR="00B84F46" w:rsidRPr="00B84F46">
                              <w:t xml:space="preserve"> </w:t>
                            </w:r>
                            <w:r w:rsidR="00327F7C">
                              <w:t>H</w:t>
                            </w:r>
                            <w:r w:rsidR="00B84F46" w:rsidRPr="00B84F46">
                              <w:t>owever</w:t>
                            </w:r>
                            <w:r w:rsidR="00AA5C72">
                              <w:t>,</w:t>
                            </w:r>
                            <w:r w:rsidR="00B84F46" w:rsidRPr="00B84F46">
                              <w:t xml:space="preserve"> it is crucial that Multi-Option Products and fund-of-funds </w:t>
                            </w:r>
                            <w:r w:rsidR="006B55E4">
                              <w:rPr>
                                <w:lang w:val="en-US"/>
                              </w:rPr>
                              <w:t>can</w:t>
                            </w:r>
                            <w:r w:rsidR="00B84F4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84F46" w:rsidRPr="00B84F46">
                              <w:t>be allocated to a category</w:t>
                            </w:r>
                            <w:r w:rsidR="00845FB0">
                              <w:rPr>
                                <w:lang w:val="en-US"/>
                              </w:rPr>
                              <w:t>,</w:t>
                            </w:r>
                            <w:r w:rsidR="00845FB0" w:rsidRPr="00845FB0">
                              <w:t xml:space="preserve"> as well as clarity is needed on what occurs when a fund may cross a number of differing categor</w:t>
                            </w:r>
                            <w:r w:rsidR="00845FB0">
                              <w:t>i</w:t>
                            </w:r>
                            <w:r w:rsidR="00845FB0" w:rsidRPr="00845FB0">
                              <w:t>es</w:t>
                            </w:r>
                            <w:r w:rsidR="00845FB0" w:rsidRPr="00845FB0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12A9AE9D" w14:textId="72B13F9A" w:rsidR="00CF13ED" w:rsidRDefault="0081217A" w:rsidP="0042668C">
                            <w:pPr>
                              <w:pStyle w:val="CEABullet-Level1"/>
                            </w:pPr>
                            <w:r w:rsidRPr="0081217A">
                              <w:rPr>
                                <w:b/>
                                <w:bCs/>
                              </w:rPr>
                              <w:t>Categories</w:t>
                            </w:r>
                            <w:r w:rsidR="00CF13ED" w:rsidRPr="0081217A">
                              <w:rPr>
                                <w:b/>
                                <w:bCs/>
                              </w:rPr>
                              <w:t xml:space="preserve"> should be suitable for broadly diversified portfolios </w:t>
                            </w:r>
                            <w:r w:rsidR="0073177E" w:rsidRPr="0073177E">
                              <w:rPr>
                                <w:b/>
                                <w:bCs/>
                              </w:rPr>
                              <w:t>and the diversified range of products that they cover</w:t>
                            </w:r>
                            <w:r w:rsidR="0073177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F13ED" w:rsidRPr="0042668C">
                              <w:t>(e.g. life insurance products or multi-asset funds)</w:t>
                            </w:r>
                            <w:r w:rsidR="00515E59">
                              <w:t>.</w:t>
                            </w:r>
                            <w:r w:rsidR="00CF13ED" w:rsidRPr="0042668C">
                              <w:t xml:space="preserve"> </w:t>
                            </w:r>
                            <w:r w:rsidR="00515E59">
                              <w:t xml:space="preserve">Categories should </w:t>
                            </w:r>
                            <w:r w:rsidR="00CF13ED" w:rsidRPr="0042668C">
                              <w:t xml:space="preserve">guarantee that all investment instruments (e.g. government bonds) of the portfolios are covered by the metrics underpinning the system. </w:t>
                            </w:r>
                          </w:p>
                          <w:p w14:paraId="48989651" w14:textId="3F65F0DC" w:rsidR="00A137BF" w:rsidRPr="000549D7" w:rsidRDefault="00BA62D2" w:rsidP="00A137BF">
                            <w:pPr>
                              <w:pStyle w:val="CEABullet-Level1"/>
                            </w:pPr>
                            <w:r w:rsidRPr="000549D7">
                              <w:t xml:space="preserve">Any categorisation system </w:t>
                            </w:r>
                            <w:r w:rsidRPr="000549D7">
                              <w:rPr>
                                <w:b/>
                                <w:bCs/>
                              </w:rPr>
                              <w:t xml:space="preserve">should </w:t>
                            </w:r>
                            <w:r w:rsidR="00ED211B" w:rsidRPr="000549D7">
                              <w:rPr>
                                <w:b/>
                                <w:bCs/>
                              </w:rPr>
                              <w:t xml:space="preserve">better integrate </w:t>
                            </w:r>
                            <w:r w:rsidRPr="000549D7">
                              <w:rPr>
                                <w:b/>
                                <w:bCs/>
                              </w:rPr>
                              <w:t>sovereign exposures</w:t>
                            </w:r>
                            <w:r w:rsidR="000E484F" w:rsidRPr="000549D7">
                              <w:t>:</w:t>
                            </w:r>
                            <w:r w:rsidR="000E484F" w:rsidRPr="000549D7">
                              <w:rPr>
                                <w:rFonts w:cs="Times New Roman"/>
                                <w:color w:val="auto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0E484F" w:rsidRPr="000549D7">
                              <w:t>this asset class</w:t>
                            </w:r>
                            <w:r w:rsidR="00DF1865" w:rsidRPr="000549D7">
                              <w:t xml:space="preserve"> </w:t>
                            </w:r>
                            <w:r w:rsidR="00136850" w:rsidRPr="00136850">
                              <w:t>is penalized under the existing SFDR framework</w:t>
                            </w:r>
                            <w:r w:rsidR="00CC781B">
                              <w:t>,</w:t>
                            </w:r>
                            <w:r w:rsidR="00136850" w:rsidRPr="00136850">
                              <w:t xml:space="preserve"> </w:t>
                            </w:r>
                            <w:r w:rsidR="00DF1865" w:rsidRPr="000549D7">
                              <w:t xml:space="preserve">despite being </w:t>
                            </w:r>
                            <w:r w:rsidR="00ED211B" w:rsidRPr="000549D7">
                              <w:t xml:space="preserve">often </w:t>
                            </w:r>
                            <w:r w:rsidR="00DF1865" w:rsidRPr="000549D7">
                              <w:t xml:space="preserve">used </w:t>
                            </w:r>
                            <w:r w:rsidR="008D66AF" w:rsidRPr="000549D7">
                              <w:t xml:space="preserve">by insurers </w:t>
                            </w:r>
                            <w:r w:rsidR="000E484F" w:rsidRPr="000549D7">
                              <w:t>to provide customers a diversified portfolio with good returns for their savings and pensions</w:t>
                            </w:r>
                            <w:r w:rsidR="00A07D02">
                              <w:t>,</w:t>
                            </w:r>
                            <w:r w:rsidR="00136850">
                              <w:t xml:space="preserve"> and </w:t>
                            </w:r>
                            <w:r w:rsidR="00136850" w:rsidRPr="00136850">
                              <w:t>for the asset-liability matching that is core to the insurance business model</w:t>
                            </w:r>
                            <w:r w:rsidR="008D66AF" w:rsidRPr="000549D7">
                              <w:t>.</w:t>
                            </w:r>
                          </w:p>
                          <w:p w14:paraId="1681042B" w14:textId="634508F2" w:rsidR="00CF13ED" w:rsidRPr="000549D7" w:rsidRDefault="004B224E" w:rsidP="0042668C">
                            <w:pPr>
                              <w:pStyle w:val="CEABullet-Level1"/>
                            </w:pPr>
                            <w:r w:rsidRPr="009D11F7">
                              <w:rPr>
                                <w:b/>
                                <w:bCs/>
                              </w:rPr>
                              <w:t>Insurers support the</w:t>
                            </w:r>
                            <w:r w:rsidR="00CF13ED" w:rsidRPr="009D11F7">
                              <w:rPr>
                                <w:b/>
                                <w:bCs/>
                              </w:rPr>
                              <w:t xml:space="preserve"> introduc</w:t>
                            </w:r>
                            <w:r w:rsidRPr="009D11F7">
                              <w:rPr>
                                <w:b/>
                                <w:bCs/>
                              </w:rPr>
                              <w:t xml:space="preserve">tion of </w:t>
                            </w:r>
                            <w:r w:rsidR="00CF13ED" w:rsidRPr="009D11F7">
                              <w:rPr>
                                <w:b/>
                                <w:bCs/>
                              </w:rPr>
                              <w:t>a ‘transition category’</w:t>
                            </w:r>
                            <w:r w:rsidR="00CF13ED" w:rsidRPr="009D11F7">
                              <w:t xml:space="preserve"> qualified through criteria such as: exclusions strategy; pre-defined, measurable, positive Environmental-, Social-, Governance-related outcome; credible transition plan.</w:t>
                            </w:r>
                            <w:r w:rsidR="003F2415" w:rsidRPr="009D11F7">
                              <w:t xml:space="preserve"> </w:t>
                            </w:r>
                            <w:r w:rsidR="00541C41" w:rsidRPr="000549D7">
                              <w:t>C</w:t>
                            </w:r>
                            <w:r w:rsidR="003F2415" w:rsidRPr="000549D7">
                              <w:t>limate transition targets</w:t>
                            </w:r>
                            <w:r w:rsidR="00541C41" w:rsidRPr="000549D7">
                              <w:t xml:space="preserve"> should include carbon removal and evaluation of transition pathways of sovereigns by using available frameworks like</w:t>
                            </w:r>
                            <w:r w:rsidR="00D16A24" w:rsidRPr="000549D7">
                              <w:t xml:space="preserve"> </w:t>
                            </w:r>
                            <w:r w:rsidR="003F20F4" w:rsidRPr="009D11F7">
                              <w:t>Assessing Sovereign Climate-related Opportunities and Risks (ASCOR)</w:t>
                            </w:r>
                            <w:r w:rsidR="00D16A24" w:rsidRPr="000549D7">
                              <w:t>.</w:t>
                            </w:r>
                          </w:p>
                          <w:p w14:paraId="340494BE" w14:textId="7F70FA99" w:rsidR="00CF13ED" w:rsidRDefault="00AD394D" w:rsidP="00976DB4">
                            <w:pPr>
                              <w:pStyle w:val="CEABullet-Level1"/>
                            </w:pPr>
                            <w:r w:rsidRPr="00AD394D">
                              <w:rPr>
                                <w:b/>
                                <w:bCs/>
                              </w:rPr>
                              <w:t>Categories</w:t>
                            </w:r>
                            <w:r w:rsidR="00CF13ED" w:rsidRPr="00AD394D">
                              <w:rPr>
                                <w:b/>
                                <w:bCs/>
                              </w:rPr>
                              <w:t xml:space="preserve"> should be the reference for the integration of sustainability preferences</w:t>
                            </w:r>
                            <w:r w:rsidR="00CF13ED" w:rsidRPr="0042668C">
                              <w:t>, as part of the suitability assessment under the Insurance Distribution Directive (IDD)/Markets in Financial Instruments Directive II (MiFID II).</w:t>
                            </w:r>
                            <w:r w:rsidR="009F36AF">
                              <w:t xml:space="preserve"> Furthermore, any</w:t>
                            </w:r>
                            <w:r w:rsidR="009F36AF" w:rsidRPr="008555E4">
                              <w:t xml:space="preserve"> categorisation system should be inter-operable with the mandatory advisory process under IDD/MiFID II</w:t>
                            </w:r>
                            <w:r w:rsidR="00011F23">
                              <w:t>.</w:t>
                            </w:r>
                            <w:r w:rsidR="00976DB4" w:rsidRPr="00976DB4">
                              <w:t xml:space="preserve"> Accordingly, </w:t>
                            </w:r>
                            <w:r w:rsidR="00976DB4">
                              <w:t xml:space="preserve">(re)insurers </w:t>
                            </w:r>
                            <w:r w:rsidR="00976DB4" w:rsidRPr="00976DB4">
                              <w:t>call for an alignment between IDD and SFDR requirements.</w:t>
                            </w:r>
                          </w:p>
                          <w:p w14:paraId="4116FFA0" w14:textId="4F46F006" w:rsidR="00AA5C72" w:rsidRPr="0042668C" w:rsidRDefault="00AA5C72" w:rsidP="0010247C">
                            <w:pPr>
                              <w:pStyle w:val="CEABullet-Level1"/>
                            </w:pPr>
                            <w:r w:rsidRPr="0010247C">
                              <w:t xml:space="preserve">Considering the development of </w:t>
                            </w:r>
                            <w:r w:rsidR="0010247C">
                              <w:t xml:space="preserve">categorisation systems in other jurisdictions (e.g. in the UK), </w:t>
                            </w:r>
                            <w:r w:rsidR="0010247C" w:rsidRPr="0010247C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10247C">
                              <w:rPr>
                                <w:b/>
                                <w:bCs/>
                              </w:rPr>
                              <w:t xml:space="preserve">fforts should be made to </w:t>
                            </w:r>
                            <w:r w:rsidR="0010247C" w:rsidRPr="0010247C">
                              <w:rPr>
                                <w:b/>
                                <w:bCs/>
                              </w:rPr>
                              <w:t xml:space="preserve">pursue </w:t>
                            </w:r>
                            <w:r w:rsidR="004E5D18">
                              <w:rPr>
                                <w:b/>
                                <w:bCs/>
                              </w:rPr>
                              <w:t xml:space="preserve">interoperability </w:t>
                            </w:r>
                            <w:r w:rsidR="0010247C" w:rsidRPr="0010247C">
                              <w:rPr>
                                <w:b/>
                                <w:bCs/>
                              </w:rPr>
                              <w:t>across jurisdictions</w:t>
                            </w:r>
                            <w:r w:rsidR="0010247C">
                              <w:t xml:space="preserve"> and </w:t>
                            </w:r>
                            <w:r w:rsidR="00AC5707">
                              <w:t xml:space="preserve">to </w:t>
                            </w:r>
                            <w:r w:rsidRPr="0010247C">
                              <w:t xml:space="preserve">prevent a situation where </w:t>
                            </w:r>
                            <w:r w:rsidR="004E5D18">
                              <w:t xml:space="preserve">the same financial </w:t>
                            </w:r>
                            <w:r w:rsidRPr="0010247C">
                              <w:t xml:space="preserve">product is deemed sustainable in a country but not in another country.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52C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5pt;margin-top:15.5pt;width:47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" strokecolor="#92d050" strokeweight="1.5pt">
                <v:textbox style="mso-fit-shape-to-text:t">
                  <w:txbxContent>
                    <w:p w14:paraId="73AA4E1D" w14:textId="089EB7A8" w:rsidR="007B0645" w:rsidRPr="0042668C" w:rsidRDefault="007B0645" w:rsidP="0042668C">
                      <w:pPr>
                        <w:pStyle w:val="CEABullet-Level1"/>
                      </w:pPr>
                      <w:r w:rsidRPr="00325C9E">
                        <w:rPr>
                          <w:b/>
                          <w:bCs/>
                        </w:rPr>
                        <w:t>The SFDR’s main goal should remain product transparency</w:t>
                      </w:r>
                      <w:r w:rsidRPr="0042668C">
                        <w:t>. One of the main reasons for today’s dysfunction is the misinterpretation of the goals of the SFDR as a categorisation system.</w:t>
                      </w:r>
                    </w:p>
                    <w:p w14:paraId="4073EB83" w14:textId="05394908" w:rsidR="00E35B3F" w:rsidRPr="0042668C" w:rsidRDefault="00E77101" w:rsidP="0042668C">
                      <w:pPr>
                        <w:pStyle w:val="CEABullet-Level1"/>
                      </w:pPr>
                      <w:r w:rsidRPr="00B73793">
                        <w:rPr>
                          <w:b/>
                          <w:bCs/>
                        </w:rPr>
                        <w:t xml:space="preserve">The SFDR review should </w:t>
                      </w:r>
                      <w:r w:rsidR="00B73793" w:rsidRPr="00B73793">
                        <w:rPr>
                          <w:b/>
                          <w:bCs/>
                        </w:rPr>
                        <w:t>focus on disclosure simplification</w:t>
                      </w:r>
                      <w:r w:rsidR="00B73793">
                        <w:t xml:space="preserve">. </w:t>
                      </w:r>
                      <w:r w:rsidR="00E35B3F" w:rsidRPr="0042668C">
                        <w:t xml:space="preserve">The SFDR templates are difficult to understand for consumers, and the increased disclosure requirements have surged the burden on product manufacturers with no significant increase in consumers </w:t>
                      </w:r>
                      <w:r w:rsidR="00B863C9">
                        <w:t xml:space="preserve">comprehension and </w:t>
                      </w:r>
                      <w:r w:rsidR="00E35B3F" w:rsidRPr="0042668C">
                        <w:t xml:space="preserve">protection. </w:t>
                      </w:r>
                    </w:p>
                    <w:p w14:paraId="7D7FD915" w14:textId="78AD3BD0" w:rsidR="00E35B3F" w:rsidRPr="0042668C" w:rsidRDefault="000C5523" w:rsidP="0042668C">
                      <w:pPr>
                        <w:pStyle w:val="CEABullet-Level1"/>
                      </w:pPr>
                      <w:r w:rsidRPr="00392268">
                        <w:rPr>
                          <w:b/>
                          <w:bCs/>
                        </w:rPr>
                        <w:t xml:space="preserve">The SFDR should </w:t>
                      </w:r>
                      <w:r w:rsidR="001E5430">
                        <w:rPr>
                          <w:b/>
                          <w:bCs/>
                        </w:rPr>
                        <w:t xml:space="preserve">mainly </w:t>
                      </w:r>
                      <w:r w:rsidR="00392268" w:rsidRPr="00392268">
                        <w:rPr>
                          <w:b/>
                          <w:bCs/>
                        </w:rPr>
                        <w:t xml:space="preserve">focus on product level disclosures, entity level disclosures should be </w:t>
                      </w:r>
                      <w:r w:rsidR="001E5430">
                        <w:rPr>
                          <w:b/>
                          <w:bCs/>
                        </w:rPr>
                        <w:t xml:space="preserve">limited to FMPs that are not subject </w:t>
                      </w:r>
                      <w:r w:rsidR="00541D9E">
                        <w:rPr>
                          <w:b/>
                          <w:bCs/>
                        </w:rPr>
                        <w:t xml:space="preserve">to </w:t>
                      </w:r>
                      <w:r w:rsidR="00AA5C72">
                        <w:rPr>
                          <w:b/>
                          <w:bCs/>
                        </w:rPr>
                        <w:t>the</w:t>
                      </w:r>
                      <w:r w:rsidR="00392268" w:rsidRPr="00392268">
                        <w:rPr>
                          <w:b/>
                          <w:bCs/>
                        </w:rPr>
                        <w:t xml:space="preserve"> CSRD</w:t>
                      </w:r>
                      <w:r w:rsidR="00541D9E">
                        <w:rPr>
                          <w:b/>
                          <w:bCs/>
                        </w:rPr>
                        <w:t xml:space="preserve"> and to the information not covered by ESRS</w:t>
                      </w:r>
                      <w:r w:rsidR="00392268">
                        <w:t xml:space="preserve">. </w:t>
                      </w:r>
                      <w:r w:rsidR="00E35B3F" w:rsidRPr="0042668C">
                        <w:t xml:space="preserve">A more effective and coherent EU sustainable finance legislative framework could be attained by </w:t>
                      </w:r>
                      <w:r w:rsidR="00E371C2">
                        <w:t xml:space="preserve">increasing consistency between entity-level disclosures in SFDR and in the </w:t>
                      </w:r>
                      <w:r w:rsidR="00E35B3F" w:rsidRPr="0042668C">
                        <w:t>ESRS under the CSRD, while product-level disclosures should be covered by the SFDR. Moreover, the mandatory list of PAI indicators should be revised to only keep the most relevant ones.</w:t>
                      </w:r>
                    </w:p>
                    <w:p w14:paraId="5A6D1A9C" w14:textId="463C2C15" w:rsidR="00E35B3F" w:rsidRDefault="00E35B3F" w:rsidP="0042668C">
                      <w:pPr>
                        <w:pStyle w:val="CEABullet-Level1"/>
                      </w:pPr>
                      <w:r w:rsidRPr="0042668C">
                        <w:t xml:space="preserve">Before considering other changes, priority should be given to </w:t>
                      </w:r>
                      <w:r w:rsidR="00B863C9">
                        <w:t>streamlining, simplifying</w:t>
                      </w:r>
                      <w:r w:rsidR="004E7F06">
                        <w:t xml:space="preserve"> </w:t>
                      </w:r>
                      <w:r w:rsidRPr="0042668C">
                        <w:t>and harmonising the transparency requirements</w:t>
                      </w:r>
                      <w:r w:rsidR="00233AA7" w:rsidRPr="0042668C">
                        <w:t xml:space="preserve"> under the SFDR</w:t>
                      </w:r>
                      <w:r w:rsidRPr="0042668C">
                        <w:t>. As such, further guidance on the concept of sustainable investments rather than a strict definition should be provided.</w:t>
                      </w:r>
                    </w:p>
                    <w:p w14:paraId="4A7039EA" w14:textId="77777777" w:rsidR="00325C9E" w:rsidRDefault="00325C9E" w:rsidP="00325C9E">
                      <w:pPr>
                        <w:pStyle w:val="CEABullet-Level1"/>
                        <w:numPr>
                          <w:ilvl w:val="0"/>
                          <w:numId w:val="0"/>
                        </w:numPr>
                        <w:ind w:left="360"/>
                      </w:pPr>
                    </w:p>
                    <w:p w14:paraId="54694BF7" w14:textId="77891DA6" w:rsidR="00CF13ED" w:rsidRPr="0042668C" w:rsidRDefault="00325C9E" w:rsidP="000309A8">
                      <w:pPr>
                        <w:pStyle w:val="CEABullet-Level1"/>
                        <w:numPr>
                          <w:ilvl w:val="0"/>
                          <w:numId w:val="0"/>
                        </w:numPr>
                      </w:pPr>
                      <w:r>
                        <w:t>Regarding the</w:t>
                      </w:r>
                      <w:r w:rsidR="00CF13ED" w:rsidRPr="0042668C">
                        <w:t xml:space="preserve"> </w:t>
                      </w:r>
                      <w:r w:rsidR="000309A8">
                        <w:t>potential</w:t>
                      </w:r>
                      <w:r>
                        <w:t xml:space="preserve"> introduction of a </w:t>
                      </w:r>
                      <w:r w:rsidR="00CF13ED" w:rsidRPr="0042668C">
                        <w:rPr>
                          <w:b/>
                          <w:bCs/>
                        </w:rPr>
                        <w:t>categorisation system for financial products</w:t>
                      </w:r>
                      <w:r w:rsidR="00CF13ED" w:rsidRPr="0042668C">
                        <w:t>:</w:t>
                      </w:r>
                    </w:p>
                    <w:p w14:paraId="2680EAF4" w14:textId="77777777" w:rsidR="00325C9E" w:rsidRDefault="00325C9E" w:rsidP="00325C9E">
                      <w:pPr>
                        <w:pStyle w:val="CEABullet-Level1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  <w:p w14:paraId="5FC53BD2" w14:textId="449A2353" w:rsidR="00CF13ED" w:rsidRPr="0042668C" w:rsidRDefault="00F5629F" w:rsidP="0042668C">
                      <w:pPr>
                        <w:pStyle w:val="CEABullet-Level1"/>
                      </w:pPr>
                      <w:r>
                        <w:t>Any categorisation system</w:t>
                      </w:r>
                      <w:r w:rsidR="00CF13ED" w:rsidRPr="0042668C">
                        <w:t xml:space="preserve"> </w:t>
                      </w:r>
                      <w:r w:rsidR="00CF13ED" w:rsidRPr="00F5629F">
                        <w:rPr>
                          <w:b/>
                          <w:bCs/>
                        </w:rPr>
                        <w:t>should be added to the existing SFDR framework</w:t>
                      </w:r>
                      <w:r w:rsidR="007E2A1C">
                        <w:t>;</w:t>
                      </w:r>
                      <w:r w:rsidR="00CF13ED" w:rsidRPr="0042668C">
                        <w:t xml:space="preserve"> it should be built on the existing SFDR framework and </w:t>
                      </w:r>
                      <w:r w:rsidR="0064247B">
                        <w:t xml:space="preserve">be based on </w:t>
                      </w:r>
                      <w:r w:rsidR="009C1E97">
                        <w:t>information</w:t>
                      </w:r>
                      <w:r w:rsidR="0064247B">
                        <w:t xml:space="preserve"> </w:t>
                      </w:r>
                      <w:r w:rsidR="0007146F">
                        <w:t>provide under the SFDR</w:t>
                      </w:r>
                      <w:r w:rsidR="00CF13ED" w:rsidRPr="0042668C">
                        <w:t>.</w:t>
                      </w:r>
                      <w:r w:rsidR="008F2D2A">
                        <w:t xml:space="preserve"> (</w:t>
                      </w:r>
                      <w:r w:rsidR="00327F7C">
                        <w:t>R</w:t>
                      </w:r>
                      <w:r w:rsidR="008F2D2A">
                        <w:t xml:space="preserve">e)insurers </w:t>
                      </w:r>
                      <w:r w:rsidR="00327F7C" w:rsidRPr="00327F7C">
                        <w:t>call for simplification of the framework which will be of benefit for providers, investors and retail consumers</w:t>
                      </w:r>
                      <w:r w:rsidR="00AA5C72">
                        <w:t xml:space="preserve"> as well</w:t>
                      </w:r>
                      <w:r w:rsidR="00327F7C">
                        <w:t>.</w:t>
                      </w:r>
                    </w:p>
                    <w:p w14:paraId="667C0A36" w14:textId="0E7CBA78" w:rsidR="00CF13ED" w:rsidRPr="0042668C" w:rsidRDefault="009260FE" w:rsidP="00845FB0">
                      <w:pPr>
                        <w:pStyle w:val="CEABullet-Level1"/>
                      </w:pPr>
                      <w:r w:rsidRPr="00C91DD1">
                        <w:rPr>
                          <w:b/>
                          <w:bCs/>
                        </w:rPr>
                        <w:t>Categories should be built on</w:t>
                      </w:r>
                      <w:r w:rsidR="00C91DD1" w:rsidRPr="00C91DD1">
                        <w:rPr>
                          <w:b/>
                          <w:bCs/>
                        </w:rPr>
                        <w:t xml:space="preserve"> existing</w:t>
                      </w:r>
                      <w:r w:rsidR="00CF13ED" w:rsidRPr="00C91DD1">
                        <w:rPr>
                          <w:b/>
                          <w:bCs/>
                        </w:rPr>
                        <w:t xml:space="preserve"> arts. 8 and 9</w:t>
                      </w:r>
                      <w:r w:rsidR="00C91DD1" w:rsidRPr="00C91DD1">
                        <w:rPr>
                          <w:b/>
                          <w:bCs/>
                        </w:rPr>
                        <w:t xml:space="preserve"> products</w:t>
                      </w:r>
                      <w:r w:rsidR="00CF13ED" w:rsidRPr="0042668C">
                        <w:t xml:space="preserve">, by clarifying and adding criteria to underpin the existing concepts of environmental/social characteristics, sustainable investment, do not significant harm, etc. </w:t>
                      </w:r>
                      <w:r w:rsidR="00B84F46" w:rsidRPr="00B84F46">
                        <w:t>There is merit in mutually exclusive categories</w:t>
                      </w:r>
                      <w:r w:rsidR="00327F7C">
                        <w:t>.</w:t>
                      </w:r>
                      <w:r w:rsidR="00B84F46" w:rsidRPr="00B84F46">
                        <w:t xml:space="preserve"> </w:t>
                      </w:r>
                      <w:r w:rsidR="00327F7C">
                        <w:t>H</w:t>
                      </w:r>
                      <w:r w:rsidR="00B84F46" w:rsidRPr="00B84F46">
                        <w:t>owever</w:t>
                      </w:r>
                      <w:r w:rsidR="00AA5C72">
                        <w:t>,</w:t>
                      </w:r>
                      <w:r w:rsidR="00B84F46" w:rsidRPr="00B84F46">
                        <w:t xml:space="preserve"> it is crucial that Multi-Option Products and fund-of-funds </w:t>
                      </w:r>
                      <w:r w:rsidR="006B55E4">
                        <w:rPr>
                          <w:lang w:val="en-US"/>
                        </w:rPr>
                        <w:t>can</w:t>
                      </w:r>
                      <w:r w:rsidR="00B84F46">
                        <w:rPr>
                          <w:lang w:val="en-US"/>
                        </w:rPr>
                        <w:t xml:space="preserve"> </w:t>
                      </w:r>
                      <w:r w:rsidR="00B84F46" w:rsidRPr="00B84F46">
                        <w:t>be allocated to a category</w:t>
                      </w:r>
                      <w:r w:rsidR="00845FB0">
                        <w:rPr>
                          <w:lang w:val="en-US"/>
                        </w:rPr>
                        <w:t>,</w:t>
                      </w:r>
                      <w:r w:rsidR="00845FB0" w:rsidRPr="00845FB0">
                        <w:t xml:space="preserve"> as well as clarity is needed on what occurs when a fund may cross a number of differing categor</w:t>
                      </w:r>
                      <w:r w:rsidR="00845FB0">
                        <w:t>i</w:t>
                      </w:r>
                      <w:r w:rsidR="00845FB0" w:rsidRPr="00845FB0">
                        <w:t>es</w:t>
                      </w:r>
                      <w:r w:rsidR="00845FB0" w:rsidRPr="00845FB0">
                        <w:rPr>
                          <w:lang w:val="en-US"/>
                        </w:rPr>
                        <w:t>.</w:t>
                      </w:r>
                    </w:p>
                    <w:p w14:paraId="12A9AE9D" w14:textId="72B13F9A" w:rsidR="00CF13ED" w:rsidRDefault="0081217A" w:rsidP="0042668C">
                      <w:pPr>
                        <w:pStyle w:val="CEABullet-Level1"/>
                      </w:pPr>
                      <w:r w:rsidRPr="0081217A">
                        <w:rPr>
                          <w:b/>
                          <w:bCs/>
                        </w:rPr>
                        <w:t>Categories</w:t>
                      </w:r>
                      <w:r w:rsidR="00CF13ED" w:rsidRPr="0081217A">
                        <w:rPr>
                          <w:b/>
                          <w:bCs/>
                        </w:rPr>
                        <w:t xml:space="preserve"> should be suitable for broadly diversified portfolios </w:t>
                      </w:r>
                      <w:r w:rsidR="0073177E" w:rsidRPr="0073177E">
                        <w:rPr>
                          <w:b/>
                          <w:bCs/>
                        </w:rPr>
                        <w:t>and the diversified range of products that they cover</w:t>
                      </w:r>
                      <w:r w:rsidR="0073177E">
                        <w:rPr>
                          <w:b/>
                          <w:bCs/>
                        </w:rPr>
                        <w:t xml:space="preserve"> </w:t>
                      </w:r>
                      <w:r w:rsidR="00CF13ED" w:rsidRPr="0042668C">
                        <w:t>(e.g. life insurance products or multi-asset funds)</w:t>
                      </w:r>
                      <w:r w:rsidR="00515E59">
                        <w:t>.</w:t>
                      </w:r>
                      <w:r w:rsidR="00CF13ED" w:rsidRPr="0042668C">
                        <w:t xml:space="preserve"> </w:t>
                      </w:r>
                      <w:r w:rsidR="00515E59">
                        <w:t xml:space="preserve">Categories should </w:t>
                      </w:r>
                      <w:r w:rsidR="00CF13ED" w:rsidRPr="0042668C">
                        <w:t xml:space="preserve">guarantee that all investment instruments (e.g. government bonds) of the portfolios are covered by the metrics underpinning the system. </w:t>
                      </w:r>
                    </w:p>
                    <w:p w14:paraId="48989651" w14:textId="3F65F0DC" w:rsidR="00A137BF" w:rsidRPr="000549D7" w:rsidRDefault="00BA62D2" w:rsidP="00A137BF">
                      <w:pPr>
                        <w:pStyle w:val="CEABullet-Level1"/>
                      </w:pPr>
                      <w:r w:rsidRPr="000549D7">
                        <w:t xml:space="preserve">Any categorisation system </w:t>
                      </w:r>
                      <w:r w:rsidRPr="000549D7">
                        <w:rPr>
                          <w:b/>
                          <w:bCs/>
                        </w:rPr>
                        <w:t xml:space="preserve">should </w:t>
                      </w:r>
                      <w:r w:rsidR="00ED211B" w:rsidRPr="000549D7">
                        <w:rPr>
                          <w:b/>
                          <w:bCs/>
                        </w:rPr>
                        <w:t xml:space="preserve">better integrate </w:t>
                      </w:r>
                      <w:r w:rsidRPr="000549D7">
                        <w:rPr>
                          <w:b/>
                          <w:bCs/>
                        </w:rPr>
                        <w:t>sovereign exposures</w:t>
                      </w:r>
                      <w:r w:rsidR="000E484F" w:rsidRPr="000549D7">
                        <w:t>:</w:t>
                      </w:r>
                      <w:r w:rsidR="000E484F" w:rsidRPr="000549D7">
                        <w:rPr>
                          <w:rFonts w:cs="Times New Roman"/>
                          <w:color w:val="auto"/>
                          <w:sz w:val="18"/>
                          <w:szCs w:val="24"/>
                        </w:rPr>
                        <w:t xml:space="preserve"> </w:t>
                      </w:r>
                      <w:r w:rsidR="000E484F" w:rsidRPr="000549D7">
                        <w:t>this asset class</w:t>
                      </w:r>
                      <w:r w:rsidR="00DF1865" w:rsidRPr="000549D7">
                        <w:t xml:space="preserve"> </w:t>
                      </w:r>
                      <w:r w:rsidR="00136850" w:rsidRPr="00136850">
                        <w:t>is penalized under the existing SFDR framework</w:t>
                      </w:r>
                      <w:r w:rsidR="00CC781B">
                        <w:t>,</w:t>
                      </w:r>
                      <w:r w:rsidR="00136850" w:rsidRPr="00136850">
                        <w:t xml:space="preserve"> </w:t>
                      </w:r>
                      <w:r w:rsidR="00DF1865" w:rsidRPr="000549D7">
                        <w:t xml:space="preserve">despite being </w:t>
                      </w:r>
                      <w:r w:rsidR="00ED211B" w:rsidRPr="000549D7">
                        <w:t xml:space="preserve">often </w:t>
                      </w:r>
                      <w:r w:rsidR="00DF1865" w:rsidRPr="000549D7">
                        <w:t xml:space="preserve">used </w:t>
                      </w:r>
                      <w:r w:rsidR="008D66AF" w:rsidRPr="000549D7">
                        <w:t xml:space="preserve">by insurers </w:t>
                      </w:r>
                      <w:r w:rsidR="000E484F" w:rsidRPr="000549D7">
                        <w:t>to provide customers a diversified portfolio with good returns for their savings and pensions</w:t>
                      </w:r>
                      <w:r w:rsidR="00A07D02">
                        <w:t>,</w:t>
                      </w:r>
                      <w:r w:rsidR="00136850">
                        <w:t xml:space="preserve"> and </w:t>
                      </w:r>
                      <w:r w:rsidR="00136850" w:rsidRPr="00136850">
                        <w:t>for the asset-liability matching that is core to the insurance business model</w:t>
                      </w:r>
                      <w:r w:rsidR="008D66AF" w:rsidRPr="000549D7">
                        <w:t>.</w:t>
                      </w:r>
                    </w:p>
                    <w:p w14:paraId="1681042B" w14:textId="634508F2" w:rsidR="00CF13ED" w:rsidRPr="000549D7" w:rsidRDefault="004B224E" w:rsidP="0042668C">
                      <w:pPr>
                        <w:pStyle w:val="CEABullet-Level1"/>
                      </w:pPr>
                      <w:r w:rsidRPr="009D11F7">
                        <w:rPr>
                          <w:b/>
                          <w:bCs/>
                        </w:rPr>
                        <w:t>Insurers support the</w:t>
                      </w:r>
                      <w:r w:rsidR="00CF13ED" w:rsidRPr="009D11F7">
                        <w:rPr>
                          <w:b/>
                          <w:bCs/>
                        </w:rPr>
                        <w:t xml:space="preserve"> introduc</w:t>
                      </w:r>
                      <w:r w:rsidRPr="009D11F7">
                        <w:rPr>
                          <w:b/>
                          <w:bCs/>
                        </w:rPr>
                        <w:t xml:space="preserve">tion of </w:t>
                      </w:r>
                      <w:r w:rsidR="00CF13ED" w:rsidRPr="009D11F7">
                        <w:rPr>
                          <w:b/>
                          <w:bCs/>
                        </w:rPr>
                        <w:t>a ‘transition category’</w:t>
                      </w:r>
                      <w:r w:rsidR="00CF13ED" w:rsidRPr="009D11F7">
                        <w:t xml:space="preserve"> qualified through criteria such as: exclusions strategy; pre-defined, measurable, positive Environmental-, Social-, Governance-related outcome; credible transition plan.</w:t>
                      </w:r>
                      <w:r w:rsidR="003F2415" w:rsidRPr="009D11F7">
                        <w:t xml:space="preserve"> </w:t>
                      </w:r>
                      <w:r w:rsidR="00541C41" w:rsidRPr="000549D7">
                        <w:t>C</w:t>
                      </w:r>
                      <w:r w:rsidR="003F2415" w:rsidRPr="000549D7">
                        <w:t>limate transition targets</w:t>
                      </w:r>
                      <w:r w:rsidR="00541C41" w:rsidRPr="000549D7">
                        <w:t xml:space="preserve"> should include carbon removal and evaluation of transition pathways of sovereigns by using available frameworks like</w:t>
                      </w:r>
                      <w:r w:rsidR="00D16A24" w:rsidRPr="000549D7">
                        <w:t xml:space="preserve"> </w:t>
                      </w:r>
                      <w:r w:rsidR="003F20F4" w:rsidRPr="009D11F7">
                        <w:t>Assessing Sovereign Climate-related Opportunities and Risks (ASCOR)</w:t>
                      </w:r>
                      <w:r w:rsidR="00D16A24" w:rsidRPr="000549D7">
                        <w:t>.</w:t>
                      </w:r>
                    </w:p>
                    <w:p w14:paraId="340494BE" w14:textId="7F70FA99" w:rsidR="00CF13ED" w:rsidRDefault="00AD394D" w:rsidP="00976DB4">
                      <w:pPr>
                        <w:pStyle w:val="CEABullet-Level1"/>
                      </w:pPr>
                      <w:r w:rsidRPr="00AD394D">
                        <w:rPr>
                          <w:b/>
                          <w:bCs/>
                        </w:rPr>
                        <w:t>Categories</w:t>
                      </w:r>
                      <w:r w:rsidR="00CF13ED" w:rsidRPr="00AD394D">
                        <w:rPr>
                          <w:b/>
                          <w:bCs/>
                        </w:rPr>
                        <w:t xml:space="preserve"> should be the reference for the integration of sustainability preferences</w:t>
                      </w:r>
                      <w:r w:rsidR="00CF13ED" w:rsidRPr="0042668C">
                        <w:t>, as part of the suitability assessment under the Insurance Distribution Directive (IDD)/Markets in Financial Instruments Directive II (MiFID II).</w:t>
                      </w:r>
                      <w:r w:rsidR="009F36AF">
                        <w:t xml:space="preserve"> Furthermore, any</w:t>
                      </w:r>
                      <w:r w:rsidR="009F36AF" w:rsidRPr="008555E4">
                        <w:t xml:space="preserve"> categorisation system should be inter-operable with the mandatory advisory process under IDD/MiFID II</w:t>
                      </w:r>
                      <w:r w:rsidR="00011F23">
                        <w:t>.</w:t>
                      </w:r>
                      <w:r w:rsidR="00976DB4" w:rsidRPr="00976DB4">
                        <w:t xml:space="preserve"> Accordingly, </w:t>
                      </w:r>
                      <w:r w:rsidR="00976DB4">
                        <w:t xml:space="preserve">(re)insurers </w:t>
                      </w:r>
                      <w:r w:rsidR="00976DB4" w:rsidRPr="00976DB4">
                        <w:t>call for an alignment between IDD and SFDR requirements.</w:t>
                      </w:r>
                    </w:p>
                    <w:p w14:paraId="4116FFA0" w14:textId="4F46F006" w:rsidR="00AA5C72" w:rsidRPr="0042668C" w:rsidRDefault="00AA5C72" w:rsidP="0010247C">
                      <w:pPr>
                        <w:pStyle w:val="CEABullet-Level1"/>
                      </w:pPr>
                      <w:r w:rsidRPr="0010247C">
                        <w:t xml:space="preserve">Considering the development of </w:t>
                      </w:r>
                      <w:r w:rsidR="0010247C">
                        <w:t xml:space="preserve">categorisation systems in other jurisdictions (e.g. in the UK), </w:t>
                      </w:r>
                      <w:r w:rsidR="0010247C" w:rsidRPr="0010247C">
                        <w:rPr>
                          <w:b/>
                          <w:bCs/>
                        </w:rPr>
                        <w:t>e</w:t>
                      </w:r>
                      <w:r w:rsidRPr="0010247C">
                        <w:rPr>
                          <w:b/>
                          <w:bCs/>
                        </w:rPr>
                        <w:t xml:space="preserve">fforts should be made to </w:t>
                      </w:r>
                      <w:r w:rsidR="0010247C" w:rsidRPr="0010247C">
                        <w:rPr>
                          <w:b/>
                          <w:bCs/>
                        </w:rPr>
                        <w:t xml:space="preserve">pursue </w:t>
                      </w:r>
                      <w:r w:rsidR="004E5D18">
                        <w:rPr>
                          <w:b/>
                          <w:bCs/>
                        </w:rPr>
                        <w:t xml:space="preserve">interoperability </w:t>
                      </w:r>
                      <w:r w:rsidR="0010247C" w:rsidRPr="0010247C">
                        <w:rPr>
                          <w:b/>
                          <w:bCs/>
                        </w:rPr>
                        <w:t>across jurisdictions</w:t>
                      </w:r>
                      <w:r w:rsidR="0010247C">
                        <w:t xml:space="preserve"> and </w:t>
                      </w:r>
                      <w:r w:rsidR="00AC5707">
                        <w:t xml:space="preserve">to </w:t>
                      </w:r>
                      <w:r w:rsidRPr="0010247C">
                        <w:t xml:space="preserve">prevent a situation where </w:t>
                      </w:r>
                      <w:r w:rsidR="004E5D18">
                        <w:t xml:space="preserve">the same financial </w:t>
                      </w:r>
                      <w:r w:rsidRPr="0010247C">
                        <w:t xml:space="preserve">product is deemed sustainable in a country but not in another country.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123DE1" w14:textId="20037C39" w:rsidR="00152882" w:rsidRDefault="00152882" w:rsidP="003D0236">
      <w:pPr>
        <w:rPr>
          <w:sz w:val="17"/>
          <w:szCs w:val="17"/>
        </w:rPr>
      </w:pPr>
    </w:p>
    <w:p w14:paraId="0826D265" w14:textId="77777777" w:rsidR="001C6E89" w:rsidRDefault="001C6E89" w:rsidP="003D0236">
      <w:pPr>
        <w:rPr>
          <w:sz w:val="17"/>
          <w:szCs w:val="17"/>
        </w:rPr>
      </w:pPr>
    </w:p>
    <w:p w14:paraId="526D8F52" w14:textId="77777777" w:rsidR="001C6E89" w:rsidRDefault="001C6E89" w:rsidP="003D0236">
      <w:pPr>
        <w:rPr>
          <w:sz w:val="17"/>
          <w:szCs w:val="17"/>
        </w:rPr>
      </w:pPr>
    </w:p>
    <w:sectPr w:rsidR="001C6E89" w:rsidSect="00BF2727">
      <w:type w:val="continuous"/>
      <w:pgSz w:w="11907" w:h="16839" w:code="9"/>
      <w:pgMar w:top="2336" w:right="902" w:bottom="1077" w:left="1474" w:header="709" w:footer="23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" w:author="Insurance Europe" w:date="2024-06-27T10:20:00Z" w:initials="IE">
    <w:p w14:paraId="6E8F01E8" w14:textId="77777777" w:rsidR="004D450E" w:rsidRDefault="00530344" w:rsidP="004D450E">
      <w:pPr>
        <w:pStyle w:val="Textkomentra"/>
        <w:jc w:val="left"/>
      </w:pPr>
      <w:r>
        <w:rPr>
          <w:rStyle w:val="Odkaznakomentr"/>
        </w:rPr>
        <w:annotationRef/>
      </w:r>
      <w:r w:rsidR="004D450E">
        <w:t>Would members support introducing these sustainability categories, as suggested by the ESAs?</w:t>
      </w:r>
    </w:p>
  </w:comment>
  <w:comment w:id="4" w:author="Insurance Europe" w:date="2024-06-27T10:26:00Z" w:initials="IE">
    <w:p w14:paraId="434AC369" w14:textId="2F718F24" w:rsidR="004D450E" w:rsidRDefault="000F3591" w:rsidP="004D450E">
      <w:pPr>
        <w:pStyle w:val="Textkomentra"/>
        <w:jc w:val="left"/>
      </w:pPr>
      <w:r>
        <w:rPr>
          <w:rStyle w:val="Odkaznakomentr"/>
        </w:rPr>
        <w:annotationRef/>
      </w:r>
      <w:r w:rsidR="004D450E">
        <w:t xml:space="preserve">Would members support introducing this sustainability indicator for all financial products covering environmental/social sustainability? (according to the ESAs recommendation). If so, which is the preferred option? </w:t>
      </w:r>
    </w:p>
  </w:comment>
  <w:comment w:id="5" w:author="Insurance Europe" w:date="2024-06-27T10:28:00Z" w:initials="IE">
    <w:p w14:paraId="5C5F61C5" w14:textId="5046869F" w:rsidR="004D450E" w:rsidRDefault="004D450E" w:rsidP="004D450E">
      <w:pPr>
        <w:pStyle w:val="Textkomentra"/>
        <w:jc w:val="left"/>
      </w:pPr>
      <w:r>
        <w:rPr>
          <w:rStyle w:val="Odkaznakomentr"/>
        </w:rPr>
        <w:annotationRef/>
      </w:r>
      <w:r>
        <w:t>Do member agree with the other recommendations made by the ESAs?</w:t>
      </w:r>
    </w:p>
  </w:comment>
  <w:comment w:id="6" w:author="Insurance Europe" w:date="2024-06-27T10:43:00Z" w:initials="IE">
    <w:p w14:paraId="12AD1D34" w14:textId="77777777" w:rsidR="004B6931" w:rsidRDefault="00FF6244" w:rsidP="004B6931">
      <w:pPr>
        <w:pStyle w:val="Textkomentra"/>
        <w:jc w:val="left"/>
      </w:pPr>
      <w:r>
        <w:rPr>
          <w:rStyle w:val="Odkaznakomentr"/>
        </w:rPr>
        <w:annotationRef/>
      </w:r>
      <w:r w:rsidR="004B6931">
        <w:t>Should our position be update in light of the advice published by the ESAs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E8F01E8" w15:done="0"/>
  <w15:commentEx w15:paraId="434AC369" w15:done="0"/>
  <w15:commentEx w15:paraId="5C5F61C5" w15:done="0"/>
  <w15:commentEx w15:paraId="12AD1D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720A61" w16cex:dateUtc="2024-06-27T08:20:00Z"/>
  <w16cex:commentExtensible w16cex:durableId="13EB4C1F" w16cex:dateUtc="2024-06-27T08:26:00Z"/>
  <w16cex:commentExtensible w16cex:durableId="339C9E28" w16cex:dateUtc="2024-06-27T08:28:00Z"/>
  <w16cex:commentExtensible w16cex:durableId="7F9F5EB0" w16cex:dateUtc="2024-06-27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E8F01E8" w16cid:durableId="6F720A61"/>
  <w16cid:commentId w16cid:paraId="434AC369" w16cid:durableId="13EB4C1F"/>
  <w16cid:commentId w16cid:paraId="5C5F61C5" w16cid:durableId="339C9E28"/>
  <w16cid:commentId w16cid:paraId="12AD1D34" w16cid:durableId="7F9F5E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9087D" w14:textId="77777777" w:rsidR="00945647" w:rsidRDefault="00945647">
      <w:pPr>
        <w:spacing w:line="240" w:lineRule="auto"/>
      </w:pPr>
      <w:r>
        <w:separator/>
      </w:r>
    </w:p>
  </w:endnote>
  <w:endnote w:type="continuationSeparator" w:id="0">
    <w:p w14:paraId="55371131" w14:textId="77777777" w:rsidR="00945647" w:rsidRDefault="00945647">
      <w:pPr>
        <w:spacing w:line="240" w:lineRule="auto"/>
      </w:pPr>
      <w:r>
        <w:continuationSeparator/>
      </w:r>
    </w:p>
  </w:endnote>
  <w:endnote w:type="continuationNotice" w:id="1">
    <w:p w14:paraId="32256D3F" w14:textId="77777777" w:rsidR="00945647" w:rsidRDefault="009456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A777" w14:textId="77777777" w:rsidR="00FB1234" w:rsidRDefault="00152882" w:rsidP="00BF272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4086F33" w14:textId="77777777" w:rsidR="00FB1234" w:rsidRDefault="00FB1234" w:rsidP="00BF272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1342C" w14:textId="77777777" w:rsidR="00FB1234" w:rsidRPr="007748EE" w:rsidRDefault="00152882" w:rsidP="00BF2727">
    <w:pPr>
      <w:pStyle w:val="Pta"/>
      <w:framePr w:wrap="around" w:vAnchor="page" w:hAnchor="margin" w:xAlign="right" w:y="16161"/>
      <w:rPr>
        <w:rStyle w:val="slostrany"/>
        <w:color w:val="002957"/>
        <w:sz w:val="14"/>
        <w:szCs w:val="20"/>
      </w:rPr>
    </w:pPr>
    <w:r w:rsidRPr="007748EE">
      <w:rPr>
        <w:rStyle w:val="slostrany"/>
        <w:color w:val="002957"/>
        <w:sz w:val="14"/>
        <w:szCs w:val="14"/>
      </w:rPr>
      <w:fldChar w:fldCharType="begin"/>
    </w:r>
    <w:r w:rsidRPr="007748EE">
      <w:rPr>
        <w:rStyle w:val="slostrany"/>
        <w:color w:val="002957"/>
        <w:sz w:val="14"/>
        <w:szCs w:val="14"/>
      </w:rPr>
      <w:instrText xml:space="preserve"> PAGE   \* MERGEFORMAT </w:instrText>
    </w:r>
    <w:r w:rsidRPr="007748EE">
      <w:rPr>
        <w:rStyle w:val="slostrany"/>
        <w:color w:val="002957"/>
        <w:sz w:val="14"/>
        <w:szCs w:val="14"/>
      </w:rPr>
      <w:fldChar w:fldCharType="separate"/>
    </w:r>
    <w:r w:rsidR="009F36CD" w:rsidRPr="007748EE">
      <w:rPr>
        <w:rStyle w:val="slostrany"/>
        <w:noProof/>
        <w:color w:val="002957"/>
        <w:sz w:val="14"/>
        <w:szCs w:val="14"/>
      </w:rPr>
      <w:t>2</w:t>
    </w:r>
    <w:r w:rsidRPr="007748EE">
      <w:rPr>
        <w:rStyle w:val="slostrany"/>
        <w:color w:val="002957"/>
        <w:sz w:val="14"/>
        <w:szCs w:val="14"/>
      </w:rPr>
      <w:fldChar w:fldCharType="end"/>
    </w:r>
  </w:p>
  <w:p w14:paraId="179B6722" w14:textId="77777777" w:rsidR="00FB1234" w:rsidRPr="0085650F" w:rsidRDefault="00FB1234" w:rsidP="00BF2727">
    <w:pPr>
      <w:tabs>
        <w:tab w:val="right" w:pos="10260"/>
      </w:tabs>
      <w:autoSpaceDE w:val="0"/>
      <w:autoSpaceDN w:val="0"/>
      <w:adjustRightInd w:val="0"/>
      <w:ind w:right="360"/>
      <w:textAlignment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253"/>
    </w:tblGrid>
    <w:tr w:rsidR="0012469D" w14:paraId="3BDA0906" w14:textId="77777777" w:rsidTr="007748EE">
      <w:tc>
        <w:tcPr>
          <w:tcW w:w="5387" w:type="dxa"/>
        </w:tcPr>
        <w:p w14:paraId="223AB0CA" w14:textId="77777777" w:rsid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 w:rsidRPr="00A4463C">
            <w:rPr>
              <w:b w:val="0"/>
              <w:color w:val="002957"/>
              <w:sz w:val="14"/>
              <w:szCs w:val="14"/>
              <w:lang w:val="fr-BE"/>
            </w:rPr>
            <w:t>Insurance Europe aisbl</w:t>
          </w:r>
        </w:p>
        <w:p w14:paraId="409D0242" w14:textId="77777777" w:rsidR="0012469D" w:rsidRPr="00A4463C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fr-BE"/>
            </w:rPr>
          </w:pP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Rue </w:t>
          </w:r>
          <w:r>
            <w:rPr>
              <w:b w:val="0"/>
              <w:color w:val="002957"/>
              <w:sz w:val="14"/>
              <w:szCs w:val="14"/>
              <w:lang w:val="fr-BE"/>
            </w:rPr>
            <w:t>du Champ de Mars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 </w:t>
          </w:r>
          <w:r>
            <w:rPr>
              <w:b w:val="0"/>
              <w:color w:val="002957"/>
              <w:sz w:val="14"/>
              <w:szCs w:val="14"/>
              <w:lang w:val="fr-BE"/>
            </w:rPr>
            <w:t>23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>, B-10</w:t>
          </w:r>
          <w:r>
            <w:rPr>
              <w:b w:val="0"/>
              <w:color w:val="002957"/>
              <w:sz w:val="14"/>
              <w:szCs w:val="14"/>
              <w:lang w:val="fr-BE"/>
            </w:rPr>
            <w:t>5</w:t>
          </w:r>
          <w:r w:rsidRPr="00A4463C">
            <w:rPr>
              <w:b w:val="0"/>
              <w:color w:val="002957"/>
              <w:sz w:val="14"/>
              <w:szCs w:val="14"/>
              <w:lang w:val="fr-BE"/>
            </w:rPr>
            <w:t xml:space="preserve">0 Brussels </w:t>
          </w:r>
        </w:p>
        <w:p w14:paraId="626C85C0" w14:textId="77777777" w:rsid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 w:rsidRPr="0085650F">
            <w:rPr>
              <w:b w:val="0"/>
              <w:color w:val="002957"/>
              <w:sz w:val="14"/>
              <w:szCs w:val="14"/>
              <w:lang w:val="pt-PT"/>
            </w:rPr>
            <w:t>Tel:</w:t>
          </w:r>
          <w:r>
            <w:rPr>
              <w:b w:val="0"/>
              <w:color w:val="002957"/>
              <w:sz w:val="14"/>
              <w:szCs w:val="14"/>
              <w:lang w:val="pt-PT"/>
            </w:rPr>
            <w:t xml:space="preserve"> +32 2 894 30 00</w:t>
          </w:r>
        </w:p>
        <w:p w14:paraId="069F1905" w14:textId="19503539" w:rsidR="0012469D" w:rsidRPr="0012469D" w:rsidRDefault="0012469D" w:rsidP="007748EE">
          <w:pPr>
            <w:pStyle w:val="CEAFooterauthorinfo"/>
            <w:jc w:val="left"/>
            <w:rPr>
              <w:b w:val="0"/>
              <w:color w:val="002957"/>
              <w:sz w:val="14"/>
              <w:szCs w:val="14"/>
              <w:lang w:val="pt-PT"/>
            </w:rPr>
          </w:pPr>
          <w:r>
            <w:rPr>
              <w:b w:val="0"/>
              <w:color w:val="002957"/>
              <w:sz w:val="14"/>
              <w:szCs w:val="14"/>
              <w:lang w:val="pt-PT"/>
            </w:rPr>
            <w:t xml:space="preserve">E-mail : </w:t>
          </w:r>
          <w:hyperlink r:id="rId1" w:history="1">
            <w:r w:rsidR="007748EE" w:rsidRPr="009F19B1">
              <w:rPr>
                <w:rStyle w:val="Hypertextovprepojenie"/>
                <w:b w:val="0"/>
                <w:sz w:val="14"/>
                <w:szCs w:val="14"/>
                <w:lang w:val="pt-PT"/>
              </w:rPr>
              <w:t>info@insuranceeurope.eu</w:t>
            </w:r>
          </w:hyperlink>
          <w:r w:rsidR="007748EE">
            <w:rPr>
              <w:b w:val="0"/>
              <w:color w:val="002957"/>
              <w:sz w:val="14"/>
              <w:szCs w:val="14"/>
              <w:lang w:val="pt-PT"/>
            </w:rPr>
            <w:br/>
          </w:r>
          <w:r w:rsidR="007748EE" w:rsidRPr="007748EE">
            <w:rPr>
              <w:b w:val="0"/>
              <w:color w:val="82C55B"/>
              <w:sz w:val="14"/>
              <w:szCs w:val="14"/>
              <w:lang w:val="pt-PT"/>
            </w:rPr>
            <w:t>www.insuranceeurope.eu</w:t>
          </w:r>
        </w:p>
      </w:tc>
      <w:tc>
        <w:tcPr>
          <w:tcW w:w="4253" w:type="dxa"/>
        </w:tcPr>
        <w:p w14:paraId="208F7DCE" w14:textId="3A444E5B" w:rsidR="0012469D" w:rsidRPr="002F12C5" w:rsidRDefault="002F12C5" w:rsidP="00BD3110">
          <w:pPr>
            <w:pStyle w:val="CEAFooterauthorinfo"/>
            <w:jc w:val="left"/>
            <w:rPr>
              <w:b w:val="0"/>
              <w:color w:val="002957"/>
              <w:sz w:val="14"/>
              <w:szCs w:val="14"/>
            </w:rPr>
          </w:pPr>
          <w:r w:rsidRPr="002F12C5">
            <w:rPr>
              <w:b w:val="0"/>
              <w:color w:val="002957"/>
              <w:sz w:val="14"/>
              <w:szCs w:val="14"/>
            </w:rPr>
            <w:t>© Insurance Europe. Confidential, internal document. Not for distribution, all rights reserved.</w:t>
          </w:r>
        </w:p>
      </w:tc>
    </w:tr>
  </w:tbl>
  <w:p w14:paraId="61297F9E" w14:textId="77777777" w:rsidR="00FB1234" w:rsidRPr="00B739C3" w:rsidRDefault="00FB1234">
    <w:pPr>
      <w:pStyle w:val="Pta"/>
      <w:rPr>
        <w:color w:val="002957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6AE6A" w14:textId="77777777" w:rsidR="00945647" w:rsidRDefault="00945647">
      <w:pPr>
        <w:spacing w:line="240" w:lineRule="auto"/>
      </w:pPr>
      <w:r>
        <w:separator/>
      </w:r>
    </w:p>
  </w:footnote>
  <w:footnote w:type="continuationSeparator" w:id="0">
    <w:p w14:paraId="5A5D1E5D" w14:textId="77777777" w:rsidR="00945647" w:rsidRDefault="00945647">
      <w:pPr>
        <w:spacing w:line="240" w:lineRule="auto"/>
      </w:pPr>
      <w:r>
        <w:continuationSeparator/>
      </w:r>
    </w:p>
  </w:footnote>
  <w:footnote w:type="continuationNotice" w:id="1">
    <w:p w14:paraId="010409CB" w14:textId="77777777" w:rsidR="00945647" w:rsidRDefault="009456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9C6E6" w14:textId="4A5157A1" w:rsidR="00E73F63" w:rsidRDefault="00000000">
    <w:pPr>
      <w:pStyle w:val="Hlavika"/>
    </w:pPr>
    <w:r>
      <w:rPr>
        <w:noProof/>
      </w:rPr>
      <w:pict w14:anchorId="5E99B8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4461032" o:spid="_x0000_s1026" type="#_x0000_t136" style="position:absolute;left:0;text-align:left;margin-left:0;margin-top:0;width:506.6pt;height:168.8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157A" w14:textId="6A5383AC" w:rsidR="00FB1234" w:rsidRPr="00323E1C" w:rsidRDefault="00000000" w:rsidP="00BF2727">
    <w:pPr>
      <w:pStyle w:val="Noparagraphstyle"/>
      <w:jc w:val="right"/>
      <w:rPr>
        <w:rFonts w:ascii="Verdana" w:hAnsi="Verdana"/>
        <w:sz w:val="18"/>
        <w:szCs w:val="18"/>
      </w:rPr>
    </w:pPr>
    <w:r>
      <w:rPr>
        <w:noProof/>
      </w:rPr>
      <w:pict w14:anchorId="0BD7A1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4461033" o:spid="_x0000_s1027" type="#_x0000_t136" style="position:absolute;left:0;text-align:left;margin-left:0;margin-top:0;width:506.6pt;height:168.8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  <w:r w:rsidR="00152882" w:rsidRPr="000D41DA">
      <w:rPr>
        <w:rFonts w:ascii="Frutiger LT Com 45 Light" w:hAnsi="Frutiger LT Com 45 Light"/>
        <w:noProof/>
        <w:lang w:val="nl-BE" w:eastAsia="nl-BE"/>
      </w:rPr>
      <w:drawing>
        <wp:anchor distT="0" distB="0" distL="114300" distR="114300" simplePos="0" relativeHeight="251658241" behindDoc="0" locked="0" layoutInCell="1" allowOverlap="1" wp14:anchorId="3E4E9827" wp14:editId="682FE296">
          <wp:simplePos x="0" y="0"/>
          <wp:positionH relativeFrom="page">
            <wp:posOffset>528955</wp:posOffset>
          </wp:positionH>
          <wp:positionV relativeFrom="page">
            <wp:posOffset>521970</wp:posOffset>
          </wp:positionV>
          <wp:extent cx="1457325" cy="895350"/>
          <wp:effectExtent l="19050" t="0" r="0" b="0"/>
          <wp:wrapSquare wrapText="bothSides"/>
          <wp:docPr id="1965524459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B4D2BF" w14:textId="77777777" w:rsidR="00FB1234" w:rsidRPr="0085650F" w:rsidRDefault="00152882" w:rsidP="00BF2727">
    <w:pPr>
      <w:pStyle w:val="Noparagraphstyle"/>
      <w:jc w:val="right"/>
      <w:rPr>
        <w:rFonts w:ascii="Verdana" w:hAnsi="Verdana" w:cs="Arial"/>
        <w:i/>
        <w:iCs/>
        <w:color w:val="034EA2"/>
      </w:rPr>
    </w:pPr>
    <w:r w:rsidRPr="00323E1C">
      <w:rPr>
        <w:rFonts w:ascii="Verdana" w:hAnsi="Verdana"/>
      </w:rPr>
      <w:tab/>
    </w:r>
  </w:p>
  <w:p w14:paraId="6A05B2BD" w14:textId="77777777" w:rsidR="00FB1234" w:rsidRPr="00491802" w:rsidRDefault="00FB1234" w:rsidP="00BF2727">
    <w:pPr>
      <w:pStyle w:val="Hlavika"/>
      <w:tabs>
        <w:tab w:val="clear" w:pos="4320"/>
        <w:tab w:val="clear" w:pos="8640"/>
        <w:tab w:val="center" w:pos="0"/>
        <w:tab w:val="right" w:pos="104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E4349" w14:textId="664E44E5" w:rsidR="00FB1234" w:rsidRPr="00323E1C" w:rsidRDefault="00000000" w:rsidP="00BF2727">
    <w:pPr>
      <w:pStyle w:val="Noparagraphstyle"/>
      <w:jc w:val="right"/>
      <w:rPr>
        <w:rFonts w:ascii="Verdana" w:hAnsi="Verdana"/>
        <w:sz w:val="18"/>
        <w:szCs w:val="18"/>
      </w:rPr>
    </w:pPr>
    <w:r>
      <w:rPr>
        <w:noProof/>
      </w:rPr>
      <w:pict w14:anchorId="2025D4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4461031" o:spid="_x0000_s1025" type="#_x0000_t136" style="position:absolute;left:0;text-align:left;margin-left:0;margin-top:0;width:506.6pt;height:168.8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  <w:r w:rsidR="00152882" w:rsidRPr="000D41DA">
      <w:rPr>
        <w:rFonts w:ascii="Frutiger LT Com 45 Light" w:hAnsi="Frutiger LT Com 45 Light"/>
        <w:noProof/>
        <w:sz w:val="18"/>
        <w:szCs w:val="18"/>
        <w:lang w:val="nl-BE" w:eastAsia="nl-BE"/>
      </w:rPr>
      <w:drawing>
        <wp:anchor distT="0" distB="0" distL="114300" distR="114300" simplePos="0" relativeHeight="251658240" behindDoc="0" locked="0" layoutInCell="1" allowOverlap="1" wp14:anchorId="10148D34" wp14:editId="7F79CF44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341808294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081F8F" w14:textId="77777777" w:rsidR="00FB1234" w:rsidRDefault="00FB1234">
    <w:pPr>
      <w:pStyle w:val="Hlavika"/>
    </w:pPr>
  </w:p>
  <w:p w14:paraId="4CAF9B32" w14:textId="77777777" w:rsidR="00FB1234" w:rsidRDefault="00FB1234">
    <w:pPr>
      <w:pStyle w:val="Hlavika"/>
    </w:pPr>
  </w:p>
  <w:p w14:paraId="07E1BCBC" w14:textId="77777777" w:rsidR="00FB1234" w:rsidRDefault="00FB1234">
    <w:pPr>
      <w:pStyle w:val="Hlavika"/>
    </w:pPr>
  </w:p>
  <w:p w14:paraId="28CF5DF4" w14:textId="6A7F323D" w:rsidR="0017261F" w:rsidRDefault="00152882" w:rsidP="0017261F">
    <w:pPr>
      <w:jc w:val="right"/>
      <w:rPr>
        <w:b/>
        <w:i/>
        <w:color w:val="002957"/>
        <w:sz w:val="32"/>
        <w:szCs w:val="32"/>
      </w:rPr>
    </w:pPr>
    <w:r>
      <w:tab/>
    </w:r>
    <w: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240F50">
      <w:rPr>
        <w:rFonts w:cs="Arial"/>
        <w:b/>
        <w:color w:val="002957"/>
        <w:sz w:val="40"/>
        <w:szCs w:val="40"/>
      </w:rPr>
      <w:tab/>
    </w:r>
    <w:r w:rsidRPr="0085650F">
      <w:rPr>
        <w:rFonts w:cs="Arial"/>
        <w:b/>
        <w:sz w:val="40"/>
        <w:szCs w:val="40"/>
      </w:rPr>
      <w:tab/>
    </w:r>
    <w:bookmarkStart w:id="0" w:name="Draft1st"/>
    <w:bookmarkEnd w:id="0"/>
  </w:p>
  <w:p w14:paraId="3654217F" w14:textId="77777777" w:rsidR="00FB1234" w:rsidRPr="00D74967" w:rsidRDefault="00FB1234" w:rsidP="00BF2727">
    <w:pPr>
      <w:pStyle w:val="CEADraft"/>
      <w:rPr>
        <w:color w:val="002957"/>
        <w:lang w:val="en-US"/>
      </w:rPr>
    </w:pPr>
  </w:p>
  <w:p w14:paraId="5495E665" w14:textId="77777777" w:rsidR="00FB1234" w:rsidRPr="00D74967" w:rsidRDefault="00FB1234" w:rsidP="00BF2727">
    <w:pPr>
      <w:rPr>
        <w:color w:val="002957"/>
        <w:lang w:val="en-US"/>
      </w:rPr>
    </w:pPr>
  </w:p>
  <w:bookmarkStart w:id="1" w:name="Document_title_"/>
  <w:p w14:paraId="48E02457" w14:textId="502DBFF2" w:rsidR="00FB1234" w:rsidRPr="00057DC3" w:rsidRDefault="00000000" w:rsidP="00057DC3">
    <w:pPr>
      <w:pStyle w:val="CEAPositionPaperTitle"/>
      <w:ind w:left="0"/>
      <w:rPr>
        <w:b w:val="0"/>
        <w:color w:val="002957"/>
        <w:sz w:val="28"/>
        <w:szCs w:val="28"/>
        <w:lang w:val="en-US"/>
      </w:rPr>
    </w:pPr>
    <w:sdt>
      <w:sdtPr>
        <w:rPr>
          <w:b w:val="0"/>
          <w:color w:val="002957"/>
          <w:sz w:val="28"/>
          <w:szCs w:val="28"/>
          <w:lang w:val="en-US"/>
        </w:rPr>
        <w:id w:val="-1374918777"/>
        <w:placeholder>
          <w:docPart w:val="DefaultPlaceholder_-185401344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E6511">
          <w:rPr>
            <w:b w:val="0"/>
            <w:color w:val="002957"/>
            <w:sz w:val="28"/>
            <w:szCs w:val="28"/>
            <w:lang w:val="en-US"/>
          </w:rPr>
          <w:t xml:space="preserve">(Re)insurers' views on the potential SFDR level 1 review and the introduction of a </w:t>
        </w:r>
        <w:proofErr w:type="spellStart"/>
        <w:r w:rsidR="00AE6511">
          <w:rPr>
            <w:b w:val="0"/>
            <w:color w:val="002957"/>
            <w:sz w:val="28"/>
            <w:szCs w:val="28"/>
            <w:lang w:val="en-US"/>
          </w:rPr>
          <w:t>categorisation</w:t>
        </w:r>
        <w:proofErr w:type="spellEnd"/>
        <w:r w:rsidR="00AE6511">
          <w:rPr>
            <w:b w:val="0"/>
            <w:color w:val="002957"/>
            <w:sz w:val="28"/>
            <w:szCs w:val="28"/>
            <w:lang w:val="en-US"/>
          </w:rPr>
          <w:t xml:space="preserve"> system</w:t>
        </w:r>
      </w:sdtContent>
    </w:sdt>
    <w:bookmarkEnd w:id="1"/>
  </w:p>
  <w:p w14:paraId="59DEEA8E" w14:textId="77777777" w:rsidR="00FB1234" w:rsidRPr="00D74967" w:rsidRDefault="00152882" w:rsidP="00BF2727">
    <w:pPr>
      <w:rPr>
        <w:lang w:val="en-US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F115990" wp14:editId="32DD3F38">
              <wp:simplePos x="0" y="0"/>
              <wp:positionH relativeFrom="margin">
                <wp:align>left</wp:align>
              </wp:positionH>
              <wp:positionV relativeFrom="paragraph">
                <wp:posOffset>88265</wp:posOffset>
              </wp:positionV>
              <wp:extent cx="6124575" cy="2051685"/>
              <wp:effectExtent l="0" t="0" r="28575" b="2476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4575" cy="20516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6350">
                        <a:solidFill>
                          <a:srgbClr val="82C5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6C763F62" id="AutoShape 18" o:spid="_x0000_s1026" style="position:absolute;margin-left:0;margin-top:6.95pt;width:482.25pt;height:161.5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" filled="f" strokecolor="#82c55b" strokeweight=".5pt">
              <w10:wrap anchorx="margin"/>
              <w10:anchorlock/>
            </v:roundrect>
          </w:pict>
        </mc:Fallback>
      </mc:AlternateContent>
    </w:r>
  </w:p>
  <w:tbl>
    <w:tblPr>
      <w:tblW w:w="9639" w:type="dxa"/>
      <w:tblBorders>
        <w:insideH w:val="single" w:sz="4" w:space="0" w:color="82C55B"/>
      </w:tblBorders>
      <w:tblLayout w:type="fixed"/>
      <w:tblLook w:val="0000" w:firstRow="0" w:lastRow="0" w:firstColumn="0" w:lastColumn="0" w:noHBand="0" w:noVBand="0"/>
    </w:tblPr>
    <w:tblGrid>
      <w:gridCol w:w="1536"/>
      <w:gridCol w:w="3557"/>
      <w:gridCol w:w="1570"/>
      <w:gridCol w:w="2976"/>
    </w:tblGrid>
    <w:tr w:rsidR="00BF2727" w:rsidRPr="000D41DA" w14:paraId="4B45CDA3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57D93854" w14:textId="77777777" w:rsidR="00FB1234" w:rsidRPr="0085650F" w:rsidRDefault="00152882" w:rsidP="00BF272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 xml:space="preserve">Our reference: </w:t>
          </w:r>
        </w:p>
      </w:tc>
      <w:tc>
        <w:tcPr>
          <w:tcW w:w="3557" w:type="dxa"/>
          <w:shd w:val="clear" w:color="auto" w:fill="auto"/>
          <w:vAlign w:val="center"/>
        </w:tcPr>
        <w:sdt>
          <w:sdtPr>
            <w:rPr>
              <w:color w:val="002957"/>
              <w:sz w:val="17"/>
              <w:szCs w:val="17"/>
            </w:rPr>
            <w:id w:val="-2128765903"/>
            <w:placeholder>
              <w:docPart w:val="DefaultPlaceholder_-1854013440"/>
            </w:placeholder>
            <w15:dataBinding w:prefixMappings="xmlns:ns0='http://schemas.microsoft.com/office/2006/metadata/properties' xmlns:ns1='http://www.w3.org/2001/XMLSchema-instance' xmlns:ns2='http://schemas.microsoft.com/office/infopath/2007/PartnerControls' xmlns:ns3='ba225275-dfdd-4507-9cb6-b247f9a8bd33' xmlns:ns4='bf2322bd-6ea8-47f2-a340-10b5092f2000' " w:xpath="/ns0:properties[1]/documentManagement[1]/*[local-name() = 'Reference'][1]" w:storeItemID="{B35485A1-11AA-442D-8577-727460E39C5A}"/>
          </w:sdtPr>
          <w:sdtContent>
            <w:p w14:paraId="4352DA30" w14:textId="35A7FF57" w:rsidR="00FB1234" w:rsidRPr="00196937" w:rsidRDefault="001348B6" w:rsidP="0043123C">
              <w:pPr>
                <w:jc w:val="left"/>
                <w:rPr>
                  <w:color w:val="002957"/>
                  <w:sz w:val="17"/>
                  <w:szCs w:val="17"/>
                </w:rPr>
              </w:pPr>
              <w:r>
                <w:rPr>
                  <w:color w:val="002957"/>
                  <w:sz w:val="17"/>
                  <w:szCs w:val="17"/>
                </w:rPr>
                <w:t>ECO-CRISF-24-104</w:t>
              </w:r>
            </w:p>
          </w:sdtContent>
        </w:sdt>
      </w:tc>
      <w:tc>
        <w:tcPr>
          <w:tcW w:w="1570" w:type="dxa"/>
          <w:shd w:val="clear" w:color="auto" w:fill="auto"/>
          <w:vAlign w:val="center"/>
        </w:tcPr>
        <w:p w14:paraId="5C893DF3" w14:textId="77777777" w:rsidR="00FB1234" w:rsidRPr="0085650F" w:rsidRDefault="00152882" w:rsidP="00BF272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Date:</w:t>
          </w:r>
        </w:p>
      </w:tc>
      <w:tc>
        <w:tcPr>
          <w:tcW w:w="2976" w:type="dxa"/>
          <w:shd w:val="clear" w:color="auto" w:fill="auto"/>
          <w:vAlign w:val="center"/>
        </w:tcPr>
        <w:p w14:paraId="181A7D4E" w14:textId="7F8C977F" w:rsidR="00FB1234" w:rsidRPr="00585988" w:rsidRDefault="000124D9" w:rsidP="00BF2727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2</w:t>
          </w:r>
          <w:r w:rsidR="00547F6B">
            <w:rPr>
              <w:color w:val="002957"/>
              <w:sz w:val="17"/>
              <w:szCs w:val="17"/>
            </w:rPr>
            <w:t>7</w:t>
          </w:r>
          <w:r w:rsidR="00E704D0">
            <w:rPr>
              <w:color w:val="002957"/>
              <w:sz w:val="17"/>
              <w:szCs w:val="17"/>
            </w:rPr>
            <w:t>-0</w:t>
          </w:r>
          <w:r w:rsidR="00E73909">
            <w:rPr>
              <w:color w:val="002957"/>
              <w:sz w:val="17"/>
              <w:szCs w:val="17"/>
            </w:rPr>
            <w:t>6</w:t>
          </w:r>
          <w:r w:rsidR="00E704D0">
            <w:rPr>
              <w:color w:val="002957"/>
              <w:sz w:val="17"/>
              <w:szCs w:val="17"/>
            </w:rPr>
            <w:t>-2024</w:t>
          </w:r>
        </w:p>
      </w:tc>
    </w:tr>
    <w:tr w:rsidR="00417689" w:rsidRPr="000D41DA" w14:paraId="71283189" w14:textId="77777777" w:rsidTr="00BF2727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4FEEB7D0" w14:textId="77777777" w:rsidR="00417689" w:rsidRPr="0085650F" w:rsidRDefault="00417689" w:rsidP="00BF272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Referring to:</w:t>
          </w:r>
        </w:p>
      </w:tc>
      <w:tc>
        <w:tcPr>
          <w:tcW w:w="8103" w:type="dxa"/>
          <w:gridSpan w:val="3"/>
          <w:shd w:val="clear" w:color="auto" w:fill="auto"/>
          <w:vAlign w:val="center"/>
        </w:tcPr>
        <w:p w14:paraId="74A17591" w14:textId="0E4ED054" w:rsidR="00417689" w:rsidRPr="00585988" w:rsidRDefault="00000000" w:rsidP="00BF2727">
          <w:pPr>
            <w:jc w:val="left"/>
            <w:rPr>
              <w:color w:val="002957"/>
              <w:sz w:val="17"/>
              <w:szCs w:val="17"/>
            </w:rPr>
          </w:pPr>
          <w:hyperlink r:id="rId2" w:history="1">
            <w:r w:rsidR="00417689" w:rsidRPr="00417689">
              <w:rPr>
                <w:rStyle w:val="Hypertextovprepojenie"/>
                <w:sz w:val="17"/>
                <w:szCs w:val="17"/>
              </w:rPr>
              <w:t>EC sustainability-related disclosure in the financial services sector</w:t>
            </w:r>
          </w:hyperlink>
        </w:p>
      </w:tc>
    </w:tr>
    <w:tr w:rsidR="00BF2727" w:rsidRPr="000D41DA" w14:paraId="07D47AE0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4A965280" w14:textId="77777777" w:rsidR="00FB1234" w:rsidRPr="0085650F" w:rsidRDefault="00152882" w:rsidP="00BF272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Contact person:</w:t>
          </w:r>
        </w:p>
      </w:tc>
      <w:tc>
        <w:tcPr>
          <w:tcW w:w="3557" w:type="dxa"/>
          <w:shd w:val="clear" w:color="auto" w:fill="auto"/>
          <w:vAlign w:val="center"/>
        </w:tcPr>
        <w:p w14:paraId="03E7DCB9" w14:textId="79C241D3" w:rsidR="00FB1234" w:rsidRPr="00585988" w:rsidRDefault="00E704D0" w:rsidP="00BF2727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Luca Motta</w:t>
          </w:r>
          <w:r w:rsidR="00DE0A2F" w:rsidRPr="00DE0A2F">
            <w:rPr>
              <w:color w:val="002957"/>
              <w:sz w:val="17"/>
              <w:szCs w:val="17"/>
            </w:rPr>
            <w:t xml:space="preserve"> </w:t>
          </w:r>
        </w:p>
      </w:tc>
      <w:tc>
        <w:tcPr>
          <w:tcW w:w="1570" w:type="dxa"/>
          <w:shd w:val="clear" w:color="auto" w:fill="auto"/>
          <w:vAlign w:val="center"/>
        </w:tcPr>
        <w:p w14:paraId="710B5A54" w14:textId="77777777" w:rsidR="00FB1234" w:rsidRPr="0085650F" w:rsidRDefault="00152882" w:rsidP="00BF272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>E-mail:</w:t>
          </w:r>
        </w:p>
      </w:tc>
      <w:tc>
        <w:tcPr>
          <w:tcW w:w="2976" w:type="dxa"/>
          <w:shd w:val="clear" w:color="auto" w:fill="auto"/>
          <w:vAlign w:val="center"/>
        </w:tcPr>
        <w:p w14:paraId="5B954066" w14:textId="18616ADC" w:rsidR="00FB1234" w:rsidRPr="00585988" w:rsidRDefault="00E704D0" w:rsidP="00BF2727">
          <w:pPr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motta@insuranceeurope.eu</w:t>
          </w:r>
        </w:p>
      </w:tc>
    </w:tr>
    <w:tr w:rsidR="00BF2727" w:rsidRPr="000D41DA" w14:paraId="605BBAF5" w14:textId="77777777" w:rsidTr="00240F50">
      <w:trPr>
        <w:cantSplit/>
        <w:trHeight w:hRule="exact" w:val="584"/>
      </w:trPr>
      <w:tc>
        <w:tcPr>
          <w:tcW w:w="1536" w:type="dxa"/>
          <w:shd w:val="clear" w:color="auto" w:fill="auto"/>
          <w:vAlign w:val="center"/>
        </w:tcPr>
        <w:p w14:paraId="7D7A937A" w14:textId="77777777" w:rsidR="00FB1234" w:rsidRPr="0085650F" w:rsidRDefault="00152882" w:rsidP="00BF272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85650F">
            <w:rPr>
              <w:b w:val="0"/>
              <w:color w:val="002957"/>
              <w:sz w:val="17"/>
              <w:szCs w:val="17"/>
            </w:rPr>
            <w:t xml:space="preserve">Pages: </w:t>
          </w:r>
        </w:p>
      </w:tc>
      <w:tc>
        <w:tcPr>
          <w:tcW w:w="3557" w:type="dxa"/>
          <w:shd w:val="clear" w:color="auto" w:fill="auto"/>
          <w:vAlign w:val="center"/>
        </w:tcPr>
        <w:p w14:paraId="6278A0AF" w14:textId="77777777" w:rsidR="00FB1234" w:rsidRPr="00585988" w:rsidRDefault="00152882" w:rsidP="00BF2727">
          <w:pPr>
            <w:rPr>
              <w:color w:val="002957"/>
              <w:spacing w:val="-4"/>
              <w:w w:val="90"/>
              <w:sz w:val="17"/>
              <w:szCs w:val="17"/>
            </w:rPr>
          </w:pPr>
          <w:r w:rsidRPr="00585988">
            <w:rPr>
              <w:rStyle w:val="slostrany"/>
              <w:color w:val="002957"/>
              <w:sz w:val="17"/>
              <w:szCs w:val="17"/>
            </w:rPr>
            <w:fldChar w:fldCharType="begin"/>
          </w:r>
          <w:r w:rsidRPr="00585988">
            <w:rPr>
              <w:rStyle w:val="slostrany"/>
              <w:color w:val="002957"/>
              <w:sz w:val="17"/>
              <w:szCs w:val="17"/>
            </w:rPr>
            <w:instrText xml:space="preserve"> NUMPAGES </w:instrText>
          </w:r>
          <w:r w:rsidRPr="00585988">
            <w:rPr>
              <w:rStyle w:val="slostrany"/>
              <w:color w:val="002957"/>
              <w:sz w:val="17"/>
              <w:szCs w:val="17"/>
            </w:rPr>
            <w:fldChar w:fldCharType="separate"/>
          </w:r>
          <w:r w:rsidR="009F36CD">
            <w:rPr>
              <w:rStyle w:val="slostrany"/>
              <w:noProof/>
              <w:color w:val="002957"/>
              <w:sz w:val="17"/>
              <w:szCs w:val="17"/>
            </w:rPr>
            <w:t>2</w:t>
          </w:r>
          <w:r w:rsidRPr="00585988">
            <w:rPr>
              <w:rStyle w:val="slostrany"/>
              <w:color w:val="002957"/>
              <w:sz w:val="17"/>
              <w:szCs w:val="17"/>
            </w:rPr>
            <w:fldChar w:fldCharType="end"/>
          </w:r>
        </w:p>
      </w:tc>
      <w:tc>
        <w:tcPr>
          <w:tcW w:w="1570" w:type="dxa"/>
          <w:shd w:val="clear" w:color="auto" w:fill="auto"/>
          <w:vAlign w:val="center"/>
        </w:tcPr>
        <w:p w14:paraId="48B95308" w14:textId="77777777" w:rsidR="00FB1234" w:rsidRPr="00585988" w:rsidRDefault="00974483" w:rsidP="00BF2727">
          <w:pPr>
            <w:ind w:right="-117"/>
            <w:rPr>
              <w:b/>
              <w:color w:val="002957"/>
              <w:sz w:val="17"/>
              <w:szCs w:val="17"/>
            </w:rPr>
          </w:pPr>
          <w:r>
            <w:rPr>
              <w:rFonts w:cs="Arial"/>
              <w:color w:val="002957"/>
              <w:sz w:val="17"/>
              <w:szCs w:val="17"/>
            </w:rPr>
            <w:t xml:space="preserve">Transparency Register </w:t>
          </w:r>
          <w:r w:rsidR="00152882" w:rsidRPr="00585988">
            <w:rPr>
              <w:rFonts w:cs="Arial"/>
              <w:color w:val="002957"/>
              <w:sz w:val="17"/>
              <w:szCs w:val="17"/>
            </w:rPr>
            <w:t>ID no.:</w:t>
          </w:r>
        </w:p>
      </w:tc>
      <w:tc>
        <w:tcPr>
          <w:tcW w:w="2976" w:type="dxa"/>
          <w:shd w:val="clear" w:color="auto" w:fill="auto"/>
          <w:vAlign w:val="center"/>
        </w:tcPr>
        <w:p w14:paraId="08B3449C" w14:textId="77777777" w:rsidR="00FB1234" w:rsidRPr="00585988" w:rsidRDefault="00152882" w:rsidP="00BF2727">
          <w:pPr>
            <w:rPr>
              <w:color w:val="002957"/>
              <w:sz w:val="17"/>
              <w:szCs w:val="17"/>
            </w:rPr>
          </w:pPr>
          <w:r w:rsidRPr="00585988">
            <w:rPr>
              <w:rFonts w:cs="Tahoma"/>
              <w:color w:val="002957"/>
              <w:sz w:val="17"/>
              <w:szCs w:val="17"/>
            </w:rPr>
            <w:t>33213703459-54</w:t>
          </w:r>
        </w:p>
      </w:tc>
    </w:tr>
  </w:tbl>
  <w:p w14:paraId="0299F3F5" w14:textId="77777777" w:rsidR="00FB1234" w:rsidRDefault="00FB1234" w:rsidP="00BF2727"/>
  <w:p w14:paraId="55912694" w14:textId="77777777" w:rsidR="00057DC3" w:rsidRPr="000D41DA" w:rsidRDefault="00057DC3" w:rsidP="00BF27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EA - Bullets Rounded Squares_BulletLevel1_forMS"/>
      </v:shape>
    </w:pict>
  </w:numPicBullet>
  <w:numPicBullet w:numPicBulletId="1">
    <w:pict>
      <v:shape id="_x0000_i1033" type="#_x0000_t75" style="width:7.5pt;height:7.5pt" o:bullet="t">
        <v:imagedata r:id="rId2" o:title="CEA - Bullets Rounded Squares_BulletLevel2_forMS"/>
      </v:shape>
    </w:pict>
  </w:numPicBullet>
  <w:numPicBullet w:numPicBulletId="2">
    <w:pict>
      <v:shape id="_x0000_i1034" type="#_x0000_t75" style="width:9pt;height:9pt" o:bullet="t">
        <v:imagedata r:id="rId3" o:title="CEA - Bullets Rounded Squares_BulletLevel3_forMS"/>
      </v:shape>
    </w:pict>
  </w:numPicBullet>
  <w:abstractNum w:abstractNumId="0" w15:restartNumberingAfterBreak="0">
    <w:nsid w:val="03F92087"/>
    <w:multiLevelType w:val="multilevel"/>
    <w:tmpl w:val="1444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300E8D"/>
    <w:multiLevelType w:val="multilevel"/>
    <w:tmpl w:val="B86A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791DF0"/>
    <w:multiLevelType w:val="multilevel"/>
    <w:tmpl w:val="8EBA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5F3A6C"/>
    <w:multiLevelType w:val="multilevel"/>
    <w:tmpl w:val="16DE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PicBulletId w:val="2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6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12A1D"/>
    <w:multiLevelType w:val="multilevel"/>
    <w:tmpl w:val="B88C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1241649">
    <w:abstractNumId w:val="6"/>
  </w:num>
  <w:num w:numId="2" w16cid:durableId="1548225166">
    <w:abstractNumId w:val="1"/>
  </w:num>
  <w:num w:numId="3" w16cid:durableId="2145193850">
    <w:abstractNumId w:val="5"/>
  </w:num>
  <w:num w:numId="4" w16cid:durableId="2024503393">
    <w:abstractNumId w:val="3"/>
  </w:num>
  <w:num w:numId="5" w16cid:durableId="705763223">
    <w:abstractNumId w:val="0"/>
  </w:num>
  <w:num w:numId="6" w16cid:durableId="1530725386">
    <w:abstractNumId w:val="4"/>
  </w:num>
  <w:num w:numId="7" w16cid:durableId="2085911189">
    <w:abstractNumId w:val="2"/>
  </w:num>
  <w:num w:numId="8" w16cid:durableId="204165825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nsurance Europe">
    <w15:presenceInfo w15:providerId="None" w15:userId="Insurance Euro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2"/>
    <w:rsid w:val="00001EDF"/>
    <w:rsid w:val="00006963"/>
    <w:rsid w:val="00010FB4"/>
    <w:rsid w:val="00011F23"/>
    <w:rsid w:val="000124D9"/>
    <w:rsid w:val="00017E2D"/>
    <w:rsid w:val="00020124"/>
    <w:rsid w:val="00021E7B"/>
    <w:rsid w:val="000309A8"/>
    <w:rsid w:val="00031EE6"/>
    <w:rsid w:val="00034AB4"/>
    <w:rsid w:val="00037901"/>
    <w:rsid w:val="00051FBD"/>
    <w:rsid w:val="00054942"/>
    <w:rsid w:val="000549D7"/>
    <w:rsid w:val="00056BFF"/>
    <w:rsid w:val="00057DC3"/>
    <w:rsid w:val="000673BD"/>
    <w:rsid w:val="0007146F"/>
    <w:rsid w:val="00077412"/>
    <w:rsid w:val="00077492"/>
    <w:rsid w:val="0008034A"/>
    <w:rsid w:val="000807D4"/>
    <w:rsid w:val="00086E37"/>
    <w:rsid w:val="00087F0B"/>
    <w:rsid w:val="00090547"/>
    <w:rsid w:val="000A07AC"/>
    <w:rsid w:val="000A26A4"/>
    <w:rsid w:val="000A7D8F"/>
    <w:rsid w:val="000B0B8F"/>
    <w:rsid w:val="000C5523"/>
    <w:rsid w:val="000C79B0"/>
    <w:rsid w:val="000D3A9E"/>
    <w:rsid w:val="000D58F0"/>
    <w:rsid w:val="000D6C38"/>
    <w:rsid w:val="000E03CC"/>
    <w:rsid w:val="000E0F27"/>
    <w:rsid w:val="000E484F"/>
    <w:rsid w:val="000F0C18"/>
    <w:rsid w:val="000F3591"/>
    <w:rsid w:val="000F58F7"/>
    <w:rsid w:val="000F727F"/>
    <w:rsid w:val="000F72AE"/>
    <w:rsid w:val="0010247C"/>
    <w:rsid w:val="0011067B"/>
    <w:rsid w:val="001138FB"/>
    <w:rsid w:val="00115160"/>
    <w:rsid w:val="00116319"/>
    <w:rsid w:val="00121F51"/>
    <w:rsid w:val="00122D60"/>
    <w:rsid w:val="0012469D"/>
    <w:rsid w:val="001253BD"/>
    <w:rsid w:val="0013268D"/>
    <w:rsid w:val="001348B6"/>
    <w:rsid w:val="00135099"/>
    <w:rsid w:val="00136836"/>
    <w:rsid w:val="00136850"/>
    <w:rsid w:val="001469CC"/>
    <w:rsid w:val="001505A0"/>
    <w:rsid w:val="00152882"/>
    <w:rsid w:val="00167296"/>
    <w:rsid w:val="0017261F"/>
    <w:rsid w:val="001759AD"/>
    <w:rsid w:val="00175CC5"/>
    <w:rsid w:val="00181A62"/>
    <w:rsid w:val="00186947"/>
    <w:rsid w:val="001932EA"/>
    <w:rsid w:val="00196937"/>
    <w:rsid w:val="001A7BD7"/>
    <w:rsid w:val="001B36B1"/>
    <w:rsid w:val="001B4AB3"/>
    <w:rsid w:val="001C6E89"/>
    <w:rsid w:val="001D087D"/>
    <w:rsid w:val="001D4DC7"/>
    <w:rsid w:val="001D514B"/>
    <w:rsid w:val="001E090D"/>
    <w:rsid w:val="001E0D1A"/>
    <w:rsid w:val="001E12C1"/>
    <w:rsid w:val="001E5430"/>
    <w:rsid w:val="001E54B4"/>
    <w:rsid w:val="001E5C12"/>
    <w:rsid w:val="001E77AA"/>
    <w:rsid w:val="001F7489"/>
    <w:rsid w:val="00202D8A"/>
    <w:rsid w:val="00203400"/>
    <w:rsid w:val="0020506A"/>
    <w:rsid w:val="00207D4B"/>
    <w:rsid w:val="00210F06"/>
    <w:rsid w:val="00214FB5"/>
    <w:rsid w:val="002158C4"/>
    <w:rsid w:val="002171F7"/>
    <w:rsid w:val="002219F0"/>
    <w:rsid w:val="00221E04"/>
    <w:rsid w:val="00231DD3"/>
    <w:rsid w:val="00233AA7"/>
    <w:rsid w:val="00233B32"/>
    <w:rsid w:val="00233CA5"/>
    <w:rsid w:val="00236651"/>
    <w:rsid w:val="00240F50"/>
    <w:rsid w:val="00241FD5"/>
    <w:rsid w:val="002506AB"/>
    <w:rsid w:val="0025406C"/>
    <w:rsid w:val="0025733A"/>
    <w:rsid w:val="00261545"/>
    <w:rsid w:val="0026437A"/>
    <w:rsid w:val="002670B3"/>
    <w:rsid w:val="00267B5D"/>
    <w:rsid w:val="00270B46"/>
    <w:rsid w:val="00271172"/>
    <w:rsid w:val="00272CA6"/>
    <w:rsid w:val="00280C73"/>
    <w:rsid w:val="00283B1D"/>
    <w:rsid w:val="00284A69"/>
    <w:rsid w:val="00294403"/>
    <w:rsid w:val="002A2829"/>
    <w:rsid w:val="002B6347"/>
    <w:rsid w:val="002B7ABE"/>
    <w:rsid w:val="002B7E1C"/>
    <w:rsid w:val="002C1B93"/>
    <w:rsid w:val="002C27B5"/>
    <w:rsid w:val="002C29EB"/>
    <w:rsid w:val="002C3A18"/>
    <w:rsid w:val="002C4D65"/>
    <w:rsid w:val="002D36C5"/>
    <w:rsid w:val="002D3830"/>
    <w:rsid w:val="002D406D"/>
    <w:rsid w:val="002D42EC"/>
    <w:rsid w:val="002D6CCB"/>
    <w:rsid w:val="002E1FF9"/>
    <w:rsid w:val="002E2E5E"/>
    <w:rsid w:val="002F12C5"/>
    <w:rsid w:val="002F71D1"/>
    <w:rsid w:val="002F7CED"/>
    <w:rsid w:val="00304E7D"/>
    <w:rsid w:val="00317E04"/>
    <w:rsid w:val="0032055A"/>
    <w:rsid w:val="00324A90"/>
    <w:rsid w:val="00325C9E"/>
    <w:rsid w:val="00327F7C"/>
    <w:rsid w:val="00330D0D"/>
    <w:rsid w:val="003365B1"/>
    <w:rsid w:val="00336C9A"/>
    <w:rsid w:val="00346792"/>
    <w:rsid w:val="0035057C"/>
    <w:rsid w:val="00354D21"/>
    <w:rsid w:val="00356201"/>
    <w:rsid w:val="00364B06"/>
    <w:rsid w:val="003677E0"/>
    <w:rsid w:val="003715C9"/>
    <w:rsid w:val="00382F7E"/>
    <w:rsid w:val="003879D8"/>
    <w:rsid w:val="00392268"/>
    <w:rsid w:val="00392E3B"/>
    <w:rsid w:val="003A7EEA"/>
    <w:rsid w:val="003B03F9"/>
    <w:rsid w:val="003B3CD0"/>
    <w:rsid w:val="003B6BA7"/>
    <w:rsid w:val="003C43E2"/>
    <w:rsid w:val="003C4739"/>
    <w:rsid w:val="003C4878"/>
    <w:rsid w:val="003C4899"/>
    <w:rsid w:val="003C4D06"/>
    <w:rsid w:val="003D0236"/>
    <w:rsid w:val="003D2C75"/>
    <w:rsid w:val="003D5C55"/>
    <w:rsid w:val="003E1BDE"/>
    <w:rsid w:val="003E548D"/>
    <w:rsid w:val="003F11A7"/>
    <w:rsid w:val="003F20F4"/>
    <w:rsid w:val="003F2415"/>
    <w:rsid w:val="004012E9"/>
    <w:rsid w:val="004052AB"/>
    <w:rsid w:val="00407B3E"/>
    <w:rsid w:val="004142E4"/>
    <w:rsid w:val="00414820"/>
    <w:rsid w:val="00414979"/>
    <w:rsid w:val="00415C75"/>
    <w:rsid w:val="00417689"/>
    <w:rsid w:val="004211E7"/>
    <w:rsid w:val="0042668C"/>
    <w:rsid w:val="00426B47"/>
    <w:rsid w:val="0043123C"/>
    <w:rsid w:val="004363BA"/>
    <w:rsid w:val="00436D0D"/>
    <w:rsid w:val="00437E4A"/>
    <w:rsid w:val="00440FEE"/>
    <w:rsid w:val="004439D3"/>
    <w:rsid w:val="0046168B"/>
    <w:rsid w:val="0046352B"/>
    <w:rsid w:val="004665D8"/>
    <w:rsid w:val="00467124"/>
    <w:rsid w:val="0047074A"/>
    <w:rsid w:val="00481254"/>
    <w:rsid w:val="00487D05"/>
    <w:rsid w:val="00491154"/>
    <w:rsid w:val="0049381A"/>
    <w:rsid w:val="00495AC5"/>
    <w:rsid w:val="00497472"/>
    <w:rsid w:val="004A6689"/>
    <w:rsid w:val="004B170A"/>
    <w:rsid w:val="004B224E"/>
    <w:rsid w:val="004B4DE3"/>
    <w:rsid w:val="004B6931"/>
    <w:rsid w:val="004B70E5"/>
    <w:rsid w:val="004C44B7"/>
    <w:rsid w:val="004D01F9"/>
    <w:rsid w:val="004D1F76"/>
    <w:rsid w:val="004D2758"/>
    <w:rsid w:val="004D450E"/>
    <w:rsid w:val="004D5E9B"/>
    <w:rsid w:val="004D6D42"/>
    <w:rsid w:val="004E4CA0"/>
    <w:rsid w:val="004E4D61"/>
    <w:rsid w:val="004E5D18"/>
    <w:rsid w:val="004E7F06"/>
    <w:rsid w:val="004F48A8"/>
    <w:rsid w:val="004F4E81"/>
    <w:rsid w:val="00501366"/>
    <w:rsid w:val="005035D2"/>
    <w:rsid w:val="00505879"/>
    <w:rsid w:val="00512F29"/>
    <w:rsid w:val="00515E59"/>
    <w:rsid w:val="005271A1"/>
    <w:rsid w:val="00530344"/>
    <w:rsid w:val="00530E96"/>
    <w:rsid w:val="005319E4"/>
    <w:rsid w:val="005377BB"/>
    <w:rsid w:val="00537CEE"/>
    <w:rsid w:val="00541753"/>
    <w:rsid w:val="00541C41"/>
    <w:rsid w:val="00541D9E"/>
    <w:rsid w:val="00543208"/>
    <w:rsid w:val="0054417D"/>
    <w:rsid w:val="005462BA"/>
    <w:rsid w:val="00547F6B"/>
    <w:rsid w:val="00547F93"/>
    <w:rsid w:val="00560986"/>
    <w:rsid w:val="0056635A"/>
    <w:rsid w:val="00566B02"/>
    <w:rsid w:val="00570BBC"/>
    <w:rsid w:val="0057328F"/>
    <w:rsid w:val="00577CE1"/>
    <w:rsid w:val="0058054D"/>
    <w:rsid w:val="00583A60"/>
    <w:rsid w:val="00584A88"/>
    <w:rsid w:val="005850A2"/>
    <w:rsid w:val="005A162C"/>
    <w:rsid w:val="005B0B5D"/>
    <w:rsid w:val="005B5212"/>
    <w:rsid w:val="005C015A"/>
    <w:rsid w:val="005D1664"/>
    <w:rsid w:val="005E360B"/>
    <w:rsid w:val="005E4997"/>
    <w:rsid w:val="005E6128"/>
    <w:rsid w:val="005F140B"/>
    <w:rsid w:val="005F32CD"/>
    <w:rsid w:val="005F74A4"/>
    <w:rsid w:val="0060001B"/>
    <w:rsid w:val="00620207"/>
    <w:rsid w:val="0062089C"/>
    <w:rsid w:val="00621E81"/>
    <w:rsid w:val="0063586C"/>
    <w:rsid w:val="0064247B"/>
    <w:rsid w:val="00642AF8"/>
    <w:rsid w:val="00644F25"/>
    <w:rsid w:val="00645D12"/>
    <w:rsid w:val="00645EBD"/>
    <w:rsid w:val="00646504"/>
    <w:rsid w:val="0065119F"/>
    <w:rsid w:val="00651EBB"/>
    <w:rsid w:val="006528FC"/>
    <w:rsid w:val="00654D7F"/>
    <w:rsid w:val="00656EA3"/>
    <w:rsid w:val="00660FEE"/>
    <w:rsid w:val="0066271E"/>
    <w:rsid w:val="006760DB"/>
    <w:rsid w:val="00680B85"/>
    <w:rsid w:val="00682FBE"/>
    <w:rsid w:val="0068384B"/>
    <w:rsid w:val="0068384C"/>
    <w:rsid w:val="0068512A"/>
    <w:rsid w:val="0069131F"/>
    <w:rsid w:val="00692DBA"/>
    <w:rsid w:val="006A0A07"/>
    <w:rsid w:val="006A76EF"/>
    <w:rsid w:val="006B1DBE"/>
    <w:rsid w:val="006B351C"/>
    <w:rsid w:val="006B55E4"/>
    <w:rsid w:val="006C404A"/>
    <w:rsid w:val="006D40C6"/>
    <w:rsid w:val="006D4E6C"/>
    <w:rsid w:val="006E1B15"/>
    <w:rsid w:val="006E1F92"/>
    <w:rsid w:val="006E3D10"/>
    <w:rsid w:val="006E77F2"/>
    <w:rsid w:val="006F0F4A"/>
    <w:rsid w:val="006F2861"/>
    <w:rsid w:val="006F6840"/>
    <w:rsid w:val="00705825"/>
    <w:rsid w:val="00706C16"/>
    <w:rsid w:val="00710555"/>
    <w:rsid w:val="007129F8"/>
    <w:rsid w:val="0073177E"/>
    <w:rsid w:val="0073249D"/>
    <w:rsid w:val="00734E4D"/>
    <w:rsid w:val="0074210A"/>
    <w:rsid w:val="00743178"/>
    <w:rsid w:val="00750B8C"/>
    <w:rsid w:val="00752590"/>
    <w:rsid w:val="00752B23"/>
    <w:rsid w:val="007536AF"/>
    <w:rsid w:val="0076198F"/>
    <w:rsid w:val="00765923"/>
    <w:rsid w:val="00767CD9"/>
    <w:rsid w:val="00771F2A"/>
    <w:rsid w:val="007748EE"/>
    <w:rsid w:val="00777F7C"/>
    <w:rsid w:val="00780632"/>
    <w:rsid w:val="007978F2"/>
    <w:rsid w:val="007A31A9"/>
    <w:rsid w:val="007A4B7B"/>
    <w:rsid w:val="007B0315"/>
    <w:rsid w:val="007B0645"/>
    <w:rsid w:val="007B2F45"/>
    <w:rsid w:val="007B4AC4"/>
    <w:rsid w:val="007D1014"/>
    <w:rsid w:val="007D37B4"/>
    <w:rsid w:val="007D5084"/>
    <w:rsid w:val="007D68E7"/>
    <w:rsid w:val="007D7D40"/>
    <w:rsid w:val="007E2A1C"/>
    <w:rsid w:val="007E3DBE"/>
    <w:rsid w:val="0080441F"/>
    <w:rsid w:val="0080661F"/>
    <w:rsid w:val="0081217A"/>
    <w:rsid w:val="008129AB"/>
    <w:rsid w:val="008136DE"/>
    <w:rsid w:val="0081604B"/>
    <w:rsid w:val="00821146"/>
    <w:rsid w:val="00824F80"/>
    <w:rsid w:val="00825DAE"/>
    <w:rsid w:val="00826D4D"/>
    <w:rsid w:val="00826E2A"/>
    <w:rsid w:val="008271BB"/>
    <w:rsid w:val="00827E80"/>
    <w:rsid w:val="00843EA5"/>
    <w:rsid w:val="00845FB0"/>
    <w:rsid w:val="008555E4"/>
    <w:rsid w:val="0085574C"/>
    <w:rsid w:val="008570C9"/>
    <w:rsid w:val="0085731A"/>
    <w:rsid w:val="008617B2"/>
    <w:rsid w:val="00863130"/>
    <w:rsid w:val="0086436F"/>
    <w:rsid w:val="00866402"/>
    <w:rsid w:val="00867BAC"/>
    <w:rsid w:val="00873FA9"/>
    <w:rsid w:val="00874A30"/>
    <w:rsid w:val="00876551"/>
    <w:rsid w:val="00897668"/>
    <w:rsid w:val="00897A7D"/>
    <w:rsid w:val="00897FAA"/>
    <w:rsid w:val="008A2E1B"/>
    <w:rsid w:val="008A564F"/>
    <w:rsid w:val="008B335B"/>
    <w:rsid w:val="008B39B4"/>
    <w:rsid w:val="008B3E68"/>
    <w:rsid w:val="008C4F75"/>
    <w:rsid w:val="008C7099"/>
    <w:rsid w:val="008D66AF"/>
    <w:rsid w:val="008D6BE7"/>
    <w:rsid w:val="008F21CB"/>
    <w:rsid w:val="008F29CA"/>
    <w:rsid w:val="008F2D2A"/>
    <w:rsid w:val="008F544F"/>
    <w:rsid w:val="00905F2E"/>
    <w:rsid w:val="0091361E"/>
    <w:rsid w:val="00917E43"/>
    <w:rsid w:val="00925292"/>
    <w:rsid w:val="009260FE"/>
    <w:rsid w:val="00930571"/>
    <w:rsid w:val="00930DE2"/>
    <w:rsid w:val="00933BFC"/>
    <w:rsid w:val="00934C5C"/>
    <w:rsid w:val="00935862"/>
    <w:rsid w:val="00937AB4"/>
    <w:rsid w:val="009401B4"/>
    <w:rsid w:val="00940CB6"/>
    <w:rsid w:val="00945647"/>
    <w:rsid w:val="00951661"/>
    <w:rsid w:val="009629AA"/>
    <w:rsid w:val="009640F0"/>
    <w:rsid w:val="009657D4"/>
    <w:rsid w:val="009675F1"/>
    <w:rsid w:val="009728B6"/>
    <w:rsid w:val="00974483"/>
    <w:rsid w:val="009754B1"/>
    <w:rsid w:val="00976665"/>
    <w:rsid w:val="00976CAD"/>
    <w:rsid w:val="00976DB4"/>
    <w:rsid w:val="00980B79"/>
    <w:rsid w:val="009A197C"/>
    <w:rsid w:val="009A5E17"/>
    <w:rsid w:val="009C1E97"/>
    <w:rsid w:val="009C2B3E"/>
    <w:rsid w:val="009C780A"/>
    <w:rsid w:val="009D11F7"/>
    <w:rsid w:val="009E02FB"/>
    <w:rsid w:val="009F36AF"/>
    <w:rsid w:val="009F36CD"/>
    <w:rsid w:val="009F52FD"/>
    <w:rsid w:val="009F76A3"/>
    <w:rsid w:val="00A07D02"/>
    <w:rsid w:val="00A108FC"/>
    <w:rsid w:val="00A137BF"/>
    <w:rsid w:val="00A15F25"/>
    <w:rsid w:val="00A20323"/>
    <w:rsid w:val="00A36740"/>
    <w:rsid w:val="00A43169"/>
    <w:rsid w:val="00A4463C"/>
    <w:rsid w:val="00A449DD"/>
    <w:rsid w:val="00A463AE"/>
    <w:rsid w:val="00A47778"/>
    <w:rsid w:val="00A525D9"/>
    <w:rsid w:val="00A60447"/>
    <w:rsid w:val="00A63E69"/>
    <w:rsid w:val="00A804A5"/>
    <w:rsid w:val="00A8120F"/>
    <w:rsid w:val="00A81B9A"/>
    <w:rsid w:val="00A82370"/>
    <w:rsid w:val="00A824AD"/>
    <w:rsid w:val="00A842EF"/>
    <w:rsid w:val="00A862B9"/>
    <w:rsid w:val="00A905E3"/>
    <w:rsid w:val="00A93A4B"/>
    <w:rsid w:val="00A94747"/>
    <w:rsid w:val="00A95DDB"/>
    <w:rsid w:val="00AA125D"/>
    <w:rsid w:val="00AA460D"/>
    <w:rsid w:val="00AA54B2"/>
    <w:rsid w:val="00AA5C72"/>
    <w:rsid w:val="00AB1982"/>
    <w:rsid w:val="00AB2393"/>
    <w:rsid w:val="00AB53B0"/>
    <w:rsid w:val="00AC5707"/>
    <w:rsid w:val="00AD394D"/>
    <w:rsid w:val="00AD4776"/>
    <w:rsid w:val="00AD5794"/>
    <w:rsid w:val="00AD5AD0"/>
    <w:rsid w:val="00AD747F"/>
    <w:rsid w:val="00AE0589"/>
    <w:rsid w:val="00AE282B"/>
    <w:rsid w:val="00AE2AA4"/>
    <w:rsid w:val="00AE42BD"/>
    <w:rsid w:val="00AE6511"/>
    <w:rsid w:val="00AE6C0D"/>
    <w:rsid w:val="00AF131B"/>
    <w:rsid w:val="00AF18BB"/>
    <w:rsid w:val="00AF20DF"/>
    <w:rsid w:val="00AF2AD1"/>
    <w:rsid w:val="00AF40F8"/>
    <w:rsid w:val="00AF7BBE"/>
    <w:rsid w:val="00B0395C"/>
    <w:rsid w:val="00B05BB6"/>
    <w:rsid w:val="00B07945"/>
    <w:rsid w:val="00B14004"/>
    <w:rsid w:val="00B1464C"/>
    <w:rsid w:val="00B1659F"/>
    <w:rsid w:val="00B20332"/>
    <w:rsid w:val="00B310B3"/>
    <w:rsid w:val="00B311F1"/>
    <w:rsid w:val="00B3138C"/>
    <w:rsid w:val="00B31A47"/>
    <w:rsid w:val="00B320FC"/>
    <w:rsid w:val="00B42FEA"/>
    <w:rsid w:val="00B43556"/>
    <w:rsid w:val="00B43608"/>
    <w:rsid w:val="00B44BFB"/>
    <w:rsid w:val="00B454C1"/>
    <w:rsid w:val="00B47BAA"/>
    <w:rsid w:val="00B50042"/>
    <w:rsid w:val="00B500A2"/>
    <w:rsid w:val="00B52F79"/>
    <w:rsid w:val="00B56E83"/>
    <w:rsid w:val="00B622DA"/>
    <w:rsid w:val="00B7100B"/>
    <w:rsid w:val="00B7208B"/>
    <w:rsid w:val="00B73793"/>
    <w:rsid w:val="00B739C3"/>
    <w:rsid w:val="00B7439B"/>
    <w:rsid w:val="00B75364"/>
    <w:rsid w:val="00B84F46"/>
    <w:rsid w:val="00B863C9"/>
    <w:rsid w:val="00B866CD"/>
    <w:rsid w:val="00B94774"/>
    <w:rsid w:val="00B97399"/>
    <w:rsid w:val="00BA0347"/>
    <w:rsid w:val="00BA62D2"/>
    <w:rsid w:val="00BB0F6B"/>
    <w:rsid w:val="00BB3D71"/>
    <w:rsid w:val="00BB6482"/>
    <w:rsid w:val="00BC4E09"/>
    <w:rsid w:val="00BD14CD"/>
    <w:rsid w:val="00BD3110"/>
    <w:rsid w:val="00BD4277"/>
    <w:rsid w:val="00BF11D2"/>
    <w:rsid w:val="00BF17E4"/>
    <w:rsid w:val="00BF2727"/>
    <w:rsid w:val="00BF2A6B"/>
    <w:rsid w:val="00BF44EA"/>
    <w:rsid w:val="00BF4AA7"/>
    <w:rsid w:val="00BF62FA"/>
    <w:rsid w:val="00C03419"/>
    <w:rsid w:val="00C07E91"/>
    <w:rsid w:val="00C101F1"/>
    <w:rsid w:val="00C14542"/>
    <w:rsid w:val="00C203FD"/>
    <w:rsid w:val="00C206E3"/>
    <w:rsid w:val="00C20971"/>
    <w:rsid w:val="00C30AE4"/>
    <w:rsid w:val="00C3572E"/>
    <w:rsid w:val="00C42DC3"/>
    <w:rsid w:val="00C432F3"/>
    <w:rsid w:val="00C71162"/>
    <w:rsid w:val="00C728C8"/>
    <w:rsid w:val="00C81C9D"/>
    <w:rsid w:val="00C8735B"/>
    <w:rsid w:val="00C91DD1"/>
    <w:rsid w:val="00C950FE"/>
    <w:rsid w:val="00C95135"/>
    <w:rsid w:val="00CA5915"/>
    <w:rsid w:val="00CB22B0"/>
    <w:rsid w:val="00CB7D34"/>
    <w:rsid w:val="00CC010F"/>
    <w:rsid w:val="00CC781B"/>
    <w:rsid w:val="00CD6BC8"/>
    <w:rsid w:val="00CE1208"/>
    <w:rsid w:val="00CE2652"/>
    <w:rsid w:val="00CE2CAB"/>
    <w:rsid w:val="00CE5306"/>
    <w:rsid w:val="00CE5EFC"/>
    <w:rsid w:val="00CF13ED"/>
    <w:rsid w:val="00CF1970"/>
    <w:rsid w:val="00CF4331"/>
    <w:rsid w:val="00CF4A56"/>
    <w:rsid w:val="00CF6B5F"/>
    <w:rsid w:val="00CF7ED7"/>
    <w:rsid w:val="00D02A21"/>
    <w:rsid w:val="00D04ACF"/>
    <w:rsid w:val="00D0617D"/>
    <w:rsid w:val="00D075D9"/>
    <w:rsid w:val="00D14D21"/>
    <w:rsid w:val="00D16A24"/>
    <w:rsid w:val="00D20E89"/>
    <w:rsid w:val="00D219E3"/>
    <w:rsid w:val="00D24A6D"/>
    <w:rsid w:val="00D3050C"/>
    <w:rsid w:val="00D326BE"/>
    <w:rsid w:val="00D32D80"/>
    <w:rsid w:val="00D3300B"/>
    <w:rsid w:val="00D445C0"/>
    <w:rsid w:val="00D45327"/>
    <w:rsid w:val="00D47418"/>
    <w:rsid w:val="00D47F86"/>
    <w:rsid w:val="00D615BB"/>
    <w:rsid w:val="00D62F46"/>
    <w:rsid w:val="00D738C8"/>
    <w:rsid w:val="00D74967"/>
    <w:rsid w:val="00D74A33"/>
    <w:rsid w:val="00D827CC"/>
    <w:rsid w:val="00D84A61"/>
    <w:rsid w:val="00D85A07"/>
    <w:rsid w:val="00D864A4"/>
    <w:rsid w:val="00D87675"/>
    <w:rsid w:val="00D90F92"/>
    <w:rsid w:val="00D97900"/>
    <w:rsid w:val="00DA1DE1"/>
    <w:rsid w:val="00DA40FE"/>
    <w:rsid w:val="00DA76D2"/>
    <w:rsid w:val="00DB0A14"/>
    <w:rsid w:val="00DB0C21"/>
    <w:rsid w:val="00DB492F"/>
    <w:rsid w:val="00DB707E"/>
    <w:rsid w:val="00DC210B"/>
    <w:rsid w:val="00DC3E95"/>
    <w:rsid w:val="00DD106D"/>
    <w:rsid w:val="00DE0A2F"/>
    <w:rsid w:val="00DE0F37"/>
    <w:rsid w:val="00DE1707"/>
    <w:rsid w:val="00DF1282"/>
    <w:rsid w:val="00DF1865"/>
    <w:rsid w:val="00DF5055"/>
    <w:rsid w:val="00DF55D8"/>
    <w:rsid w:val="00E014A0"/>
    <w:rsid w:val="00E069A1"/>
    <w:rsid w:val="00E1494C"/>
    <w:rsid w:val="00E166D5"/>
    <w:rsid w:val="00E213C4"/>
    <w:rsid w:val="00E2538F"/>
    <w:rsid w:val="00E35B3F"/>
    <w:rsid w:val="00E35E87"/>
    <w:rsid w:val="00E371C2"/>
    <w:rsid w:val="00E42EBD"/>
    <w:rsid w:val="00E443CC"/>
    <w:rsid w:val="00E4482D"/>
    <w:rsid w:val="00E461FF"/>
    <w:rsid w:val="00E47247"/>
    <w:rsid w:val="00E704D0"/>
    <w:rsid w:val="00E70E30"/>
    <w:rsid w:val="00E73909"/>
    <w:rsid w:val="00E73F63"/>
    <w:rsid w:val="00E74D68"/>
    <w:rsid w:val="00E76BC1"/>
    <w:rsid w:val="00E77101"/>
    <w:rsid w:val="00E83B9D"/>
    <w:rsid w:val="00E9209D"/>
    <w:rsid w:val="00E95916"/>
    <w:rsid w:val="00EA0C99"/>
    <w:rsid w:val="00EA72B6"/>
    <w:rsid w:val="00EC054F"/>
    <w:rsid w:val="00EC4F54"/>
    <w:rsid w:val="00EC62A8"/>
    <w:rsid w:val="00EC79C7"/>
    <w:rsid w:val="00ED211B"/>
    <w:rsid w:val="00ED2B62"/>
    <w:rsid w:val="00ED3ACA"/>
    <w:rsid w:val="00EE7603"/>
    <w:rsid w:val="00EF456B"/>
    <w:rsid w:val="00F04B8F"/>
    <w:rsid w:val="00F04BC1"/>
    <w:rsid w:val="00F05DAE"/>
    <w:rsid w:val="00F1280E"/>
    <w:rsid w:val="00F141B1"/>
    <w:rsid w:val="00F15352"/>
    <w:rsid w:val="00F173E3"/>
    <w:rsid w:val="00F24ED7"/>
    <w:rsid w:val="00F26294"/>
    <w:rsid w:val="00F262D3"/>
    <w:rsid w:val="00F366F8"/>
    <w:rsid w:val="00F36723"/>
    <w:rsid w:val="00F373A1"/>
    <w:rsid w:val="00F375CD"/>
    <w:rsid w:val="00F40E6B"/>
    <w:rsid w:val="00F53AD4"/>
    <w:rsid w:val="00F54B4E"/>
    <w:rsid w:val="00F5629F"/>
    <w:rsid w:val="00F63E2F"/>
    <w:rsid w:val="00F7272E"/>
    <w:rsid w:val="00F73E5E"/>
    <w:rsid w:val="00F778BB"/>
    <w:rsid w:val="00F8705B"/>
    <w:rsid w:val="00F878FE"/>
    <w:rsid w:val="00F910A4"/>
    <w:rsid w:val="00F91943"/>
    <w:rsid w:val="00F96C48"/>
    <w:rsid w:val="00FA561C"/>
    <w:rsid w:val="00FB1234"/>
    <w:rsid w:val="00FC250E"/>
    <w:rsid w:val="00FC259A"/>
    <w:rsid w:val="00FC6467"/>
    <w:rsid w:val="00FD1B38"/>
    <w:rsid w:val="00FD345D"/>
    <w:rsid w:val="00FD3F2D"/>
    <w:rsid w:val="00FD60DB"/>
    <w:rsid w:val="00FF2984"/>
    <w:rsid w:val="00FF3817"/>
    <w:rsid w:val="00FF3B0E"/>
    <w:rsid w:val="00FF3F87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7CE9"/>
  <w15:docId w15:val="{D6CD35C6-D6CD-4B34-A831-5395CBD7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2882"/>
    <w:pPr>
      <w:spacing w:after="0" w:line="288" w:lineRule="auto"/>
      <w:jc w:val="both"/>
    </w:pPr>
    <w:rPr>
      <w:rFonts w:ascii="Verdana" w:eastAsia="Times New Roman" w:hAnsi="Verdana" w:cs="Times New Roman"/>
      <w:sz w:val="18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52882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152882"/>
    <w:rPr>
      <w:rFonts w:ascii="Verdana" w:eastAsia="Times New Roman" w:hAnsi="Verdana" w:cs="Times New Roman"/>
      <w:sz w:val="18"/>
      <w:szCs w:val="24"/>
      <w:lang w:val="en-GB"/>
    </w:rPr>
  </w:style>
  <w:style w:type="paragraph" w:styleId="Pta">
    <w:name w:val="footer"/>
    <w:basedOn w:val="Normlny"/>
    <w:link w:val="PtaChar"/>
    <w:semiHidden/>
    <w:rsid w:val="00152882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152882"/>
    <w:rPr>
      <w:rFonts w:ascii="Verdana" w:eastAsia="Times New Roman" w:hAnsi="Verdana" w:cs="Times New Roman"/>
      <w:sz w:val="18"/>
      <w:szCs w:val="24"/>
      <w:lang w:val="en-GB"/>
    </w:rPr>
  </w:style>
  <w:style w:type="paragraph" w:customStyle="1" w:styleId="Noparagraphstyle">
    <w:name w:val="[No paragraph style]"/>
    <w:semiHidden/>
    <w:rsid w:val="0015288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152882"/>
  </w:style>
  <w:style w:type="paragraph" w:customStyle="1" w:styleId="Heading1CEA">
    <w:name w:val="Heading 1 (CEA)"/>
    <w:basedOn w:val="Normlny"/>
    <w:link w:val="Heading1CEAChar"/>
    <w:semiHidden/>
    <w:rsid w:val="00152882"/>
    <w:pPr>
      <w:autoSpaceDE w:val="0"/>
      <w:autoSpaceDN w:val="0"/>
      <w:adjustRightInd w:val="0"/>
    </w:pPr>
    <w:rPr>
      <w:rFonts w:ascii="Arial" w:hAnsi="Arial"/>
      <w:b/>
      <w:color w:val="034EA2"/>
      <w:sz w:val="32"/>
      <w:szCs w:val="32"/>
    </w:rPr>
  </w:style>
  <w:style w:type="character" w:customStyle="1" w:styleId="Heading1CEAChar">
    <w:name w:val="Heading 1 (CEA) Char"/>
    <w:basedOn w:val="Predvolenpsmoodseku"/>
    <w:link w:val="Heading1CEA"/>
    <w:semiHidden/>
    <w:rsid w:val="00152882"/>
    <w:rPr>
      <w:rFonts w:ascii="Arial" w:eastAsia="Times New Roman" w:hAnsi="Arial" w:cs="Times New Roman"/>
      <w:b/>
      <w:color w:val="034EA2"/>
      <w:sz w:val="32"/>
      <w:szCs w:val="32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152882"/>
    <w:pPr>
      <w:ind w:left="-27"/>
    </w:pPr>
    <w:rPr>
      <w:b/>
      <w:color w:val="034EA2"/>
      <w:sz w:val="32"/>
      <w:szCs w:val="32"/>
    </w:rPr>
  </w:style>
  <w:style w:type="paragraph" w:customStyle="1" w:styleId="CEADraft">
    <w:name w:val="CEA Draft"/>
    <w:basedOn w:val="Normlny"/>
    <w:semiHidden/>
    <w:qFormat/>
    <w:rsid w:val="00152882"/>
    <w:pPr>
      <w:jc w:val="right"/>
    </w:pPr>
    <w:rPr>
      <w:rFonts w:cs="Arial"/>
      <w:b/>
      <w:i/>
      <w:color w:val="034EA2"/>
      <w:sz w:val="32"/>
      <w:szCs w:val="40"/>
    </w:rPr>
  </w:style>
  <w:style w:type="paragraph" w:customStyle="1" w:styleId="CEAFooterauthorinfo">
    <w:name w:val="CEA Footer (author info)"/>
    <w:basedOn w:val="Normlny"/>
    <w:semiHidden/>
    <w:qFormat/>
    <w:rsid w:val="00152882"/>
    <w:pPr>
      <w:autoSpaceDE w:val="0"/>
      <w:autoSpaceDN w:val="0"/>
      <w:adjustRightInd w:val="0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Label">
    <w:name w:val="CEA Label"/>
    <w:basedOn w:val="Normlny"/>
    <w:semiHidden/>
    <w:qFormat/>
    <w:rsid w:val="00152882"/>
    <w:rPr>
      <w:rFonts w:cs="Arial"/>
      <w:b/>
      <w:color w:val="034EA2"/>
      <w:szCs w:val="18"/>
    </w:rPr>
  </w:style>
  <w:style w:type="character" w:styleId="Zstupntext">
    <w:name w:val="Placeholder Text"/>
    <w:basedOn w:val="Predvolenpsmoodseku"/>
    <w:uiPriority w:val="99"/>
    <w:semiHidden/>
    <w:rsid w:val="0008034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0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34A"/>
    <w:rPr>
      <w:rFonts w:ascii="Tahoma" w:eastAsia="Times New Roman" w:hAnsi="Tahoma" w:cs="Tahoma"/>
      <w:sz w:val="16"/>
      <w:szCs w:val="16"/>
      <w:lang w:val="en-GB"/>
    </w:rPr>
  </w:style>
  <w:style w:type="paragraph" w:customStyle="1" w:styleId="CEABullet-Level1">
    <w:name w:val="CEA Bullet - Level 1"/>
    <w:basedOn w:val="Normlny"/>
    <w:qFormat/>
    <w:rsid w:val="00825DAE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825DAE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825DAE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DirectorGeneral">
    <w:name w:val="CEA Director General"/>
    <w:basedOn w:val="Normlny"/>
    <w:semiHidden/>
    <w:qFormat/>
    <w:rsid w:val="00825DAE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DocumentType">
    <w:name w:val="CEA Document Type"/>
    <w:basedOn w:val="Normlny"/>
    <w:semiHidden/>
    <w:qFormat/>
    <w:rsid w:val="00825DAE"/>
    <w:pPr>
      <w:jc w:val="right"/>
    </w:pPr>
    <w:rPr>
      <w:rFonts w:cs="Frutiger LT Std 55 Roman"/>
      <w:b/>
      <w:color w:val="0032FF"/>
      <w:sz w:val="40"/>
      <w:szCs w:val="40"/>
    </w:rPr>
  </w:style>
  <w:style w:type="paragraph" w:customStyle="1" w:styleId="CEAFootnote">
    <w:name w:val="CEA Footnote"/>
    <w:basedOn w:val="Normlny"/>
    <w:semiHidden/>
    <w:qFormat/>
    <w:rsid w:val="00825DAE"/>
    <w:pPr>
      <w:spacing w:line="240" w:lineRule="auto"/>
    </w:pPr>
    <w:rPr>
      <w:sz w:val="16"/>
    </w:rPr>
  </w:style>
  <w:style w:type="character" w:customStyle="1" w:styleId="CEAGraphTitle">
    <w:name w:val="CEA Graph Title"/>
    <w:uiPriority w:val="1"/>
    <w:qFormat/>
    <w:rsid w:val="00825DAE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825DAE"/>
    <w:rPr>
      <w:rFonts w:ascii="Verdana" w:hAnsi="Verdana"/>
      <w:smallCaps/>
      <w:sz w:val="19"/>
      <w:lang w:val="en-GB"/>
    </w:rPr>
  </w:style>
  <w:style w:type="paragraph" w:customStyle="1" w:styleId="CEAPressReleaseSubtitle">
    <w:name w:val="CEA Press Release Subtitle"/>
    <w:basedOn w:val="Normlny"/>
    <w:semiHidden/>
    <w:qFormat/>
    <w:rsid w:val="00825DAE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825DAE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paragraph" w:customStyle="1" w:styleId="CEASubjectLine">
    <w:name w:val="CEA Subject Line"/>
    <w:basedOn w:val="Normlny"/>
    <w:semiHidden/>
    <w:qFormat/>
    <w:rsid w:val="00825DAE"/>
    <w:rPr>
      <w:rFonts w:cs="Frutiger LT Std 55 Roman"/>
      <w:b/>
      <w:sz w:val="17"/>
      <w:szCs w:val="20"/>
    </w:rPr>
  </w:style>
  <w:style w:type="table" w:styleId="Mriekatabuky">
    <w:name w:val="Table Grid"/>
    <w:basedOn w:val="Normlnatabuka"/>
    <w:uiPriority w:val="59"/>
    <w:rsid w:val="0012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748E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748E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17689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203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03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0323"/>
    <w:rPr>
      <w:rFonts w:ascii="Verdana" w:eastAsia="Times New Roman" w:hAnsi="Verdana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03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0323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1932EA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en-GB"/>
    </w:rPr>
  </w:style>
  <w:style w:type="character" w:styleId="Zmienka">
    <w:name w:val="Mention"/>
    <w:basedOn w:val="Predvolenpsmoodseku"/>
    <w:uiPriority w:val="99"/>
    <w:unhideWhenUsed/>
    <w:rsid w:val="00CC01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suranceeurope.sharepoint.com/sites/extranet/SitePages/Corporate-Reporting-Investments-and-Sustainable-Finance-WG-Home.aspx?file=2024%2FECO-CRISF-24-068.docx&amp;fid=80239&amp;/Corporate%20Reporting%20%20Investments%20%20Sustainable%20Fina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insuranceeurope.sharepoint.com/sites/extranet/Corporate%20Reporting%20%20Investments%20%20Sustainable%20Fina/2023/ECO-LTI-23-100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nsuranceeurope.sharepoint.com/sites/extranet/Corporate%20Reporting%20%20Investments%20%20Sustainable%20Fina/2024/ECO-CRISF-24-097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6/09/relationships/commentsIds" Target="commentsIds.xml"/><Relationship Id="rId27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uranceeurop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finance.ec.europa.eu/sustainable-finance/disclosures/sustainability-related-disclosure-financial-services-sector_en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75A-9402-4B30-B3A5-FCC1C0934D84}"/>
      </w:docPartPr>
      <w:docPartBody>
        <w:p w:rsidR="00427EDA" w:rsidRDefault="009C6847">
          <w:r w:rsidRPr="008C7EEE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970"/>
    <w:rsid w:val="00067782"/>
    <w:rsid w:val="000F0B7C"/>
    <w:rsid w:val="000F1CB6"/>
    <w:rsid w:val="001E101F"/>
    <w:rsid w:val="002219F0"/>
    <w:rsid w:val="003508AF"/>
    <w:rsid w:val="00387AD9"/>
    <w:rsid w:val="003C4878"/>
    <w:rsid w:val="003D2845"/>
    <w:rsid w:val="00417F6C"/>
    <w:rsid w:val="00427EDA"/>
    <w:rsid w:val="004B17D4"/>
    <w:rsid w:val="004B4DE3"/>
    <w:rsid w:val="00501366"/>
    <w:rsid w:val="0057158E"/>
    <w:rsid w:val="005850A2"/>
    <w:rsid w:val="005D1664"/>
    <w:rsid w:val="005E360B"/>
    <w:rsid w:val="00634188"/>
    <w:rsid w:val="00637A08"/>
    <w:rsid w:val="00656EA3"/>
    <w:rsid w:val="00660FEE"/>
    <w:rsid w:val="006D4E6C"/>
    <w:rsid w:val="0073249D"/>
    <w:rsid w:val="007372BF"/>
    <w:rsid w:val="00752B23"/>
    <w:rsid w:val="008326D7"/>
    <w:rsid w:val="00890CEF"/>
    <w:rsid w:val="00897668"/>
    <w:rsid w:val="008A564F"/>
    <w:rsid w:val="008E51BB"/>
    <w:rsid w:val="0091361E"/>
    <w:rsid w:val="0095473F"/>
    <w:rsid w:val="00964DAF"/>
    <w:rsid w:val="009C6847"/>
    <w:rsid w:val="00A307CB"/>
    <w:rsid w:val="00A63D27"/>
    <w:rsid w:val="00AB1EB6"/>
    <w:rsid w:val="00AD4776"/>
    <w:rsid w:val="00AF131B"/>
    <w:rsid w:val="00AF20DF"/>
    <w:rsid w:val="00AF50EC"/>
    <w:rsid w:val="00BA6B1A"/>
    <w:rsid w:val="00BF17E4"/>
    <w:rsid w:val="00D075D9"/>
    <w:rsid w:val="00D46C9E"/>
    <w:rsid w:val="00D47418"/>
    <w:rsid w:val="00D47F86"/>
    <w:rsid w:val="00D62F46"/>
    <w:rsid w:val="00D936FB"/>
    <w:rsid w:val="00E401F3"/>
    <w:rsid w:val="00E71394"/>
    <w:rsid w:val="00EC79C7"/>
    <w:rsid w:val="00F36970"/>
    <w:rsid w:val="00F373A1"/>
    <w:rsid w:val="00F633AE"/>
    <w:rsid w:val="00F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970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C68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CA08016993649B987301C6C20DE93" ma:contentTypeVersion="11" ma:contentTypeDescription="Create a new document." ma:contentTypeScope="" ma:versionID="98311d9989e4c897d3cc24c90f880884">
  <xsd:schema xmlns:xsd="http://www.w3.org/2001/XMLSchema" xmlns:xs="http://www.w3.org/2001/XMLSchema" xmlns:p="http://schemas.microsoft.com/office/2006/metadata/properties" xmlns:ns2="ddee4349-d6c5-476b-a1c6-d791a1a12d6c" xmlns:ns3="efa07f0a-2279-4397-9381-96c735bff43a" targetNamespace="http://schemas.microsoft.com/office/2006/metadata/properties" ma:root="true" ma:fieldsID="758b12117d4f221b364c9452483c6b36" ns2:_="" ns3:_="">
    <xsd:import namespace="ddee4349-d6c5-476b-a1c6-d791a1a12d6c"/>
    <xsd:import namespace="efa07f0a-2279-4397-9381-96c735bff43a"/>
    <xsd:element name="properties">
      <xsd:complexType>
        <xsd:sequence>
          <xsd:element name="documentManagement">
            <xsd:complexType>
              <xsd:all>
                <xsd:element ref="ns2:Feedback_x0020_type" minOccurs="0"/>
                <xsd:element ref="ns2:Allow_x0020_uploads" minOccurs="0"/>
                <xsd:element ref="ns2:Allow_x0020_comments" minOccurs="0"/>
                <xsd:element ref="ns2:Deadlin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4349-d6c5-476b-a1c6-d791a1a12d6c" elementFormDefault="qualified">
    <xsd:import namespace="http://schemas.microsoft.com/office/2006/documentManagement/types"/>
    <xsd:import namespace="http://schemas.microsoft.com/office/infopath/2007/PartnerControls"/>
    <xsd:element name="Feedback_x0020_type" ma:index="8" nillable="true" ma:displayName="Feedback type" ma:internalName="Feedback_x0020_type">
      <xsd:simpleType>
        <xsd:restriction base="dms:Text"/>
      </xsd:simpleType>
    </xsd:element>
    <xsd:element name="Allow_x0020_uploads" ma:index="9" nillable="true" ma:displayName="Allow uploads" ma:internalName="Allow_x0020_uploads">
      <xsd:simpleType>
        <xsd:restriction base="dms:Boolean"/>
      </xsd:simpleType>
    </xsd:element>
    <xsd:element name="Allow_x0020_comments" ma:index="10" nillable="true" ma:displayName="Allow comments" ma:internalName="Allow_x0020_comments">
      <xsd:simpleType>
        <xsd:restriction base="dms:Boolean"/>
      </xsd:simpleType>
    </xsd:element>
    <xsd:element name="Deadline" ma:index="11" nillable="true" ma:displayName="Deadline" ma:internalName="Deadline">
      <xsd:simpleType>
        <xsd:restriction base="dms:DateTime"/>
      </xsd:simpleType>
    </xsd:element>
    <xsd:element name="Leading_x0020_document" ma:index="12" nillable="true" ma:displayName="Leading document" ma:internalName="Leading_x0020_document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07f0a-2279-4397-9381-96c735bff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a07f0a-2279-4397-9381-96c735bff43a">
      <UserInfo>
        <DisplayName>Luca Motta</DisplayName>
        <AccountId>8660</AccountId>
        <AccountType/>
      </UserInfo>
      <UserInfo>
        <DisplayName>Philippe Angelis</DisplayName>
        <AccountId>75</AccountId>
        <AccountType/>
      </UserInfo>
    </SharedWithUsers>
    <Deadline xmlns="ddee4349-d6c5-476b-a1c6-d791a1a12d6c" xsi:nil="true"/>
    <Feedback_x0020_type xmlns="ddee4349-d6c5-476b-a1c6-d791a1a12d6c" xsi:nil="true"/>
    <Allow_x0020_uploads xmlns="ddee4349-d6c5-476b-a1c6-d791a1a12d6c" xsi:nil="true"/>
    <Allow_x0020_comments xmlns="ddee4349-d6c5-476b-a1c6-d791a1a12d6c" xsi:nil="true"/>
    <Leading_x0020_document xmlns="ddee4349-d6c5-476b-a1c6-d791a1a12d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B39D1-0812-4F2E-8654-B1A564EFB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4349-d6c5-476b-a1c6-d791a1a12d6c"/>
    <ds:schemaRef ds:uri="efa07f0a-2279-4397-9381-96c735bff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485A1-11AA-442D-8577-727460E39C5A}">
  <ds:schemaRefs>
    <ds:schemaRef ds:uri="http://schemas.microsoft.com/office/2006/metadata/properties"/>
    <ds:schemaRef ds:uri="http://schemas.microsoft.com/office/infopath/2007/PartnerControls"/>
    <ds:schemaRef ds:uri="efa07f0a-2279-4397-9381-96c735bff43a"/>
    <ds:schemaRef ds:uri="ddee4349-d6c5-476b-a1c6-d791a1a12d6c"/>
  </ds:schemaRefs>
</ds:datastoreItem>
</file>

<file path=customXml/itemProps3.xml><?xml version="1.0" encoding="utf-8"?>
<ds:datastoreItem xmlns:ds="http://schemas.openxmlformats.org/officeDocument/2006/customXml" ds:itemID="{63827B13-D241-4323-B7A9-75B7AD1AA6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0DC3C-DEE0-460C-B589-0465E6B4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(Re)insurers' views on the potential SFDR level 1 review and the introduction of a categorisation system</vt:lpstr>
    </vt:vector>
  </TitlesOfParts>
  <Company>Insurance Europe</Company>
  <LinksUpToDate>false</LinksUpToDate>
  <CharactersWithSpaces>6257</CharactersWithSpaces>
  <SharedDoc>false</SharedDoc>
  <HLinks>
    <vt:vector size="24" baseType="variant">
      <vt:variant>
        <vt:i4>87</vt:i4>
      </vt:variant>
      <vt:variant>
        <vt:i4>3</vt:i4>
      </vt:variant>
      <vt:variant>
        <vt:i4>0</vt:i4>
      </vt:variant>
      <vt:variant>
        <vt:i4>5</vt:i4>
      </vt:variant>
      <vt:variant>
        <vt:lpwstr>https://insuranceeurope.sharepoint.com/sites/extranet/SitePages/Corporate-Reporting-Investments-and-Sustainable-Finance-WG-Home.aspx?file=2024%2FECO-CRISF-24-068.docx&amp;fid=80239&amp;/Corporate%20Reporting%20%20Investments%20%20Sustainable%20Fina</vt:lpwstr>
      </vt:variant>
      <vt:variant>
        <vt:lpwstr/>
      </vt:variant>
      <vt:variant>
        <vt:i4>1179739</vt:i4>
      </vt:variant>
      <vt:variant>
        <vt:i4>0</vt:i4>
      </vt:variant>
      <vt:variant>
        <vt:i4>0</vt:i4>
      </vt:variant>
      <vt:variant>
        <vt:i4>5</vt:i4>
      </vt:variant>
      <vt:variant>
        <vt:lpwstr>https://insuranceeurope.sharepoint.com/sites/extranet/Corporate Reporting  Investments  Sustainable Fina/2023/ECO-LTI-23-100.pdf</vt:lpwstr>
      </vt:variant>
      <vt:variant>
        <vt:lpwstr/>
      </vt:variant>
      <vt:variant>
        <vt:i4>524338</vt:i4>
      </vt:variant>
      <vt:variant>
        <vt:i4>11</vt:i4>
      </vt:variant>
      <vt:variant>
        <vt:i4>0</vt:i4>
      </vt:variant>
      <vt:variant>
        <vt:i4>5</vt:i4>
      </vt:variant>
      <vt:variant>
        <vt:lpwstr>mailto:info@insuranceeurope.eu</vt:lpwstr>
      </vt:variant>
      <vt:variant>
        <vt:lpwstr/>
      </vt:variant>
      <vt:variant>
        <vt:i4>2949186</vt:i4>
      </vt:variant>
      <vt:variant>
        <vt:i4>5</vt:i4>
      </vt:variant>
      <vt:variant>
        <vt:i4>0</vt:i4>
      </vt:variant>
      <vt:variant>
        <vt:i4>5</vt:i4>
      </vt:variant>
      <vt:variant>
        <vt:lpwstr>https://finance.ec.europa.eu/sustainable-finance/disclosures/sustainability-related-disclosure-financial-services-sector_en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(Re)insurers' views on the potential SFDR level 1 review and the introduction of a categorisation system</dc:title>
  <dc:subject/>
  <dc:creator>Insurance Europe</dc:creator>
  <cp:keywords/>
  <cp:lastModifiedBy>jozef.bachnicek</cp:lastModifiedBy>
  <cp:revision>3</cp:revision>
  <dcterms:created xsi:type="dcterms:W3CDTF">2024-06-28T06:21:00Z</dcterms:created>
  <dcterms:modified xsi:type="dcterms:W3CDTF">2024-06-28T06:23:00Z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0x010100F10CA08016993649B987301C6C20DE93</vt:lpwstr>
  </property>
  <property fmtid="{D5CDD505-2E9C-101B-9397-08002B2CF9AE}" pid="3" name="_dlc_DocIdItemGuid">
    <vt:lpwstr>53f2ccfc-cb5c-4b2a-a083-e4a7e98f292e</vt:lpwstr>
  </property>
</Properties>
</file>