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892" w:rsidRPr="00DD6756" w:rsidRDefault="00FD6478" w:rsidP="00123892">
      <w:pPr>
        <w:pStyle w:val="Kontrastntext"/>
        <w:rPr>
          <w:rStyle w:val="Nadpis1Char"/>
          <w:rFonts w:asciiTheme="majorHAnsi" w:hAnsiTheme="majorHAnsi"/>
          <w:sz w:val="32"/>
        </w:rPr>
      </w:pPr>
      <w:sdt>
        <w:sdtPr>
          <w:rPr>
            <w:rStyle w:val="Nadpis1Char"/>
            <w:rFonts w:cs="Times New Roman"/>
            <w:sz w:val="32"/>
          </w:rPr>
          <w:alias w:val="Názov"/>
          <w:tag w:val=""/>
          <w:id w:val="-800153936"/>
          <w:placeholder>
            <w:docPart w:val="2E85EE9393344B16BF64196E365909E1"/>
          </w:placeholder>
          <w:dataBinding w:prefixMappings="xmlns:ns0='http://purl.org/dc/elements/1.1/' xmlns:ns1='http://schemas.openxmlformats.org/package/2006/metadata/core-properties' " w:xpath="/ns1:coreProperties[1]/ns0:title[1]" w:storeItemID="{6C3C8BC8-F283-45AE-878A-BAB7291924A1}"/>
          <w:text/>
        </w:sdtPr>
        <w:sdtEndPr>
          <w:rPr>
            <w:rStyle w:val="Nadpis1Char"/>
          </w:rPr>
        </w:sdtEndPr>
        <w:sdtContent>
          <w:r w:rsidR="00123892" w:rsidRPr="00B547DA">
            <w:rPr>
              <w:rStyle w:val="Nadpis1Char"/>
              <w:rFonts w:cs="Times New Roman"/>
              <w:sz w:val="32"/>
            </w:rPr>
            <w:t>Projekcie dôchodkov v II. pilieri</w:t>
          </w:r>
        </w:sdtContent>
      </w:sdt>
      <w:r w:rsidR="00123892">
        <w:rPr>
          <w:rStyle w:val="Nadpis1Char"/>
          <w:rFonts w:asciiTheme="majorHAnsi" w:hAnsiTheme="majorHAnsi"/>
          <w:sz w:val="32"/>
        </w:rPr>
        <w:tab/>
      </w:r>
    </w:p>
    <w:p w:rsidR="00123892" w:rsidRPr="00DD6756" w:rsidRDefault="00123892" w:rsidP="00123892">
      <w:pPr>
        <w:pStyle w:val="Kontrastntext"/>
      </w:pPr>
      <w:r w:rsidRPr="00DD6756">
        <w:t xml:space="preserve">Odbor dôchodkového sporenia </w:t>
      </w:r>
    </w:p>
    <w:p w:rsidR="00123892" w:rsidRPr="00DD6756" w:rsidRDefault="00123892" w:rsidP="00123892">
      <w:pPr>
        <w:pStyle w:val="Kontrastntext"/>
      </w:pPr>
      <w:r w:rsidRPr="00DD6756">
        <w:t>Sekcia sociálneho poistenia a dôchodkového sporenia,</w:t>
      </w:r>
    </w:p>
    <w:p w:rsidR="00123892" w:rsidRDefault="00123892" w:rsidP="00123892">
      <w:pPr>
        <w:pStyle w:val="Kontrastntext"/>
        <w:rPr>
          <w:szCs w:val="16"/>
        </w:rPr>
      </w:pPr>
      <w:r w:rsidRPr="00DD6756">
        <w:rPr>
          <w:szCs w:val="16"/>
        </w:rPr>
        <w:t>Ministerstvo práce, sociálnych vecí a rodiny SR</w:t>
      </w:r>
    </w:p>
    <w:p w:rsidR="00123892" w:rsidRPr="00DD6756" w:rsidRDefault="00123892" w:rsidP="00123892">
      <w:pPr>
        <w:pStyle w:val="Kontrastntext"/>
        <w:rPr>
          <w:sz w:val="16"/>
        </w:rPr>
      </w:pPr>
      <w:r>
        <w:rPr>
          <w:szCs w:val="16"/>
        </w:rPr>
        <w:t>2019</w:t>
      </w:r>
    </w:p>
    <w:p w:rsidR="00F44C03" w:rsidRPr="00075215" w:rsidRDefault="00F44C03" w:rsidP="00161D37">
      <w:pPr>
        <w:rPr>
          <w:b/>
          <w:sz w:val="24"/>
          <w:szCs w:val="24"/>
        </w:rPr>
      </w:pPr>
      <w:r w:rsidRPr="00075215">
        <w:rPr>
          <w:b/>
          <w:sz w:val="24"/>
          <w:szCs w:val="24"/>
        </w:rPr>
        <w:t xml:space="preserve">Jedným z dlhodobých cieľov Ministerstva práce sociálnych vecí a rodiny je zvýšenie informovanosti občanov o ich </w:t>
      </w:r>
      <w:r w:rsidR="006C0E76" w:rsidRPr="00075215">
        <w:rPr>
          <w:b/>
          <w:sz w:val="24"/>
          <w:szCs w:val="24"/>
        </w:rPr>
        <w:t>súčasných a hlavne budúcich</w:t>
      </w:r>
      <w:r w:rsidRPr="00075215">
        <w:rPr>
          <w:b/>
          <w:sz w:val="24"/>
          <w:szCs w:val="24"/>
        </w:rPr>
        <w:t xml:space="preserve"> dôchodkových nárokoch.</w:t>
      </w:r>
      <w:r w:rsidR="006C0E76" w:rsidRPr="00075215">
        <w:rPr>
          <w:b/>
          <w:sz w:val="24"/>
          <w:szCs w:val="24"/>
        </w:rPr>
        <w:t xml:space="preserve"> Len dobre informovaní občania budú schopní prijímať zodpovedné rozhodnutia vo vzťahu k ich individuálnemu dôchodkovému zabezpečeniu. V tejto súvislosti Sekcia sociálneho poistenia a dôchodkového sporenia pracuje na opatreniach</w:t>
      </w:r>
      <w:r w:rsidR="00A97A61">
        <w:rPr>
          <w:b/>
          <w:sz w:val="24"/>
          <w:szCs w:val="24"/>
        </w:rPr>
        <w:t>,</w:t>
      </w:r>
      <w:r w:rsidR="006C0E76" w:rsidRPr="00075215">
        <w:rPr>
          <w:b/>
          <w:sz w:val="24"/>
          <w:szCs w:val="24"/>
        </w:rPr>
        <w:t xml:space="preserve"> ktoré vytvárajú predpoklad pre postupné zavedenie konceptu tzv.</w:t>
      </w:r>
      <w:r w:rsidR="00D66718">
        <w:rPr>
          <w:b/>
          <w:sz w:val="24"/>
          <w:szCs w:val="24"/>
        </w:rPr>
        <w:t> </w:t>
      </w:r>
      <w:r w:rsidR="006C0E76" w:rsidRPr="00075215">
        <w:rPr>
          <w:b/>
          <w:sz w:val="24"/>
          <w:szCs w:val="24"/>
        </w:rPr>
        <w:t>„</w:t>
      </w:r>
      <w:r w:rsidR="00B547DA" w:rsidRPr="00075215">
        <w:rPr>
          <w:b/>
          <w:sz w:val="24"/>
          <w:szCs w:val="24"/>
        </w:rPr>
        <w:t>o</w:t>
      </w:r>
      <w:r w:rsidR="006C0E76" w:rsidRPr="00075215">
        <w:rPr>
          <w:b/>
          <w:sz w:val="24"/>
          <w:szCs w:val="24"/>
        </w:rPr>
        <w:t>ranžovej obálky“</w:t>
      </w:r>
      <w:r w:rsidR="00B547DA" w:rsidRPr="00075215">
        <w:rPr>
          <w:rStyle w:val="Odkaznapoznmkupodiarou"/>
          <w:b/>
          <w:sz w:val="24"/>
          <w:szCs w:val="24"/>
        </w:rPr>
        <w:footnoteReference w:id="1"/>
      </w:r>
      <w:r w:rsidR="006C0E76" w:rsidRPr="00075215">
        <w:rPr>
          <w:b/>
          <w:sz w:val="24"/>
          <w:szCs w:val="24"/>
        </w:rPr>
        <w:t xml:space="preserve"> na Slovensku. </w:t>
      </w:r>
      <w:r w:rsidR="00161D37" w:rsidRPr="00075215">
        <w:rPr>
          <w:b/>
          <w:sz w:val="24"/>
          <w:szCs w:val="24"/>
        </w:rPr>
        <w:t xml:space="preserve">Prvým krokom bolo v tejto súvislosti opatrenie </w:t>
      </w:r>
      <w:r w:rsidR="00161D37" w:rsidRPr="00075215">
        <w:rPr>
          <w:b/>
          <w:i/>
          <w:sz w:val="24"/>
          <w:szCs w:val="24"/>
        </w:rPr>
        <w:t>č. 295/2018 Z. z., ktorým sa ustanovujú vzory výpisov z osobného účtu a výkazov v doplnkovom dôchodkovom sporení</w:t>
      </w:r>
      <w:r w:rsidR="00161D37" w:rsidRPr="00075215">
        <w:rPr>
          <w:b/>
          <w:sz w:val="24"/>
          <w:szCs w:val="24"/>
        </w:rPr>
        <w:t>. Prostredníctvom nových výpisov dostali všetci účastníci v III. pilieri</w:t>
      </w:r>
      <w:r w:rsidR="007D42B3" w:rsidRPr="00075215">
        <w:rPr>
          <w:b/>
          <w:sz w:val="24"/>
          <w:szCs w:val="24"/>
        </w:rPr>
        <w:t xml:space="preserve"> okrem základných informáci</w:t>
      </w:r>
      <w:r w:rsidR="00D66718">
        <w:rPr>
          <w:b/>
          <w:sz w:val="24"/>
          <w:szCs w:val="24"/>
        </w:rPr>
        <w:t>í</w:t>
      </w:r>
      <w:r w:rsidR="007D42B3" w:rsidRPr="00075215">
        <w:rPr>
          <w:b/>
          <w:sz w:val="24"/>
          <w:szCs w:val="24"/>
        </w:rPr>
        <w:t xml:space="preserve"> o doplnkovom dôchodkovom sporení</w:t>
      </w:r>
      <w:r w:rsidR="00161D37" w:rsidRPr="00075215">
        <w:rPr>
          <w:b/>
          <w:sz w:val="24"/>
          <w:szCs w:val="24"/>
        </w:rPr>
        <w:t xml:space="preserve"> </w:t>
      </w:r>
      <w:r w:rsidR="007D42B3" w:rsidRPr="00075215">
        <w:rPr>
          <w:b/>
          <w:sz w:val="24"/>
          <w:szCs w:val="24"/>
        </w:rPr>
        <w:t>aj</w:t>
      </w:r>
      <w:r w:rsidR="00161D37" w:rsidRPr="00075215">
        <w:rPr>
          <w:b/>
          <w:sz w:val="24"/>
          <w:szCs w:val="24"/>
        </w:rPr>
        <w:t> </w:t>
      </w:r>
      <w:r w:rsidR="007D42B3" w:rsidRPr="00075215">
        <w:rPr>
          <w:b/>
          <w:sz w:val="24"/>
          <w:szCs w:val="24"/>
        </w:rPr>
        <w:t xml:space="preserve">individualizované </w:t>
      </w:r>
      <w:r w:rsidR="00161D37" w:rsidRPr="00075215">
        <w:rPr>
          <w:b/>
          <w:sz w:val="24"/>
          <w:szCs w:val="24"/>
        </w:rPr>
        <w:t>progn</w:t>
      </w:r>
      <w:r w:rsidR="007D42B3" w:rsidRPr="00075215">
        <w:rPr>
          <w:b/>
          <w:sz w:val="24"/>
          <w:szCs w:val="24"/>
        </w:rPr>
        <w:t>ózy</w:t>
      </w:r>
      <w:r w:rsidR="00161D37" w:rsidRPr="00075215">
        <w:rPr>
          <w:b/>
          <w:sz w:val="24"/>
          <w:szCs w:val="24"/>
        </w:rPr>
        <w:t xml:space="preserve"> ich dôchodkových dávok</w:t>
      </w:r>
      <w:r w:rsidR="007D42B3" w:rsidRPr="00075215">
        <w:rPr>
          <w:b/>
          <w:sz w:val="24"/>
          <w:szCs w:val="24"/>
        </w:rPr>
        <w:t>. Zvýšenie informovanosti sporiteľov v II. pilieri prostredníctvom inovovaných výpisov z osobného dôchodkového účtu  je ďalším  dôležitým krokom k</w:t>
      </w:r>
      <w:r w:rsidR="0063626A" w:rsidRPr="00075215">
        <w:rPr>
          <w:b/>
          <w:sz w:val="24"/>
          <w:szCs w:val="24"/>
        </w:rPr>
        <w:t> naplneniu cieľa zvýšenia</w:t>
      </w:r>
      <w:r w:rsidR="007D42B3" w:rsidRPr="00075215">
        <w:rPr>
          <w:b/>
          <w:sz w:val="24"/>
          <w:szCs w:val="24"/>
        </w:rPr>
        <w:t xml:space="preserve"> </w:t>
      </w:r>
      <w:r w:rsidR="0063626A" w:rsidRPr="00075215">
        <w:rPr>
          <w:b/>
          <w:sz w:val="24"/>
          <w:szCs w:val="24"/>
        </w:rPr>
        <w:t>informovanosti občanov o stave a perspektívach ich dôchodkového zabezpečenia. Najdôležitejšou časťou nových výpisov v II. pilieri</w:t>
      </w:r>
      <w:r w:rsidR="00D66718">
        <w:rPr>
          <w:b/>
          <w:sz w:val="24"/>
          <w:szCs w:val="24"/>
        </w:rPr>
        <w:t>,</w:t>
      </w:r>
      <w:r w:rsidR="0063626A" w:rsidRPr="00075215">
        <w:rPr>
          <w:b/>
          <w:sz w:val="24"/>
          <w:szCs w:val="24"/>
        </w:rPr>
        <w:t xml:space="preserve"> </w:t>
      </w:r>
      <w:r w:rsidR="00E6179D" w:rsidRPr="00075215">
        <w:rPr>
          <w:b/>
          <w:sz w:val="24"/>
          <w:szCs w:val="24"/>
        </w:rPr>
        <w:t xml:space="preserve">ktoré sporitelia dostanú prvýkrát v roku 2021 </w:t>
      </w:r>
      <w:r w:rsidR="0063626A" w:rsidRPr="00075215">
        <w:rPr>
          <w:b/>
          <w:sz w:val="24"/>
          <w:szCs w:val="24"/>
        </w:rPr>
        <w:t xml:space="preserve">budú podobne ako v III. pilieri prognózy budúcich dôchodkov. Výška budúceho dôchodku z II. piliera </w:t>
      </w:r>
      <w:r w:rsidR="00D66718">
        <w:rPr>
          <w:b/>
          <w:sz w:val="24"/>
          <w:szCs w:val="24"/>
        </w:rPr>
        <w:t xml:space="preserve">vo veľkej miere </w:t>
      </w:r>
      <w:r w:rsidR="0063626A" w:rsidRPr="00075215">
        <w:rPr>
          <w:b/>
          <w:sz w:val="24"/>
          <w:szCs w:val="24"/>
        </w:rPr>
        <w:t xml:space="preserve">závisí od príspevku sporiteľa, ktorý je v prípade povinných príspevkov odvodený od vymeriavacieho základu a od zhodnotenia dôchodkového fondu. </w:t>
      </w:r>
      <w:r w:rsidR="00D66718" w:rsidRPr="00075215">
        <w:rPr>
          <w:b/>
          <w:sz w:val="24"/>
          <w:szCs w:val="24"/>
        </w:rPr>
        <w:t xml:space="preserve">Odhad výšky budúceho príspevku sme určili pre každú vekovú skupinu. </w:t>
      </w:r>
      <w:r w:rsidR="0063626A" w:rsidRPr="00075215">
        <w:rPr>
          <w:b/>
          <w:sz w:val="24"/>
          <w:szCs w:val="24"/>
        </w:rPr>
        <w:t xml:space="preserve">Predpoklady zhodnotenia </w:t>
      </w:r>
      <w:r w:rsidR="009A68D0" w:rsidRPr="00075215">
        <w:rPr>
          <w:b/>
          <w:sz w:val="24"/>
          <w:szCs w:val="24"/>
        </w:rPr>
        <w:t xml:space="preserve">tak ako v III. pilieri majú </w:t>
      </w:r>
      <w:proofErr w:type="spellStart"/>
      <w:r w:rsidR="009A68D0" w:rsidRPr="00075215">
        <w:rPr>
          <w:b/>
          <w:sz w:val="24"/>
          <w:szCs w:val="24"/>
        </w:rPr>
        <w:t>stochastický</w:t>
      </w:r>
      <w:proofErr w:type="spellEnd"/>
      <w:r w:rsidR="009A68D0" w:rsidRPr="00075215">
        <w:rPr>
          <w:b/>
          <w:sz w:val="24"/>
          <w:szCs w:val="24"/>
        </w:rPr>
        <w:t xml:space="preserve"> charakter a vychádzajú z historických údajov vývoja </w:t>
      </w:r>
      <w:r w:rsidR="00072888" w:rsidRPr="00075215">
        <w:rPr>
          <w:b/>
          <w:sz w:val="24"/>
          <w:szCs w:val="24"/>
        </w:rPr>
        <w:t xml:space="preserve">kľúčových ekonomických veličín. </w:t>
      </w:r>
    </w:p>
    <w:p w:rsidR="00BE70F2" w:rsidRPr="00075215" w:rsidRDefault="008F1B9E" w:rsidP="00542F9A">
      <w:pPr>
        <w:rPr>
          <w:sz w:val="24"/>
          <w:szCs w:val="24"/>
        </w:rPr>
      </w:pPr>
      <w:r w:rsidRPr="00075215">
        <w:rPr>
          <w:sz w:val="24"/>
          <w:szCs w:val="24"/>
        </w:rPr>
        <w:t xml:space="preserve">Pri odhade budúcej výšky </w:t>
      </w:r>
      <w:r w:rsidR="001D2136" w:rsidRPr="00075215">
        <w:rPr>
          <w:sz w:val="24"/>
          <w:szCs w:val="24"/>
        </w:rPr>
        <w:t>dôchodkov</w:t>
      </w:r>
      <w:r w:rsidRPr="00075215">
        <w:rPr>
          <w:sz w:val="24"/>
          <w:szCs w:val="24"/>
        </w:rPr>
        <w:t xml:space="preserve"> z fondových dôchodkových systémov je okrem zhodnotenia, ktoré je závislé od výnosovo rizikového profilu investície (dôchodkového fondu)</w:t>
      </w:r>
      <w:r w:rsidR="00D66718">
        <w:rPr>
          <w:sz w:val="24"/>
          <w:szCs w:val="24"/>
        </w:rPr>
        <w:t>,</w:t>
      </w:r>
      <w:r w:rsidRPr="00075215">
        <w:rPr>
          <w:sz w:val="24"/>
          <w:szCs w:val="24"/>
        </w:rPr>
        <w:t xml:space="preserve"> </w:t>
      </w:r>
      <w:r w:rsidR="00D66718">
        <w:rPr>
          <w:sz w:val="24"/>
          <w:szCs w:val="24"/>
        </w:rPr>
        <w:t>dôležitá aj</w:t>
      </w:r>
      <w:r w:rsidR="00D66718" w:rsidRPr="00075215">
        <w:rPr>
          <w:sz w:val="24"/>
          <w:szCs w:val="24"/>
        </w:rPr>
        <w:t xml:space="preserve"> </w:t>
      </w:r>
      <w:r w:rsidRPr="00075215">
        <w:rPr>
          <w:sz w:val="24"/>
          <w:szCs w:val="24"/>
        </w:rPr>
        <w:t xml:space="preserve">správna predikcia vývoja výšky príspevkov do systému. V štandardných zamestnaneckých alebo osobných dôchodkových schémach je celkový príspevok tvorený </w:t>
      </w:r>
      <w:r w:rsidRPr="00075215">
        <w:rPr>
          <w:sz w:val="24"/>
          <w:szCs w:val="24"/>
        </w:rPr>
        <w:lastRenderedPageBreak/>
        <w:t>príspevkom zamestnávateľa v prospech svojho zamestnanca a príspevkom samotného účastníka dôchodkovej schémy. Výška príspevkov môže byť fixná alebo variabilná v závislosti od dohodnutých podmienok ukotvených v zamestnávateľskej a účastníckej zmluve alebo od podmienok definovaných v príslušnej legislatíve.</w:t>
      </w:r>
      <w:r w:rsidR="00192DCB" w:rsidRPr="00075215">
        <w:rPr>
          <w:sz w:val="24"/>
          <w:szCs w:val="24"/>
        </w:rPr>
        <w:t xml:space="preserve"> Podobne je to aj III. pilieri na Slovensku, kde je výška celkového príspevku determinovaná ochot</w:t>
      </w:r>
      <w:r w:rsidR="00D66718">
        <w:rPr>
          <w:sz w:val="24"/>
          <w:szCs w:val="24"/>
        </w:rPr>
        <w:t>ou</w:t>
      </w:r>
      <w:r w:rsidR="00192DCB" w:rsidRPr="00075215">
        <w:rPr>
          <w:sz w:val="24"/>
          <w:szCs w:val="24"/>
        </w:rPr>
        <w:t xml:space="preserve"> a schopnos</w:t>
      </w:r>
      <w:r w:rsidR="00D66718">
        <w:rPr>
          <w:sz w:val="24"/>
          <w:szCs w:val="24"/>
        </w:rPr>
        <w:t>ťou</w:t>
      </w:r>
      <w:r w:rsidR="00192DCB" w:rsidRPr="00075215">
        <w:rPr>
          <w:sz w:val="24"/>
          <w:szCs w:val="24"/>
        </w:rPr>
        <w:t xml:space="preserve"> zamestnávateľa a zamestnanca dobrovoľne prispievať do systému doplnkového dôchodkového sporenia</w:t>
      </w:r>
      <w:r w:rsidR="00192DCB" w:rsidRPr="00075215">
        <w:rPr>
          <w:rStyle w:val="Odkaznapoznmkupodiarou"/>
          <w:sz w:val="24"/>
          <w:szCs w:val="24"/>
        </w:rPr>
        <w:footnoteReference w:id="2"/>
      </w:r>
      <w:r w:rsidR="00192DCB" w:rsidRPr="00075215">
        <w:rPr>
          <w:sz w:val="24"/>
          <w:szCs w:val="24"/>
        </w:rPr>
        <w:t xml:space="preserve">. </w:t>
      </w:r>
    </w:p>
    <w:p w:rsidR="001F5B56" w:rsidRPr="00075215" w:rsidRDefault="00BE70F2" w:rsidP="00542F9A">
      <w:pPr>
        <w:rPr>
          <w:sz w:val="24"/>
          <w:szCs w:val="24"/>
        </w:rPr>
      </w:pPr>
      <w:r w:rsidRPr="00075215">
        <w:rPr>
          <w:b/>
          <w:sz w:val="24"/>
          <w:szCs w:val="24"/>
        </w:rPr>
        <w:t>Tabuľka 1: Vývoj priemerného príspevku účastníka a zamestnávateľa v III. pilieri</w:t>
      </w:r>
      <w:r w:rsidR="00192DCB" w:rsidRPr="00D66718">
        <w:rPr>
          <w:b/>
          <w:sz w:val="24"/>
          <w:szCs w:val="24"/>
        </w:rPr>
        <w:t xml:space="preserve"> </w:t>
      </w:r>
      <w:r w:rsidR="00D66718" w:rsidRPr="00D66718">
        <w:rPr>
          <w:b/>
          <w:sz w:val="24"/>
          <w:szCs w:val="24"/>
        </w:rPr>
        <w:t>(v eurách)</w:t>
      </w:r>
    </w:p>
    <w:tbl>
      <w:tblPr>
        <w:tblStyle w:val="Tabukasozoznamom3zvrazneni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616"/>
        <w:gridCol w:w="616"/>
        <w:gridCol w:w="616"/>
        <w:gridCol w:w="616"/>
        <w:gridCol w:w="616"/>
        <w:gridCol w:w="616"/>
        <w:gridCol w:w="616"/>
        <w:gridCol w:w="616"/>
        <w:gridCol w:w="616"/>
      </w:tblGrid>
      <w:tr w:rsidR="00745EED" w:rsidRPr="00075215" w:rsidTr="00C277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shd w:val="clear" w:color="auto" w:fill="95B3D7" w:themeFill="accent1" w:themeFillTint="99"/>
          </w:tcPr>
          <w:p w:rsidR="001F5B56" w:rsidRPr="00075215" w:rsidRDefault="001F5B56" w:rsidP="00542F9A">
            <w:pPr>
              <w:rPr>
                <w:sz w:val="20"/>
                <w:szCs w:val="20"/>
              </w:rPr>
            </w:pPr>
          </w:p>
        </w:tc>
        <w:tc>
          <w:tcPr>
            <w:tcW w:w="0" w:type="auto"/>
            <w:shd w:val="clear" w:color="auto" w:fill="95B3D7" w:themeFill="accent1" w:themeFillTint="99"/>
            <w:vAlign w:val="center"/>
          </w:tcPr>
          <w:p w:rsidR="001F5B56" w:rsidRPr="00075215" w:rsidRDefault="001F5B56" w:rsidP="00541593">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75215">
              <w:rPr>
                <w:sz w:val="20"/>
                <w:szCs w:val="20"/>
              </w:rPr>
              <w:t>2010</w:t>
            </w:r>
          </w:p>
        </w:tc>
        <w:tc>
          <w:tcPr>
            <w:tcW w:w="0" w:type="auto"/>
            <w:shd w:val="clear" w:color="auto" w:fill="95B3D7" w:themeFill="accent1" w:themeFillTint="99"/>
            <w:vAlign w:val="center"/>
          </w:tcPr>
          <w:p w:rsidR="001F5B56" w:rsidRPr="00075215" w:rsidRDefault="001F5B56" w:rsidP="00541593">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75215">
              <w:rPr>
                <w:sz w:val="20"/>
                <w:szCs w:val="20"/>
              </w:rPr>
              <w:t>2011</w:t>
            </w:r>
          </w:p>
        </w:tc>
        <w:tc>
          <w:tcPr>
            <w:tcW w:w="0" w:type="auto"/>
            <w:shd w:val="clear" w:color="auto" w:fill="95B3D7" w:themeFill="accent1" w:themeFillTint="99"/>
            <w:vAlign w:val="center"/>
          </w:tcPr>
          <w:p w:rsidR="001F5B56" w:rsidRPr="00075215" w:rsidRDefault="001F5B56" w:rsidP="00541593">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75215">
              <w:rPr>
                <w:sz w:val="20"/>
                <w:szCs w:val="20"/>
              </w:rPr>
              <w:t>2012</w:t>
            </w:r>
          </w:p>
        </w:tc>
        <w:tc>
          <w:tcPr>
            <w:tcW w:w="0" w:type="auto"/>
            <w:shd w:val="clear" w:color="auto" w:fill="95B3D7" w:themeFill="accent1" w:themeFillTint="99"/>
            <w:vAlign w:val="center"/>
          </w:tcPr>
          <w:p w:rsidR="001F5B56" w:rsidRPr="00075215" w:rsidRDefault="001F5B56" w:rsidP="00541593">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75215">
              <w:rPr>
                <w:sz w:val="20"/>
                <w:szCs w:val="20"/>
              </w:rPr>
              <w:t>2013</w:t>
            </w:r>
          </w:p>
        </w:tc>
        <w:tc>
          <w:tcPr>
            <w:tcW w:w="0" w:type="auto"/>
            <w:shd w:val="clear" w:color="auto" w:fill="95B3D7" w:themeFill="accent1" w:themeFillTint="99"/>
            <w:vAlign w:val="center"/>
          </w:tcPr>
          <w:p w:rsidR="001F5B56" w:rsidRPr="00075215" w:rsidRDefault="001F5B56" w:rsidP="00541593">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75215">
              <w:rPr>
                <w:sz w:val="20"/>
                <w:szCs w:val="20"/>
              </w:rPr>
              <w:t>2014</w:t>
            </w:r>
          </w:p>
        </w:tc>
        <w:tc>
          <w:tcPr>
            <w:tcW w:w="0" w:type="auto"/>
            <w:shd w:val="clear" w:color="auto" w:fill="95B3D7" w:themeFill="accent1" w:themeFillTint="99"/>
            <w:vAlign w:val="center"/>
          </w:tcPr>
          <w:p w:rsidR="001F5B56" w:rsidRPr="00075215" w:rsidRDefault="001F5B56" w:rsidP="00541593">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75215">
              <w:rPr>
                <w:sz w:val="20"/>
                <w:szCs w:val="20"/>
              </w:rPr>
              <w:t>2015</w:t>
            </w:r>
          </w:p>
        </w:tc>
        <w:tc>
          <w:tcPr>
            <w:tcW w:w="0" w:type="auto"/>
            <w:shd w:val="clear" w:color="auto" w:fill="95B3D7" w:themeFill="accent1" w:themeFillTint="99"/>
            <w:vAlign w:val="center"/>
          </w:tcPr>
          <w:p w:rsidR="001F5B56" w:rsidRPr="00075215" w:rsidRDefault="001F5B56" w:rsidP="00541593">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75215">
              <w:rPr>
                <w:sz w:val="20"/>
                <w:szCs w:val="20"/>
              </w:rPr>
              <w:t>2016</w:t>
            </w:r>
          </w:p>
        </w:tc>
        <w:tc>
          <w:tcPr>
            <w:tcW w:w="0" w:type="auto"/>
            <w:shd w:val="clear" w:color="auto" w:fill="95B3D7" w:themeFill="accent1" w:themeFillTint="99"/>
            <w:vAlign w:val="center"/>
          </w:tcPr>
          <w:p w:rsidR="001F5B56" w:rsidRPr="00075215" w:rsidRDefault="001F5B56" w:rsidP="00541593">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75215">
              <w:rPr>
                <w:sz w:val="20"/>
                <w:szCs w:val="20"/>
              </w:rPr>
              <w:t>2017</w:t>
            </w:r>
          </w:p>
        </w:tc>
        <w:tc>
          <w:tcPr>
            <w:tcW w:w="0" w:type="auto"/>
            <w:shd w:val="clear" w:color="auto" w:fill="95B3D7" w:themeFill="accent1" w:themeFillTint="99"/>
            <w:vAlign w:val="center"/>
          </w:tcPr>
          <w:p w:rsidR="001F5B56" w:rsidRPr="00075215" w:rsidRDefault="001F5B56" w:rsidP="00541593">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75215">
              <w:rPr>
                <w:sz w:val="20"/>
                <w:szCs w:val="20"/>
              </w:rPr>
              <w:t>2018</w:t>
            </w:r>
          </w:p>
        </w:tc>
      </w:tr>
      <w:tr w:rsidR="00745EED" w:rsidRPr="00075215" w:rsidTr="00C27768">
        <w:trPr>
          <w:cnfStyle w:val="000000100000" w:firstRow="0" w:lastRow="0" w:firstColumn="0" w:lastColumn="0" w:oddVBand="0" w:evenVBand="0" w:oddHBand="1" w:evenHBand="0" w:firstRowFirstColumn="0" w:firstRowLastColumn="0" w:lastRowFirstColumn="0" w:lastRowLastColumn="0"/>
          <w:trHeight w:val="145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vAlign w:val="center"/>
          </w:tcPr>
          <w:p w:rsidR="00745EED" w:rsidRPr="00075215" w:rsidRDefault="00745EED" w:rsidP="00541593">
            <w:pPr>
              <w:spacing w:before="0" w:after="0"/>
              <w:jc w:val="center"/>
              <w:rPr>
                <w:b w:val="0"/>
                <w:sz w:val="20"/>
                <w:szCs w:val="20"/>
              </w:rPr>
            </w:pPr>
            <w:r w:rsidRPr="00075215">
              <w:rPr>
                <w:sz w:val="20"/>
                <w:szCs w:val="20"/>
              </w:rPr>
              <w:t>Priemerný príspevok účastníka</w:t>
            </w:r>
          </w:p>
          <w:p w:rsidR="00745EED" w:rsidRPr="00075215" w:rsidRDefault="00745EED" w:rsidP="00541593">
            <w:pPr>
              <w:spacing w:before="0" w:after="0"/>
              <w:jc w:val="center"/>
              <w:rPr>
                <w:b w:val="0"/>
                <w:sz w:val="20"/>
                <w:szCs w:val="20"/>
              </w:rPr>
            </w:pPr>
            <w:r w:rsidRPr="00075215">
              <w:rPr>
                <w:sz w:val="20"/>
                <w:szCs w:val="20"/>
              </w:rPr>
              <w:t>(k počtu príspevkov)</w:t>
            </w:r>
          </w:p>
        </w:tc>
        <w:tc>
          <w:tcPr>
            <w:tcW w:w="0" w:type="auto"/>
            <w:tcBorders>
              <w:top w:val="none" w:sz="0" w:space="0" w:color="auto"/>
              <w:bottom w:val="none" w:sz="0" w:space="0" w:color="auto"/>
            </w:tcBorders>
            <w:vAlign w:val="center"/>
          </w:tcPr>
          <w:p w:rsidR="001F5B56"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15,1</w:t>
            </w:r>
          </w:p>
        </w:tc>
        <w:tc>
          <w:tcPr>
            <w:tcW w:w="0" w:type="auto"/>
            <w:tcBorders>
              <w:top w:val="none" w:sz="0" w:space="0" w:color="auto"/>
              <w:bottom w:val="none" w:sz="0" w:space="0" w:color="auto"/>
            </w:tcBorders>
            <w:vAlign w:val="center"/>
          </w:tcPr>
          <w:p w:rsidR="001F5B56"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15,2</w:t>
            </w:r>
          </w:p>
        </w:tc>
        <w:tc>
          <w:tcPr>
            <w:tcW w:w="0" w:type="auto"/>
            <w:tcBorders>
              <w:top w:val="none" w:sz="0" w:space="0" w:color="auto"/>
              <w:bottom w:val="none" w:sz="0" w:space="0" w:color="auto"/>
            </w:tcBorders>
            <w:vAlign w:val="center"/>
          </w:tcPr>
          <w:p w:rsidR="001F5B56"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15,5</w:t>
            </w:r>
          </w:p>
        </w:tc>
        <w:tc>
          <w:tcPr>
            <w:tcW w:w="0" w:type="auto"/>
            <w:tcBorders>
              <w:top w:val="none" w:sz="0" w:space="0" w:color="auto"/>
              <w:bottom w:val="none" w:sz="0" w:space="0" w:color="auto"/>
            </w:tcBorders>
            <w:vAlign w:val="center"/>
          </w:tcPr>
          <w:p w:rsidR="001F5B56"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15,6</w:t>
            </w:r>
          </w:p>
        </w:tc>
        <w:tc>
          <w:tcPr>
            <w:tcW w:w="0" w:type="auto"/>
            <w:tcBorders>
              <w:top w:val="none" w:sz="0" w:space="0" w:color="auto"/>
              <w:bottom w:val="none" w:sz="0" w:space="0" w:color="auto"/>
            </w:tcBorders>
            <w:vAlign w:val="center"/>
          </w:tcPr>
          <w:p w:rsidR="001F5B56"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15,8</w:t>
            </w:r>
          </w:p>
        </w:tc>
        <w:tc>
          <w:tcPr>
            <w:tcW w:w="0" w:type="auto"/>
            <w:tcBorders>
              <w:top w:val="none" w:sz="0" w:space="0" w:color="auto"/>
              <w:bottom w:val="none" w:sz="0" w:space="0" w:color="auto"/>
            </w:tcBorders>
            <w:vAlign w:val="center"/>
          </w:tcPr>
          <w:p w:rsidR="001F5B56"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15,7</w:t>
            </w:r>
          </w:p>
        </w:tc>
        <w:tc>
          <w:tcPr>
            <w:tcW w:w="0" w:type="auto"/>
            <w:tcBorders>
              <w:top w:val="none" w:sz="0" w:space="0" w:color="auto"/>
              <w:bottom w:val="none" w:sz="0" w:space="0" w:color="auto"/>
            </w:tcBorders>
            <w:vAlign w:val="center"/>
          </w:tcPr>
          <w:p w:rsidR="001F5B56"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16,0</w:t>
            </w:r>
          </w:p>
        </w:tc>
        <w:tc>
          <w:tcPr>
            <w:tcW w:w="0" w:type="auto"/>
            <w:tcBorders>
              <w:top w:val="none" w:sz="0" w:space="0" w:color="auto"/>
              <w:bottom w:val="none" w:sz="0" w:space="0" w:color="auto"/>
            </w:tcBorders>
            <w:vAlign w:val="center"/>
          </w:tcPr>
          <w:p w:rsidR="001F5B56"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16,9</w:t>
            </w:r>
          </w:p>
        </w:tc>
        <w:tc>
          <w:tcPr>
            <w:tcW w:w="0" w:type="auto"/>
            <w:tcBorders>
              <w:top w:val="none" w:sz="0" w:space="0" w:color="auto"/>
              <w:bottom w:val="none" w:sz="0" w:space="0" w:color="auto"/>
            </w:tcBorders>
            <w:vAlign w:val="center"/>
          </w:tcPr>
          <w:p w:rsidR="001F5B56"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18,0</w:t>
            </w:r>
          </w:p>
        </w:tc>
      </w:tr>
      <w:tr w:rsidR="00745EED" w:rsidRPr="00075215" w:rsidTr="00C27768">
        <w:trPr>
          <w:trHeight w:val="145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vAlign w:val="center"/>
          </w:tcPr>
          <w:p w:rsidR="00745EED" w:rsidRPr="00075215" w:rsidRDefault="00745EED" w:rsidP="00541593">
            <w:pPr>
              <w:spacing w:before="0" w:after="0"/>
              <w:jc w:val="center"/>
              <w:rPr>
                <w:b w:val="0"/>
                <w:sz w:val="20"/>
                <w:szCs w:val="20"/>
              </w:rPr>
            </w:pPr>
            <w:r w:rsidRPr="00075215">
              <w:rPr>
                <w:sz w:val="20"/>
                <w:szCs w:val="20"/>
              </w:rPr>
              <w:t>Priemerný príspevok účastníka</w:t>
            </w:r>
          </w:p>
          <w:p w:rsidR="001F5B56" w:rsidRPr="00075215" w:rsidRDefault="00745EED" w:rsidP="00541593">
            <w:pPr>
              <w:spacing w:before="0" w:after="0"/>
              <w:jc w:val="center"/>
              <w:rPr>
                <w:b w:val="0"/>
                <w:sz w:val="20"/>
                <w:szCs w:val="20"/>
              </w:rPr>
            </w:pPr>
            <w:r w:rsidRPr="00075215">
              <w:rPr>
                <w:sz w:val="20"/>
                <w:szCs w:val="20"/>
              </w:rPr>
              <w:t>(k počtu účastníkov)</w:t>
            </w:r>
          </w:p>
        </w:tc>
        <w:tc>
          <w:tcPr>
            <w:tcW w:w="0" w:type="auto"/>
            <w:vAlign w:val="center"/>
          </w:tcPr>
          <w:p w:rsidR="001F5B56" w:rsidRPr="00075215" w:rsidRDefault="00745EED" w:rsidP="005415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75215">
              <w:rPr>
                <w:sz w:val="20"/>
                <w:szCs w:val="20"/>
              </w:rPr>
              <w:t>9,7</w:t>
            </w:r>
          </w:p>
        </w:tc>
        <w:tc>
          <w:tcPr>
            <w:tcW w:w="0" w:type="auto"/>
            <w:vAlign w:val="center"/>
          </w:tcPr>
          <w:p w:rsidR="001F5B56" w:rsidRPr="00075215" w:rsidRDefault="00745EED" w:rsidP="005415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75215">
              <w:rPr>
                <w:sz w:val="20"/>
                <w:szCs w:val="20"/>
              </w:rPr>
              <w:t>10,0</w:t>
            </w:r>
          </w:p>
        </w:tc>
        <w:tc>
          <w:tcPr>
            <w:tcW w:w="0" w:type="auto"/>
            <w:vAlign w:val="center"/>
          </w:tcPr>
          <w:p w:rsidR="001F5B56" w:rsidRPr="00075215" w:rsidRDefault="00745EED" w:rsidP="005415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75215">
              <w:rPr>
                <w:sz w:val="20"/>
                <w:szCs w:val="20"/>
              </w:rPr>
              <w:t>10,0</w:t>
            </w:r>
          </w:p>
        </w:tc>
        <w:tc>
          <w:tcPr>
            <w:tcW w:w="0" w:type="auto"/>
            <w:vAlign w:val="center"/>
          </w:tcPr>
          <w:p w:rsidR="001F5B56" w:rsidRPr="00075215" w:rsidRDefault="00745EED" w:rsidP="005415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75215">
              <w:rPr>
                <w:sz w:val="20"/>
                <w:szCs w:val="20"/>
              </w:rPr>
              <w:t>10,0</w:t>
            </w:r>
          </w:p>
        </w:tc>
        <w:tc>
          <w:tcPr>
            <w:tcW w:w="0" w:type="auto"/>
            <w:vAlign w:val="center"/>
          </w:tcPr>
          <w:p w:rsidR="001F5B56" w:rsidRPr="00075215" w:rsidRDefault="00745EED" w:rsidP="005415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75215">
              <w:rPr>
                <w:sz w:val="20"/>
                <w:szCs w:val="20"/>
              </w:rPr>
              <w:t>10,3</w:t>
            </w:r>
          </w:p>
        </w:tc>
        <w:tc>
          <w:tcPr>
            <w:tcW w:w="0" w:type="auto"/>
            <w:vAlign w:val="center"/>
          </w:tcPr>
          <w:p w:rsidR="001F5B56" w:rsidRPr="00075215" w:rsidRDefault="00745EED" w:rsidP="005415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75215">
              <w:rPr>
                <w:sz w:val="20"/>
                <w:szCs w:val="20"/>
              </w:rPr>
              <w:t>10,6</w:t>
            </w:r>
          </w:p>
        </w:tc>
        <w:tc>
          <w:tcPr>
            <w:tcW w:w="0" w:type="auto"/>
            <w:vAlign w:val="center"/>
          </w:tcPr>
          <w:p w:rsidR="001F5B56" w:rsidRPr="00075215" w:rsidRDefault="00745EED" w:rsidP="005415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75215">
              <w:rPr>
                <w:sz w:val="20"/>
                <w:szCs w:val="20"/>
              </w:rPr>
              <w:t>10,9</w:t>
            </w:r>
          </w:p>
        </w:tc>
        <w:tc>
          <w:tcPr>
            <w:tcW w:w="0" w:type="auto"/>
            <w:vAlign w:val="center"/>
          </w:tcPr>
          <w:p w:rsidR="001F5B56" w:rsidRPr="00075215" w:rsidRDefault="00745EED" w:rsidP="005415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75215">
              <w:rPr>
                <w:sz w:val="20"/>
                <w:szCs w:val="20"/>
              </w:rPr>
              <w:t>11,4</w:t>
            </w:r>
          </w:p>
        </w:tc>
        <w:tc>
          <w:tcPr>
            <w:tcW w:w="0" w:type="auto"/>
            <w:vAlign w:val="center"/>
          </w:tcPr>
          <w:p w:rsidR="001F5B56" w:rsidRPr="00075215" w:rsidRDefault="00745EED" w:rsidP="005415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75215">
              <w:rPr>
                <w:sz w:val="20"/>
                <w:szCs w:val="20"/>
              </w:rPr>
              <w:t>12,2</w:t>
            </w:r>
          </w:p>
        </w:tc>
      </w:tr>
      <w:tr w:rsidR="00745EED" w:rsidRPr="00075215" w:rsidTr="00C27768">
        <w:trPr>
          <w:cnfStyle w:val="000000100000" w:firstRow="0" w:lastRow="0" w:firstColumn="0" w:lastColumn="0" w:oddVBand="0" w:evenVBand="0" w:oddHBand="1" w:evenHBand="0" w:firstRowFirstColumn="0" w:firstRowLastColumn="0" w:lastRowFirstColumn="0" w:lastRowLastColumn="0"/>
          <w:trHeight w:val="145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vAlign w:val="center"/>
          </w:tcPr>
          <w:p w:rsidR="00745EED" w:rsidRPr="00075215" w:rsidRDefault="00745EED" w:rsidP="00541593">
            <w:pPr>
              <w:spacing w:before="0" w:after="0"/>
              <w:jc w:val="center"/>
              <w:rPr>
                <w:b w:val="0"/>
                <w:sz w:val="20"/>
                <w:szCs w:val="20"/>
              </w:rPr>
            </w:pPr>
            <w:r w:rsidRPr="00075215">
              <w:rPr>
                <w:sz w:val="20"/>
                <w:szCs w:val="20"/>
              </w:rPr>
              <w:t>Priemerný príspevok zamestnávateľa</w:t>
            </w:r>
          </w:p>
        </w:tc>
        <w:tc>
          <w:tcPr>
            <w:tcW w:w="0" w:type="auto"/>
            <w:tcBorders>
              <w:top w:val="none" w:sz="0" w:space="0" w:color="auto"/>
              <w:bottom w:val="none" w:sz="0" w:space="0" w:color="auto"/>
            </w:tcBorders>
            <w:vAlign w:val="center"/>
          </w:tcPr>
          <w:p w:rsidR="00745EED"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22,1</w:t>
            </w:r>
          </w:p>
        </w:tc>
        <w:tc>
          <w:tcPr>
            <w:tcW w:w="0" w:type="auto"/>
            <w:tcBorders>
              <w:top w:val="none" w:sz="0" w:space="0" w:color="auto"/>
              <w:bottom w:val="none" w:sz="0" w:space="0" w:color="auto"/>
            </w:tcBorders>
            <w:vAlign w:val="center"/>
          </w:tcPr>
          <w:p w:rsidR="00745EED"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23,5</w:t>
            </w:r>
          </w:p>
        </w:tc>
        <w:tc>
          <w:tcPr>
            <w:tcW w:w="0" w:type="auto"/>
            <w:tcBorders>
              <w:top w:val="none" w:sz="0" w:space="0" w:color="auto"/>
              <w:bottom w:val="none" w:sz="0" w:space="0" w:color="auto"/>
            </w:tcBorders>
            <w:vAlign w:val="center"/>
          </w:tcPr>
          <w:p w:rsidR="00745EED"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24,3</w:t>
            </w:r>
          </w:p>
        </w:tc>
        <w:tc>
          <w:tcPr>
            <w:tcW w:w="0" w:type="auto"/>
            <w:tcBorders>
              <w:top w:val="none" w:sz="0" w:space="0" w:color="auto"/>
              <w:bottom w:val="none" w:sz="0" w:space="0" w:color="auto"/>
            </w:tcBorders>
            <w:vAlign w:val="center"/>
          </w:tcPr>
          <w:p w:rsidR="00745EED"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24,7</w:t>
            </w:r>
          </w:p>
        </w:tc>
        <w:tc>
          <w:tcPr>
            <w:tcW w:w="0" w:type="auto"/>
            <w:tcBorders>
              <w:top w:val="none" w:sz="0" w:space="0" w:color="auto"/>
              <w:bottom w:val="none" w:sz="0" w:space="0" w:color="auto"/>
            </w:tcBorders>
            <w:vAlign w:val="center"/>
          </w:tcPr>
          <w:p w:rsidR="00745EED"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25,3</w:t>
            </w:r>
          </w:p>
        </w:tc>
        <w:tc>
          <w:tcPr>
            <w:tcW w:w="0" w:type="auto"/>
            <w:tcBorders>
              <w:top w:val="none" w:sz="0" w:space="0" w:color="auto"/>
              <w:bottom w:val="none" w:sz="0" w:space="0" w:color="auto"/>
            </w:tcBorders>
            <w:vAlign w:val="center"/>
          </w:tcPr>
          <w:p w:rsidR="00745EED"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25,6</w:t>
            </w:r>
          </w:p>
        </w:tc>
        <w:tc>
          <w:tcPr>
            <w:tcW w:w="0" w:type="auto"/>
            <w:tcBorders>
              <w:top w:val="none" w:sz="0" w:space="0" w:color="auto"/>
              <w:bottom w:val="none" w:sz="0" w:space="0" w:color="auto"/>
            </w:tcBorders>
            <w:vAlign w:val="center"/>
          </w:tcPr>
          <w:p w:rsidR="00745EED"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26,0</w:t>
            </w:r>
          </w:p>
        </w:tc>
        <w:tc>
          <w:tcPr>
            <w:tcW w:w="0" w:type="auto"/>
            <w:tcBorders>
              <w:top w:val="none" w:sz="0" w:space="0" w:color="auto"/>
              <w:bottom w:val="none" w:sz="0" w:space="0" w:color="auto"/>
            </w:tcBorders>
            <w:vAlign w:val="center"/>
          </w:tcPr>
          <w:p w:rsidR="00745EED"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26,9</w:t>
            </w:r>
          </w:p>
        </w:tc>
        <w:tc>
          <w:tcPr>
            <w:tcW w:w="0" w:type="auto"/>
            <w:tcBorders>
              <w:top w:val="none" w:sz="0" w:space="0" w:color="auto"/>
              <w:bottom w:val="none" w:sz="0" w:space="0" w:color="auto"/>
            </w:tcBorders>
            <w:vAlign w:val="center"/>
          </w:tcPr>
          <w:p w:rsidR="00745EED" w:rsidRPr="00075215" w:rsidRDefault="00745EED" w:rsidP="005415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75215">
              <w:rPr>
                <w:sz w:val="20"/>
                <w:szCs w:val="20"/>
              </w:rPr>
              <w:t>28,5</w:t>
            </w:r>
          </w:p>
        </w:tc>
      </w:tr>
    </w:tbl>
    <w:p w:rsidR="00192DCB" w:rsidRPr="00C27768" w:rsidRDefault="00192DCB" w:rsidP="00542F9A">
      <w:pPr>
        <w:rPr>
          <w:i/>
          <w:sz w:val="20"/>
          <w:szCs w:val="20"/>
        </w:rPr>
      </w:pPr>
      <w:r w:rsidRPr="00075215">
        <w:rPr>
          <w:sz w:val="24"/>
          <w:szCs w:val="24"/>
        </w:rPr>
        <w:t xml:space="preserve"> </w:t>
      </w:r>
      <w:r w:rsidR="00BE70F2" w:rsidRPr="00C27768">
        <w:rPr>
          <w:i/>
          <w:sz w:val="20"/>
          <w:szCs w:val="20"/>
        </w:rPr>
        <w:t xml:space="preserve">Zdroj: Prepočty </w:t>
      </w:r>
      <w:proofErr w:type="spellStart"/>
      <w:r w:rsidR="00BE70F2" w:rsidRPr="00C27768">
        <w:rPr>
          <w:i/>
          <w:sz w:val="20"/>
          <w:szCs w:val="20"/>
        </w:rPr>
        <w:t>MPSVaR</w:t>
      </w:r>
      <w:proofErr w:type="spellEnd"/>
    </w:p>
    <w:p w:rsidR="00174AB3" w:rsidRPr="00075215" w:rsidRDefault="00174AB3" w:rsidP="00542F9A">
      <w:pPr>
        <w:rPr>
          <w:sz w:val="24"/>
          <w:szCs w:val="24"/>
        </w:rPr>
      </w:pPr>
      <w:r w:rsidRPr="00075215">
        <w:rPr>
          <w:sz w:val="24"/>
          <w:szCs w:val="24"/>
        </w:rPr>
        <w:t xml:space="preserve">Z údajov </w:t>
      </w:r>
      <w:r w:rsidR="00D66718">
        <w:rPr>
          <w:sz w:val="24"/>
          <w:szCs w:val="24"/>
        </w:rPr>
        <w:t>v</w:t>
      </w:r>
      <w:r w:rsidR="00D66718" w:rsidRPr="00075215">
        <w:rPr>
          <w:sz w:val="24"/>
          <w:szCs w:val="24"/>
        </w:rPr>
        <w:t> tabuľk</w:t>
      </w:r>
      <w:r w:rsidR="00D66718">
        <w:rPr>
          <w:sz w:val="24"/>
          <w:szCs w:val="24"/>
        </w:rPr>
        <w:t>e</w:t>
      </w:r>
      <w:r w:rsidR="00D66718" w:rsidRPr="00075215">
        <w:rPr>
          <w:sz w:val="24"/>
          <w:szCs w:val="24"/>
        </w:rPr>
        <w:t xml:space="preserve"> </w:t>
      </w:r>
      <w:r w:rsidRPr="00075215">
        <w:rPr>
          <w:sz w:val="24"/>
          <w:szCs w:val="24"/>
        </w:rPr>
        <w:t>1 vyplýva, že výška príspevkov v III. pilieri je závislá najmä od</w:t>
      </w:r>
      <w:r w:rsidR="007A35AC" w:rsidRPr="00075215">
        <w:rPr>
          <w:sz w:val="24"/>
          <w:szCs w:val="24"/>
        </w:rPr>
        <w:t xml:space="preserve"> ekonomického cyklu. Pokrízové obdobie (od roku 2010 do 2014) bolo charakteristické stagnáciou výšky príspevok účastníka. K zvýšeniu dynamiky nárastu </w:t>
      </w:r>
      <w:r w:rsidR="00F23ABF" w:rsidRPr="00075215">
        <w:rPr>
          <w:sz w:val="24"/>
          <w:szCs w:val="24"/>
        </w:rPr>
        <w:t xml:space="preserve">príspevkov po roku 2015 prispela najmä zlepšujúca sa kondícia trhu práce spojená so silnejším tlakom na rast miezd. </w:t>
      </w:r>
      <w:r w:rsidR="00087EB3" w:rsidRPr="00075215">
        <w:rPr>
          <w:sz w:val="24"/>
          <w:szCs w:val="24"/>
        </w:rPr>
        <w:t>Kvôli tejto skutočnosti nie je</w:t>
      </w:r>
      <w:r w:rsidR="004146B8" w:rsidRPr="00075215">
        <w:rPr>
          <w:sz w:val="24"/>
          <w:szCs w:val="24"/>
        </w:rPr>
        <w:t xml:space="preserve"> vo výpise účastníka</w:t>
      </w:r>
      <w:r w:rsidR="00087EB3" w:rsidRPr="00075215">
        <w:rPr>
          <w:sz w:val="24"/>
          <w:szCs w:val="24"/>
        </w:rPr>
        <w:t xml:space="preserve"> pri výpočte prognóz dôchodkových dávok v III. pilieri aplikovaný spoločný predpoklad pre rast príspevku. Doplnková dôchodková spoločnosť môže uvažovať o predpoklade valorizácie príspevku v prognózach dôchodkových dávok tých účastníkov, u ktorých bol v poslednom období</w:t>
      </w:r>
      <w:r w:rsidR="00315216" w:rsidRPr="00075215">
        <w:rPr>
          <w:sz w:val="24"/>
          <w:szCs w:val="24"/>
        </w:rPr>
        <w:t xml:space="preserve"> preukázaný skutočný nárast príspevkov</w:t>
      </w:r>
      <w:r w:rsidR="00315216" w:rsidRPr="00075215">
        <w:rPr>
          <w:rStyle w:val="Odkaznapoznmkupodiarou"/>
          <w:sz w:val="24"/>
          <w:szCs w:val="24"/>
        </w:rPr>
        <w:footnoteReference w:id="3"/>
      </w:r>
      <w:r w:rsidR="00315216" w:rsidRPr="00075215">
        <w:rPr>
          <w:sz w:val="24"/>
          <w:szCs w:val="24"/>
        </w:rPr>
        <w:t xml:space="preserve">.  </w:t>
      </w:r>
      <w:r w:rsidR="00087EB3" w:rsidRPr="00075215">
        <w:rPr>
          <w:sz w:val="24"/>
          <w:szCs w:val="24"/>
        </w:rPr>
        <w:t xml:space="preserve">    </w:t>
      </w:r>
    </w:p>
    <w:p w:rsidR="008F1B9E" w:rsidRPr="00075215" w:rsidRDefault="008F1B9E" w:rsidP="00542F9A">
      <w:pPr>
        <w:rPr>
          <w:sz w:val="24"/>
          <w:szCs w:val="24"/>
        </w:rPr>
      </w:pPr>
      <w:r w:rsidRPr="00075215">
        <w:rPr>
          <w:sz w:val="24"/>
          <w:szCs w:val="24"/>
        </w:rPr>
        <w:lastRenderedPageBreak/>
        <w:t xml:space="preserve">V tzv. 1bis dôchodkových </w:t>
      </w:r>
      <w:r w:rsidR="00430ACF" w:rsidRPr="00075215">
        <w:rPr>
          <w:sz w:val="24"/>
          <w:szCs w:val="24"/>
        </w:rPr>
        <w:t>pilieroch</w:t>
      </w:r>
      <w:r w:rsidRPr="00075215">
        <w:rPr>
          <w:rStyle w:val="Odkaznapoznmkupodiarou"/>
          <w:rFonts w:cs="Times New Roman"/>
          <w:sz w:val="24"/>
          <w:szCs w:val="24"/>
        </w:rPr>
        <w:footnoteReference w:id="4"/>
      </w:r>
      <w:r w:rsidR="00D66718">
        <w:rPr>
          <w:sz w:val="24"/>
          <w:szCs w:val="24"/>
        </w:rPr>
        <w:t xml:space="preserve">, </w:t>
      </w:r>
      <w:r w:rsidRPr="00075215">
        <w:rPr>
          <w:sz w:val="24"/>
          <w:szCs w:val="24"/>
        </w:rPr>
        <w:t>ktoré sú charakteristické priamou konverziou medzi základným priebežne financovaným dôchodkovým systémom (PAYG) a fondovým systémom, je výška príspevkov závislá od odvedených prostriedkov do systému sociálneho a dôchodkového zabezpečenia</w:t>
      </w:r>
      <w:r w:rsidR="00F15DAF" w:rsidRPr="00075215">
        <w:rPr>
          <w:sz w:val="24"/>
          <w:szCs w:val="24"/>
        </w:rPr>
        <w:t xml:space="preserve"> (na Slovensku II. pilier)</w:t>
      </w:r>
      <w:r w:rsidRPr="00075215">
        <w:rPr>
          <w:sz w:val="24"/>
          <w:szCs w:val="24"/>
        </w:rPr>
        <w:t xml:space="preserve">. Keďže výška takto hradených príspevkov je odvodená od príjmu jednotlivca, tak aj budúce dôchodky zo systému závisia od jeho súčasného a predpokladaného </w:t>
      </w:r>
      <w:r w:rsidR="006016AB" w:rsidRPr="00075215">
        <w:rPr>
          <w:sz w:val="24"/>
          <w:szCs w:val="24"/>
        </w:rPr>
        <w:t>zárobku</w:t>
      </w:r>
      <w:r w:rsidRPr="00075215">
        <w:rPr>
          <w:sz w:val="24"/>
          <w:szCs w:val="24"/>
        </w:rPr>
        <w:t xml:space="preserve">. Správny odhad výšky budúceho príjmu je </w:t>
      </w:r>
      <w:r w:rsidR="00D66718">
        <w:rPr>
          <w:sz w:val="24"/>
          <w:szCs w:val="24"/>
        </w:rPr>
        <w:t>preto</w:t>
      </w:r>
      <w:r w:rsidR="00D66718" w:rsidRPr="00075215">
        <w:rPr>
          <w:sz w:val="24"/>
          <w:szCs w:val="24"/>
        </w:rPr>
        <w:t xml:space="preserve"> </w:t>
      </w:r>
      <w:r w:rsidRPr="00075215">
        <w:rPr>
          <w:sz w:val="24"/>
          <w:szCs w:val="24"/>
        </w:rPr>
        <w:t>kľúčovým predpokladom pre prognózu budúceho dôchodku.</w:t>
      </w:r>
      <w:r w:rsidR="00430ACF" w:rsidRPr="00075215">
        <w:rPr>
          <w:sz w:val="24"/>
          <w:szCs w:val="24"/>
        </w:rPr>
        <w:t xml:space="preserve"> </w:t>
      </w:r>
    </w:p>
    <w:p w:rsidR="008F1B9E" w:rsidRPr="00075215" w:rsidRDefault="003F3C20" w:rsidP="007D287B">
      <w:pPr>
        <w:rPr>
          <w:rFonts w:cs="Times New Roman"/>
          <w:sz w:val="24"/>
          <w:szCs w:val="24"/>
        </w:rPr>
      </w:pPr>
      <w:r w:rsidRPr="00075215">
        <w:rPr>
          <w:noProof/>
          <w:sz w:val="24"/>
          <w:szCs w:val="24"/>
          <w:lang w:eastAsia="sk-SK"/>
        </w:rPr>
        <mc:AlternateContent>
          <mc:Choice Requires="wps">
            <w:drawing>
              <wp:anchor distT="0" distB="0" distL="114300" distR="114300" simplePos="0" relativeHeight="251701248" behindDoc="1" locked="0" layoutInCell="1" allowOverlap="1" wp14:anchorId="22708C0E" wp14:editId="52B9B872">
                <wp:simplePos x="0" y="0"/>
                <wp:positionH relativeFrom="leftMargin">
                  <wp:posOffset>695325</wp:posOffset>
                </wp:positionH>
                <wp:positionV relativeFrom="paragraph">
                  <wp:posOffset>-78630</wp:posOffset>
                </wp:positionV>
                <wp:extent cx="1428750" cy="1419225"/>
                <wp:effectExtent l="0" t="0" r="0" b="9525"/>
                <wp:wrapNone/>
                <wp:docPr id="6" name="Blok textu 6"/>
                <wp:cNvGraphicFramePr/>
                <a:graphic xmlns:a="http://schemas.openxmlformats.org/drawingml/2006/main">
                  <a:graphicData uri="http://schemas.microsoft.com/office/word/2010/wordprocessingShape">
                    <wps:wsp>
                      <wps:cNvSpPr txBox="1"/>
                      <wps:spPr>
                        <a:xfrm>
                          <a:off x="0" y="0"/>
                          <a:ext cx="1428750" cy="1419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2888" w:rsidRPr="00363E20" w:rsidRDefault="00072888" w:rsidP="00072888">
                            <w:pPr>
                              <w:pStyle w:val="TextBox0"/>
                              <w:rPr>
                                <w:b w:val="0"/>
                                <w:i/>
                              </w:rPr>
                            </w:pPr>
                            <w:r w:rsidRPr="00363E20">
                              <w:rPr>
                                <w:rFonts w:cstheme="minorHAnsi"/>
                                <w:i/>
                                <w:smallCaps w:val="0"/>
                                <w:sz w:val="20"/>
                              </w:rPr>
                              <w:t>Príjmová krivka má konkávny tvar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Blok textu 6" o:spid="_x0000_s1026" type="#_x0000_t202" style="position:absolute;left:0;text-align:left;margin-left:54.75pt;margin-top:-6.2pt;width:112.5pt;height:111.75pt;z-index:-2516152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" fillcolor="white [3201]" stroked="f" strokeweight=".5pt">
                <v:textbox>
                  <w:txbxContent>
                    <w:p w:rsidR="00072888" w:rsidRPr="00363E20" w:rsidRDefault="00072888" w:rsidP="00072888">
                      <w:pPr>
                        <w:pStyle w:val="TextBox0"/>
                        <w:rPr>
                          <w:b w:val="0"/>
                          <w:i/>
                        </w:rPr>
                      </w:pPr>
                      <w:r w:rsidRPr="00363E20">
                        <w:rPr>
                          <w:rFonts w:cstheme="minorHAnsi"/>
                          <w:i/>
                          <w:smallCaps w:val="0"/>
                          <w:sz w:val="20"/>
                        </w:rPr>
                        <w:t>Príjmová krivka má konkávny tvar</w:t>
                      </w:r>
                    </w:p>
                  </w:txbxContent>
                </v:textbox>
                <w10:wrap anchorx="margin"/>
              </v:shape>
            </w:pict>
          </mc:Fallback>
        </mc:AlternateContent>
      </w:r>
      <w:r w:rsidR="008F1B9E" w:rsidRPr="00075215">
        <w:rPr>
          <w:rFonts w:cs="Times New Roman"/>
          <w:sz w:val="24"/>
          <w:szCs w:val="24"/>
        </w:rPr>
        <w:t>Príjmová krivka jednotlivca má podľa teórie ľudského kapitálu konkávny tvar, to znamená, že mzda na začiatku kariéry dynamicky stúpa a po dovŕšení vrcholu v strednom veku začne najskôr stagnovať</w:t>
      </w:r>
      <w:r w:rsidR="007F7185">
        <w:rPr>
          <w:rFonts w:cs="Times New Roman"/>
          <w:sz w:val="24"/>
          <w:szCs w:val="24"/>
        </w:rPr>
        <w:t xml:space="preserve"> a</w:t>
      </w:r>
      <w:r w:rsidR="008F1B9E" w:rsidRPr="00075215">
        <w:rPr>
          <w:rFonts w:cs="Times New Roman"/>
          <w:sz w:val="24"/>
          <w:szCs w:val="24"/>
        </w:rPr>
        <w:t xml:space="preserve"> neskôr na konci kariéry</w:t>
      </w:r>
      <w:r w:rsidR="00F15DAF" w:rsidRPr="00075215">
        <w:rPr>
          <w:rFonts w:cs="Times New Roman"/>
          <w:sz w:val="24"/>
          <w:szCs w:val="24"/>
        </w:rPr>
        <w:t xml:space="preserve"> reálne</w:t>
      </w:r>
      <w:r w:rsidR="008F1B9E" w:rsidRPr="00075215">
        <w:rPr>
          <w:rFonts w:cs="Times New Roman"/>
          <w:sz w:val="24"/>
          <w:szCs w:val="24"/>
        </w:rPr>
        <w:t xml:space="preserve"> klesať. Životný cyklus mzdy je tak ovplyvnený najmä všeobecným a špecifickým ľudským kapitálom nadobudnutým vo vzdelávacom procese a pri </w:t>
      </w:r>
      <w:r w:rsidR="00540644" w:rsidRPr="00075215">
        <w:rPr>
          <w:rFonts w:cs="Times New Roman"/>
          <w:sz w:val="24"/>
          <w:szCs w:val="24"/>
        </w:rPr>
        <w:t>získavaní</w:t>
      </w:r>
      <w:r w:rsidR="008F1B9E" w:rsidRPr="00075215">
        <w:rPr>
          <w:rFonts w:cs="Times New Roman"/>
          <w:sz w:val="24"/>
          <w:szCs w:val="24"/>
        </w:rPr>
        <w:t xml:space="preserve"> praktických </w:t>
      </w:r>
      <w:r w:rsidR="00540644" w:rsidRPr="00075215">
        <w:rPr>
          <w:rFonts w:cs="Times New Roman"/>
          <w:sz w:val="24"/>
          <w:szCs w:val="24"/>
        </w:rPr>
        <w:t>pracovných zručností</w:t>
      </w:r>
      <w:r w:rsidR="008F1B9E" w:rsidRPr="00075215">
        <w:rPr>
          <w:rFonts w:cs="Times New Roman"/>
          <w:sz w:val="24"/>
          <w:szCs w:val="24"/>
        </w:rPr>
        <w:t>. S rastúcim vekom sa celkový prírastok ľudského kapitálu jednotlivca zmenšuje, čo má vplyv aj na vývoj jeho mzdy. Z uvedeného vyplýva, že okrem základných determinantov ovplyvňujúcich mzdovú úroveň v ekonomike ako produktivita práce a inflácia, je vývoj mzdy jednotlivca ovplyvnený aj fázou životného cyklu v závislosti od akumulácie ľudského kapitálu.</w:t>
      </w:r>
    </w:p>
    <w:p w:rsidR="00394065" w:rsidRPr="00075215" w:rsidRDefault="00394065" w:rsidP="007D287B">
      <w:pPr>
        <w:rPr>
          <w:b/>
          <w:sz w:val="24"/>
          <w:szCs w:val="24"/>
        </w:rPr>
      </w:pPr>
      <w:r w:rsidRPr="00075215">
        <w:rPr>
          <w:b/>
          <w:sz w:val="24"/>
          <w:szCs w:val="24"/>
        </w:rPr>
        <w:t xml:space="preserve">Graf </w:t>
      </w:r>
      <w:r w:rsidR="0086183A" w:rsidRPr="00075215">
        <w:rPr>
          <w:b/>
          <w:sz w:val="24"/>
          <w:szCs w:val="24"/>
        </w:rPr>
        <w:fldChar w:fldCharType="begin"/>
      </w:r>
      <w:r w:rsidR="0086183A" w:rsidRPr="00075215">
        <w:rPr>
          <w:b/>
          <w:sz w:val="24"/>
          <w:szCs w:val="24"/>
        </w:rPr>
        <w:instrText xml:space="preserve"> SEQ Graf \* ARABIC </w:instrText>
      </w:r>
      <w:r w:rsidR="0086183A" w:rsidRPr="00075215">
        <w:rPr>
          <w:b/>
          <w:sz w:val="24"/>
          <w:szCs w:val="24"/>
        </w:rPr>
        <w:fldChar w:fldCharType="separate"/>
      </w:r>
      <w:r w:rsidR="00027A9E">
        <w:rPr>
          <w:b/>
          <w:noProof/>
          <w:sz w:val="24"/>
          <w:szCs w:val="24"/>
        </w:rPr>
        <w:t>1</w:t>
      </w:r>
      <w:r w:rsidR="0086183A" w:rsidRPr="00075215">
        <w:rPr>
          <w:b/>
          <w:sz w:val="24"/>
          <w:szCs w:val="24"/>
        </w:rPr>
        <w:fldChar w:fldCharType="end"/>
      </w:r>
      <w:r w:rsidRPr="00075215">
        <w:rPr>
          <w:b/>
          <w:sz w:val="24"/>
          <w:szCs w:val="24"/>
        </w:rPr>
        <w:t xml:space="preserve">: </w:t>
      </w:r>
      <w:r w:rsidR="001D2136" w:rsidRPr="00075215">
        <w:rPr>
          <w:b/>
          <w:sz w:val="24"/>
          <w:szCs w:val="24"/>
        </w:rPr>
        <w:t>Životný cyklus nárastu mzdy vo vybraných krajinách</w:t>
      </w:r>
    </w:p>
    <w:p w:rsidR="00052644" w:rsidRPr="00075215" w:rsidRDefault="001D2136" w:rsidP="007D287B">
      <w:pPr>
        <w:rPr>
          <w:sz w:val="24"/>
          <w:szCs w:val="24"/>
        </w:rPr>
      </w:pPr>
      <w:r w:rsidRPr="00075215">
        <w:rPr>
          <w:noProof/>
          <w:sz w:val="24"/>
          <w:szCs w:val="24"/>
          <w:lang w:eastAsia="sk-SK"/>
        </w:rPr>
        <w:drawing>
          <wp:inline distT="0" distB="0" distL="0" distR="0" wp14:anchorId="39E5D291" wp14:editId="40CBE6C2">
            <wp:extent cx="4680585" cy="2731917"/>
            <wp:effectExtent l="0" t="0" r="5715" b="1143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2644" w:rsidRDefault="00052644" w:rsidP="007D287B">
      <w:pPr>
        <w:rPr>
          <w:i/>
          <w:sz w:val="20"/>
          <w:szCs w:val="20"/>
        </w:rPr>
      </w:pPr>
      <w:r w:rsidRPr="00C27768">
        <w:rPr>
          <w:i/>
          <w:sz w:val="20"/>
          <w:szCs w:val="20"/>
        </w:rPr>
        <w:t xml:space="preserve">Zdroj: </w:t>
      </w:r>
      <w:proofErr w:type="spellStart"/>
      <w:r w:rsidR="007D287B" w:rsidRPr="00C27768">
        <w:rPr>
          <w:i/>
          <w:sz w:val="20"/>
          <w:szCs w:val="20"/>
        </w:rPr>
        <w:t>Federal</w:t>
      </w:r>
      <w:proofErr w:type="spellEnd"/>
      <w:r w:rsidR="007D287B" w:rsidRPr="00C27768">
        <w:rPr>
          <w:i/>
          <w:sz w:val="20"/>
          <w:szCs w:val="20"/>
        </w:rPr>
        <w:t xml:space="preserve"> </w:t>
      </w:r>
      <w:proofErr w:type="spellStart"/>
      <w:r w:rsidR="007D287B" w:rsidRPr="00C27768">
        <w:rPr>
          <w:i/>
          <w:sz w:val="20"/>
          <w:szCs w:val="20"/>
        </w:rPr>
        <w:t>Reserve</w:t>
      </w:r>
      <w:proofErr w:type="spellEnd"/>
      <w:r w:rsidR="007D287B" w:rsidRPr="00C27768">
        <w:rPr>
          <w:i/>
          <w:sz w:val="20"/>
          <w:szCs w:val="20"/>
        </w:rPr>
        <w:t xml:space="preserve"> Bank </w:t>
      </w:r>
      <w:proofErr w:type="spellStart"/>
      <w:r w:rsidR="007D287B" w:rsidRPr="00C27768">
        <w:rPr>
          <w:i/>
          <w:sz w:val="20"/>
          <w:szCs w:val="20"/>
        </w:rPr>
        <w:t>of</w:t>
      </w:r>
      <w:proofErr w:type="spellEnd"/>
      <w:r w:rsidR="007D287B" w:rsidRPr="00C27768">
        <w:rPr>
          <w:i/>
          <w:sz w:val="20"/>
          <w:szCs w:val="20"/>
        </w:rPr>
        <w:t xml:space="preserve"> </w:t>
      </w:r>
      <w:proofErr w:type="spellStart"/>
      <w:r w:rsidR="007D287B" w:rsidRPr="00C27768">
        <w:rPr>
          <w:i/>
          <w:sz w:val="20"/>
          <w:szCs w:val="20"/>
        </w:rPr>
        <w:t>Minneapolis</w:t>
      </w:r>
      <w:proofErr w:type="spellEnd"/>
    </w:p>
    <w:p w:rsidR="00C27768" w:rsidRPr="00C27768" w:rsidRDefault="00C27768" w:rsidP="007D287B">
      <w:pPr>
        <w:rPr>
          <w:i/>
          <w:sz w:val="20"/>
          <w:szCs w:val="20"/>
        </w:rPr>
      </w:pPr>
    </w:p>
    <w:tbl>
      <w:tblPr>
        <w:tblStyle w:val="Mriekatabuky"/>
        <w:tblW w:w="4858" w:type="pct"/>
        <w:tblInd w:w="108" w:type="dxa"/>
        <w:tblBorders>
          <w:top w:val="dotted" w:sz="8" w:space="0" w:color="D99594" w:themeColor="accent2" w:themeTint="99"/>
          <w:left w:val="dotted" w:sz="8" w:space="0" w:color="D99594" w:themeColor="accent2" w:themeTint="99"/>
          <w:bottom w:val="dotted" w:sz="8" w:space="0" w:color="D99594" w:themeColor="accent2" w:themeTint="99"/>
          <w:right w:val="dotted" w:sz="8" w:space="0" w:color="D99594" w:themeColor="accent2" w:themeTint="99"/>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7372"/>
      </w:tblGrid>
      <w:tr w:rsidR="00F15DAF" w:rsidRPr="00075215" w:rsidTr="00D61C7B">
        <w:tc>
          <w:tcPr>
            <w:tcW w:w="5000" w:type="pct"/>
            <w:shd w:val="clear" w:color="auto" w:fill="C6D9F1" w:themeFill="text2" w:themeFillTint="33"/>
          </w:tcPr>
          <w:p w:rsidR="00F15DAF" w:rsidRPr="00075215" w:rsidRDefault="00F15DAF" w:rsidP="00F15DAF">
            <w:pPr>
              <w:rPr>
                <w:b/>
                <w:noProof/>
                <w:color w:val="auto"/>
                <w:sz w:val="24"/>
                <w:szCs w:val="24"/>
              </w:rPr>
            </w:pPr>
            <w:r w:rsidRPr="00075215">
              <w:rPr>
                <w:b/>
                <w:noProof/>
                <w:color w:val="auto"/>
                <w:sz w:val="24"/>
                <w:szCs w:val="24"/>
              </w:rPr>
              <w:lastRenderedPageBreak/>
              <w:t xml:space="preserve">Box 1: Údaje použité pri odhade vekového profilu  </w:t>
            </w:r>
          </w:p>
          <w:p w:rsidR="00F15DAF" w:rsidRPr="00075215" w:rsidRDefault="00F15DAF" w:rsidP="00F15DAF">
            <w:pPr>
              <w:rPr>
                <w:noProof/>
                <w:color w:val="auto"/>
                <w:sz w:val="24"/>
                <w:szCs w:val="24"/>
              </w:rPr>
            </w:pPr>
            <w:r w:rsidRPr="00075215">
              <w:rPr>
                <w:noProof/>
                <w:color w:val="auto"/>
                <w:sz w:val="24"/>
                <w:szCs w:val="24"/>
              </w:rPr>
              <w:t xml:space="preserve">Pri odhade vekových profilov jednotlivých vekových skupín v II. pilieri sme vychádzali s údajov Sociálnej poisťovne o vymeriavacích základoch sporiteľov v II. pilieri od roku 2005 do roku 2018. Keďže povinné príspevky na starobné dôchodkové sporenie sú hradené na účet Sociálnej poisťovne v Štátnej pokladnici a následne postupované na účet nepriradených platieb dôchodkovej správcovskej spoločnosti, s ktorou má sporiteľ </w:t>
            </w:r>
            <w:r w:rsidR="007F7185">
              <w:rPr>
                <w:noProof/>
                <w:color w:val="auto"/>
                <w:sz w:val="24"/>
                <w:szCs w:val="24"/>
              </w:rPr>
              <w:t xml:space="preserve">uzatvorenú </w:t>
            </w:r>
            <w:r w:rsidRPr="00075215">
              <w:rPr>
                <w:noProof/>
                <w:color w:val="auto"/>
                <w:sz w:val="24"/>
                <w:szCs w:val="24"/>
              </w:rPr>
              <w:t>zmluvu o starobnom dôchodkovom sporení</w:t>
            </w:r>
            <w:r w:rsidR="007F7185">
              <w:rPr>
                <w:noProof/>
                <w:color w:val="auto"/>
                <w:sz w:val="24"/>
                <w:szCs w:val="24"/>
              </w:rPr>
              <w:t>,</w:t>
            </w:r>
            <w:r w:rsidRPr="00075215">
              <w:rPr>
                <w:noProof/>
                <w:color w:val="auto"/>
                <w:sz w:val="24"/>
                <w:szCs w:val="24"/>
              </w:rPr>
              <w:t xml:space="preserve"> je pre potreby analýzy príjmovej funkcie sporiteľov dátová základňa Sociálnej poisťovne jediným relevantným zdrojom údajov o sporiteľoch. Ostatné zdroje sumarizujúce úroveň príjmov v ekonomike ako napríklad Štatistické zisťovanie o príjmoch a životných podmienkach domácností (EU SILC) nerozlišuje zaradenie jednotlivca do II. piliera a preto sú pre naše potreby nepoužiteľné. </w:t>
            </w:r>
          </w:p>
          <w:p w:rsidR="00F15DAF" w:rsidRPr="00075215" w:rsidRDefault="00F15DAF" w:rsidP="007F7185">
            <w:pPr>
              <w:spacing w:before="0" w:after="200"/>
              <w:ind w:left="34"/>
              <w:rPr>
                <w:color w:val="0070C0"/>
                <w:sz w:val="24"/>
                <w:szCs w:val="24"/>
              </w:rPr>
            </w:pPr>
            <w:r w:rsidRPr="00075215">
              <w:rPr>
                <w:noProof/>
                <w:color w:val="auto"/>
                <w:sz w:val="24"/>
                <w:szCs w:val="24"/>
              </w:rPr>
              <w:t>Keďže prognózy dôchodkov budú kvantifikovať priamo dôchodkové správcovské spoločnosti, ktoré v praxi nedisponujú všetkými relevantnými a hlavne aktuálnymi údajmi o svojich sporiteľoch, v našej analýze sme uvažovali s agregovanými údajmi pričom sme nezohľadnili ostatné faktory významne determinujúce podobu príjmového profilu jednotlivca (napr. vzdelanie). Zo zdrojových údajov sme tiež vylúčili málo štatisticky významné vekové skupiny sporiteľov mladších ako 20 rokov a starších ako 60 rokov. Pri súčasnom dobrovoľnom vstupe do II</w:t>
            </w:r>
            <w:r w:rsidR="007F7185" w:rsidRPr="00075215">
              <w:rPr>
                <w:noProof/>
                <w:color w:val="auto"/>
                <w:sz w:val="24"/>
                <w:szCs w:val="24"/>
              </w:rPr>
              <w:t>.</w:t>
            </w:r>
            <w:r w:rsidR="007F7185">
              <w:rPr>
                <w:noProof/>
                <w:color w:val="auto"/>
                <w:sz w:val="24"/>
                <w:szCs w:val="24"/>
              </w:rPr>
              <w:t> </w:t>
            </w:r>
            <w:r w:rsidRPr="00075215">
              <w:rPr>
                <w:noProof/>
                <w:color w:val="auto"/>
                <w:sz w:val="24"/>
                <w:szCs w:val="24"/>
              </w:rPr>
              <w:t xml:space="preserve">piliera je počet sporiteľov mimo intervalu 20 až 60 rokov nízky, </w:t>
            </w:r>
            <w:r w:rsidR="007F7185">
              <w:rPr>
                <w:noProof/>
                <w:color w:val="auto"/>
                <w:sz w:val="24"/>
                <w:szCs w:val="24"/>
              </w:rPr>
              <w:t xml:space="preserve">napríklad </w:t>
            </w:r>
            <w:r w:rsidRPr="00075215">
              <w:rPr>
                <w:noProof/>
                <w:color w:val="auto"/>
                <w:sz w:val="24"/>
                <w:szCs w:val="24"/>
              </w:rPr>
              <w:t>v roku 2018 bolo v systéme 3166 sporiteľov mladších ako 20 rokov a 5361 sporiteľov starších ako 60 rokov. Pre porovnanie, k 31.12.2018 evidovali dôchodkové správcovské spoločnosti 1 497 904 sporiteľov.</w:t>
            </w:r>
          </w:p>
        </w:tc>
      </w:tr>
    </w:tbl>
    <w:p w:rsidR="009A7A98" w:rsidRPr="00075215" w:rsidRDefault="00394065" w:rsidP="007D287B">
      <w:pPr>
        <w:rPr>
          <w:b/>
          <w:sz w:val="24"/>
          <w:szCs w:val="24"/>
        </w:rPr>
      </w:pPr>
      <w:bookmarkStart w:id="0" w:name="_Ref443303248"/>
      <w:r w:rsidRPr="00075215">
        <w:rPr>
          <w:b/>
          <w:sz w:val="24"/>
          <w:szCs w:val="24"/>
        </w:rPr>
        <w:t xml:space="preserve">Graf </w:t>
      </w:r>
      <w:r w:rsidR="0015328D" w:rsidRPr="00075215">
        <w:rPr>
          <w:b/>
          <w:noProof/>
          <w:sz w:val="24"/>
          <w:szCs w:val="24"/>
        </w:rPr>
        <w:fldChar w:fldCharType="begin"/>
      </w:r>
      <w:r w:rsidR="0015328D" w:rsidRPr="00075215">
        <w:rPr>
          <w:b/>
          <w:noProof/>
          <w:sz w:val="24"/>
          <w:szCs w:val="24"/>
        </w:rPr>
        <w:instrText xml:space="preserve"> SEQ Graf \* ARABIC </w:instrText>
      </w:r>
      <w:r w:rsidR="0015328D" w:rsidRPr="00075215">
        <w:rPr>
          <w:b/>
          <w:noProof/>
          <w:sz w:val="24"/>
          <w:szCs w:val="24"/>
        </w:rPr>
        <w:fldChar w:fldCharType="separate"/>
      </w:r>
      <w:r w:rsidR="00027A9E">
        <w:rPr>
          <w:b/>
          <w:noProof/>
          <w:sz w:val="24"/>
          <w:szCs w:val="24"/>
        </w:rPr>
        <w:t>2</w:t>
      </w:r>
      <w:r w:rsidR="0015328D" w:rsidRPr="00075215">
        <w:rPr>
          <w:b/>
          <w:noProof/>
          <w:sz w:val="24"/>
          <w:szCs w:val="24"/>
        </w:rPr>
        <w:fldChar w:fldCharType="end"/>
      </w:r>
      <w:bookmarkEnd w:id="0"/>
      <w:r w:rsidRPr="00075215">
        <w:rPr>
          <w:b/>
          <w:sz w:val="24"/>
          <w:szCs w:val="24"/>
        </w:rPr>
        <w:t xml:space="preserve">: </w:t>
      </w:r>
      <w:r w:rsidR="006E6570" w:rsidRPr="00075215">
        <w:rPr>
          <w:rFonts w:cs="Times New Roman"/>
          <w:b/>
          <w:sz w:val="24"/>
          <w:szCs w:val="24"/>
        </w:rPr>
        <w:t>Rozdelenie sporiteľov v II. pilieri podľa veku</w:t>
      </w:r>
    </w:p>
    <w:p w:rsidR="00AF5DD4" w:rsidRPr="00075215" w:rsidRDefault="006E6570" w:rsidP="007D287B">
      <w:pPr>
        <w:rPr>
          <w:sz w:val="24"/>
          <w:szCs w:val="24"/>
        </w:rPr>
      </w:pPr>
      <w:r w:rsidRPr="00075215">
        <w:rPr>
          <w:noProof/>
          <w:sz w:val="24"/>
          <w:szCs w:val="24"/>
          <w:lang w:eastAsia="sk-SK"/>
        </w:rPr>
        <w:drawing>
          <wp:inline distT="0" distB="0" distL="0" distR="0" wp14:anchorId="69607166" wp14:editId="33EB367D">
            <wp:extent cx="4680585" cy="2179363"/>
            <wp:effectExtent l="0" t="0" r="5715" b="1143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40864" w:rsidRPr="00C27768" w:rsidRDefault="00340864" w:rsidP="007D287B">
      <w:pPr>
        <w:rPr>
          <w:i/>
          <w:sz w:val="20"/>
          <w:szCs w:val="20"/>
        </w:rPr>
      </w:pPr>
      <w:bookmarkStart w:id="1" w:name="_Toc442982497"/>
      <w:bookmarkStart w:id="2" w:name="_Toc442982498"/>
      <w:r w:rsidRPr="00C27768">
        <w:rPr>
          <w:i/>
          <w:sz w:val="20"/>
          <w:szCs w:val="20"/>
        </w:rPr>
        <w:t xml:space="preserve">Zdroj: </w:t>
      </w:r>
      <w:r w:rsidR="00BD6F7E" w:rsidRPr="00C27768">
        <w:rPr>
          <w:i/>
          <w:sz w:val="20"/>
          <w:szCs w:val="20"/>
        </w:rPr>
        <w:t>Sociálna poisťovňa</w:t>
      </w:r>
    </w:p>
    <w:bookmarkEnd w:id="1"/>
    <w:p w:rsidR="00EC3DC7" w:rsidRPr="00075215" w:rsidRDefault="006E6570" w:rsidP="007D287B">
      <w:pPr>
        <w:rPr>
          <w:rFonts w:cs="Times New Roman"/>
          <w:sz w:val="24"/>
          <w:szCs w:val="24"/>
        </w:rPr>
      </w:pPr>
      <w:r w:rsidRPr="00075215">
        <w:rPr>
          <w:rFonts w:cs="Times New Roman"/>
          <w:sz w:val="24"/>
          <w:szCs w:val="24"/>
        </w:rPr>
        <w:t xml:space="preserve">Cieľom našej analýzy bolo odhadnúť odchýlku medzi priemerným mzdovým nárastom a rastom mzdy podľa jednotlivých vekových skupín. </w:t>
      </w:r>
      <w:r w:rsidRPr="00075215">
        <w:rPr>
          <w:rFonts w:cs="Times New Roman"/>
          <w:sz w:val="24"/>
          <w:szCs w:val="24"/>
        </w:rPr>
        <w:lastRenderedPageBreak/>
        <w:t xml:space="preserve">V súlade s teóriou životného cyklu možno predpokladať, že nárast mzdy bude v prvej časti pracovnej kariéry robustný s postupným znižovaním dynamiky rastu </w:t>
      </w:r>
      <w:r w:rsidR="007F7185">
        <w:rPr>
          <w:rFonts w:cs="Times New Roman"/>
          <w:sz w:val="24"/>
          <w:szCs w:val="24"/>
        </w:rPr>
        <w:t xml:space="preserve">so </w:t>
      </w:r>
      <w:r w:rsidRPr="00075215">
        <w:rPr>
          <w:rFonts w:cs="Times New Roman"/>
          <w:sz w:val="24"/>
          <w:szCs w:val="24"/>
        </w:rPr>
        <w:t xml:space="preserve">stúpajúcim vekom sporiteľa. Na základe cieľov analýzy sme pri spracovávaní dát uvažovali s relatívnymi hodnotami, ktoré nám pomôžu k lepšiemu vysvetleniu sklonu príjmovej krivky v jednotlivých fázach životného cyklu. </w:t>
      </w:r>
    </w:p>
    <w:tbl>
      <w:tblPr>
        <w:tblStyle w:val="Mriekatabuky"/>
        <w:tblW w:w="4858" w:type="pct"/>
        <w:tblInd w:w="108" w:type="dxa"/>
        <w:tblBorders>
          <w:top w:val="dotted" w:sz="8" w:space="0" w:color="D99594" w:themeColor="accent2" w:themeTint="99"/>
          <w:left w:val="dotted" w:sz="8" w:space="0" w:color="D99594" w:themeColor="accent2" w:themeTint="99"/>
          <w:bottom w:val="dotted" w:sz="8" w:space="0" w:color="D99594" w:themeColor="accent2" w:themeTint="99"/>
          <w:right w:val="dotted" w:sz="8" w:space="0" w:color="D99594" w:themeColor="accent2" w:themeTint="99"/>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7372"/>
      </w:tblGrid>
      <w:tr w:rsidR="00EC3DC7" w:rsidRPr="00075215" w:rsidTr="0038107C">
        <w:tc>
          <w:tcPr>
            <w:tcW w:w="5000" w:type="pct"/>
            <w:shd w:val="clear" w:color="auto" w:fill="C6D9F1" w:themeFill="text2" w:themeFillTint="33"/>
          </w:tcPr>
          <w:p w:rsidR="00EC3DC7" w:rsidRPr="00075215" w:rsidRDefault="00EC3DC7" w:rsidP="0038107C">
            <w:pPr>
              <w:rPr>
                <w:b/>
                <w:noProof/>
                <w:color w:val="auto"/>
                <w:sz w:val="24"/>
                <w:szCs w:val="24"/>
              </w:rPr>
            </w:pPr>
            <w:r w:rsidRPr="00075215">
              <w:rPr>
                <w:b/>
                <w:noProof/>
                <w:color w:val="auto"/>
                <w:sz w:val="24"/>
                <w:szCs w:val="24"/>
              </w:rPr>
              <w:t xml:space="preserve">Box 2: Výpočet vekového profilu   </w:t>
            </w:r>
          </w:p>
          <w:p w:rsidR="00075215" w:rsidRDefault="00EC3DC7" w:rsidP="00075215">
            <w:pPr>
              <w:rPr>
                <w:rFonts w:cs="Times New Roman"/>
                <w:sz w:val="24"/>
                <w:szCs w:val="24"/>
              </w:rPr>
            </w:pPr>
            <w:r w:rsidRPr="00075215">
              <w:rPr>
                <w:rFonts w:cs="Times New Roman"/>
                <w:sz w:val="24"/>
                <w:szCs w:val="24"/>
              </w:rPr>
              <w:t xml:space="preserve">Z agregovaných údajov sme prostredníctvom vážených priemerov získali relatívne </w:t>
            </w:r>
            <w:r w:rsidR="007F7185">
              <w:rPr>
                <w:rFonts w:cs="Times New Roman"/>
                <w:sz w:val="24"/>
                <w:szCs w:val="24"/>
              </w:rPr>
              <w:t>prí</w:t>
            </w:r>
            <w:r w:rsidR="007F7185" w:rsidRPr="00075215">
              <w:rPr>
                <w:rFonts w:cs="Times New Roman"/>
                <w:sz w:val="24"/>
                <w:szCs w:val="24"/>
              </w:rPr>
              <w:t>jm</w:t>
            </w:r>
            <w:r w:rsidR="007F7185">
              <w:rPr>
                <w:rFonts w:cs="Times New Roman"/>
                <w:sz w:val="24"/>
                <w:szCs w:val="24"/>
              </w:rPr>
              <w:t>y</w:t>
            </w:r>
            <w:r w:rsidR="007F7185" w:rsidRPr="00075215">
              <w:rPr>
                <w:rFonts w:cs="Times New Roman"/>
                <w:sz w:val="24"/>
                <w:szCs w:val="24"/>
              </w:rPr>
              <w:t xml:space="preserve"> </w:t>
            </w:r>
            <w:r w:rsidRPr="00075215">
              <w:rPr>
                <w:rFonts w:cs="Times New Roman"/>
                <w:sz w:val="24"/>
                <w:szCs w:val="24"/>
              </w:rPr>
              <w:t xml:space="preserve">voči priemernej mzde za daný rok a vekovú skupinu. Z takto získaných dát sme následne po úprave odhadli </w:t>
            </w:r>
            <w:proofErr w:type="spellStart"/>
            <w:r w:rsidRPr="00075215">
              <w:rPr>
                <w:rFonts w:cs="Times New Roman"/>
                <w:sz w:val="24"/>
                <w:szCs w:val="24"/>
              </w:rPr>
              <w:t>polynomickú</w:t>
            </w:r>
            <w:proofErr w:type="spellEnd"/>
            <w:r w:rsidRPr="00075215">
              <w:rPr>
                <w:rFonts w:cs="Times New Roman"/>
                <w:sz w:val="24"/>
                <w:szCs w:val="24"/>
              </w:rPr>
              <w:t xml:space="preserve"> funkciu štvrtého stupňa, ktorá reprezentuje vekový profil sporiteľa voči priemernej mzde. Sklon polynómu je vyjadrený prostredníctvom </w:t>
            </w:r>
            <w:proofErr w:type="spellStart"/>
            <w:r w:rsidRPr="00075215">
              <w:rPr>
                <w:rFonts w:cs="Times New Roman"/>
                <w:sz w:val="24"/>
                <w:szCs w:val="24"/>
              </w:rPr>
              <w:t>kvartickej</w:t>
            </w:r>
            <w:proofErr w:type="spellEnd"/>
            <w:r w:rsidRPr="00075215">
              <w:rPr>
                <w:rFonts w:cs="Times New Roman"/>
                <w:sz w:val="24"/>
                <w:szCs w:val="24"/>
              </w:rPr>
              <w:t xml:space="preserve"> </w:t>
            </w:r>
            <w:proofErr w:type="spellStart"/>
            <w:r w:rsidRPr="00075215">
              <w:rPr>
                <w:rFonts w:cs="Times New Roman"/>
                <w:sz w:val="24"/>
                <w:szCs w:val="24"/>
              </w:rPr>
              <w:t>polynomickej</w:t>
            </w:r>
            <w:proofErr w:type="spellEnd"/>
            <w:r w:rsidRPr="00075215">
              <w:rPr>
                <w:rFonts w:cs="Times New Roman"/>
                <w:sz w:val="24"/>
                <w:szCs w:val="24"/>
              </w:rPr>
              <w:t xml:space="preserve"> funkcie</w:t>
            </w:r>
            <w:r w:rsidRPr="00075215">
              <w:rPr>
                <w:rStyle w:val="Odkaznapoznmkupodiarou"/>
                <w:rFonts w:cs="Times New Roman"/>
                <w:sz w:val="24"/>
                <w:szCs w:val="24"/>
              </w:rPr>
              <w:footnoteReference w:id="5"/>
            </w:r>
            <w:r w:rsidRPr="00075215">
              <w:rPr>
                <w:rFonts w:cs="Times New Roman"/>
                <w:sz w:val="24"/>
                <w:szCs w:val="24"/>
              </w:rPr>
              <w:t>, kde je závislou premennou relatívny príjem a nezávislou, resp. vysvetľujúcou premennou vek sporiteľa.</w:t>
            </w:r>
          </w:p>
          <w:p w:rsidR="00EC3DC7" w:rsidRPr="00075215" w:rsidRDefault="00075215" w:rsidP="00075215">
            <w:pPr>
              <w:rPr>
                <w:color w:val="0070C0"/>
                <w:sz w:val="24"/>
                <w:szCs w:val="24"/>
              </w:rPr>
            </w:pPr>
            <w:r w:rsidRPr="00075215">
              <w:rPr>
                <w:rFonts w:cs="Times New Roman"/>
                <w:sz w:val="24"/>
                <w:szCs w:val="24"/>
              </w:rPr>
              <w:t>Hodnota relatívnych príjmov reprezentuje vekový profil sporiteľa, ktorý môžeme interpretovať aj ako osobný mzdový bod každej vekovej skupiny. V</w:t>
            </w:r>
            <w:r w:rsidR="007F7185">
              <w:rPr>
                <w:rFonts w:cs="Times New Roman"/>
                <w:sz w:val="24"/>
                <w:szCs w:val="24"/>
              </w:rPr>
              <w:t> </w:t>
            </w:r>
            <w:r w:rsidRPr="00075215">
              <w:rPr>
                <w:rFonts w:cs="Times New Roman"/>
                <w:sz w:val="24"/>
                <w:szCs w:val="24"/>
              </w:rPr>
              <w:t>prípade</w:t>
            </w:r>
            <w:r w:rsidR="007F7185">
              <w:rPr>
                <w:rFonts w:cs="Times New Roman"/>
                <w:sz w:val="24"/>
                <w:szCs w:val="24"/>
              </w:rPr>
              <w:t>,</w:t>
            </w:r>
            <w:r w:rsidRPr="00075215">
              <w:rPr>
                <w:rFonts w:cs="Times New Roman"/>
                <w:sz w:val="24"/>
                <w:szCs w:val="24"/>
              </w:rPr>
              <w:t xml:space="preserve"> ak jednotlivé vekové profily spojíme, získame príjmovú krivku sporiteľov v II. pilieri vo vzťahu k priemernej mzde v sledovanej kohorte. </w:t>
            </w:r>
            <w:r>
              <w:rPr>
                <w:rFonts w:cs="Times New Roman"/>
                <w:sz w:val="24"/>
                <w:szCs w:val="24"/>
              </w:rPr>
              <w:t xml:space="preserve"> </w:t>
            </w:r>
          </w:p>
        </w:tc>
      </w:tr>
    </w:tbl>
    <w:p w:rsidR="006E6570" w:rsidRPr="00075215" w:rsidRDefault="006E6570" w:rsidP="007F7486">
      <w:pPr>
        <w:keepNext/>
        <w:rPr>
          <w:rFonts w:cs="Times New Roman"/>
          <w:sz w:val="24"/>
          <w:szCs w:val="24"/>
        </w:rPr>
      </w:pPr>
      <w:r w:rsidRPr="00075215">
        <w:rPr>
          <w:rFonts w:cs="Times New Roman"/>
          <w:b/>
          <w:sz w:val="24"/>
          <w:szCs w:val="24"/>
        </w:rPr>
        <w:t>Graf 3:</w:t>
      </w:r>
      <w:r w:rsidRPr="00075215">
        <w:rPr>
          <w:rFonts w:cs="Times New Roman"/>
          <w:sz w:val="24"/>
          <w:szCs w:val="24"/>
        </w:rPr>
        <w:t xml:space="preserve"> </w:t>
      </w:r>
      <w:r w:rsidRPr="00075215">
        <w:rPr>
          <w:rFonts w:cs="Times New Roman"/>
          <w:b/>
          <w:sz w:val="24"/>
          <w:szCs w:val="24"/>
        </w:rPr>
        <w:t>Príjmová krivka sporiteľov v II. pilieri</w:t>
      </w:r>
      <w:r w:rsidRPr="00075215">
        <w:rPr>
          <w:rFonts w:cs="Times New Roman"/>
          <w:sz w:val="24"/>
          <w:szCs w:val="24"/>
        </w:rPr>
        <w:t xml:space="preserve"> </w:t>
      </w:r>
    </w:p>
    <w:p w:rsidR="006E6570" w:rsidRPr="00075215" w:rsidRDefault="006E6570" w:rsidP="007D287B">
      <w:pPr>
        <w:rPr>
          <w:rFonts w:cs="Times New Roman"/>
          <w:sz w:val="24"/>
          <w:szCs w:val="24"/>
        </w:rPr>
      </w:pPr>
      <w:r w:rsidRPr="00075215">
        <w:rPr>
          <w:noProof/>
          <w:sz w:val="24"/>
          <w:szCs w:val="24"/>
          <w:lang w:eastAsia="sk-SK"/>
        </w:rPr>
        <w:drawing>
          <wp:inline distT="0" distB="0" distL="0" distR="0" wp14:anchorId="61962A7B" wp14:editId="58E89F0D">
            <wp:extent cx="4680585" cy="2631861"/>
            <wp:effectExtent l="0" t="0" r="5715" b="1651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B4822" w:rsidRPr="00C27768" w:rsidRDefault="008B4822" w:rsidP="007D287B">
      <w:pPr>
        <w:rPr>
          <w:rFonts w:cs="Times New Roman"/>
          <w:sz w:val="20"/>
          <w:szCs w:val="20"/>
        </w:rPr>
      </w:pPr>
      <w:r w:rsidRPr="00C27768">
        <w:rPr>
          <w:i/>
          <w:sz w:val="20"/>
          <w:szCs w:val="20"/>
        </w:rPr>
        <w:t xml:space="preserve">Zdroj: Prepočty </w:t>
      </w:r>
      <w:proofErr w:type="spellStart"/>
      <w:r w:rsidRPr="00C27768">
        <w:rPr>
          <w:i/>
          <w:sz w:val="20"/>
          <w:szCs w:val="20"/>
        </w:rPr>
        <w:t>MPSVaR</w:t>
      </w:r>
      <w:proofErr w:type="spellEnd"/>
    </w:p>
    <w:bookmarkEnd w:id="2"/>
    <w:p w:rsidR="006E6570" w:rsidRPr="00075215" w:rsidRDefault="006E6570" w:rsidP="007D287B">
      <w:pPr>
        <w:rPr>
          <w:rFonts w:cs="Times New Roman"/>
          <w:sz w:val="24"/>
          <w:szCs w:val="24"/>
        </w:rPr>
      </w:pPr>
      <w:r w:rsidRPr="00075215">
        <w:rPr>
          <w:rFonts w:cs="Times New Roman"/>
          <w:sz w:val="24"/>
          <w:szCs w:val="24"/>
        </w:rPr>
        <w:lastRenderedPageBreak/>
        <w:t xml:space="preserve">Sklon príjmovej krivky potvrdzuje našu hypotézu o dynamike mzdového vývoja v rôznych etapách životného cyklu. Prírastky ľudského kapitálu sú najvyššie v približne v prvej polovici aktívnej kariéry, naopak v druhej polovici aktívneho života sú impulzy na dynamickejší rast mzdy nižšie ale mzda sa stále drží na pomerne vysokých úrovniach. </w:t>
      </w:r>
      <w:r w:rsidRPr="007F7486">
        <w:rPr>
          <w:rFonts w:cs="Times New Roman"/>
          <w:b/>
          <w:sz w:val="24"/>
          <w:szCs w:val="24"/>
        </w:rPr>
        <w:t>Z toho vyplýva, že mzda sa vo vyššom veku v absolútnych hodnotách výrazne nemení, ale jej relatívna hodnota klesá v dôsledku jej pomalšej dynamiky.</w:t>
      </w:r>
      <w:r w:rsidRPr="00075215">
        <w:rPr>
          <w:rFonts w:cs="Times New Roman"/>
          <w:sz w:val="24"/>
          <w:szCs w:val="24"/>
        </w:rPr>
        <w:t xml:space="preserve">  </w:t>
      </w:r>
    </w:p>
    <w:p w:rsidR="006E6570" w:rsidRPr="00075215" w:rsidRDefault="006E6570" w:rsidP="007D287B">
      <w:pPr>
        <w:rPr>
          <w:rFonts w:cs="Times New Roman"/>
          <w:sz w:val="24"/>
          <w:szCs w:val="24"/>
        </w:rPr>
      </w:pPr>
      <w:r w:rsidRPr="00075215">
        <w:rPr>
          <w:rFonts w:cs="Times New Roman"/>
          <w:sz w:val="24"/>
          <w:szCs w:val="24"/>
        </w:rPr>
        <w:t>V našom prípade nás ale najviac zaujíma medziročná zmena, ktorá reprezentuje mzdový vývoj konkrétnej vekovej skupiny. Na základe získaných údajov môžeme určiť o koľko sa vývoj mzdy pre jednotlivú vekovú skupinu líši od priemerného mzdového nárastu v sledovanej kohorte. Hodnota vyššia ako nula znamená, že mzdový nárast vekovej skupiny je vyšší ako celkový priemerný mzdový nárast. Naopak hodnota ukazovateľa menšia ako nula indikuje, že odhadovaný nárast mzdy vekovej skupiny je menší ako celkový priemerný mzdový nárast.</w:t>
      </w:r>
    </w:p>
    <w:p w:rsidR="006E6570" w:rsidRPr="00075215" w:rsidRDefault="006E6570" w:rsidP="007D287B">
      <w:pPr>
        <w:rPr>
          <w:rFonts w:cs="Times New Roman"/>
          <w:b/>
          <w:sz w:val="24"/>
          <w:szCs w:val="24"/>
        </w:rPr>
      </w:pPr>
      <w:r w:rsidRPr="00075215">
        <w:rPr>
          <w:rFonts w:cs="Times New Roman"/>
          <w:b/>
          <w:sz w:val="24"/>
          <w:szCs w:val="24"/>
        </w:rPr>
        <w:t xml:space="preserve">Tabuľka </w:t>
      </w:r>
      <w:r w:rsidR="005501D6" w:rsidRPr="00075215">
        <w:rPr>
          <w:rFonts w:cs="Times New Roman"/>
          <w:b/>
          <w:sz w:val="24"/>
          <w:szCs w:val="24"/>
        </w:rPr>
        <w:t>2</w:t>
      </w:r>
      <w:r w:rsidR="002976E7" w:rsidRPr="00075215">
        <w:rPr>
          <w:rFonts w:cs="Times New Roman"/>
          <w:b/>
          <w:sz w:val="24"/>
          <w:szCs w:val="24"/>
        </w:rPr>
        <w:t xml:space="preserve">: </w:t>
      </w:r>
      <w:r w:rsidRPr="00075215">
        <w:rPr>
          <w:rFonts w:cs="Times New Roman"/>
          <w:b/>
          <w:sz w:val="24"/>
          <w:szCs w:val="24"/>
        </w:rPr>
        <w:t>Bonifikácia mzdového nárastu pre jednotlivé vekové skupiny</w:t>
      </w:r>
    </w:p>
    <w:tbl>
      <w:tblPr>
        <w:tblStyle w:val="Tabukasozoznamom3zvrazneni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054"/>
        <w:gridCol w:w="879"/>
        <w:gridCol w:w="1005"/>
        <w:gridCol w:w="879"/>
        <w:gridCol w:w="1005"/>
        <w:gridCol w:w="880"/>
        <w:gridCol w:w="1006"/>
      </w:tblGrid>
      <w:tr w:rsidR="006E6570" w:rsidRPr="00075215" w:rsidTr="008B48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9" w:type="dxa"/>
            <w:tcBorders>
              <w:bottom w:val="none" w:sz="0" w:space="0" w:color="auto"/>
              <w:right w:val="none" w:sz="0" w:space="0" w:color="auto"/>
            </w:tcBorders>
            <w:shd w:val="clear" w:color="auto" w:fill="95B3D7" w:themeFill="accent1" w:themeFillTint="99"/>
            <w:vAlign w:val="center"/>
          </w:tcPr>
          <w:p w:rsidR="006E6570" w:rsidRPr="00075215" w:rsidRDefault="006E6570" w:rsidP="00FA1A83">
            <w:pPr>
              <w:jc w:val="center"/>
              <w:rPr>
                <w:rFonts w:cs="Times New Roman"/>
                <w:i/>
                <w:sz w:val="20"/>
                <w:szCs w:val="20"/>
              </w:rPr>
            </w:pPr>
            <w:r w:rsidRPr="00075215">
              <w:rPr>
                <w:rFonts w:cs="Times New Roman"/>
                <w:i/>
                <w:sz w:val="20"/>
                <w:szCs w:val="20"/>
              </w:rPr>
              <w:t>Vek</w:t>
            </w:r>
          </w:p>
        </w:tc>
        <w:tc>
          <w:tcPr>
            <w:tcW w:w="1054" w:type="dxa"/>
            <w:shd w:val="clear" w:color="auto" w:fill="95B3D7" w:themeFill="accent1" w:themeFillTint="99"/>
            <w:vAlign w:val="center"/>
          </w:tcPr>
          <w:p w:rsidR="006E6570" w:rsidRPr="00075215" w:rsidRDefault="006E6570" w:rsidP="00FA1A83">
            <w:pPr>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rPr>
            </w:pPr>
            <w:r w:rsidRPr="00075215">
              <w:rPr>
                <w:rFonts w:cs="Times New Roman"/>
                <w:i/>
                <w:sz w:val="20"/>
                <w:szCs w:val="20"/>
              </w:rPr>
              <w:t>Bonus</w:t>
            </w:r>
          </w:p>
        </w:tc>
        <w:tc>
          <w:tcPr>
            <w:tcW w:w="879" w:type="dxa"/>
            <w:shd w:val="clear" w:color="auto" w:fill="95B3D7" w:themeFill="accent1" w:themeFillTint="99"/>
            <w:vAlign w:val="center"/>
          </w:tcPr>
          <w:p w:rsidR="006E6570" w:rsidRPr="00075215" w:rsidRDefault="006E6570" w:rsidP="00FA1A83">
            <w:pPr>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rPr>
            </w:pPr>
            <w:r w:rsidRPr="00075215">
              <w:rPr>
                <w:rFonts w:cs="Times New Roman"/>
                <w:i/>
                <w:sz w:val="20"/>
                <w:szCs w:val="20"/>
              </w:rPr>
              <w:t>Vek</w:t>
            </w:r>
          </w:p>
        </w:tc>
        <w:tc>
          <w:tcPr>
            <w:tcW w:w="1005" w:type="dxa"/>
            <w:shd w:val="clear" w:color="auto" w:fill="95B3D7" w:themeFill="accent1" w:themeFillTint="99"/>
            <w:vAlign w:val="center"/>
          </w:tcPr>
          <w:p w:rsidR="006E6570" w:rsidRPr="00075215" w:rsidRDefault="006E6570" w:rsidP="00FA1A83">
            <w:pPr>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rPr>
            </w:pPr>
            <w:r w:rsidRPr="00075215">
              <w:rPr>
                <w:rFonts w:cs="Times New Roman"/>
                <w:i/>
                <w:sz w:val="20"/>
                <w:szCs w:val="20"/>
              </w:rPr>
              <w:t>Bonus</w:t>
            </w:r>
          </w:p>
        </w:tc>
        <w:tc>
          <w:tcPr>
            <w:tcW w:w="879" w:type="dxa"/>
            <w:shd w:val="clear" w:color="auto" w:fill="95B3D7" w:themeFill="accent1" w:themeFillTint="99"/>
            <w:vAlign w:val="center"/>
          </w:tcPr>
          <w:p w:rsidR="006E6570" w:rsidRPr="00075215" w:rsidRDefault="006E6570" w:rsidP="00FA1A83">
            <w:pPr>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rPr>
            </w:pPr>
            <w:r w:rsidRPr="00075215">
              <w:rPr>
                <w:rFonts w:cs="Times New Roman"/>
                <w:i/>
                <w:sz w:val="20"/>
                <w:szCs w:val="20"/>
              </w:rPr>
              <w:t>Vek</w:t>
            </w:r>
          </w:p>
        </w:tc>
        <w:tc>
          <w:tcPr>
            <w:tcW w:w="1005" w:type="dxa"/>
            <w:shd w:val="clear" w:color="auto" w:fill="95B3D7" w:themeFill="accent1" w:themeFillTint="99"/>
            <w:vAlign w:val="center"/>
          </w:tcPr>
          <w:p w:rsidR="006E6570" w:rsidRPr="00075215" w:rsidRDefault="006E6570" w:rsidP="00FA1A83">
            <w:pPr>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rPr>
            </w:pPr>
            <w:r w:rsidRPr="00075215">
              <w:rPr>
                <w:rFonts w:cs="Times New Roman"/>
                <w:i/>
                <w:sz w:val="20"/>
                <w:szCs w:val="20"/>
              </w:rPr>
              <w:t>Bonus</w:t>
            </w:r>
          </w:p>
        </w:tc>
        <w:tc>
          <w:tcPr>
            <w:tcW w:w="880" w:type="dxa"/>
            <w:shd w:val="clear" w:color="auto" w:fill="95B3D7" w:themeFill="accent1" w:themeFillTint="99"/>
            <w:vAlign w:val="center"/>
          </w:tcPr>
          <w:p w:rsidR="006E6570" w:rsidRPr="00075215" w:rsidRDefault="006E6570" w:rsidP="00FA1A83">
            <w:pPr>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rPr>
            </w:pPr>
            <w:r w:rsidRPr="00075215">
              <w:rPr>
                <w:rFonts w:cs="Times New Roman"/>
                <w:i/>
                <w:sz w:val="20"/>
                <w:szCs w:val="20"/>
              </w:rPr>
              <w:t>Vek</w:t>
            </w:r>
          </w:p>
        </w:tc>
        <w:tc>
          <w:tcPr>
            <w:tcW w:w="1006" w:type="dxa"/>
            <w:shd w:val="clear" w:color="auto" w:fill="95B3D7" w:themeFill="accent1" w:themeFillTint="99"/>
            <w:vAlign w:val="center"/>
          </w:tcPr>
          <w:p w:rsidR="006E6570" w:rsidRPr="00075215" w:rsidRDefault="006E6570" w:rsidP="00FA1A83">
            <w:pPr>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rPr>
            </w:pPr>
            <w:r w:rsidRPr="00075215">
              <w:rPr>
                <w:rFonts w:cs="Times New Roman"/>
                <w:i/>
                <w:sz w:val="20"/>
                <w:szCs w:val="20"/>
              </w:rPr>
              <w:t>Bonus</w:t>
            </w:r>
          </w:p>
        </w:tc>
      </w:tr>
      <w:tr w:rsidR="006E6570" w:rsidRPr="00075215" w:rsidTr="008B4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 w:type="dxa"/>
            <w:tcBorders>
              <w:top w:val="none" w:sz="0" w:space="0" w:color="auto"/>
              <w:bottom w:val="none" w:sz="0" w:space="0" w:color="auto"/>
              <w:right w:val="none" w:sz="0" w:space="0" w:color="auto"/>
            </w:tcBorders>
            <w:vAlign w:val="center"/>
          </w:tcPr>
          <w:p w:rsidR="006E6570" w:rsidRPr="00075215" w:rsidRDefault="006E6570" w:rsidP="00FA1A83">
            <w:pPr>
              <w:jc w:val="center"/>
              <w:rPr>
                <w:rFonts w:cs="Times New Roman"/>
                <w:sz w:val="20"/>
                <w:szCs w:val="20"/>
              </w:rPr>
            </w:pPr>
            <w:r w:rsidRPr="00075215">
              <w:rPr>
                <w:rFonts w:cs="Times New Roman"/>
                <w:sz w:val="20"/>
                <w:szCs w:val="20"/>
              </w:rPr>
              <w:t>21</w:t>
            </w:r>
          </w:p>
        </w:tc>
        <w:tc>
          <w:tcPr>
            <w:tcW w:w="1054"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075215">
              <w:rPr>
                <w:rFonts w:cs="Times New Roman"/>
                <w:i/>
                <w:sz w:val="20"/>
                <w:szCs w:val="20"/>
              </w:rPr>
              <w:t>12,97 %</w:t>
            </w:r>
          </w:p>
        </w:tc>
        <w:tc>
          <w:tcPr>
            <w:tcW w:w="879"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31</w:t>
            </w:r>
          </w:p>
        </w:tc>
        <w:tc>
          <w:tcPr>
            <w:tcW w:w="1005"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1,99%</w:t>
            </w:r>
          </w:p>
        </w:tc>
        <w:tc>
          <w:tcPr>
            <w:tcW w:w="879"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41</w:t>
            </w:r>
          </w:p>
        </w:tc>
        <w:tc>
          <w:tcPr>
            <w:tcW w:w="1005"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0,25%</w:t>
            </w:r>
          </w:p>
        </w:tc>
        <w:tc>
          <w:tcPr>
            <w:tcW w:w="880"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51</w:t>
            </w:r>
          </w:p>
        </w:tc>
        <w:tc>
          <w:tcPr>
            <w:tcW w:w="1006"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-0,01%</w:t>
            </w:r>
          </w:p>
        </w:tc>
      </w:tr>
      <w:tr w:rsidR="006E6570" w:rsidRPr="00075215" w:rsidTr="008B4822">
        <w:tc>
          <w:tcPr>
            <w:cnfStyle w:val="001000000000" w:firstRow="0" w:lastRow="0" w:firstColumn="1" w:lastColumn="0" w:oddVBand="0" w:evenVBand="0" w:oddHBand="0" w:evenHBand="0" w:firstRowFirstColumn="0" w:firstRowLastColumn="0" w:lastRowFirstColumn="0" w:lastRowLastColumn="0"/>
            <w:tcW w:w="879" w:type="dxa"/>
            <w:tcBorders>
              <w:right w:val="none" w:sz="0" w:space="0" w:color="auto"/>
            </w:tcBorders>
            <w:vAlign w:val="center"/>
          </w:tcPr>
          <w:p w:rsidR="006E6570" w:rsidRPr="00075215" w:rsidRDefault="006E6570" w:rsidP="00FA1A83">
            <w:pPr>
              <w:jc w:val="center"/>
              <w:rPr>
                <w:rFonts w:cs="Times New Roman"/>
                <w:sz w:val="20"/>
                <w:szCs w:val="20"/>
              </w:rPr>
            </w:pPr>
            <w:r w:rsidRPr="00075215">
              <w:rPr>
                <w:rFonts w:cs="Times New Roman"/>
                <w:sz w:val="20"/>
                <w:szCs w:val="20"/>
              </w:rPr>
              <w:t>22</w:t>
            </w:r>
          </w:p>
        </w:tc>
        <w:tc>
          <w:tcPr>
            <w:tcW w:w="1054"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10,31%</w:t>
            </w:r>
          </w:p>
        </w:tc>
        <w:tc>
          <w:tcPr>
            <w:tcW w:w="879"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32</w:t>
            </w:r>
          </w:p>
        </w:tc>
        <w:tc>
          <w:tcPr>
            <w:tcW w:w="1005"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1,66%</w:t>
            </w:r>
          </w:p>
        </w:tc>
        <w:tc>
          <w:tcPr>
            <w:tcW w:w="879"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42</w:t>
            </w:r>
          </w:p>
        </w:tc>
        <w:tc>
          <w:tcPr>
            <w:tcW w:w="1005"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0,20%</w:t>
            </w:r>
          </w:p>
        </w:tc>
        <w:tc>
          <w:tcPr>
            <w:tcW w:w="880"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52</w:t>
            </w:r>
          </w:p>
        </w:tc>
        <w:tc>
          <w:tcPr>
            <w:tcW w:w="1006"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-0,04%</w:t>
            </w:r>
          </w:p>
        </w:tc>
      </w:tr>
      <w:tr w:rsidR="006E6570" w:rsidRPr="00075215" w:rsidTr="008B4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 w:type="dxa"/>
            <w:tcBorders>
              <w:top w:val="none" w:sz="0" w:space="0" w:color="auto"/>
              <w:bottom w:val="none" w:sz="0" w:space="0" w:color="auto"/>
              <w:right w:val="none" w:sz="0" w:space="0" w:color="auto"/>
            </w:tcBorders>
            <w:vAlign w:val="center"/>
          </w:tcPr>
          <w:p w:rsidR="006E6570" w:rsidRPr="00075215" w:rsidRDefault="006E6570" w:rsidP="00FA1A83">
            <w:pPr>
              <w:jc w:val="center"/>
              <w:rPr>
                <w:rFonts w:cs="Times New Roman"/>
                <w:sz w:val="20"/>
                <w:szCs w:val="20"/>
              </w:rPr>
            </w:pPr>
            <w:r w:rsidRPr="00075215">
              <w:rPr>
                <w:rFonts w:cs="Times New Roman"/>
                <w:sz w:val="20"/>
                <w:szCs w:val="20"/>
              </w:rPr>
              <w:t>23</w:t>
            </w:r>
          </w:p>
        </w:tc>
        <w:tc>
          <w:tcPr>
            <w:tcW w:w="1054"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8,36%</w:t>
            </w:r>
          </w:p>
        </w:tc>
        <w:tc>
          <w:tcPr>
            <w:tcW w:w="879"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33</w:t>
            </w:r>
          </w:p>
        </w:tc>
        <w:tc>
          <w:tcPr>
            <w:tcW w:w="1005"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1,38%</w:t>
            </w:r>
          </w:p>
        </w:tc>
        <w:tc>
          <w:tcPr>
            <w:tcW w:w="879"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43</w:t>
            </w:r>
          </w:p>
        </w:tc>
        <w:tc>
          <w:tcPr>
            <w:tcW w:w="1005"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0,16%</w:t>
            </w:r>
          </w:p>
        </w:tc>
        <w:tc>
          <w:tcPr>
            <w:tcW w:w="880"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53</w:t>
            </w:r>
          </w:p>
        </w:tc>
        <w:tc>
          <w:tcPr>
            <w:tcW w:w="1006"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-0,08%</w:t>
            </w:r>
          </w:p>
        </w:tc>
      </w:tr>
      <w:tr w:rsidR="006E6570" w:rsidRPr="00075215" w:rsidTr="008B4822">
        <w:tc>
          <w:tcPr>
            <w:cnfStyle w:val="001000000000" w:firstRow="0" w:lastRow="0" w:firstColumn="1" w:lastColumn="0" w:oddVBand="0" w:evenVBand="0" w:oddHBand="0" w:evenHBand="0" w:firstRowFirstColumn="0" w:firstRowLastColumn="0" w:lastRowFirstColumn="0" w:lastRowLastColumn="0"/>
            <w:tcW w:w="879" w:type="dxa"/>
            <w:tcBorders>
              <w:right w:val="none" w:sz="0" w:space="0" w:color="auto"/>
            </w:tcBorders>
            <w:vAlign w:val="center"/>
          </w:tcPr>
          <w:p w:rsidR="006E6570" w:rsidRPr="00075215" w:rsidRDefault="006E6570" w:rsidP="00FA1A83">
            <w:pPr>
              <w:jc w:val="center"/>
              <w:rPr>
                <w:rFonts w:cs="Times New Roman"/>
                <w:sz w:val="20"/>
                <w:szCs w:val="20"/>
              </w:rPr>
            </w:pPr>
            <w:r w:rsidRPr="00075215">
              <w:rPr>
                <w:rFonts w:cs="Times New Roman"/>
                <w:sz w:val="20"/>
                <w:szCs w:val="20"/>
              </w:rPr>
              <w:t>24</w:t>
            </w:r>
          </w:p>
        </w:tc>
        <w:tc>
          <w:tcPr>
            <w:tcW w:w="1054"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6,87%</w:t>
            </w:r>
          </w:p>
        </w:tc>
        <w:tc>
          <w:tcPr>
            <w:tcW w:w="879"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34</w:t>
            </w:r>
          </w:p>
        </w:tc>
        <w:tc>
          <w:tcPr>
            <w:tcW w:w="1005"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1,15%</w:t>
            </w:r>
          </w:p>
        </w:tc>
        <w:tc>
          <w:tcPr>
            <w:tcW w:w="879"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44</w:t>
            </w:r>
          </w:p>
        </w:tc>
        <w:tc>
          <w:tcPr>
            <w:tcW w:w="1005"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0,12%</w:t>
            </w:r>
          </w:p>
        </w:tc>
        <w:tc>
          <w:tcPr>
            <w:tcW w:w="880"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54</w:t>
            </w:r>
          </w:p>
        </w:tc>
        <w:tc>
          <w:tcPr>
            <w:tcW w:w="1006"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-0,12%</w:t>
            </w:r>
          </w:p>
        </w:tc>
      </w:tr>
      <w:tr w:rsidR="006E6570" w:rsidRPr="00075215" w:rsidTr="008B4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 w:type="dxa"/>
            <w:tcBorders>
              <w:top w:val="none" w:sz="0" w:space="0" w:color="auto"/>
              <w:bottom w:val="none" w:sz="0" w:space="0" w:color="auto"/>
              <w:right w:val="none" w:sz="0" w:space="0" w:color="auto"/>
            </w:tcBorders>
            <w:vAlign w:val="center"/>
          </w:tcPr>
          <w:p w:rsidR="006E6570" w:rsidRPr="00075215" w:rsidRDefault="006E6570" w:rsidP="00FA1A83">
            <w:pPr>
              <w:jc w:val="center"/>
              <w:rPr>
                <w:rFonts w:cs="Times New Roman"/>
                <w:sz w:val="20"/>
                <w:szCs w:val="20"/>
              </w:rPr>
            </w:pPr>
            <w:r w:rsidRPr="00075215">
              <w:rPr>
                <w:rFonts w:cs="Times New Roman"/>
                <w:sz w:val="20"/>
                <w:szCs w:val="20"/>
              </w:rPr>
              <w:t>25</w:t>
            </w:r>
          </w:p>
        </w:tc>
        <w:tc>
          <w:tcPr>
            <w:tcW w:w="1054"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5,70%</w:t>
            </w:r>
          </w:p>
        </w:tc>
        <w:tc>
          <w:tcPr>
            <w:tcW w:w="879"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35</w:t>
            </w:r>
          </w:p>
        </w:tc>
        <w:tc>
          <w:tcPr>
            <w:tcW w:w="1005"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0,94%</w:t>
            </w:r>
          </w:p>
        </w:tc>
        <w:tc>
          <w:tcPr>
            <w:tcW w:w="879"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45</w:t>
            </w:r>
          </w:p>
        </w:tc>
        <w:tc>
          <w:tcPr>
            <w:tcW w:w="1005"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0,10%</w:t>
            </w:r>
          </w:p>
        </w:tc>
        <w:tc>
          <w:tcPr>
            <w:tcW w:w="880"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55</w:t>
            </w:r>
          </w:p>
        </w:tc>
        <w:tc>
          <w:tcPr>
            <w:tcW w:w="1006"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-0,18%</w:t>
            </w:r>
          </w:p>
        </w:tc>
      </w:tr>
      <w:tr w:rsidR="006E6570" w:rsidRPr="00075215" w:rsidTr="008B4822">
        <w:tc>
          <w:tcPr>
            <w:cnfStyle w:val="001000000000" w:firstRow="0" w:lastRow="0" w:firstColumn="1" w:lastColumn="0" w:oddVBand="0" w:evenVBand="0" w:oddHBand="0" w:evenHBand="0" w:firstRowFirstColumn="0" w:firstRowLastColumn="0" w:lastRowFirstColumn="0" w:lastRowLastColumn="0"/>
            <w:tcW w:w="879" w:type="dxa"/>
            <w:tcBorders>
              <w:right w:val="none" w:sz="0" w:space="0" w:color="auto"/>
            </w:tcBorders>
            <w:vAlign w:val="center"/>
          </w:tcPr>
          <w:p w:rsidR="006E6570" w:rsidRPr="00075215" w:rsidRDefault="006E6570" w:rsidP="00FA1A83">
            <w:pPr>
              <w:jc w:val="center"/>
              <w:rPr>
                <w:rFonts w:cs="Times New Roman"/>
                <w:sz w:val="20"/>
                <w:szCs w:val="20"/>
              </w:rPr>
            </w:pPr>
            <w:r w:rsidRPr="00075215">
              <w:rPr>
                <w:rFonts w:cs="Times New Roman"/>
                <w:sz w:val="20"/>
                <w:szCs w:val="20"/>
              </w:rPr>
              <w:t>26</w:t>
            </w:r>
          </w:p>
        </w:tc>
        <w:tc>
          <w:tcPr>
            <w:tcW w:w="1054"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4,76%</w:t>
            </w:r>
          </w:p>
        </w:tc>
        <w:tc>
          <w:tcPr>
            <w:tcW w:w="879"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36</w:t>
            </w:r>
          </w:p>
        </w:tc>
        <w:tc>
          <w:tcPr>
            <w:tcW w:w="1005"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0,77%</w:t>
            </w:r>
          </w:p>
        </w:tc>
        <w:tc>
          <w:tcPr>
            <w:tcW w:w="879"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46</w:t>
            </w:r>
          </w:p>
        </w:tc>
        <w:tc>
          <w:tcPr>
            <w:tcW w:w="1005"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0,07%</w:t>
            </w:r>
          </w:p>
        </w:tc>
        <w:tc>
          <w:tcPr>
            <w:tcW w:w="880"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56</w:t>
            </w:r>
          </w:p>
        </w:tc>
        <w:tc>
          <w:tcPr>
            <w:tcW w:w="1006"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-0,25%</w:t>
            </w:r>
          </w:p>
        </w:tc>
      </w:tr>
      <w:tr w:rsidR="006E6570" w:rsidRPr="00075215" w:rsidTr="008B4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 w:type="dxa"/>
            <w:tcBorders>
              <w:top w:val="none" w:sz="0" w:space="0" w:color="auto"/>
              <w:bottom w:val="none" w:sz="0" w:space="0" w:color="auto"/>
              <w:right w:val="none" w:sz="0" w:space="0" w:color="auto"/>
            </w:tcBorders>
            <w:vAlign w:val="center"/>
          </w:tcPr>
          <w:p w:rsidR="006E6570" w:rsidRPr="00075215" w:rsidRDefault="006E6570" w:rsidP="00FA1A83">
            <w:pPr>
              <w:jc w:val="center"/>
              <w:rPr>
                <w:rFonts w:cs="Times New Roman"/>
                <w:sz w:val="20"/>
                <w:szCs w:val="20"/>
              </w:rPr>
            </w:pPr>
            <w:r w:rsidRPr="00075215">
              <w:rPr>
                <w:rFonts w:cs="Times New Roman"/>
                <w:sz w:val="20"/>
                <w:szCs w:val="20"/>
              </w:rPr>
              <w:t>27</w:t>
            </w:r>
          </w:p>
        </w:tc>
        <w:tc>
          <w:tcPr>
            <w:tcW w:w="1054"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4,00%</w:t>
            </w:r>
          </w:p>
        </w:tc>
        <w:tc>
          <w:tcPr>
            <w:tcW w:w="879"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37</w:t>
            </w:r>
          </w:p>
        </w:tc>
        <w:tc>
          <w:tcPr>
            <w:tcW w:w="1005"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0,63%</w:t>
            </w:r>
          </w:p>
        </w:tc>
        <w:tc>
          <w:tcPr>
            <w:tcW w:w="879"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47</w:t>
            </w:r>
          </w:p>
        </w:tc>
        <w:tc>
          <w:tcPr>
            <w:tcW w:w="1005"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0,06%</w:t>
            </w:r>
          </w:p>
        </w:tc>
        <w:tc>
          <w:tcPr>
            <w:tcW w:w="880"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57</w:t>
            </w:r>
          </w:p>
        </w:tc>
        <w:tc>
          <w:tcPr>
            <w:tcW w:w="1006"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-0,33%</w:t>
            </w:r>
          </w:p>
        </w:tc>
      </w:tr>
      <w:tr w:rsidR="006E6570" w:rsidRPr="00075215" w:rsidTr="008B4822">
        <w:tc>
          <w:tcPr>
            <w:cnfStyle w:val="001000000000" w:firstRow="0" w:lastRow="0" w:firstColumn="1" w:lastColumn="0" w:oddVBand="0" w:evenVBand="0" w:oddHBand="0" w:evenHBand="0" w:firstRowFirstColumn="0" w:firstRowLastColumn="0" w:lastRowFirstColumn="0" w:lastRowLastColumn="0"/>
            <w:tcW w:w="879" w:type="dxa"/>
            <w:tcBorders>
              <w:right w:val="none" w:sz="0" w:space="0" w:color="auto"/>
            </w:tcBorders>
            <w:vAlign w:val="center"/>
          </w:tcPr>
          <w:p w:rsidR="006E6570" w:rsidRPr="00075215" w:rsidRDefault="006E6570" w:rsidP="00FA1A83">
            <w:pPr>
              <w:jc w:val="center"/>
              <w:rPr>
                <w:rFonts w:cs="Times New Roman"/>
                <w:sz w:val="20"/>
                <w:szCs w:val="20"/>
              </w:rPr>
            </w:pPr>
            <w:r w:rsidRPr="00075215">
              <w:rPr>
                <w:rFonts w:cs="Times New Roman"/>
                <w:sz w:val="20"/>
                <w:szCs w:val="20"/>
              </w:rPr>
              <w:t>28</w:t>
            </w:r>
          </w:p>
        </w:tc>
        <w:tc>
          <w:tcPr>
            <w:tcW w:w="1054"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3,36%</w:t>
            </w:r>
          </w:p>
        </w:tc>
        <w:tc>
          <w:tcPr>
            <w:tcW w:w="879"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38</w:t>
            </w:r>
          </w:p>
        </w:tc>
        <w:tc>
          <w:tcPr>
            <w:tcW w:w="1005"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0,50%</w:t>
            </w:r>
          </w:p>
        </w:tc>
        <w:tc>
          <w:tcPr>
            <w:tcW w:w="879"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48</w:t>
            </w:r>
          </w:p>
        </w:tc>
        <w:tc>
          <w:tcPr>
            <w:tcW w:w="1005"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0,04%</w:t>
            </w:r>
          </w:p>
        </w:tc>
        <w:tc>
          <w:tcPr>
            <w:tcW w:w="880"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58</w:t>
            </w:r>
          </w:p>
        </w:tc>
        <w:tc>
          <w:tcPr>
            <w:tcW w:w="1006"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-0,44%</w:t>
            </w:r>
          </w:p>
        </w:tc>
      </w:tr>
      <w:tr w:rsidR="006E6570" w:rsidRPr="00075215" w:rsidTr="008B4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 w:type="dxa"/>
            <w:tcBorders>
              <w:top w:val="none" w:sz="0" w:space="0" w:color="auto"/>
              <w:bottom w:val="none" w:sz="0" w:space="0" w:color="auto"/>
              <w:right w:val="none" w:sz="0" w:space="0" w:color="auto"/>
            </w:tcBorders>
            <w:vAlign w:val="center"/>
          </w:tcPr>
          <w:p w:rsidR="006E6570" w:rsidRPr="00075215" w:rsidRDefault="006E6570" w:rsidP="00FA1A83">
            <w:pPr>
              <w:jc w:val="center"/>
              <w:rPr>
                <w:rFonts w:cs="Times New Roman"/>
                <w:sz w:val="20"/>
                <w:szCs w:val="20"/>
              </w:rPr>
            </w:pPr>
            <w:r w:rsidRPr="00075215">
              <w:rPr>
                <w:rFonts w:cs="Times New Roman"/>
                <w:sz w:val="20"/>
                <w:szCs w:val="20"/>
              </w:rPr>
              <w:t>29</w:t>
            </w:r>
          </w:p>
        </w:tc>
        <w:tc>
          <w:tcPr>
            <w:tcW w:w="1054"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2,82%</w:t>
            </w:r>
          </w:p>
        </w:tc>
        <w:tc>
          <w:tcPr>
            <w:tcW w:w="879"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39</w:t>
            </w:r>
          </w:p>
        </w:tc>
        <w:tc>
          <w:tcPr>
            <w:tcW w:w="1005"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0,40%</w:t>
            </w:r>
          </w:p>
        </w:tc>
        <w:tc>
          <w:tcPr>
            <w:tcW w:w="879"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49</w:t>
            </w:r>
          </w:p>
        </w:tc>
        <w:tc>
          <w:tcPr>
            <w:tcW w:w="1005"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0,03%</w:t>
            </w:r>
          </w:p>
        </w:tc>
        <w:tc>
          <w:tcPr>
            <w:tcW w:w="880"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59</w:t>
            </w:r>
          </w:p>
        </w:tc>
        <w:tc>
          <w:tcPr>
            <w:tcW w:w="1006" w:type="dxa"/>
            <w:tcBorders>
              <w:top w:val="none" w:sz="0" w:space="0" w:color="auto"/>
              <w:bottom w:val="none" w:sz="0" w:space="0" w:color="auto"/>
            </w:tcBorders>
            <w:vAlign w:val="center"/>
          </w:tcPr>
          <w:p w:rsidR="006E6570" w:rsidRPr="00075215" w:rsidRDefault="006E6570" w:rsidP="00FA1A83">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-0,56%</w:t>
            </w:r>
          </w:p>
        </w:tc>
      </w:tr>
      <w:tr w:rsidR="006E6570" w:rsidRPr="00075215" w:rsidTr="008B4822">
        <w:tc>
          <w:tcPr>
            <w:cnfStyle w:val="001000000000" w:firstRow="0" w:lastRow="0" w:firstColumn="1" w:lastColumn="0" w:oddVBand="0" w:evenVBand="0" w:oddHBand="0" w:evenHBand="0" w:firstRowFirstColumn="0" w:firstRowLastColumn="0" w:lastRowFirstColumn="0" w:lastRowLastColumn="0"/>
            <w:tcW w:w="879" w:type="dxa"/>
            <w:tcBorders>
              <w:right w:val="none" w:sz="0" w:space="0" w:color="auto"/>
            </w:tcBorders>
            <w:vAlign w:val="center"/>
          </w:tcPr>
          <w:p w:rsidR="006E6570" w:rsidRPr="00075215" w:rsidRDefault="006E6570" w:rsidP="00FA1A83">
            <w:pPr>
              <w:jc w:val="center"/>
              <w:rPr>
                <w:rFonts w:cs="Times New Roman"/>
                <w:sz w:val="20"/>
                <w:szCs w:val="20"/>
              </w:rPr>
            </w:pPr>
            <w:r w:rsidRPr="00075215">
              <w:rPr>
                <w:rFonts w:cs="Times New Roman"/>
                <w:sz w:val="20"/>
                <w:szCs w:val="20"/>
              </w:rPr>
              <w:t>30</w:t>
            </w:r>
          </w:p>
        </w:tc>
        <w:tc>
          <w:tcPr>
            <w:tcW w:w="1054"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2,37%</w:t>
            </w:r>
          </w:p>
        </w:tc>
        <w:tc>
          <w:tcPr>
            <w:tcW w:w="879"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40</w:t>
            </w:r>
          </w:p>
        </w:tc>
        <w:tc>
          <w:tcPr>
            <w:tcW w:w="1005"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0,32%</w:t>
            </w:r>
          </w:p>
        </w:tc>
        <w:tc>
          <w:tcPr>
            <w:tcW w:w="879"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50</w:t>
            </w:r>
          </w:p>
        </w:tc>
        <w:tc>
          <w:tcPr>
            <w:tcW w:w="1005"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0,01%</w:t>
            </w:r>
          </w:p>
        </w:tc>
        <w:tc>
          <w:tcPr>
            <w:tcW w:w="880"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60</w:t>
            </w:r>
          </w:p>
        </w:tc>
        <w:tc>
          <w:tcPr>
            <w:tcW w:w="1006" w:type="dxa"/>
            <w:vAlign w:val="center"/>
          </w:tcPr>
          <w:p w:rsidR="006E6570" w:rsidRPr="00075215" w:rsidRDefault="006E6570" w:rsidP="00FA1A83">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-0,71%</w:t>
            </w:r>
          </w:p>
        </w:tc>
      </w:tr>
    </w:tbl>
    <w:p w:rsidR="006E6570" w:rsidRPr="00C27768" w:rsidRDefault="008B4822" w:rsidP="007D287B">
      <w:pPr>
        <w:rPr>
          <w:rFonts w:cs="Times New Roman"/>
          <w:sz w:val="20"/>
          <w:szCs w:val="20"/>
        </w:rPr>
      </w:pPr>
      <w:r w:rsidRPr="00C27768">
        <w:rPr>
          <w:i/>
          <w:sz w:val="20"/>
          <w:szCs w:val="20"/>
        </w:rPr>
        <w:t xml:space="preserve">Zdroj: Prepočty </w:t>
      </w:r>
      <w:proofErr w:type="spellStart"/>
      <w:r w:rsidRPr="00C27768">
        <w:rPr>
          <w:i/>
          <w:sz w:val="20"/>
          <w:szCs w:val="20"/>
        </w:rPr>
        <w:t>MPSVaR</w:t>
      </w:r>
      <w:proofErr w:type="spellEnd"/>
      <w:r w:rsidRPr="00C27768">
        <w:rPr>
          <w:rFonts w:cs="Times New Roman"/>
          <w:noProof/>
          <w:sz w:val="20"/>
          <w:szCs w:val="20"/>
          <w:lang w:eastAsia="sk-SK"/>
        </w:rPr>
        <w:t xml:space="preserve"> </w:t>
      </w:r>
      <w:r w:rsidR="00161D37" w:rsidRPr="00C27768">
        <w:rPr>
          <w:rFonts w:cs="Times New Roman"/>
          <w:noProof/>
          <w:sz w:val="20"/>
          <w:szCs w:val="20"/>
          <w:lang w:eastAsia="sk-SK"/>
        </w:rPr>
        <mc:AlternateContent>
          <mc:Choice Requires="wps">
            <w:drawing>
              <wp:anchor distT="0" distB="0" distL="114300" distR="114300" simplePos="0" relativeHeight="251705344" behindDoc="0" locked="0" layoutInCell="1" allowOverlap="1" wp14:anchorId="516E63C3" wp14:editId="12F623D5">
                <wp:simplePos x="0" y="0"/>
                <wp:positionH relativeFrom="column">
                  <wp:posOffset>-2005965</wp:posOffset>
                </wp:positionH>
                <wp:positionV relativeFrom="paragraph">
                  <wp:posOffset>289560</wp:posOffset>
                </wp:positionV>
                <wp:extent cx="2374265" cy="1403985"/>
                <wp:effectExtent l="0" t="0" r="13970" b="2603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072888" w:rsidRPr="00052644" w:rsidRDefault="00072888" w:rsidP="00072888">
                            <w:pPr>
                              <w:pStyle w:val="TextBox0"/>
                              <w:rPr>
                                <w:b w:val="0"/>
                                <w:i/>
                              </w:rPr>
                            </w:pPr>
                            <w:r>
                              <w:rPr>
                                <w:rFonts w:cstheme="minorHAnsi"/>
                                <w:i/>
                                <w:smallCaps w:val="0"/>
                                <w:sz w:val="20"/>
                              </w:rPr>
                              <w:t>Mzdová bonifikácia je kladná až do veku 50 rokov</w:t>
                            </w:r>
                          </w:p>
                          <w:p w:rsidR="00072888" w:rsidRDefault="00072888" w:rsidP="00123892">
                            <w:pPr>
                              <w:pStyle w:val="TextBox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Blok textu 2" o:spid="_x0000_s1027" type="#_x0000_t202" style="position:absolute;left:0;text-align:left;margin-left:-157.95pt;margin-top:22.8pt;width:186.95pt;height:110.55pt;z-index:2517053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" strokecolor="white [3212]">
                <v:textbox style="mso-fit-shape-to-text:t">
                  <w:txbxContent>
                    <w:p w:rsidR="00072888" w:rsidRPr="00052644" w:rsidRDefault="00072888" w:rsidP="00072888">
                      <w:pPr>
                        <w:pStyle w:val="TextBox0"/>
                        <w:rPr>
                          <w:b w:val="0"/>
                          <w:i/>
                        </w:rPr>
                      </w:pPr>
                      <w:r>
                        <w:rPr>
                          <w:rFonts w:cstheme="minorHAnsi"/>
                          <w:i/>
                          <w:smallCaps w:val="0"/>
                          <w:sz w:val="20"/>
                        </w:rPr>
                        <w:t>Mzdová bonifikácia je kladná až do veku 50 rokov</w:t>
                      </w:r>
                    </w:p>
                    <w:p w:rsidR="00072888" w:rsidRDefault="00072888" w:rsidP="00123892">
                      <w:pPr>
                        <w:pStyle w:val="TextBox0"/>
                      </w:pPr>
                    </w:p>
                  </w:txbxContent>
                </v:textbox>
              </v:shape>
            </w:pict>
          </mc:Fallback>
        </mc:AlternateContent>
      </w:r>
    </w:p>
    <w:p w:rsidR="006E6570" w:rsidRPr="00075215" w:rsidRDefault="006E6570" w:rsidP="007D287B">
      <w:pPr>
        <w:rPr>
          <w:rFonts w:cs="Times New Roman"/>
          <w:sz w:val="24"/>
          <w:szCs w:val="24"/>
        </w:rPr>
      </w:pPr>
      <w:r w:rsidRPr="00075215">
        <w:rPr>
          <w:rFonts w:cs="Times New Roman"/>
          <w:sz w:val="24"/>
          <w:szCs w:val="24"/>
        </w:rPr>
        <w:t xml:space="preserve">Z údajov vyplýva, že mzdová bonifikácia je kladná až do veku 50 rokov. To znamená, že očakávaný nárast mzdy pre sporiteľov vo veku 50 rokov a menej je vyšší ako priemerný mzdový nárast. Od veku 51 rokov je hodnota mzdovej bonifikácie záporná a očakávaný mzdový nárast je teda menší ako priemerný. Zistené hodnoty veličín korešpondujú s vývojom príjmovej funkcie v grafe </w:t>
      </w:r>
      <w:r w:rsidR="00041E22" w:rsidRPr="00075215">
        <w:rPr>
          <w:rFonts w:cs="Times New Roman"/>
          <w:sz w:val="24"/>
          <w:szCs w:val="24"/>
        </w:rPr>
        <w:t>3</w:t>
      </w:r>
      <w:r w:rsidRPr="00075215">
        <w:rPr>
          <w:rFonts w:cs="Times New Roman"/>
          <w:sz w:val="24"/>
          <w:szCs w:val="24"/>
        </w:rPr>
        <w:t xml:space="preserve">, ktorá indikuje negatívny sklon krivky po dovŕšení 50 roku života. </w:t>
      </w:r>
      <w:r w:rsidRPr="007F7486">
        <w:rPr>
          <w:rFonts w:cs="Times New Roman"/>
          <w:b/>
          <w:sz w:val="24"/>
          <w:szCs w:val="24"/>
        </w:rPr>
        <w:t xml:space="preserve">Aj v tomto prípade je potrebné zdôrazniť, že </w:t>
      </w:r>
      <w:r w:rsidRPr="007F7486">
        <w:rPr>
          <w:rFonts w:cs="Times New Roman"/>
          <w:b/>
          <w:sz w:val="24"/>
          <w:szCs w:val="24"/>
        </w:rPr>
        <w:lastRenderedPageBreak/>
        <w:t>záporné hodnoty mzdovej bonifikácie neznamenajú absolútny ale relatívny pokles mzdy k priemernej hodnote.</w:t>
      </w:r>
      <w:r w:rsidRPr="00075215">
        <w:rPr>
          <w:rFonts w:cs="Times New Roman"/>
          <w:sz w:val="24"/>
          <w:szCs w:val="24"/>
        </w:rPr>
        <w:t xml:space="preserve"> </w:t>
      </w:r>
    </w:p>
    <w:p w:rsidR="00075215" w:rsidRDefault="00075215" w:rsidP="007D287B">
      <w:pPr>
        <w:rPr>
          <w:rFonts w:cs="Times New Roman"/>
          <w:sz w:val="24"/>
          <w:szCs w:val="24"/>
        </w:rPr>
      </w:pPr>
      <w:r w:rsidRPr="00075215">
        <w:rPr>
          <w:rFonts w:cs="Times New Roman"/>
          <w:noProof/>
          <w:sz w:val="24"/>
          <w:szCs w:val="24"/>
          <w:lang w:eastAsia="sk-SK"/>
        </w:rPr>
        <mc:AlternateContent>
          <mc:Choice Requires="wps">
            <w:drawing>
              <wp:anchor distT="0" distB="0" distL="114300" distR="114300" simplePos="0" relativeHeight="251703296" behindDoc="1" locked="0" layoutInCell="1" allowOverlap="1" wp14:anchorId="07C95CC0" wp14:editId="52F7F855">
                <wp:simplePos x="0" y="0"/>
                <wp:positionH relativeFrom="leftMargin">
                  <wp:posOffset>422694</wp:posOffset>
                </wp:positionH>
                <wp:positionV relativeFrom="paragraph">
                  <wp:posOffset>41204</wp:posOffset>
                </wp:positionV>
                <wp:extent cx="1428750" cy="1199072"/>
                <wp:effectExtent l="0" t="0" r="0" b="1270"/>
                <wp:wrapNone/>
                <wp:docPr id="7" name="Blok textu 7"/>
                <wp:cNvGraphicFramePr/>
                <a:graphic xmlns:a="http://schemas.openxmlformats.org/drawingml/2006/main">
                  <a:graphicData uri="http://schemas.microsoft.com/office/word/2010/wordprocessingShape">
                    <wps:wsp>
                      <wps:cNvSpPr txBox="1"/>
                      <wps:spPr>
                        <a:xfrm>
                          <a:off x="0" y="0"/>
                          <a:ext cx="1428750" cy="11990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2888" w:rsidRPr="00052644" w:rsidRDefault="00072888" w:rsidP="00E9694F">
                            <w:pPr>
                              <w:pStyle w:val="TextBox0"/>
                              <w:spacing w:before="0" w:after="0"/>
                              <w:rPr>
                                <w:color w:val="0070C0"/>
                                <w:sz w:val="44"/>
                                <w:szCs w:val="44"/>
                              </w:rPr>
                            </w:pPr>
                            <w:r>
                              <w:rPr>
                                <w:color w:val="0070C0"/>
                                <w:sz w:val="44"/>
                                <w:szCs w:val="44"/>
                              </w:rPr>
                              <w:t>2,45</w:t>
                            </w:r>
                            <w:r w:rsidRPr="00052644">
                              <w:rPr>
                                <w:color w:val="0070C0"/>
                                <w:sz w:val="44"/>
                                <w:szCs w:val="44"/>
                              </w:rPr>
                              <w:t xml:space="preserve"> %</w:t>
                            </w:r>
                          </w:p>
                          <w:p w:rsidR="00072888" w:rsidRPr="00075215" w:rsidRDefault="00075215" w:rsidP="00075215">
                            <w:pPr>
                              <w:pStyle w:val="TextBox0"/>
                              <w:jc w:val="left"/>
                              <w:rPr>
                                <w:smallCaps w:val="0"/>
                              </w:rPr>
                            </w:pPr>
                            <w:r>
                              <w:rPr>
                                <w:smallCaps w:val="0"/>
                              </w:rPr>
                              <w:t>Odhadovaný</w:t>
                            </w:r>
                            <w:r w:rsidRPr="00075215">
                              <w:rPr>
                                <w:smallCaps w:val="0"/>
                              </w:rPr>
                              <w:t xml:space="preserve"> </w:t>
                            </w:r>
                            <w:r w:rsidR="00072888" w:rsidRPr="00075215">
                              <w:rPr>
                                <w:smallCaps w:val="0"/>
                              </w:rPr>
                              <w:t>priemerný ročný nárast produktiv</w:t>
                            </w:r>
                            <w:r>
                              <w:rPr>
                                <w:smallCaps w:val="0"/>
                              </w:rPr>
                              <w:t xml:space="preserve">ity práce na Slovensku podľa AWG.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lok textu 7" o:spid="_x0000_s1028" type="#_x0000_t202" style="position:absolute;left:0;text-align:left;margin-left:33.3pt;margin-top:3.25pt;width:112.5pt;height:94.4pt;z-index:-2516131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" fillcolor="white [3201]" stroked="f" strokeweight=".5pt">
                <v:textbox>
                  <w:txbxContent>
                    <w:p w:rsidR="00072888" w:rsidRPr="00052644" w:rsidRDefault="00072888" w:rsidP="00E9694F">
                      <w:pPr>
                        <w:pStyle w:val="TextBox0"/>
                        <w:spacing w:before="0" w:after="0"/>
                        <w:rPr>
                          <w:color w:val="0070C0"/>
                          <w:sz w:val="44"/>
                          <w:szCs w:val="44"/>
                        </w:rPr>
                      </w:pPr>
                      <w:r>
                        <w:rPr>
                          <w:color w:val="0070C0"/>
                          <w:sz w:val="44"/>
                          <w:szCs w:val="44"/>
                        </w:rPr>
                        <w:t>2,45</w:t>
                      </w:r>
                      <w:r w:rsidRPr="00052644">
                        <w:rPr>
                          <w:color w:val="0070C0"/>
                          <w:sz w:val="44"/>
                          <w:szCs w:val="44"/>
                        </w:rPr>
                        <w:t xml:space="preserve"> %</w:t>
                      </w:r>
                    </w:p>
                    <w:p w:rsidR="00072888" w:rsidRPr="00075215" w:rsidRDefault="00075215" w:rsidP="00075215">
                      <w:pPr>
                        <w:pStyle w:val="TextBox0"/>
                        <w:jc w:val="left"/>
                        <w:rPr>
                          <w:smallCaps w:val="0"/>
                        </w:rPr>
                      </w:pPr>
                      <w:r>
                        <w:rPr>
                          <w:smallCaps w:val="0"/>
                        </w:rPr>
                        <w:t>Odhadovaný</w:t>
                      </w:r>
                      <w:r w:rsidRPr="00075215">
                        <w:rPr>
                          <w:smallCaps w:val="0"/>
                        </w:rPr>
                        <w:t xml:space="preserve"> </w:t>
                      </w:r>
                      <w:r w:rsidR="00072888" w:rsidRPr="00075215">
                        <w:rPr>
                          <w:smallCaps w:val="0"/>
                        </w:rPr>
                        <w:t>priemerný ročný nárast produktiv</w:t>
                      </w:r>
                      <w:r>
                        <w:rPr>
                          <w:smallCaps w:val="0"/>
                        </w:rPr>
                        <w:t xml:space="preserve">ity práce na Slovensku podľa AWG.  </w:t>
                      </w:r>
                    </w:p>
                  </w:txbxContent>
                </v:textbox>
                <w10:wrap anchorx="margin"/>
              </v:shape>
            </w:pict>
          </mc:Fallback>
        </mc:AlternateContent>
      </w:r>
      <w:r w:rsidR="006E6570" w:rsidRPr="00075215">
        <w:rPr>
          <w:rFonts w:cs="Times New Roman"/>
          <w:sz w:val="24"/>
          <w:szCs w:val="24"/>
        </w:rPr>
        <w:t>Pre určenie hodnoty celkového mzdového nárastu je ale potrebné okrem faktora životného cyklu zohľadniť aj všeobecný mzdový nárast v ekonomike. Hlavným akcelerátorom rastu miezd v ekonomike je produktivita práce. Produktivita práce vyjadruje pomer medzi celkovým výstupom a prácou potrebnou na jeho dosiahnutie. Produktivitu práce je možné zvyšovať prostredníctvom stimulácie ľudského kapitálu alebo technologickým pokrokom. Najviac relevantným zdrojom informácií v súvislosti s predpokladmi rastu miest, sú dáta prezentované v rámci analytickej štúdie Európskej komisie „</w:t>
      </w:r>
      <w:proofErr w:type="spellStart"/>
      <w:r w:rsidR="006E6570" w:rsidRPr="00075215">
        <w:rPr>
          <w:rFonts w:cs="Times New Roman"/>
          <w:sz w:val="24"/>
          <w:szCs w:val="24"/>
        </w:rPr>
        <w:t>The</w:t>
      </w:r>
      <w:proofErr w:type="spellEnd"/>
      <w:r w:rsidR="006E6570" w:rsidRPr="00075215">
        <w:rPr>
          <w:rFonts w:cs="Times New Roman"/>
          <w:sz w:val="24"/>
          <w:szCs w:val="24"/>
        </w:rPr>
        <w:t xml:space="preserve"> 2018 </w:t>
      </w:r>
      <w:proofErr w:type="spellStart"/>
      <w:r w:rsidR="006E6570" w:rsidRPr="00075215">
        <w:rPr>
          <w:rFonts w:cs="Times New Roman"/>
          <w:sz w:val="24"/>
          <w:szCs w:val="24"/>
        </w:rPr>
        <w:t>Ageing</w:t>
      </w:r>
      <w:proofErr w:type="spellEnd"/>
      <w:r w:rsidR="006E6570" w:rsidRPr="00075215">
        <w:rPr>
          <w:rFonts w:cs="Times New Roman"/>
          <w:sz w:val="24"/>
          <w:szCs w:val="24"/>
        </w:rPr>
        <w:t xml:space="preserve"> Report“</w:t>
      </w:r>
      <w:r w:rsidR="006E6570" w:rsidRPr="00075215">
        <w:rPr>
          <w:rStyle w:val="Odkaznapoznmkupodiarou"/>
          <w:rFonts w:cs="Times New Roman"/>
          <w:sz w:val="24"/>
          <w:szCs w:val="24"/>
        </w:rPr>
        <w:footnoteReference w:id="6"/>
      </w:r>
      <w:r w:rsidR="00167B5C" w:rsidRPr="00075215">
        <w:rPr>
          <w:rFonts w:cs="Times New Roman"/>
          <w:sz w:val="24"/>
          <w:szCs w:val="24"/>
        </w:rPr>
        <w:t xml:space="preserve"> (ďalej len „AWG“)</w:t>
      </w:r>
      <w:r w:rsidR="006E6570" w:rsidRPr="00075215">
        <w:rPr>
          <w:rFonts w:cs="Times New Roman"/>
          <w:sz w:val="24"/>
          <w:szCs w:val="24"/>
        </w:rPr>
        <w:t>. V rámci projekcií, ktoré sú zostavované za každú členskú krajinu do roku 2070 je odhadnutý, okrem iného, aj predpokladaný každoročný nárast produktivity práce a predpokladaný nárast nominálnych miezd v národnom hospodárstve až do konca horizontu celej projekcie. Z údajov z projekcií vzťahujúcich sa na slovenskú ekonomiku vyplýva, že autori analýzy predpokladajú na 40-ročnom horizonte, priemerný ročný nárast nominálnej mzdy na úrovni 4,46 % a priemerný ročný nárast produktivity práce približne 2,45 %.</w:t>
      </w:r>
      <w:r w:rsidR="005501D6" w:rsidRPr="00075215">
        <w:rPr>
          <w:rFonts w:cs="Times New Roman"/>
          <w:sz w:val="24"/>
          <w:szCs w:val="24"/>
        </w:rPr>
        <w:t xml:space="preserve"> </w:t>
      </w:r>
      <w:r w:rsidR="006E6570" w:rsidRPr="00075215">
        <w:rPr>
          <w:rFonts w:cs="Times New Roman"/>
          <w:sz w:val="24"/>
          <w:szCs w:val="24"/>
        </w:rPr>
        <w:t>Celkový predpokladaný mzdový nárast bude</w:t>
      </w:r>
      <w:r w:rsidR="005501D6" w:rsidRPr="00075215">
        <w:rPr>
          <w:rFonts w:cs="Times New Roman"/>
          <w:sz w:val="24"/>
          <w:szCs w:val="24"/>
        </w:rPr>
        <w:t xml:space="preserve"> tak</w:t>
      </w:r>
      <w:r w:rsidR="006E6570" w:rsidRPr="00075215">
        <w:rPr>
          <w:rFonts w:cs="Times New Roman"/>
          <w:sz w:val="24"/>
          <w:szCs w:val="24"/>
        </w:rPr>
        <w:t xml:space="preserve"> v našom prípade v súlade s projekciami AWG zodpovedať súčtu produktivity práce a očakávanej vekovej bonifikácie.</w:t>
      </w:r>
      <w:r>
        <w:rPr>
          <w:rFonts w:cs="Times New Roman"/>
          <w:sz w:val="24"/>
          <w:szCs w:val="24"/>
        </w:rPr>
        <w:t xml:space="preserve"> </w:t>
      </w:r>
      <w:r w:rsidR="007F7486">
        <w:rPr>
          <w:rFonts w:cs="Times New Roman"/>
          <w:sz w:val="24"/>
          <w:szCs w:val="24"/>
        </w:rPr>
        <w:t xml:space="preserve"> </w:t>
      </w:r>
    </w:p>
    <w:p w:rsidR="006E6570" w:rsidRPr="00075215" w:rsidRDefault="006E6570" w:rsidP="00890871">
      <w:pPr>
        <w:keepNext/>
        <w:rPr>
          <w:rFonts w:cs="Times New Roman"/>
          <w:b/>
          <w:sz w:val="24"/>
          <w:szCs w:val="24"/>
        </w:rPr>
      </w:pPr>
      <w:r w:rsidRPr="00075215">
        <w:rPr>
          <w:rFonts w:cs="Times New Roman"/>
          <w:b/>
          <w:sz w:val="24"/>
          <w:szCs w:val="24"/>
        </w:rPr>
        <w:lastRenderedPageBreak/>
        <w:t xml:space="preserve">Tabuľka </w:t>
      </w:r>
      <w:r w:rsidR="005501D6" w:rsidRPr="00075215">
        <w:rPr>
          <w:rFonts w:cs="Times New Roman"/>
          <w:b/>
          <w:sz w:val="24"/>
          <w:szCs w:val="24"/>
        </w:rPr>
        <w:t xml:space="preserve">3: </w:t>
      </w:r>
      <w:r w:rsidRPr="00075215">
        <w:rPr>
          <w:rFonts w:cs="Times New Roman"/>
          <w:b/>
          <w:sz w:val="24"/>
          <w:szCs w:val="24"/>
        </w:rPr>
        <w:t xml:space="preserve"> Hodnota mzdového nárastu pre jednotlivé vekové skupiny</w:t>
      </w:r>
    </w:p>
    <w:tbl>
      <w:tblPr>
        <w:tblStyle w:val="Tabukasozoznamom3zvrazneni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1048"/>
        <w:gridCol w:w="877"/>
        <w:gridCol w:w="1010"/>
        <w:gridCol w:w="877"/>
        <w:gridCol w:w="1010"/>
        <w:gridCol w:w="877"/>
        <w:gridCol w:w="902"/>
      </w:tblGrid>
      <w:tr w:rsidR="006E6570" w:rsidRPr="00075215" w:rsidTr="00EC3D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 w:type="dxa"/>
            <w:tcBorders>
              <w:bottom w:val="none" w:sz="0" w:space="0" w:color="auto"/>
              <w:right w:val="none" w:sz="0" w:space="0" w:color="auto"/>
            </w:tcBorders>
            <w:shd w:val="clear" w:color="auto" w:fill="95B3D7" w:themeFill="accent1" w:themeFillTint="99"/>
            <w:vAlign w:val="center"/>
          </w:tcPr>
          <w:p w:rsidR="006E6570" w:rsidRPr="00075215" w:rsidRDefault="006E6570" w:rsidP="00890871">
            <w:pPr>
              <w:keepNext/>
              <w:jc w:val="center"/>
              <w:rPr>
                <w:rFonts w:cs="Times New Roman"/>
                <w:sz w:val="20"/>
                <w:szCs w:val="20"/>
              </w:rPr>
            </w:pPr>
            <w:r w:rsidRPr="00075215">
              <w:rPr>
                <w:rFonts w:cs="Times New Roman"/>
                <w:sz w:val="20"/>
                <w:szCs w:val="20"/>
              </w:rPr>
              <w:t>Vek</w:t>
            </w:r>
          </w:p>
        </w:tc>
        <w:tc>
          <w:tcPr>
            <w:tcW w:w="1048" w:type="dxa"/>
            <w:shd w:val="clear" w:color="auto" w:fill="95B3D7" w:themeFill="accent1" w:themeFillTint="99"/>
            <w:vAlign w:val="center"/>
          </w:tcPr>
          <w:p w:rsidR="006E6570" w:rsidRPr="00075215" w:rsidRDefault="006E6570" w:rsidP="00890871">
            <w:pPr>
              <w:keepNext/>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rPr>
            </w:pPr>
            <w:r w:rsidRPr="00075215">
              <w:rPr>
                <w:rFonts w:cs="Times New Roman"/>
                <w:i/>
                <w:sz w:val="20"/>
                <w:szCs w:val="20"/>
              </w:rPr>
              <w:t>Nárast mzdy</w:t>
            </w:r>
          </w:p>
        </w:tc>
        <w:tc>
          <w:tcPr>
            <w:tcW w:w="877" w:type="dxa"/>
            <w:shd w:val="clear" w:color="auto" w:fill="95B3D7" w:themeFill="accent1" w:themeFillTint="99"/>
            <w:vAlign w:val="center"/>
          </w:tcPr>
          <w:p w:rsidR="006E6570" w:rsidRPr="00075215" w:rsidRDefault="006E6570" w:rsidP="00890871">
            <w:pPr>
              <w:keepNext/>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075215">
              <w:rPr>
                <w:rFonts w:cs="Times New Roman"/>
                <w:sz w:val="20"/>
                <w:szCs w:val="20"/>
              </w:rPr>
              <w:t>Vek</w:t>
            </w:r>
          </w:p>
        </w:tc>
        <w:tc>
          <w:tcPr>
            <w:tcW w:w="1010" w:type="dxa"/>
            <w:shd w:val="clear" w:color="auto" w:fill="95B3D7" w:themeFill="accent1" w:themeFillTint="99"/>
            <w:vAlign w:val="center"/>
          </w:tcPr>
          <w:p w:rsidR="006E6570" w:rsidRPr="00075215" w:rsidRDefault="006E6570" w:rsidP="00890871">
            <w:pPr>
              <w:keepNext/>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rPr>
            </w:pPr>
            <w:r w:rsidRPr="00075215">
              <w:rPr>
                <w:rFonts w:cs="Times New Roman"/>
                <w:i/>
                <w:sz w:val="20"/>
                <w:szCs w:val="20"/>
              </w:rPr>
              <w:t>Nárast mzdy</w:t>
            </w:r>
          </w:p>
        </w:tc>
        <w:tc>
          <w:tcPr>
            <w:tcW w:w="877" w:type="dxa"/>
            <w:shd w:val="clear" w:color="auto" w:fill="95B3D7" w:themeFill="accent1" w:themeFillTint="99"/>
            <w:vAlign w:val="center"/>
          </w:tcPr>
          <w:p w:rsidR="006E6570" w:rsidRPr="00075215" w:rsidRDefault="006E6570" w:rsidP="00890871">
            <w:pPr>
              <w:keepNext/>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075215">
              <w:rPr>
                <w:rFonts w:cs="Times New Roman"/>
                <w:sz w:val="20"/>
                <w:szCs w:val="20"/>
              </w:rPr>
              <w:t>Vek</w:t>
            </w:r>
          </w:p>
        </w:tc>
        <w:tc>
          <w:tcPr>
            <w:tcW w:w="1010" w:type="dxa"/>
            <w:shd w:val="clear" w:color="auto" w:fill="95B3D7" w:themeFill="accent1" w:themeFillTint="99"/>
            <w:vAlign w:val="center"/>
          </w:tcPr>
          <w:p w:rsidR="006E6570" w:rsidRPr="00075215" w:rsidRDefault="006E6570" w:rsidP="00890871">
            <w:pPr>
              <w:keepNext/>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rPr>
            </w:pPr>
            <w:r w:rsidRPr="00075215">
              <w:rPr>
                <w:rFonts w:cs="Times New Roman"/>
                <w:i/>
                <w:sz w:val="20"/>
                <w:szCs w:val="20"/>
              </w:rPr>
              <w:t>Nárast mzdy</w:t>
            </w:r>
          </w:p>
        </w:tc>
        <w:tc>
          <w:tcPr>
            <w:tcW w:w="877" w:type="dxa"/>
            <w:shd w:val="clear" w:color="auto" w:fill="95B3D7" w:themeFill="accent1" w:themeFillTint="99"/>
            <w:vAlign w:val="center"/>
          </w:tcPr>
          <w:p w:rsidR="006E6570" w:rsidRPr="00075215" w:rsidRDefault="006E6570" w:rsidP="00890871">
            <w:pPr>
              <w:keepNext/>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075215">
              <w:rPr>
                <w:rFonts w:cs="Times New Roman"/>
                <w:sz w:val="20"/>
                <w:szCs w:val="20"/>
              </w:rPr>
              <w:t>Vek</w:t>
            </w:r>
          </w:p>
        </w:tc>
        <w:tc>
          <w:tcPr>
            <w:tcW w:w="902" w:type="dxa"/>
            <w:shd w:val="clear" w:color="auto" w:fill="95B3D7" w:themeFill="accent1" w:themeFillTint="99"/>
            <w:vAlign w:val="center"/>
          </w:tcPr>
          <w:p w:rsidR="006E6570" w:rsidRPr="00075215" w:rsidRDefault="006E6570" w:rsidP="00890871">
            <w:pPr>
              <w:keepNext/>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rPr>
            </w:pPr>
            <w:r w:rsidRPr="00075215">
              <w:rPr>
                <w:rFonts w:cs="Times New Roman"/>
                <w:i/>
                <w:sz w:val="20"/>
                <w:szCs w:val="20"/>
              </w:rPr>
              <w:t>Nárast mzdy</w:t>
            </w:r>
          </w:p>
        </w:tc>
      </w:tr>
      <w:tr w:rsidR="006E6570" w:rsidRPr="00075215" w:rsidTr="00EC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tcBorders>
              <w:top w:val="none" w:sz="0" w:space="0" w:color="auto"/>
              <w:bottom w:val="none" w:sz="0" w:space="0" w:color="auto"/>
              <w:right w:val="none" w:sz="0" w:space="0" w:color="auto"/>
            </w:tcBorders>
            <w:vAlign w:val="center"/>
          </w:tcPr>
          <w:p w:rsidR="006E6570" w:rsidRPr="00075215" w:rsidRDefault="006E6570" w:rsidP="00890871">
            <w:pPr>
              <w:keepNext/>
              <w:jc w:val="center"/>
              <w:rPr>
                <w:rFonts w:cs="Times New Roman"/>
                <w:sz w:val="20"/>
                <w:szCs w:val="20"/>
              </w:rPr>
            </w:pPr>
            <w:r w:rsidRPr="00075215">
              <w:rPr>
                <w:rFonts w:cs="Times New Roman"/>
                <w:sz w:val="20"/>
                <w:szCs w:val="20"/>
              </w:rPr>
              <w:t>21</w:t>
            </w:r>
          </w:p>
        </w:tc>
        <w:tc>
          <w:tcPr>
            <w:tcW w:w="1048"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15,42%</w:t>
            </w:r>
          </w:p>
        </w:tc>
        <w:tc>
          <w:tcPr>
            <w:tcW w:w="877"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31</w:t>
            </w:r>
          </w:p>
        </w:tc>
        <w:tc>
          <w:tcPr>
            <w:tcW w:w="1010"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4,44%</w:t>
            </w:r>
          </w:p>
        </w:tc>
        <w:tc>
          <w:tcPr>
            <w:tcW w:w="877"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41</w:t>
            </w:r>
          </w:p>
        </w:tc>
        <w:tc>
          <w:tcPr>
            <w:tcW w:w="1010"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2,70%</w:t>
            </w:r>
          </w:p>
        </w:tc>
        <w:tc>
          <w:tcPr>
            <w:tcW w:w="877"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51</w:t>
            </w:r>
          </w:p>
        </w:tc>
        <w:tc>
          <w:tcPr>
            <w:tcW w:w="902"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2,44%</w:t>
            </w:r>
          </w:p>
        </w:tc>
      </w:tr>
      <w:tr w:rsidR="006E6570" w:rsidRPr="00075215" w:rsidTr="00EC3DC7">
        <w:tc>
          <w:tcPr>
            <w:cnfStyle w:val="001000000000" w:firstRow="0" w:lastRow="0" w:firstColumn="1" w:lastColumn="0" w:oddVBand="0" w:evenVBand="0" w:oddHBand="0" w:evenHBand="0" w:firstRowFirstColumn="0" w:firstRowLastColumn="0" w:lastRowFirstColumn="0" w:lastRowLastColumn="0"/>
            <w:tcW w:w="878" w:type="dxa"/>
            <w:tcBorders>
              <w:right w:val="none" w:sz="0" w:space="0" w:color="auto"/>
            </w:tcBorders>
            <w:vAlign w:val="center"/>
          </w:tcPr>
          <w:p w:rsidR="006E6570" w:rsidRPr="00075215" w:rsidRDefault="006E6570" w:rsidP="00890871">
            <w:pPr>
              <w:keepNext/>
              <w:jc w:val="center"/>
              <w:rPr>
                <w:rFonts w:cs="Times New Roman"/>
                <w:sz w:val="20"/>
                <w:szCs w:val="20"/>
              </w:rPr>
            </w:pPr>
            <w:r w:rsidRPr="00075215">
              <w:rPr>
                <w:rFonts w:cs="Times New Roman"/>
                <w:sz w:val="20"/>
                <w:szCs w:val="20"/>
              </w:rPr>
              <w:t>22</w:t>
            </w:r>
          </w:p>
        </w:tc>
        <w:tc>
          <w:tcPr>
            <w:tcW w:w="1048"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12,76%</w:t>
            </w:r>
          </w:p>
        </w:tc>
        <w:tc>
          <w:tcPr>
            <w:tcW w:w="877"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32</w:t>
            </w:r>
          </w:p>
        </w:tc>
        <w:tc>
          <w:tcPr>
            <w:tcW w:w="1010"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4,11%</w:t>
            </w:r>
          </w:p>
        </w:tc>
        <w:tc>
          <w:tcPr>
            <w:tcW w:w="877"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42</w:t>
            </w:r>
          </w:p>
        </w:tc>
        <w:tc>
          <w:tcPr>
            <w:tcW w:w="1010"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2,65%</w:t>
            </w:r>
          </w:p>
        </w:tc>
        <w:tc>
          <w:tcPr>
            <w:tcW w:w="877"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52</w:t>
            </w:r>
          </w:p>
        </w:tc>
        <w:tc>
          <w:tcPr>
            <w:tcW w:w="902"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2,41%</w:t>
            </w:r>
          </w:p>
        </w:tc>
      </w:tr>
      <w:tr w:rsidR="006E6570" w:rsidRPr="00075215" w:rsidTr="00EC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tcBorders>
              <w:top w:val="none" w:sz="0" w:space="0" w:color="auto"/>
              <w:bottom w:val="none" w:sz="0" w:space="0" w:color="auto"/>
              <w:right w:val="none" w:sz="0" w:space="0" w:color="auto"/>
            </w:tcBorders>
            <w:vAlign w:val="center"/>
          </w:tcPr>
          <w:p w:rsidR="006E6570" w:rsidRPr="00075215" w:rsidRDefault="006E6570" w:rsidP="00890871">
            <w:pPr>
              <w:keepNext/>
              <w:jc w:val="center"/>
              <w:rPr>
                <w:rFonts w:cs="Times New Roman"/>
                <w:sz w:val="20"/>
                <w:szCs w:val="20"/>
              </w:rPr>
            </w:pPr>
            <w:r w:rsidRPr="00075215">
              <w:rPr>
                <w:rFonts w:cs="Times New Roman"/>
                <w:sz w:val="20"/>
                <w:szCs w:val="20"/>
              </w:rPr>
              <w:t>23</w:t>
            </w:r>
          </w:p>
        </w:tc>
        <w:tc>
          <w:tcPr>
            <w:tcW w:w="1048"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10,81%</w:t>
            </w:r>
          </w:p>
        </w:tc>
        <w:tc>
          <w:tcPr>
            <w:tcW w:w="877"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33</w:t>
            </w:r>
          </w:p>
        </w:tc>
        <w:tc>
          <w:tcPr>
            <w:tcW w:w="1010"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3,83%</w:t>
            </w:r>
          </w:p>
        </w:tc>
        <w:tc>
          <w:tcPr>
            <w:tcW w:w="877"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43</w:t>
            </w:r>
          </w:p>
        </w:tc>
        <w:tc>
          <w:tcPr>
            <w:tcW w:w="1010"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2,61%</w:t>
            </w:r>
          </w:p>
        </w:tc>
        <w:tc>
          <w:tcPr>
            <w:tcW w:w="877"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53</w:t>
            </w:r>
          </w:p>
        </w:tc>
        <w:tc>
          <w:tcPr>
            <w:tcW w:w="902"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2,37%</w:t>
            </w:r>
          </w:p>
        </w:tc>
      </w:tr>
      <w:tr w:rsidR="006E6570" w:rsidRPr="00075215" w:rsidTr="00EC3DC7">
        <w:tc>
          <w:tcPr>
            <w:cnfStyle w:val="001000000000" w:firstRow="0" w:lastRow="0" w:firstColumn="1" w:lastColumn="0" w:oddVBand="0" w:evenVBand="0" w:oddHBand="0" w:evenHBand="0" w:firstRowFirstColumn="0" w:firstRowLastColumn="0" w:lastRowFirstColumn="0" w:lastRowLastColumn="0"/>
            <w:tcW w:w="878" w:type="dxa"/>
            <w:tcBorders>
              <w:right w:val="none" w:sz="0" w:space="0" w:color="auto"/>
            </w:tcBorders>
            <w:vAlign w:val="center"/>
          </w:tcPr>
          <w:p w:rsidR="006E6570" w:rsidRPr="00075215" w:rsidRDefault="006E6570" w:rsidP="00890871">
            <w:pPr>
              <w:keepNext/>
              <w:jc w:val="center"/>
              <w:rPr>
                <w:rFonts w:cs="Times New Roman"/>
                <w:sz w:val="20"/>
                <w:szCs w:val="20"/>
              </w:rPr>
            </w:pPr>
            <w:r w:rsidRPr="00075215">
              <w:rPr>
                <w:rFonts w:cs="Times New Roman"/>
                <w:sz w:val="20"/>
                <w:szCs w:val="20"/>
              </w:rPr>
              <w:t>24</w:t>
            </w:r>
          </w:p>
        </w:tc>
        <w:tc>
          <w:tcPr>
            <w:tcW w:w="1048"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9,32%</w:t>
            </w:r>
          </w:p>
        </w:tc>
        <w:tc>
          <w:tcPr>
            <w:tcW w:w="877"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34</w:t>
            </w:r>
          </w:p>
        </w:tc>
        <w:tc>
          <w:tcPr>
            <w:tcW w:w="1010"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3,60%</w:t>
            </w:r>
          </w:p>
        </w:tc>
        <w:tc>
          <w:tcPr>
            <w:tcW w:w="877"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44</w:t>
            </w:r>
          </w:p>
        </w:tc>
        <w:tc>
          <w:tcPr>
            <w:tcW w:w="1010"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2,57%</w:t>
            </w:r>
          </w:p>
        </w:tc>
        <w:tc>
          <w:tcPr>
            <w:tcW w:w="877"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54</w:t>
            </w:r>
          </w:p>
        </w:tc>
        <w:tc>
          <w:tcPr>
            <w:tcW w:w="902"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2,33%</w:t>
            </w:r>
          </w:p>
        </w:tc>
      </w:tr>
      <w:tr w:rsidR="006E6570" w:rsidRPr="00075215" w:rsidTr="00EC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tcBorders>
              <w:top w:val="none" w:sz="0" w:space="0" w:color="auto"/>
              <w:bottom w:val="none" w:sz="0" w:space="0" w:color="auto"/>
              <w:right w:val="none" w:sz="0" w:space="0" w:color="auto"/>
            </w:tcBorders>
            <w:vAlign w:val="center"/>
          </w:tcPr>
          <w:p w:rsidR="006E6570" w:rsidRPr="00075215" w:rsidRDefault="006E6570" w:rsidP="00890871">
            <w:pPr>
              <w:keepNext/>
              <w:jc w:val="center"/>
              <w:rPr>
                <w:rFonts w:cs="Times New Roman"/>
                <w:sz w:val="20"/>
                <w:szCs w:val="20"/>
              </w:rPr>
            </w:pPr>
            <w:r w:rsidRPr="00075215">
              <w:rPr>
                <w:rFonts w:cs="Times New Roman"/>
                <w:sz w:val="20"/>
                <w:szCs w:val="20"/>
              </w:rPr>
              <w:t>25</w:t>
            </w:r>
          </w:p>
        </w:tc>
        <w:tc>
          <w:tcPr>
            <w:tcW w:w="1048"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8,15%</w:t>
            </w:r>
          </w:p>
        </w:tc>
        <w:tc>
          <w:tcPr>
            <w:tcW w:w="877"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35</w:t>
            </w:r>
          </w:p>
        </w:tc>
        <w:tc>
          <w:tcPr>
            <w:tcW w:w="1010"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3,39%</w:t>
            </w:r>
          </w:p>
        </w:tc>
        <w:tc>
          <w:tcPr>
            <w:tcW w:w="877"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45</w:t>
            </w:r>
          </w:p>
        </w:tc>
        <w:tc>
          <w:tcPr>
            <w:tcW w:w="1010"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2,55%</w:t>
            </w:r>
          </w:p>
        </w:tc>
        <w:tc>
          <w:tcPr>
            <w:tcW w:w="877"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55</w:t>
            </w:r>
          </w:p>
        </w:tc>
        <w:tc>
          <w:tcPr>
            <w:tcW w:w="902"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2,27%</w:t>
            </w:r>
          </w:p>
        </w:tc>
      </w:tr>
      <w:tr w:rsidR="006E6570" w:rsidRPr="00075215" w:rsidTr="00EC3DC7">
        <w:tc>
          <w:tcPr>
            <w:cnfStyle w:val="001000000000" w:firstRow="0" w:lastRow="0" w:firstColumn="1" w:lastColumn="0" w:oddVBand="0" w:evenVBand="0" w:oddHBand="0" w:evenHBand="0" w:firstRowFirstColumn="0" w:firstRowLastColumn="0" w:lastRowFirstColumn="0" w:lastRowLastColumn="0"/>
            <w:tcW w:w="878" w:type="dxa"/>
            <w:tcBorders>
              <w:right w:val="none" w:sz="0" w:space="0" w:color="auto"/>
            </w:tcBorders>
            <w:vAlign w:val="center"/>
          </w:tcPr>
          <w:p w:rsidR="006E6570" w:rsidRPr="00075215" w:rsidRDefault="006E6570" w:rsidP="00890871">
            <w:pPr>
              <w:keepNext/>
              <w:jc w:val="center"/>
              <w:rPr>
                <w:rFonts w:cs="Times New Roman"/>
                <w:sz w:val="20"/>
                <w:szCs w:val="20"/>
              </w:rPr>
            </w:pPr>
            <w:r w:rsidRPr="00075215">
              <w:rPr>
                <w:rFonts w:cs="Times New Roman"/>
                <w:sz w:val="20"/>
                <w:szCs w:val="20"/>
              </w:rPr>
              <w:t>26</w:t>
            </w:r>
          </w:p>
        </w:tc>
        <w:tc>
          <w:tcPr>
            <w:tcW w:w="1048"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7,21%</w:t>
            </w:r>
          </w:p>
        </w:tc>
        <w:tc>
          <w:tcPr>
            <w:tcW w:w="877"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36</w:t>
            </w:r>
          </w:p>
        </w:tc>
        <w:tc>
          <w:tcPr>
            <w:tcW w:w="1010"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3,22%</w:t>
            </w:r>
          </w:p>
        </w:tc>
        <w:tc>
          <w:tcPr>
            <w:tcW w:w="877"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46</w:t>
            </w:r>
          </w:p>
        </w:tc>
        <w:tc>
          <w:tcPr>
            <w:tcW w:w="1010"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2,52%</w:t>
            </w:r>
          </w:p>
        </w:tc>
        <w:tc>
          <w:tcPr>
            <w:tcW w:w="877"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56</w:t>
            </w:r>
          </w:p>
        </w:tc>
        <w:tc>
          <w:tcPr>
            <w:tcW w:w="902"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2,20%</w:t>
            </w:r>
          </w:p>
        </w:tc>
      </w:tr>
      <w:tr w:rsidR="006E6570" w:rsidRPr="00075215" w:rsidTr="00EC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tcBorders>
              <w:top w:val="none" w:sz="0" w:space="0" w:color="auto"/>
              <w:bottom w:val="none" w:sz="0" w:space="0" w:color="auto"/>
              <w:right w:val="none" w:sz="0" w:space="0" w:color="auto"/>
            </w:tcBorders>
            <w:vAlign w:val="center"/>
          </w:tcPr>
          <w:p w:rsidR="006E6570" w:rsidRPr="00075215" w:rsidRDefault="006E6570" w:rsidP="00890871">
            <w:pPr>
              <w:keepNext/>
              <w:jc w:val="center"/>
              <w:rPr>
                <w:rFonts w:cs="Times New Roman"/>
                <w:sz w:val="20"/>
                <w:szCs w:val="20"/>
              </w:rPr>
            </w:pPr>
            <w:r w:rsidRPr="00075215">
              <w:rPr>
                <w:rFonts w:cs="Times New Roman"/>
                <w:sz w:val="20"/>
                <w:szCs w:val="20"/>
              </w:rPr>
              <w:t>27</w:t>
            </w:r>
          </w:p>
        </w:tc>
        <w:tc>
          <w:tcPr>
            <w:tcW w:w="1048"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6,45%</w:t>
            </w:r>
          </w:p>
        </w:tc>
        <w:tc>
          <w:tcPr>
            <w:tcW w:w="877"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37</w:t>
            </w:r>
          </w:p>
        </w:tc>
        <w:tc>
          <w:tcPr>
            <w:tcW w:w="1010"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3,08%</w:t>
            </w:r>
          </w:p>
        </w:tc>
        <w:tc>
          <w:tcPr>
            <w:tcW w:w="877"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47</w:t>
            </w:r>
          </w:p>
        </w:tc>
        <w:tc>
          <w:tcPr>
            <w:tcW w:w="1010"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2,51%</w:t>
            </w:r>
          </w:p>
        </w:tc>
        <w:tc>
          <w:tcPr>
            <w:tcW w:w="877"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57</w:t>
            </w:r>
          </w:p>
        </w:tc>
        <w:tc>
          <w:tcPr>
            <w:tcW w:w="902"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2,12%</w:t>
            </w:r>
          </w:p>
        </w:tc>
      </w:tr>
      <w:tr w:rsidR="006E6570" w:rsidRPr="00075215" w:rsidTr="00EC3DC7">
        <w:tc>
          <w:tcPr>
            <w:cnfStyle w:val="001000000000" w:firstRow="0" w:lastRow="0" w:firstColumn="1" w:lastColumn="0" w:oddVBand="0" w:evenVBand="0" w:oddHBand="0" w:evenHBand="0" w:firstRowFirstColumn="0" w:firstRowLastColumn="0" w:lastRowFirstColumn="0" w:lastRowLastColumn="0"/>
            <w:tcW w:w="878" w:type="dxa"/>
            <w:tcBorders>
              <w:right w:val="none" w:sz="0" w:space="0" w:color="auto"/>
            </w:tcBorders>
            <w:vAlign w:val="center"/>
          </w:tcPr>
          <w:p w:rsidR="006E6570" w:rsidRPr="00075215" w:rsidRDefault="006E6570" w:rsidP="00890871">
            <w:pPr>
              <w:keepNext/>
              <w:jc w:val="center"/>
              <w:rPr>
                <w:rFonts w:cs="Times New Roman"/>
                <w:sz w:val="20"/>
                <w:szCs w:val="20"/>
              </w:rPr>
            </w:pPr>
            <w:r w:rsidRPr="00075215">
              <w:rPr>
                <w:rFonts w:cs="Times New Roman"/>
                <w:sz w:val="20"/>
                <w:szCs w:val="20"/>
              </w:rPr>
              <w:t>28</w:t>
            </w:r>
          </w:p>
        </w:tc>
        <w:tc>
          <w:tcPr>
            <w:tcW w:w="1048"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5,81%</w:t>
            </w:r>
          </w:p>
        </w:tc>
        <w:tc>
          <w:tcPr>
            <w:tcW w:w="877"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38</w:t>
            </w:r>
          </w:p>
        </w:tc>
        <w:tc>
          <w:tcPr>
            <w:tcW w:w="1010"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2,95%</w:t>
            </w:r>
          </w:p>
        </w:tc>
        <w:tc>
          <w:tcPr>
            <w:tcW w:w="877"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48</w:t>
            </w:r>
          </w:p>
        </w:tc>
        <w:tc>
          <w:tcPr>
            <w:tcW w:w="1010"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2,49%</w:t>
            </w:r>
          </w:p>
        </w:tc>
        <w:tc>
          <w:tcPr>
            <w:tcW w:w="877"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58</w:t>
            </w:r>
          </w:p>
        </w:tc>
        <w:tc>
          <w:tcPr>
            <w:tcW w:w="902"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2,01%</w:t>
            </w:r>
          </w:p>
        </w:tc>
      </w:tr>
      <w:tr w:rsidR="006E6570" w:rsidRPr="00075215" w:rsidTr="00EC3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tcBorders>
              <w:top w:val="none" w:sz="0" w:space="0" w:color="auto"/>
              <w:bottom w:val="none" w:sz="0" w:space="0" w:color="auto"/>
              <w:right w:val="none" w:sz="0" w:space="0" w:color="auto"/>
            </w:tcBorders>
            <w:vAlign w:val="center"/>
          </w:tcPr>
          <w:p w:rsidR="006E6570" w:rsidRPr="00075215" w:rsidRDefault="006E6570" w:rsidP="00890871">
            <w:pPr>
              <w:keepNext/>
              <w:jc w:val="center"/>
              <w:rPr>
                <w:rFonts w:cs="Times New Roman"/>
                <w:sz w:val="20"/>
                <w:szCs w:val="20"/>
              </w:rPr>
            </w:pPr>
            <w:r w:rsidRPr="00075215">
              <w:rPr>
                <w:rFonts w:cs="Times New Roman"/>
                <w:sz w:val="20"/>
                <w:szCs w:val="20"/>
              </w:rPr>
              <w:t>29</w:t>
            </w:r>
          </w:p>
        </w:tc>
        <w:tc>
          <w:tcPr>
            <w:tcW w:w="1048"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5,27%</w:t>
            </w:r>
          </w:p>
        </w:tc>
        <w:tc>
          <w:tcPr>
            <w:tcW w:w="877"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39</w:t>
            </w:r>
          </w:p>
        </w:tc>
        <w:tc>
          <w:tcPr>
            <w:tcW w:w="1010"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2,85%</w:t>
            </w:r>
          </w:p>
        </w:tc>
        <w:tc>
          <w:tcPr>
            <w:tcW w:w="877"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49</w:t>
            </w:r>
          </w:p>
        </w:tc>
        <w:tc>
          <w:tcPr>
            <w:tcW w:w="1010"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2,48%</w:t>
            </w:r>
          </w:p>
        </w:tc>
        <w:tc>
          <w:tcPr>
            <w:tcW w:w="877"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075215">
              <w:rPr>
                <w:rFonts w:cs="Times New Roman"/>
                <w:b/>
                <w:sz w:val="20"/>
                <w:szCs w:val="20"/>
              </w:rPr>
              <w:t>59</w:t>
            </w:r>
          </w:p>
        </w:tc>
        <w:tc>
          <w:tcPr>
            <w:tcW w:w="902" w:type="dxa"/>
            <w:tcBorders>
              <w:top w:val="none" w:sz="0" w:space="0" w:color="auto"/>
              <w:bottom w:val="none" w:sz="0" w:space="0" w:color="auto"/>
            </w:tcBorders>
            <w:vAlign w:val="center"/>
          </w:tcPr>
          <w:p w:rsidR="006E6570" w:rsidRPr="00075215" w:rsidRDefault="006E6570" w:rsidP="00890871">
            <w:pPr>
              <w:keepNext/>
              <w:jc w:val="center"/>
              <w:cnfStyle w:val="000000100000" w:firstRow="0" w:lastRow="0" w:firstColumn="0" w:lastColumn="0" w:oddVBand="0" w:evenVBand="0" w:oddHBand="1"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1,89%</w:t>
            </w:r>
          </w:p>
        </w:tc>
      </w:tr>
      <w:tr w:rsidR="006E6570" w:rsidRPr="00075215" w:rsidTr="00EC3DC7">
        <w:tc>
          <w:tcPr>
            <w:cnfStyle w:val="001000000000" w:firstRow="0" w:lastRow="0" w:firstColumn="1" w:lastColumn="0" w:oddVBand="0" w:evenVBand="0" w:oddHBand="0" w:evenHBand="0" w:firstRowFirstColumn="0" w:firstRowLastColumn="0" w:lastRowFirstColumn="0" w:lastRowLastColumn="0"/>
            <w:tcW w:w="878" w:type="dxa"/>
            <w:tcBorders>
              <w:right w:val="none" w:sz="0" w:space="0" w:color="auto"/>
            </w:tcBorders>
            <w:vAlign w:val="center"/>
          </w:tcPr>
          <w:p w:rsidR="006E6570" w:rsidRPr="00075215" w:rsidRDefault="006E6570" w:rsidP="00890871">
            <w:pPr>
              <w:keepNext/>
              <w:jc w:val="center"/>
              <w:rPr>
                <w:rFonts w:cs="Times New Roman"/>
                <w:sz w:val="20"/>
                <w:szCs w:val="20"/>
              </w:rPr>
            </w:pPr>
            <w:r w:rsidRPr="00075215">
              <w:rPr>
                <w:rFonts w:cs="Times New Roman"/>
                <w:sz w:val="20"/>
                <w:szCs w:val="20"/>
              </w:rPr>
              <w:t>30</w:t>
            </w:r>
          </w:p>
        </w:tc>
        <w:tc>
          <w:tcPr>
            <w:tcW w:w="1048"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4,82%</w:t>
            </w:r>
          </w:p>
        </w:tc>
        <w:tc>
          <w:tcPr>
            <w:tcW w:w="877"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40</w:t>
            </w:r>
          </w:p>
        </w:tc>
        <w:tc>
          <w:tcPr>
            <w:tcW w:w="1010"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2,77%</w:t>
            </w:r>
          </w:p>
        </w:tc>
        <w:tc>
          <w:tcPr>
            <w:tcW w:w="877"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50</w:t>
            </w:r>
          </w:p>
        </w:tc>
        <w:tc>
          <w:tcPr>
            <w:tcW w:w="1010"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2,46%</w:t>
            </w:r>
          </w:p>
        </w:tc>
        <w:tc>
          <w:tcPr>
            <w:tcW w:w="877"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075215">
              <w:rPr>
                <w:rFonts w:cs="Times New Roman"/>
                <w:b/>
                <w:sz w:val="20"/>
                <w:szCs w:val="20"/>
              </w:rPr>
              <w:t>60</w:t>
            </w:r>
          </w:p>
        </w:tc>
        <w:tc>
          <w:tcPr>
            <w:tcW w:w="902" w:type="dxa"/>
            <w:vAlign w:val="center"/>
          </w:tcPr>
          <w:p w:rsidR="006E6570" w:rsidRPr="00075215" w:rsidRDefault="006E6570" w:rsidP="00890871">
            <w:pPr>
              <w:keepNext/>
              <w:jc w:val="center"/>
              <w:cnfStyle w:val="000000000000" w:firstRow="0" w:lastRow="0" w:firstColumn="0" w:lastColumn="0" w:oddVBand="0" w:evenVBand="0" w:oddHBand="0" w:evenHBand="0" w:firstRowFirstColumn="0" w:firstRowLastColumn="0" w:lastRowFirstColumn="0" w:lastRowLastColumn="0"/>
              <w:rPr>
                <w:rFonts w:cs="Times New Roman"/>
                <w:i/>
                <w:color w:val="000000"/>
                <w:sz w:val="20"/>
                <w:szCs w:val="20"/>
              </w:rPr>
            </w:pPr>
            <w:r w:rsidRPr="00075215">
              <w:rPr>
                <w:rFonts w:cs="Times New Roman"/>
                <w:i/>
                <w:color w:val="000000"/>
                <w:sz w:val="20"/>
                <w:szCs w:val="20"/>
              </w:rPr>
              <w:t>1,74%</w:t>
            </w:r>
          </w:p>
        </w:tc>
      </w:tr>
    </w:tbl>
    <w:p w:rsidR="005E7003" w:rsidRPr="00C27768" w:rsidRDefault="008B4822" w:rsidP="00890871">
      <w:pPr>
        <w:keepNext/>
        <w:rPr>
          <w:rFonts w:cs="Times New Roman"/>
          <w:sz w:val="20"/>
          <w:szCs w:val="20"/>
        </w:rPr>
      </w:pPr>
      <w:r w:rsidRPr="00C27768">
        <w:rPr>
          <w:i/>
          <w:sz w:val="20"/>
          <w:szCs w:val="20"/>
        </w:rPr>
        <w:t xml:space="preserve">Zdroj: Prepočty </w:t>
      </w:r>
      <w:proofErr w:type="spellStart"/>
      <w:r w:rsidRPr="00C27768">
        <w:rPr>
          <w:i/>
          <w:sz w:val="20"/>
          <w:szCs w:val="20"/>
        </w:rPr>
        <w:t>MPSVaR</w:t>
      </w:r>
      <w:proofErr w:type="spellEnd"/>
      <w:r w:rsidRPr="00C27768">
        <w:rPr>
          <w:noProof/>
          <w:color w:val="0070C0"/>
          <w:sz w:val="20"/>
          <w:szCs w:val="20"/>
          <w:lang w:eastAsia="sk-SK"/>
        </w:rPr>
        <w:t xml:space="preserve"> </w:t>
      </w:r>
    </w:p>
    <w:tbl>
      <w:tblPr>
        <w:tblStyle w:val="Mriekatabuky"/>
        <w:tblW w:w="4858" w:type="pct"/>
        <w:tblInd w:w="108" w:type="dxa"/>
        <w:tblBorders>
          <w:top w:val="dotted" w:sz="8" w:space="0" w:color="D99594" w:themeColor="accent2" w:themeTint="99"/>
          <w:left w:val="dotted" w:sz="8" w:space="0" w:color="D99594" w:themeColor="accent2" w:themeTint="99"/>
          <w:bottom w:val="dotted" w:sz="8" w:space="0" w:color="D99594" w:themeColor="accent2" w:themeTint="99"/>
          <w:right w:val="dotted" w:sz="8" w:space="0" w:color="D99594" w:themeColor="accent2" w:themeTint="99"/>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7372"/>
      </w:tblGrid>
      <w:tr w:rsidR="00B42BF7" w:rsidRPr="00075215" w:rsidTr="00D61C7B">
        <w:tc>
          <w:tcPr>
            <w:tcW w:w="5000" w:type="pct"/>
            <w:shd w:val="clear" w:color="auto" w:fill="C6D9F1" w:themeFill="text2" w:themeFillTint="33"/>
          </w:tcPr>
          <w:p w:rsidR="00B42BF7" w:rsidRPr="00075215" w:rsidRDefault="00B42BF7" w:rsidP="00B42BF7">
            <w:pPr>
              <w:rPr>
                <w:b/>
                <w:noProof/>
                <w:color w:val="auto"/>
                <w:sz w:val="24"/>
                <w:szCs w:val="24"/>
              </w:rPr>
            </w:pPr>
            <w:r w:rsidRPr="00075215">
              <w:rPr>
                <w:rFonts w:cs="Times New Roman"/>
                <w:sz w:val="24"/>
                <w:szCs w:val="24"/>
              </w:rPr>
              <w:t xml:space="preserve"> </w:t>
            </w:r>
            <w:r w:rsidRPr="00075215">
              <w:rPr>
                <w:b/>
                <w:noProof/>
                <w:color w:val="auto"/>
                <w:sz w:val="24"/>
                <w:szCs w:val="24"/>
              </w:rPr>
              <w:t xml:space="preserve">Box </w:t>
            </w:r>
            <w:r w:rsidR="00075215">
              <w:rPr>
                <w:b/>
                <w:noProof/>
                <w:color w:val="auto"/>
                <w:sz w:val="24"/>
                <w:szCs w:val="24"/>
              </w:rPr>
              <w:t>3</w:t>
            </w:r>
            <w:r w:rsidRPr="00075215">
              <w:rPr>
                <w:b/>
                <w:noProof/>
                <w:color w:val="auto"/>
                <w:sz w:val="24"/>
                <w:szCs w:val="24"/>
              </w:rPr>
              <w:t>: Závery a odporúčania</w:t>
            </w:r>
          </w:p>
          <w:p w:rsidR="00B42BF7" w:rsidRPr="00075215" w:rsidRDefault="00B42BF7" w:rsidP="00B42BF7">
            <w:pPr>
              <w:rPr>
                <w:noProof/>
                <w:color w:val="auto"/>
                <w:sz w:val="24"/>
                <w:szCs w:val="24"/>
              </w:rPr>
            </w:pPr>
            <w:r w:rsidRPr="00075215">
              <w:rPr>
                <w:noProof/>
                <w:color w:val="auto"/>
                <w:sz w:val="24"/>
                <w:szCs w:val="24"/>
              </w:rPr>
              <w:t xml:space="preserve">V súlade so sklonom príjmovej krivky je celkový očakávaný mzdový nárast menší ako produktivita práce od veku 51 rokov. Celkový priemerný ročný nárast mzdy dosahuje na 40-ročnom horizonte hodnotu 4,46 % a je tak v súlade s očakávaným mzdovým nárastom definovaným v projekcii AWG. Zistené hodnoty potvrdzujú pôvodný predpoklad o postupnom znižovaní tempa rastu mzdy jednotlivca s jeho stúpajúcim vekom. Najdynamickejším obdobím je z pohľadu rastu mzdy jednotlivca fáza životného cyklu do veku približne 35 rokov. Naopak druhá polovica aktívnej kariéry </w:t>
            </w:r>
            <w:r w:rsidR="00890871" w:rsidRPr="00075215">
              <w:rPr>
                <w:noProof/>
                <w:color w:val="auto"/>
                <w:sz w:val="24"/>
                <w:szCs w:val="24"/>
              </w:rPr>
              <w:t>j</w:t>
            </w:r>
            <w:r w:rsidR="00890871">
              <w:rPr>
                <w:noProof/>
                <w:color w:val="auto"/>
                <w:sz w:val="24"/>
                <w:szCs w:val="24"/>
              </w:rPr>
              <w:t>e</w:t>
            </w:r>
            <w:r w:rsidR="00890871" w:rsidRPr="00075215">
              <w:rPr>
                <w:noProof/>
                <w:color w:val="auto"/>
                <w:sz w:val="24"/>
                <w:szCs w:val="24"/>
              </w:rPr>
              <w:t xml:space="preserve"> </w:t>
            </w:r>
            <w:r w:rsidRPr="00075215">
              <w:rPr>
                <w:noProof/>
                <w:color w:val="auto"/>
                <w:sz w:val="24"/>
                <w:szCs w:val="24"/>
              </w:rPr>
              <w:t>charakteristická postupným pozvoľným znižovaním tempa rastu nominálnej mzdy.</w:t>
            </w:r>
          </w:p>
          <w:p w:rsidR="00B42BF7" w:rsidRPr="00075215" w:rsidRDefault="00B42BF7" w:rsidP="00EC3DC7">
            <w:pPr>
              <w:rPr>
                <w:color w:val="0070C0"/>
                <w:sz w:val="24"/>
                <w:szCs w:val="24"/>
              </w:rPr>
            </w:pPr>
            <w:r w:rsidRPr="00075215">
              <w:rPr>
                <w:noProof/>
                <w:color w:val="auto"/>
                <w:sz w:val="24"/>
                <w:szCs w:val="24"/>
              </w:rPr>
              <w:t xml:space="preserve">Skutočný nárast nominálnej mzdy v národnom hospodárstve bude v budúcnosti ovplyvnený konkrétnou ekonomickou situáciou. Dnešné projekcie nadväzujú na historické dáta vývoja vymeriavacích základov sporiteľov a súčasné predikcie vývoja ostatných kľúčových ekonomických indikátorov. </w:t>
            </w:r>
            <w:r w:rsidRPr="007F7486">
              <w:rPr>
                <w:b/>
                <w:noProof/>
                <w:color w:val="auto"/>
                <w:sz w:val="24"/>
                <w:szCs w:val="24"/>
              </w:rPr>
              <w:t xml:space="preserve">Pre zachovanie adekvátnosti projekcií </w:t>
            </w:r>
            <w:r w:rsidR="00EC3DC7" w:rsidRPr="007F7486">
              <w:rPr>
                <w:b/>
                <w:noProof/>
                <w:color w:val="auto"/>
                <w:sz w:val="24"/>
                <w:szCs w:val="24"/>
              </w:rPr>
              <w:t>dôchodkov</w:t>
            </w:r>
            <w:r w:rsidRPr="007F7486">
              <w:rPr>
                <w:b/>
                <w:noProof/>
                <w:color w:val="auto"/>
                <w:sz w:val="24"/>
                <w:szCs w:val="24"/>
              </w:rPr>
              <w:t xml:space="preserve"> bude preto v budúcnosti potrebné pristupovať k pravidelnému prehodnoteniu požitých predpokladov v kontexte týchto zmien.</w:t>
            </w:r>
            <w:r w:rsidRPr="00075215">
              <w:rPr>
                <w:noProof/>
                <w:color w:val="auto"/>
                <w:sz w:val="24"/>
                <w:szCs w:val="24"/>
              </w:rPr>
              <w:t xml:space="preserve"> </w:t>
            </w:r>
            <w:r w:rsidR="00A36E11" w:rsidRPr="00075215">
              <w:rPr>
                <w:noProof/>
                <w:color w:val="auto"/>
                <w:sz w:val="24"/>
                <w:szCs w:val="24"/>
              </w:rPr>
              <w:t xml:space="preserve"> </w:t>
            </w:r>
          </w:p>
        </w:tc>
      </w:tr>
    </w:tbl>
    <w:p w:rsidR="000D3F77" w:rsidRDefault="00B42BF7" w:rsidP="007D287B">
      <w:pPr>
        <w:rPr>
          <w:rFonts w:cs="Times New Roman"/>
          <w:sz w:val="24"/>
          <w:szCs w:val="24"/>
        </w:rPr>
      </w:pPr>
      <w:r>
        <w:rPr>
          <w:rFonts w:cs="Times New Roman"/>
          <w:sz w:val="24"/>
          <w:szCs w:val="24"/>
        </w:rPr>
        <w:t xml:space="preserve"> </w:t>
      </w:r>
      <w:r w:rsidR="000D3F77">
        <w:rPr>
          <w:rFonts w:cs="Times New Roman"/>
          <w:sz w:val="24"/>
          <w:szCs w:val="24"/>
        </w:rPr>
        <w:t xml:space="preserve">   </w:t>
      </w:r>
    </w:p>
    <w:p w:rsidR="00167B5C" w:rsidRDefault="007F49FA" w:rsidP="007D287B">
      <w:pPr>
        <w:rPr>
          <w:rFonts w:cs="Times New Roman"/>
          <w:sz w:val="24"/>
          <w:szCs w:val="24"/>
        </w:rPr>
      </w:pPr>
      <w:r>
        <w:rPr>
          <w:rFonts w:cs="Times New Roman"/>
          <w:sz w:val="24"/>
          <w:szCs w:val="24"/>
        </w:rPr>
        <w:t xml:space="preserve">    </w:t>
      </w:r>
      <w:r w:rsidR="004734BC">
        <w:rPr>
          <w:rFonts w:cs="Times New Roman"/>
          <w:sz w:val="24"/>
          <w:szCs w:val="24"/>
        </w:rPr>
        <w:t xml:space="preserve"> </w:t>
      </w:r>
      <w:bookmarkStart w:id="3" w:name="_GoBack"/>
      <w:bookmarkEnd w:id="3"/>
    </w:p>
    <w:p w:rsidR="006E6570" w:rsidRDefault="005E7003" w:rsidP="006E6570">
      <w:pPr>
        <w:rPr>
          <w:rFonts w:cs="Times New Roman"/>
          <w:sz w:val="24"/>
          <w:szCs w:val="24"/>
        </w:rPr>
      </w:pPr>
      <w:r>
        <w:rPr>
          <w:rFonts w:cs="Times New Roman"/>
          <w:sz w:val="24"/>
          <w:szCs w:val="24"/>
        </w:rPr>
        <w:t xml:space="preserve"> </w:t>
      </w:r>
    </w:p>
    <w:p w:rsidR="00D15D4E" w:rsidRPr="002169DE" w:rsidRDefault="00D15D4E" w:rsidP="002169DE">
      <w:pPr>
        <w:sectPr w:rsidR="00D15D4E" w:rsidRPr="002169DE" w:rsidSect="00D15D4E">
          <w:headerReference w:type="default" r:id="rId12"/>
          <w:footerReference w:type="default" r:id="rId13"/>
          <w:pgSz w:w="11906" w:h="16838"/>
          <w:pgMar w:top="954" w:right="1133" w:bottom="1417" w:left="3402" w:header="426" w:footer="68" w:gutter="0"/>
          <w:cols w:space="708"/>
          <w:docGrid w:linePitch="360"/>
        </w:sectPr>
      </w:pPr>
    </w:p>
    <w:p w:rsidR="005B4080" w:rsidRPr="00F53E24" w:rsidRDefault="005B4080" w:rsidP="00075215"/>
    <w:sectPr w:rsidR="005B4080" w:rsidRPr="00F53E24" w:rsidSect="00D15D4E">
      <w:headerReference w:type="default" r:id="rId14"/>
      <w:footerReference w:type="default" r:id="rId15"/>
      <w:pgSz w:w="11906" w:h="16838"/>
      <w:pgMar w:top="954" w:right="1133" w:bottom="1417" w:left="993" w:header="426" w:footer="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478" w:rsidRPr="00585BF8" w:rsidRDefault="00FD6478" w:rsidP="00585BF8">
      <w:r>
        <w:separator/>
      </w:r>
    </w:p>
  </w:endnote>
  <w:endnote w:type="continuationSeparator" w:id="0">
    <w:p w:rsidR="00FD6478" w:rsidRPr="00585BF8" w:rsidRDefault="00FD6478" w:rsidP="00585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NeueHaasGroteskDisp W02 B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888" w:rsidRPr="00161D37" w:rsidRDefault="00072888" w:rsidP="00161D37">
    <w:pPr>
      <w:pStyle w:val="Pta"/>
    </w:pPr>
  </w:p>
  <w:tbl>
    <w:tblPr>
      <w:tblStyle w:val="Mriekatabuky"/>
      <w:tblW w:w="6446" w:type="pct"/>
      <w:tblInd w:w="-2302" w:type="dxa"/>
      <w:tblBorders>
        <w:top w:val="single" w:sz="24" w:space="0" w:color="auto"/>
      </w:tblBorders>
      <w:tblLook w:val="04A0" w:firstRow="1" w:lastRow="0" w:firstColumn="1" w:lastColumn="0" w:noHBand="0" w:noVBand="1"/>
    </w:tblPr>
    <w:tblGrid>
      <w:gridCol w:w="2062"/>
      <w:gridCol w:w="348"/>
      <w:gridCol w:w="7371"/>
    </w:tblGrid>
    <w:tr w:rsidR="00072888" w:rsidTr="00E9694F">
      <w:trPr>
        <w:trHeight w:val="801"/>
      </w:trPr>
      <w:tc>
        <w:tcPr>
          <w:tcW w:w="1054" w:type="pct"/>
          <w:tcBorders>
            <w:top w:val="nil"/>
            <w:bottom w:val="nil"/>
            <w:right w:val="nil"/>
          </w:tcBorders>
          <w:vAlign w:val="top"/>
        </w:tcPr>
        <w:p w:rsidR="00072888" w:rsidRDefault="00072888" w:rsidP="006A7B55">
          <w:pPr>
            <w:pStyle w:val="Pta"/>
            <w:ind w:left="-108" w:right="-108"/>
            <w:rPr>
              <w:rFonts w:ascii="Arial Black" w:hAnsi="Arial Black"/>
              <w:b/>
              <w:sz w:val="18"/>
            </w:rPr>
          </w:pPr>
        </w:p>
        <w:p w:rsidR="00072888" w:rsidRPr="006A7B55" w:rsidRDefault="00072888" w:rsidP="006A7B55">
          <w:pPr>
            <w:pStyle w:val="Pta"/>
            <w:ind w:left="-108" w:right="-108"/>
            <w:rPr>
              <w:rFonts w:ascii="Arial Black" w:hAnsi="Arial Black"/>
              <w:b/>
              <w:sz w:val="18"/>
            </w:rPr>
          </w:pPr>
          <w:r w:rsidRPr="006A7B55">
            <w:rPr>
              <w:rFonts w:ascii="Arial Black" w:hAnsi="Arial Black"/>
              <w:b/>
              <w:sz w:val="18"/>
            </w:rPr>
            <w:fldChar w:fldCharType="begin"/>
          </w:r>
          <w:r w:rsidRPr="006A7B55">
            <w:rPr>
              <w:rFonts w:ascii="Arial Black" w:hAnsi="Arial Black"/>
              <w:b/>
              <w:sz w:val="18"/>
            </w:rPr>
            <w:instrText>PAGE   \* MERGEFORMAT</w:instrText>
          </w:r>
          <w:r w:rsidRPr="006A7B55">
            <w:rPr>
              <w:rFonts w:ascii="Arial Black" w:hAnsi="Arial Black"/>
              <w:b/>
              <w:sz w:val="18"/>
            </w:rPr>
            <w:fldChar w:fldCharType="separate"/>
          </w:r>
          <w:r w:rsidR="00027A9E">
            <w:rPr>
              <w:rFonts w:ascii="Arial Black" w:hAnsi="Arial Black"/>
              <w:b/>
              <w:noProof/>
              <w:sz w:val="18"/>
            </w:rPr>
            <w:t>8</w:t>
          </w:r>
          <w:r w:rsidRPr="006A7B55">
            <w:rPr>
              <w:rFonts w:ascii="Arial Black" w:hAnsi="Arial Black"/>
              <w:b/>
              <w:sz w:val="18"/>
            </w:rPr>
            <w:fldChar w:fldCharType="end"/>
          </w:r>
        </w:p>
      </w:tc>
      <w:tc>
        <w:tcPr>
          <w:tcW w:w="178" w:type="pct"/>
          <w:tcBorders>
            <w:top w:val="nil"/>
            <w:left w:val="nil"/>
            <w:bottom w:val="nil"/>
            <w:right w:val="nil"/>
          </w:tcBorders>
        </w:tcPr>
        <w:p w:rsidR="00072888" w:rsidRPr="007743FC" w:rsidRDefault="00072888" w:rsidP="009B2CD1">
          <w:pPr>
            <w:pStyle w:val="Pta"/>
            <w:ind w:left="-108" w:right="-108"/>
            <w:jc w:val="right"/>
            <w:rPr>
              <w:b/>
              <w:sz w:val="18"/>
            </w:rPr>
          </w:pPr>
        </w:p>
      </w:tc>
      <w:tc>
        <w:tcPr>
          <w:tcW w:w="3768" w:type="pct"/>
          <w:tcBorders>
            <w:top w:val="nil"/>
            <w:left w:val="nil"/>
            <w:bottom w:val="nil"/>
          </w:tcBorders>
        </w:tcPr>
        <w:p w:rsidR="00072888" w:rsidRPr="006A7B55" w:rsidRDefault="00072888" w:rsidP="009B2CD1">
          <w:pPr>
            <w:pStyle w:val="Pta"/>
            <w:ind w:left="-108" w:right="-108"/>
            <w:jc w:val="right"/>
            <w:rPr>
              <w:rFonts w:ascii="Arial Black" w:hAnsi="Arial Black"/>
              <w:b/>
              <w:sz w:val="18"/>
            </w:rPr>
          </w:pPr>
          <w:r>
            <w:rPr>
              <w:rFonts w:ascii="Arial Black" w:hAnsi="Arial Black"/>
              <w:b/>
              <w:sz w:val="18"/>
            </w:rPr>
            <w:t>Odbor dôchodkového sporenia</w:t>
          </w:r>
        </w:p>
        <w:p w:rsidR="00072888" w:rsidRPr="009B2CD1" w:rsidRDefault="00072888" w:rsidP="009B2CD1">
          <w:pPr>
            <w:pStyle w:val="Pta"/>
            <w:ind w:left="-108" w:right="-108"/>
            <w:jc w:val="right"/>
          </w:pPr>
          <w:r w:rsidRPr="009B2CD1">
            <w:t>Sekcia sociálneho poistenia a dôchodkového sporenia</w:t>
          </w:r>
        </w:p>
        <w:p w:rsidR="00072888" w:rsidRPr="00DC2F1A" w:rsidRDefault="00072888" w:rsidP="009B2CD1">
          <w:pPr>
            <w:pStyle w:val="Pta"/>
            <w:ind w:left="-108" w:right="-108"/>
            <w:jc w:val="right"/>
            <w:rPr>
              <w:b/>
              <w:sz w:val="20"/>
            </w:rPr>
          </w:pPr>
          <w:r w:rsidRPr="009B2CD1">
            <w:t>Ministerstvo práce, sociálnych vecí a rodiny SR</w:t>
          </w:r>
        </w:p>
      </w:tc>
    </w:tr>
  </w:tbl>
  <w:p w:rsidR="00072888" w:rsidRDefault="00072888" w:rsidP="003B0F8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888" w:rsidRDefault="00072888" w:rsidP="007743FC">
    <w:pPr>
      <w:pStyle w:val="Pta"/>
    </w:pPr>
  </w:p>
  <w:tbl>
    <w:tblPr>
      <w:tblStyle w:val="Mriekatabuky"/>
      <w:tblW w:w="4892" w:type="pct"/>
      <w:tblInd w:w="108" w:type="dxa"/>
      <w:tblBorders>
        <w:top w:val="single" w:sz="24" w:space="0" w:color="auto"/>
      </w:tblBorders>
      <w:tblLook w:val="04A0" w:firstRow="1" w:lastRow="0" w:firstColumn="1" w:lastColumn="0" w:noHBand="0" w:noVBand="1"/>
    </w:tblPr>
    <w:tblGrid>
      <w:gridCol w:w="2062"/>
      <w:gridCol w:w="440"/>
      <w:gridCol w:w="7278"/>
    </w:tblGrid>
    <w:tr w:rsidR="00072888" w:rsidTr="00E9694F">
      <w:trPr>
        <w:trHeight w:val="801"/>
      </w:trPr>
      <w:tc>
        <w:tcPr>
          <w:tcW w:w="1054" w:type="pct"/>
          <w:tcBorders>
            <w:top w:val="nil"/>
            <w:bottom w:val="nil"/>
            <w:right w:val="nil"/>
          </w:tcBorders>
          <w:vAlign w:val="top"/>
        </w:tcPr>
        <w:p w:rsidR="00072888" w:rsidRDefault="00072888" w:rsidP="006A7B55">
          <w:pPr>
            <w:pStyle w:val="Pta"/>
            <w:ind w:left="-108" w:right="-108"/>
            <w:rPr>
              <w:rFonts w:ascii="Arial Black" w:hAnsi="Arial Black"/>
              <w:b/>
              <w:sz w:val="18"/>
            </w:rPr>
          </w:pPr>
        </w:p>
        <w:p w:rsidR="00072888" w:rsidRPr="006A7B55" w:rsidRDefault="00072888" w:rsidP="00E9694F">
          <w:pPr>
            <w:pStyle w:val="Pta"/>
            <w:tabs>
              <w:tab w:val="clear" w:pos="4536"/>
              <w:tab w:val="clear" w:pos="9072"/>
              <w:tab w:val="center" w:pos="923"/>
            </w:tabs>
            <w:ind w:left="-108" w:right="-108"/>
            <w:rPr>
              <w:rFonts w:ascii="Arial Black" w:hAnsi="Arial Black"/>
              <w:b/>
              <w:sz w:val="18"/>
            </w:rPr>
          </w:pPr>
          <w:r w:rsidRPr="006A7B55">
            <w:rPr>
              <w:rFonts w:ascii="Arial Black" w:hAnsi="Arial Black"/>
              <w:b/>
              <w:sz w:val="18"/>
            </w:rPr>
            <w:fldChar w:fldCharType="begin"/>
          </w:r>
          <w:r w:rsidRPr="006A7B55">
            <w:rPr>
              <w:rFonts w:ascii="Arial Black" w:hAnsi="Arial Black"/>
              <w:b/>
              <w:sz w:val="18"/>
            </w:rPr>
            <w:instrText>PAGE   \* MERGEFORMAT</w:instrText>
          </w:r>
          <w:r w:rsidRPr="006A7B55">
            <w:rPr>
              <w:rFonts w:ascii="Arial Black" w:hAnsi="Arial Black"/>
              <w:b/>
              <w:sz w:val="18"/>
            </w:rPr>
            <w:fldChar w:fldCharType="separate"/>
          </w:r>
          <w:r w:rsidR="00027A9E">
            <w:rPr>
              <w:rFonts w:ascii="Arial Black" w:hAnsi="Arial Black"/>
              <w:b/>
              <w:noProof/>
              <w:sz w:val="18"/>
            </w:rPr>
            <w:t>9</w:t>
          </w:r>
          <w:r w:rsidRPr="006A7B55">
            <w:rPr>
              <w:rFonts w:ascii="Arial Black" w:hAnsi="Arial Black"/>
              <w:b/>
              <w:sz w:val="18"/>
            </w:rPr>
            <w:fldChar w:fldCharType="end"/>
          </w:r>
          <w:r>
            <w:rPr>
              <w:rFonts w:ascii="Arial Black" w:hAnsi="Arial Black"/>
              <w:b/>
              <w:sz w:val="18"/>
            </w:rPr>
            <w:tab/>
          </w:r>
        </w:p>
      </w:tc>
      <w:tc>
        <w:tcPr>
          <w:tcW w:w="225" w:type="pct"/>
          <w:tcBorders>
            <w:top w:val="nil"/>
            <w:left w:val="nil"/>
            <w:bottom w:val="nil"/>
            <w:right w:val="nil"/>
          </w:tcBorders>
        </w:tcPr>
        <w:p w:rsidR="00072888" w:rsidRPr="007743FC" w:rsidRDefault="00072888" w:rsidP="009B2CD1">
          <w:pPr>
            <w:pStyle w:val="Pta"/>
            <w:ind w:left="-108" w:right="-108"/>
            <w:jc w:val="right"/>
            <w:rPr>
              <w:b/>
              <w:sz w:val="18"/>
            </w:rPr>
          </w:pPr>
        </w:p>
      </w:tc>
      <w:tc>
        <w:tcPr>
          <w:tcW w:w="3721" w:type="pct"/>
          <w:tcBorders>
            <w:top w:val="nil"/>
            <w:left w:val="nil"/>
            <w:bottom w:val="nil"/>
          </w:tcBorders>
        </w:tcPr>
        <w:p w:rsidR="00072888" w:rsidRPr="006A7B55" w:rsidRDefault="00072888" w:rsidP="009B2CD1">
          <w:pPr>
            <w:pStyle w:val="Pta"/>
            <w:ind w:left="-108" w:right="-108"/>
            <w:jc w:val="right"/>
            <w:rPr>
              <w:rFonts w:ascii="Arial Black" w:hAnsi="Arial Black"/>
              <w:b/>
              <w:sz w:val="18"/>
            </w:rPr>
          </w:pPr>
          <w:r w:rsidRPr="006A7B55">
            <w:rPr>
              <w:rFonts w:ascii="Arial Black" w:hAnsi="Arial Black"/>
              <w:b/>
              <w:sz w:val="18"/>
            </w:rPr>
            <w:t xml:space="preserve">Odbor </w:t>
          </w:r>
          <w:r>
            <w:rPr>
              <w:rFonts w:ascii="Arial Black" w:hAnsi="Arial Black"/>
              <w:b/>
              <w:sz w:val="18"/>
            </w:rPr>
            <w:t>dôchodkového sporenia</w:t>
          </w:r>
        </w:p>
        <w:p w:rsidR="00072888" w:rsidRPr="009B2CD1" w:rsidRDefault="00072888" w:rsidP="009B2CD1">
          <w:pPr>
            <w:pStyle w:val="Pta"/>
            <w:ind w:left="-108" w:right="-108"/>
            <w:jc w:val="right"/>
          </w:pPr>
          <w:r w:rsidRPr="009B2CD1">
            <w:t>Sekcia sociálneho poistenia a dôchodkového sporenia</w:t>
          </w:r>
        </w:p>
        <w:p w:rsidR="00072888" w:rsidRPr="00DC2F1A" w:rsidRDefault="00072888" w:rsidP="009B2CD1">
          <w:pPr>
            <w:pStyle w:val="Pta"/>
            <w:ind w:left="-108" w:right="-108"/>
            <w:jc w:val="right"/>
            <w:rPr>
              <w:b/>
              <w:sz w:val="20"/>
            </w:rPr>
          </w:pPr>
          <w:r w:rsidRPr="009B2CD1">
            <w:t>Ministerstvo práce, sociálnych vecí a rodiny SR</w:t>
          </w:r>
        </w:p>
      </w:tc>
    </w:tr>
  </w:tbl>
  <w:p w:rsidR="00072888" w:rsidRDefault="00072888" w:rsidP="003B0F8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478" w:rsidRPr="00585BF8" w:rsidRDefault="00FD6478" w:rsidP="00585BF8">
      <w:r>
        <w:separator/>
      </w:r>
    </w:p>
  </w:footnote>
  <w:footnote w:type="continuationSeparator" w:id="0">
    <w:p w:rsidR="00FD6478" w:rsidRPr="00585BF8" w:rsidRDefault="00FD6478" w:rsidP="00585BF8">
      <w:r>
        <w:continuationSeparator/>
      </w:r>
    </w:p>
  </w:footnote>
  <w:footnote w:id="1">
    <w:p w:rsidR="00B547DA" w:rsidRDefault="00B547DA" w:rsidP="00CD50F8">
      <w:pPr>
        <w:pStyle w:val="Textpoznmkypodiarou"/>
        <w:jc w:val="both"/>
      </w:pPr>
      <w:r>
        <w:rPr>
          <w:rStyle w:val="Odkaznapoznmkupodiarou"/>
        </w:rPr>
        <w:footnoteRef/>
      </w:r>
      <w:r w:rsidR="00E6179D">
        <w:t xml:space="preserve"> Koncept</w:t>
      </w:r>
      <w:r>
        <w:t xml:space="preserve"> „oranžovej obálky“ bol prvýkrát aplikovaný vo Švédsku v roku  1999 a postupne sa rozšíril aj do iných krajín EÚ a OECD. Základný dokument informuje občana o stave jeho dôchodkového zabezpečenia, ktorý môže byť podporený aj prognózami budúcich dôchodkov. Termín </w:t>
      </w:r>
      <w:r w:rsidR="00CD50F8">
        <w:t>„oranžová obálka“ je v tejto súvislosti používaný kvôli skutočnosti, že vo Švédsku ktoré ako prvé začalo s informovaním o dôchodkoch v podobnom rozsahu, je informácia zasie</w:t>
      </w:r>
      <w:r w:rsidR="00174AB3">
        <w:t>laná v písomnej forme v obálke oranžovej farby</w:t>
      </w:r>
      <w:r w:rsidR="00CD50F8">
        <w:t xml:space="preserve">.  </w:t>
      </w:r>
    </w:p>
  </w:footnote>
  <w:footnote w:id="2">
    <w:p w:rsidR="00192DCB" w:rsidRDefault="00192DCB" w:rsidP="00315216">
      <w:pPr>
        <w:pStyle w:val="Textpoznmkypodiarou"/>
        <w:spacing w:after="0"/>
        <w:jc w:val="both"/>
      </w:pPr>
      <w:r>
        <w:rPr>
          <w:rStyle w:val="Odkaznapoznmkupodiarou"/>
        </w:rPr>
        <w:footnoteRef/>
      </w:r>
      <w:r>
        <w:t xml:space="preserve"> III. pilier je povinný len pre zamestnanca, ktorý vykonáva tzv. rizikové práce</w:t>
      </w:r>
      <w:r w:rsidR="00F5045D">
        <w:t>, za ktorých platí zamestnávateľ povinne príspevky</w:t>
      </w:r>
      <w:r w:rsidR="00BE70F2">
        <w:t xml:space="preserve"> doplnkového dôchodkového sporenia</w:t>
      </w:r>
      <w:r w:rsidR="00F5045D">
        <w:t xml:space="preserve">, a to od prvého dňa výkonu tejto práce.  </w:t>
      </w:r>
    </w:p>
  </w:footnote>
  <w:footnote w:id="3">
    <w:p w:rsidR="00315216" w:rsidRDefault="00315216" w:rsidP="00315216">
      <w:pPr>
        <w:pStyle w:val="Textpoznmkypodiarou"/>
        <w:spacing w:after="0"/>
        <w:jc w:val="both"/>
      </w:pPr>
      <w:r>
        <w:rPr>
          <w:rStyle w:val="Odkaznapoznmkupodiarou"/>
        </w:rPr>
        <w:footnoteRef/>
      </w:r>
      <w:r>
        <w:t xml:space="preserve"> </w:t>
      </w:r>
      <w:r w:rsidRPr="00315216">
        <w:t xml:space="preserve">Pri výpočte prognóz dôchodkových dávok môže </w:t>
      </w:r>
      <w:r>
        <w:t xml:space="preserve">DDS </w:t>
      </w:r>
      <w:r w:rsidRPr="00315216">
        <w:t xml:space="preserve">zohľadniť rast príspevkov, ak súčet priemernej sumy mesačných príspevkov účastníka a priemernej sumy mesačných príspevkov zamestnávateľa za zamestnanca vzrástol v posledných 12 po sebe nasledujúcich mesiacoch sledovaného obdobia v porovnaní s prvými 12 po sebe nasledujúcimi mesiacmi sledovaného obdobia najmenej o 5 % a súčet priemernej sumy týchto príspevkov vzrástol v sledovanom období medziročne najmenej dvakrát. </w:t>
      </w:r>
      <w:r w:rsidRPr="00315216">
        <w:t xml:space="preserve">Sledovaným obdobím je 60 po sebe nasledujúcich mesiacov predchádzajúcich kalendárnemu roku, v ktorom sa výpis účastníka </w:t>
      </w:r>
      <w:r w:rsidR="007F7486">
        <w:t xml:space="preserve">zasiela. V novele opatrenia </w:t>
      </w:r>
      <w:r w:rsidR="007F7486" w:rsidRPr="007F7486">
        <w:t>č. 295/2018 Z. z.,</w:t>
      </w:r>
      <w:r w:rsidR="007F7486">
        <w:t xml:space="preserve"> ktorá je v legislatívnom procese predkladateľ navrhuje stanovenie maximáln</w:t>
      </w:r>
      <w:r w:rsidR="00B519FF">
        <w:t xml:space="preserve">eho ročného </w:t>
      </w:r>
      <w:r w:rsidR="007F7486">
        <w:t xml:space="preserve">mzdového nárastu na úroveň 2,45 % </w:t>
      </w:r>
      <w:r w:rsidR="00B519FF">
        <w:t>v súlade s predpokladom vývoja produktivity práce podľa „</w:t>
      </w:r>
      <w:proofErr w:type="spellStart"/>
      <w:r w:rsidR="00B519FF">
        <w:t>The</w:t>
      </w:r>
      <w:proofErr w:type="spellEnd"/>
      <w:r w:rsidR="00B519FF">
        <w:t xml:space="preserve"> 2018 </w:t>
      </w:r>
      <w:proofErr w:type="spellStart"/>
      <w:r w:rsidR="00B519FF">
        <w:t>Ageing</w:t>
      </w:r>
      <w:proofErr w:type="spellEnd"/>
      <w:r w:rsidR="00B519FF">
        <w:t xml:space="preserve"> Report“.    </w:t>
      </w:r>
      <w:r w:rsidR="007F7486">
        <w:t xml:space="preserve">   </w:t>
      </w:r>
    </w:p>
  </w:footnote>
  <w:footnote w:id="4">
    <w:p w:rsidR="00072888" w:rsidRPr="00EE5245" w:rsidRDefault="00072888" w:rsidP="00315216">
      <w:pPr>
        <w:pStyle w:val="Textpoznmkypodiarou"/>
        <w:spacing w:after="0"/>
        <w:jc w:val="both"/>
        <w:rPr>
          <w:rFonts w:cs="Times New Roman"/>
        </w:rPr>
      </w:pPr>
      <w:r w:rsidRPr="00EE5245">
        <w:rPr>
          <w:rStyle w:val="Odkaznapoznmkupodiarou"/>
          <w:rFonts w:cs="Times New Roman"/>
        </w:rPr>
        <w:footnoteRef/>
      </w:r>
      <w:r w:rsidRPr="00EE5245">
        <w:rPr>
          <w:rFonts w:cs="Times New Roman"/>
        </w:rPr>
        <w:t xml:space="preserve"> </w:t>
      </w:r>
      <w:r w:rsidRPr="00EE5245">
        <w:rPr>
          <w:rFonts w:cs="Times New Roman"/>
        </w:rPr>
        <w:t>1bis dôchodkový systém je rozšírený najmä v krajinách strednej a východnej Európy, ktoré v súvislosti s odporúčaním Svetovej banky a Medzinárodného menového fondu zaviesť viac pilierový dôchodkový systém uplatnili dôchodkovú reformu spojenú s presunom časti dôchodkového zabezpečenia do súkromného fondového dôchodkového systému. Rôzne variácie 1bis dôchodkového piliera existujú v Bulharsku, v Estónsku, v Loty</w:t>
      </w:r>
      <w:r w:rsidR="00225810">
        <w:rPr>
          <w:rFonts w:cs="Times New Roman"/>
        </w:rPr>
        <w:t>šsku, v Litve, v Chorvátsku vo</w:t>
      </w:r>
      <w:r w:rsidRPr="00EE5245">
        <w:rPr>
          <w:rFonts w:cs="Times New Roman"/>
        </w:rPr>
        <w:t xml:space="preserve"> Švédsku</w:t>
      </w:r>
      <w:r w:rsidR="00225810">
        <w:rPr>
          <w:rFonts w:cs="Times New Roman"/>
        </w:rPr>
        <w:t xml:space="preserve"> a v podobe II. dôchodkového piliera aj na Slovensku</w:t>
      </w:r>
      <w:r w:rsidRPr="00EE5245">
        <w:rPr>
          <w:rFonts w:cs="Times New Roman"/>
        </w:rPr>
        <w:t xml:space="preserve">.    </w:t>
      </w:r>
    </w:p>
  </w:footnote>
  <w:footnote w:id="5">
    <w:p w:rsidR="00EC3DC7" w:rsidRPr="002976E7" w:rsidRDefault="00EC3DC7" w:rsidP="00EC3DC7">
      <w:pPr>
        <w:spacing w:before="0" w:after="0" w:line="240" w:lineRule="auto"/>
        <w:rPr>
          <w:rFonts w:cs="Times New Roman"/>
          <w:sz w:val="20"/>
          <w:szCs w:val="20"/>
        </w:rPr>
      </w:pPr>
      <w:r w:rsidRPr="002976E7">
        <w:rPr>
          <w:rStyle w:val="Odkaznapoznmkupodiarou"/>
          <w:rFonts w:cs="Times New Roman"/>
          <w:sz w:val="20"/>
          <w:szCs w:val="20"/>
        </w:rPr>
        <w:footnoteRef/>
      </w:r>
      <w:r w:rsidRPr="002976E7">
        <w:rPr>
          <w:rFonts w:cs="Times New Roman"/>
          <w:sz w:val="20"/>
          <w:szCs w:val="20"/>
        </w:rPr>
        <w:t xml:space="preserve"> </w:t>
      </w:r>
      <w:r w:rsidRPr="005501D6">
        <w:rPr>
          <w:rFonts w:cs="Times New Roman"/>
          <w:sz w:val="16"/>
          <w:szCs w:val="16"/>
        </w:rPr>
        <w:t>y=-0,0000008396</w:t>
      </w:r>
      <m:oMath>
        <m:sSup>
          <m:sSupPr>
            <m:ctrlPr>
              <w:rPr>
                <w:rFonts w:ascii="Cambria Math" w:hAnsi="Cambria Math" w:cs="Times New Roman"/>
                <w:sz w:val="16"/>
                <w:szCs w:val="16"/>
              </w:rPr>
            </m:ctrlPr>
          </m:sSupPr>
          <m:e>
            <m:r>
              <m:rPr>
                <m:sty m:val="p"/>
              </m:rPr>
              <w:rPr>
                <w:rFonts w:ascii="Cambria Math" w:hAnsi="Cambria Math" w:cs="Times New Roman"/>
                <w:sz w:val="16"/>
                <w:szCs w:val="16"/>
              </w:rPr>
              <m:t>x</m:t>
            </m:r>
          </m:e>
          <m:sup>
            <m:r>
              <m:rPr>
                <m:sty m:val="p"/>
              </m:rPr>
              <w:rPr>
                <w:rFonts w:ascii="Cambria Math" w:hAnsi="Cambria Math" w:cs="Times New Roman"/>
                <w:sz w:val="16"/>
                <w:szCs w:val="16"/>
              </w:rPr>
              <m:t>4</m:t>
            </m:r>
          </m:sup>
        </m:sSup>
      </m:oMath>
      <w:r w:rsidRPr="005501D6">
        <w:rPr>
          <w:rFonts w:cs="Times New Roman"/>
          <w:sz w:val="16"/>
          <w:szCs w:val="16"/>
        </w:rPr>
        <w:t>+0,0001591544</w:t>
      </w:r>
      <m:oMath>
        <m:sSup>
          <m:sSupPr>
            <m:ctrlPr>
              <w:rPr>
                <w:rFonts w:ascii="Cambria Math" w:hAnsi="Cambria Math" w:cs="Times New Roman"/>
                <w:sz w:val="16"/>
                <w:szCs w:val="16"/>
              </w:rPr>
            </m:ctrlPr>
          </m:sSupPr>
          <m:e>
            <m:r>
              <m:rPr>
                <m:sty m:val="p"/>
              </m:rPr>
              <w:rPr>
                <w:rFonts w:ascii="Cambria Math" w:hAnsi="Cambria Math" w:cs="Times New Roman"/>
                <w:sz w:val="16"/>
                <w:szCs w:val="16"/>
              </w:rPr>
              <m:t>x</m:t>
            </m:r>
          </m:e>
          <m:sup>
            <m:r>
              <m:rPr>
                <m:sty m:val="p"/>
              </m:rPr>
              <w:rPr>
                <w:rFonts w:ascii="Cambria Math" w:hAnsi="Cambria Math" w:cs="Times New Roman"/>
                <w:sz w:val="16"/>
                <w:szCs w:val="16"/>
              </w:rPr>
              <m:t>3</m:t>
            </m:r>
          </m:sup>
        </m:sSup>
      </m:oMath>
      <w:r w:rsidRPr="005501D6">
        <w:rPr>
          <w:rFonts w:cs="Times New Roman"/>
          <w:sz w:val="16"/>
          <w:szCs w:val="16"/>
        </w:rPr>
        <w:t>-0,0113975373</w:t>
      </w:r>
      <m:oMath>
        <m:sSup>
          <m:sSupPr>
            <m:ctrlPr>
              <w:rPr>
                <w:rFonts w:ascii="Cambria Math" w:hAnsi="Cambria Math" w:cs="Times New Roman"/>
                <w:sz w:val="16"/>
                <w:szCs w:val="16"/>
              </w:rPr>
            </m:ctrlPr>
          </m:sSupPr>
          <m:e>
            <m:r>
              <m:rPr>
                <m:sty m:val="p"/>
              </m:rPr>
              <w:rPr>
                <w:rFonts w:ascii="Cambria Math" w:hAnsi="Cambria Math" w:cs="Times New Roman"/>
                <w:sz w:val="16"/>
                <w:szCs w:val="16"/>
              </w:rPr>
              <m:t>x</m:t>
            </m:r>
          </m:e>
          <m:sup>
            <m:r>
              <m:rPr>
                <m:sty m:val="p"/>
              </m:rPr>
              <w:rPr>
                <w:rFonts w:ascii="Cambria Math" w:hAnsi="Cambria Math" w:cs="Times New Roman"/>
                <w:sz w:val="16"/>
                <w:szCs w:val="16"/>
              </w:rPr>
              <m:t>2</m:t>
            </m:r>
          </m:sup>
        </m:sSup>
      </m:oMath>
      <w:r w:rsidRPr="005501D6">
        <w:rPr>
          <w:rFonts w:cs="Times New Roman"/>
          <w:sz w:val="16"/>
          <w:szCs w:val="16"/>
        </w:rPr>
        <w:t>+0,3658641458</w:t>
      </w:r>
      <m:oMath>
        <m:r>
          <m:rPr>
            <m:sty m:val="p"/>
          </m:rPr>
          <w:rPr>
            <w:rFonts w:ascii="Cambria Math" w:hAnsi="Cambria Math" w:cs="Times New Roman"/>
            <w:sz w:val="16"/>
            <w:szCs w:val="16"/>
          </w:rPr>
          <m:t>x</m:t>
        </m:r>
      </m:oMath>
      <w:r w:rsidRPr="005501D6">
        <w:rPr>
          <w:rFonts w:cs="Times New Roman"/>
          <w:sz w:val="16"/>
          <w:szCs w:val="16"/>
        </w:rPr>
        <w:t>-3,3551033338.</w:t>
      </w:r>
      <w:r>
        <w:rPr>
          <w:rFonts w:cs="Times New Roman"/>
          <w:i/>
          <w:sz w:val="16"/>
          <w:szCs w:val="16"/>
        </w:rPr>
        <w:t xml:space="preserve"> </w:t>
      </w:r>
      <w:r w:rsidRPr="005501D6">
        <w:rPr>
          <w:rFonts w:eastAsiaTheme="minorEastAsia" w:cs="Times New Roman"/>
          <w:sz w:val="16"/>
          <w:szCs w:val="16"/>
        </w:rPr>
        <w:t>Miera tesnosti štatistickej závislosti vyjadrená prostredníctvom koeficientu determinácie dosahuje úroveň 99,7 % čo poukazuje na vysoký stupeň tesnosti závislosti medzi skúmanými premennými.</w:t>
      </w:r>
      <w:r w:rsidRPr="002976E7">
        <w:rPr>
          <w:rFonts w:eastAsiaTheme="minorEastAsia" w:cs="Times New Roman"/>
          <w:sz w:val="20"/>
          <w:szCs w:val="20"/>
        </w:rPr>
        <w:t xml:space="preserve">  </w:t>
      </w:r>
    </w:p>
    <w:p w:rsidR="00EC3DC7" w:rsidRPr="00AC44BC" w:rsidRDefault="00EC3DC7" w:rsidP="00EC3DC7">
      <w:pPr>
        <w:rPr>
          <w:rFonts w:eastAsiaTheme="minorEastAsia" w:cs="Times New Roman"/>
          <w:sz w:val="24"/>
          <w:szCs w:val="24"/>
        </w:rPr>
      </w:pPr>
      <w:r w:rsidRPr="009A78A4">
        <w:rPr>
          <w:rFonts w:cs="Times New Roman"/>
          <w:i/>
          <w:sz w:val="20"/>
          <w:szCs w:val="20"/>
        </w:rPr>
        <w:t xml:space="preserve">                            </w:t>
      </w:r>
      <w:r w:rsidRPr="009A78A4">
        <w:rPr>
          <w:rFonts w:eastAsiaTheme="minorEastAsia" w:cs="Times New Roman"/>
          <w:sz w:val="20"/>
          <w:szCs w:val="20"/>
        </w:rPr>
        <w:t xml:space="preserve">                                                                         </w:t>
      </w:r>
    </w:p>
    <w:p w:rsidR="00EC3DC7" w:rsidRDefault="00EC3DC7" w:rsidP="00EC3DC7">
      <w:pPr>
        <w:pStyle w:val="Textpoznmkypodiarou"/>
      </w:pPr>
    </w:p>
  </w:footnote>
  <w:footnote w:id="6">
    <w:p w:rsidR="00072888" w:rsidRDefault="00072888" w:rsidP="006E6570">
      <w:pPr>
        <w:pStyle w:val="Textpoznmkypodiarou"/>
      </w:pPr>
      <w:r>
        <w:rPr>
          <w:rStyle w:val="Odkaznapoznmkupodiarou"/>
        </w:rPr>
        <w:footnoteRef/>
      </w:r>
      <w:r>
        <w:t xml:space="preserve"> </w:t>
      </w:r>
      <w:proofErr w:type="spellStart"/>
      <w:r w:rsidRPr="001F4EBB">
        <w:rPr>
          <w:rFonts w:cs="Times New Roman"/>
        </w:rPr>
        <w:t>Euróspka</w:t>
      </w:r>
      <w:proofErr w:type="spellEnd"/>
      <w:r w:rsidRPr="001F4EBB">
        <w:rPr>
          <w:rFonts w:cs="Times New Roman"/>
        </w:rPr>
        <w:t xml:space="preserve"> </w:t>
      </w:r>
      <w:proofErr w:type="spellStart"/>
      <w:r w:rsidRPr="001F4EBB">
        <w:rPr>
          <w:rFonts w:cs="Times New Roman"/>
        </w:rPr>
        <w:t>komisia.The</w:t>
      </w:r>
      <w:proofErr w:type="spellEnd"/>
      <w:r w:rsidRPr="001F4EBB">
        <w:rPr>
          <w:rFonts w:cs="Times New Roman"/>
        </w:rPr>
        <w:t xml:space="preserve"> 2018 </w:t>
      </w:r>
      <w:proofErr w:type="spellStart"/>
      <w:r w:rsidRPr="001F4EBB">
        <w:rPr>
          <w:rFonts w:cs="Times New Roman"/>
        </w:rPr>
        <w:t>Ageing</w:t>
      </w:r>
      <w:proofErr w:type="spellEnd"/>
      <w:r w:rsidRPr="001F4EBB">
        <w:rPr>
          <w:rFonts w:cs="Times New Roman"/>
        </w:rPr>
        <w:t xml:space="preserve"> report [</w:t>
      </w:r>
      <w:proofErr w:type="spellStart"/>
      <w:r w:rsidRPr="001F4EBB">
        <w:rPr>
          <w:rFonts w:cs="Times New Roman"/>
        </w:rPr>
        <w:t>online</w:t>
      </w:r>
      <w:proofErr w:type="spellEnd"/>
      <w:r w:rsidRPr="001F4EBB">
        <w:rPr>
          <w:rFonts w:cs="Times New Roman"/>
        </w:rPr>
        <w:t xml:space="preserve">]. 2018. Dostupné na:  </w:t>
      </w:r>
      <w:hyperlink r:id="rId1" w:history="1">
        <w:r w:rsidRPr="001F4EBB">
          <w:rPr>
            <w:rStyle w:val="Hypertextovprepojenie"/>
            <w:rFonts w:cs="Times New Roman"/>
            <w:color w:val="auto"/>
          </w:rPr>
          <w:t>https://ec.europa.eu/info/publications/economy-finance/2018-ageing-report-economic-and-budgetary-projections-eu-member-states-2016-2070_en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riekatabuky"/>
      <w:tblW w:w="9781" w:type="dxa"/>
      <w:tblInd w:w="-2302" w:type="dxa"/>
      <w:tblBorders>
        <w:bottom w:val="single" w:sz="24" w:space="0" w:color="auto"/>
        <w:insideH w:val="single" w:sz="24" w:space="0" w:color="auto"/>
        <w:insideV w:val="single" w:sz="24" w:space="0" w:color="auto"/>
      </w:tblBorders>
      <w:tblLook w:val="04A0" w:firstRow="1" w:lastRow="0" w:firstColumn="1" w:lastColumn="0" w:noHBand="0" w:noVBand="1"/>
    </w:tblPr>
    <w:tblGrid>
      <w:gridCol w:w="9781"/>
    </w:tblGrid>
    <w:tr w:rsidR="00072888" w:rsidTr="00E9694F">
      <w:trPr>
        <w:trHeight w:val="283"/>
      </w:trPr>
      <w:tc>
        <w:tcPr>
          <w:tcW w:w="9781" w:type="dxa"/>
          <w:tcBorders>
            <w:top w:val="nil"/>
            <w:bottom w:val="nil"/>
          </w:tcBorders>
        </w:tcPr>
        <w:sdt>
          <w:sdtPr>
            <w:rPr>
              <w:b/>
              <w:sz w:val="16"/>
            </w:rPr>
            <w:alias w:val="Názov"/>
            <w:tag w:val=""/>
            <w:id w:val="-583449899"/>
            <w:dataBinding w:prefixMappings="xmlns:ns0='http://purl.org/dc/elements/1.1/' xmlns:ns1='http://schemas.openxmlformats.org/package/2006/metadata/core-properties' " w:xpath="/ns1:coreProperties[1]/ns0:title[1]" w:storeItemID="{6C3C8BC8-F283-45AE-878A-BAB7291924A1}"/>
            <w:text/>
          </w:sdtPr>
          <w:sdtEndPr/>
          <w:sdtContent>
            <w:p w:rsidR="00072888" w:rsidRPr="00DC2F1A" w:rsidRDefault="00EC3DC7" w:rsidP="008B4822">
              <w:pPr>
                <w:pStyle w:val="Pta"/>
                <w:tabs>
                  <w:tab w:val="clear" w:pos="9072"/>
                </w:tabs>
                <w:ind w:left="-108" w:right="-108"/>
                <w:rPr>
                  <w:b/>
                  <w:sz w:val="20"/>
                </w:rPr>
              </w:pPr>
              <w:r>
                <w:rPr>
                  <w:b/>
                  <w:sz w:val="16"/>
                </w:rPr>
                <w:t>Projekcie dôchodkov v II. pilieri</w:t>
              </w:r>
            </w:p>
          </w:sdtContent>
        </w:sdt>
      </w:tc>
    </w:tr>
  </w:tbl>
  <w:p w:rsidR="00072888" w:rsidRDefault="00072888" w:rsidP="009B2CD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riekatabuky"/>
      <w:tblW w:w="9781" w:type="dxa"/>
      <w:tblInd w:w="108" w:type="dxa"/>
      <w:tblBorders>
        <w:bottom w:val="single" w:sz="24" w:space="0" w:color="auto"/>
        <w:insideH w:val="single" w:sz="24" w:space="0" w:color="auto"/>
        <w:insideV w:val="single" w:sz="24" w:space="0" w:color="auto"/>
      </w:tblBorders>
      <w:tblLook w:val="04A0" w:firstRow="1" w:lastRow="0" w:firstColumn="1" w:lastColumn="0" w:noHBand="0" w:noVBand="1"/>
    </w:tblPr>
    <w:tblGrid>
      <w:gridCol w:w="9781"/>
    </w:tblGrid>
    <w:tr w:rsidR="00072888" w:rsidTr="00E9694F">
      <w:trPr>
        <w:trHeight w:val="283"/>
      </w:trPr>
      <w:tc>
        <w:tcPr>
          <w:tcW w:w="9781" w:type="dxa"/>
          <w:tcBorders>
            <w:top w:val="nil"/>
            <w:bottom w:val="nil"/>
          </w:tcBorders>
        </w:tcPr>
        <w:p w:rsidR="00072888" w:rsidRPr="00DC2F1A" w:rsidRDefault="00072888" w:rsidP="00D369F7">
          <w:pPr>
            <w:pStyle w:val="Pta"/>
            <w:tabs>
              <w:tab w:val="clear" w:pos="9072"/>
            </w:tabs>
            <w:ind w:left="-108" w:right="-108"/>
            <w:rPr>
              <w:b/>
              <w:sz w:val="20"/>
            </w:rPr>
          </w:pPr>
        </w:p>
      </w:tc>
    </w:tr>
  </w:tbl>
  <w:p w:rsidR="00072888" w:rsidRDefault="00072888" w:rsidP="009B2CD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C3C22"/>
    <w:multiLevelType w:val="hybridMultilevel"/>
    <w:tmpl w:val="D3502EAE"/>
    <w:lvl w:ilvl="0" w:tplc="CD860334">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DBC1FA0"/>
    <w:multiLevelType w:val="hybridMultilevel"/>
    <w:tmpl w:val="FBC43B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451872FD"/>
    <w:multiLevelType w:val="hybridMultilevel"/>
    <w:tmpl w:val="6ABAEB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DB54088"/>
    <w:multiLevelType w:val="hybridMultilevel"/>
    <w:tmpl w:val="B6A2E9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4112C7A"/>
    <w:multiLevelType w:val="multilevel"/>
    <w:tmpl w:val="1B1E9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3531254"/>
    <w:multiLevelType w:val="hybridMultilevel"/>
    <w:tmpl w:val="B0AA13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AF54DFC"/>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0"/>
  </w:num>
  <w:num w:numId="2">
    <w:abstractNumId w:val="6"/>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ocumentProtection w:edit="trackedChange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474"/>
    <w:rsid w:val="000125E9"/>
    <w:rsid w:val="00027A9E"/>
    <w:rsid w:val="000330EC"/>
    <w:rsid w:val="00037119"/>
    <w:rsid w:val="00037338"/>
    <w:rsid w:val="00041E22"/>
    <w:rsid w:val="00047E5D"/>
    <w:rsid w:val="00052644"/>
    <w:rsid w:val="00054558"/>
    <w:rsid w:val="0005481E"/>
    <w:rsid w:val="00066B51"/>
    <w:rsid w:val="00072888"/>
    <w:rsid w:val="00075215"/>
    <w:rsid w:val="000873DC"/>
    <w:rsid w:val="00087EB3"/>
    <w:rsid w:val="000B2EB0"/>
    <w:rsid w:val="000C7300"/>
    <w:rsid w:val="000C7B56"/>
    <w:rsid w:val="000D0F88"/>
    <w:rsid w:val="000D3F77"/>
    <w:rsid w:val="000E08A4"/>
    <w:rsid w:val="000E37B4"/>
    <w:rsid w:val="000E57F6"/>
    <w:rsid w:val="0011687E"/>
    <w:rsid w:val="00116B3A"/>
    <w:rsid w:val="00123892"/>
    <w:rsid w:val="00124D91"/>
    <w:rsid w:val="00126C69"/>
    <w:rsid w:val="0015328D"/>
    <w:rsid w:val="001565F0"/>
    <w:rsid w:val="00161AA2"/>
    <w:rsid w:val="00161D37"/>
    <w:rsid w:val="00167B5C"/>
    <w:rsid w:val="00174AB3"/>
    <w:rsid w:val="00187D2A"/>
    <w:rsid w:val="00192DCB"/>
    <w:rsid w:val="00195D18"/>
    <w:rsid w:val="00196EF1"/>
    <w:rsid w:val="001A511A"/>
    <w:rsid w:val="001B119C"/>
    <w:rsid w:val="001C1597"/>
    <w:rsid w:val="001C318E"/>
    <w:rsid w:val="001C4573"/>
    <w:rsid w:val="001C581E"/>
    <w:rsid w:val="001C6DF8"/>
    <w:rsid w:val="001D2136"/>
    <w:rsid w:val="001D73C4"/>
    <w:rsid w:val="001F228B"/>
    <w:rsid w:val="001F2CDC"/>
    <w:rsid w:val="001F5B56"/>
    <w:rsid w:val="001F65BC"/>
    <w:rsid w:val="002108D5"/>
    <w:rsid w:val="00214C13"/>
    <w:rsid w:val="002169DE"/>
    <w:rsid w:val="00217F0C"/>
    <w:rsid w:val="0022520C"/>
    <w:rsid w:val="00225810"/>
    <w:rsid w:val="0022775A"/>
    <w:rsid w:val="00227D5C"/>
    <w:rsid w:val="00245760"/>
    <w:rsid w:val="00245885"/>
    <w:rsid w:val="0026063A"/>
    <w:rsid w:val="00261525"/>
    <w:rsid w:val="00261602"/>
    <w:rsid w:val="002731B0"/>
    <w:rsid w:val="002804F5"/>
    <w:rsid w:val="002848CE"/>
    <w:rsid w:val="002976E7"/>
    <w:rsid w:val="002A1185"/>
    <w:rsid w:val="002A3F0F"/>
    <w:rsid w:val="002A6895"/>
    <w:rsid w:val="002C2570"/>
    <w:rsid w:val="002C5E19"/>
    <w:rsid w:val="002C7D04"/>
    <w:rsid w:val="002D516F"/>
    <w:rsid w:val="002D61C3"/>
    <w:rsid w:val="002F24DD"/>
    <w:rsid w:val="002F498C"/>
    <w:rsid w:val="002F5FA6"/>
    <w:rsid w:val="002F61E3"/>
    <w:rsid w:val="002F6BC2"/>
    <w:rsid w:val="00303430"/>
    <w:rsid w:val="0031356F"/>
    <w:rsid w:val="00315216"/>
    <w:rsid w:val="003155D0"/>
    <w:rsid w:val="00316B42"/>
    <w:rsid w:val="003204E5"/>
    <w:rsid w:val="00322B2F"/>
    <w:rsid w:val="00340864"/>
    <w:rsid w:val="00344F82"/>
    <w:rsid w:val="00353693"/>
    <w:rsid w:val="00363E20"/>
    <w:rsid w:val="0036731F"/>
    <w:rsid w:val="003774A9"/>
    <w:rsid w:val="003779F4"/>
    <w:rsid w:val="00387667"/>
    <w:rsid w:val="00394065"/>
    <w:rsid w:val="003A3CD4"/>
    <w:rsid w:val="003A44A2"/>
    <w:rsid w:val="003B0F8C"/>
    <w:rsid w:val="003C4304"/>
    <w:rsid w:val="003C44AF"/>
    <w:rsid w:val="003C55A4"/>
    <w:rsid w:val="003C571D"/>
    <w:rsid w:val="003D2CC1"/>
    <w:rsid w:val="003D3A92"/>
    <w:rsid w:val="003D6054"/>
    <w:rsid w:val="003E0111"/>
    <w:rsid w:val="003E4474"/>
    <w:rsid w:val="003E71D9"/>
    <w:rsid w:val="003F3C20"/>
    <w:rsid w:val="003F41E6"/>
    <w:rsid w:val="003F7E77"/>
    <w:rsid w:val="00400821"/>
    <w:rsid w:val="00401156"/>
    <w:rsid w:val="0040433D"/>
    <w:rsid w:val="00407935"/>
    <w:rsid w:val="004103B3"/>
    <w:rsid w:val="004114CF"/>
    <w:rsid w:val="004146B8"/>
    <w:rsid w:val="00415147"/>
    <w:rsid w:val="00421AEB"/>
    <w:rsid w:val="00430ACF"/>
    <w:rsid w:val="004319F9"/>
    <w:rsid w:val="00433CC8"/>
    <w:rsid w:val="004454AC"/>
    <w:rsid w:val="004712D0"/>
    <w:rsid w:val="004734BC"/>
    <w:rsid w:val="0048267D"/>
    <w:rsid w:val="004A3E04"/>
    <w:rsid w:val="004A5D75"/>
    <w:rsid w:val="004B26BD"/>
    <w:rsid w:val="004C0255"/>
    <w:rsid w:val="004C4554"/>
    <w:rsid w:val="004D3F12"/>
    <w:rsid w:val="004E17D2"/>
    <w:rsid w:val="00502924"/>
    <w:rsid w:val="00506D5C"/>
    <w:rsid w:val="00515B5A"/>
    <w:rsid w:val="005301F0"/>
    <w:rsid w:val="00537236"/>
    <w:rsid w:val="00540644"/>
    <w:rsid w:val="00541593"/>
    <w:rsid w:val="00541DD2"/>
    <w:rsid w:val="00542F9A"/>
    <w:rsid w:val="00546C2B"/>
    <w:rsid w:val="005501D6"/>
    <w:rsid w:val="00550A14"/>
    <w:rsid w:val="00551F50"/>
    <w:rsid w:val="00585BF8"/>
    <w:rsid w:val="005B3931"/>
    <w:rsid w:val="005B4080"/>
    <w:rsid w:val="005C7060"/>
    <w:rsid w:val="005D3D69"/>
    <w:rsid w:val="005D3DA1"/>
    <w:rsid w:val="005E7003"/>
    <w:rsid w:val="005F2AF1"/>
    <w:rsid w:val="005F5490"/>
    <w:rsid w:val="006016AB"/>
    <w:rsid w:val="00604601"/>
    <w:rsid w:val="00612C40"/>
    <w:rsid w:val="006161F3"/>
    <w:rsid w:val="00631EF5"/>
    <w:rsid w:val="0063626A"/>
    <w:rsid w:val="00640390"/>
    <w:rsid w:val="00643B46"/>
    <w:rsid w:val="00653FBA"/>
    <w:rsid w:val="00654F4E"/>
    <w:rsid w:val="00671370"/>
    <w:rsid w:val="00675893"/>
    <w:rsid w:val="006770EE"/>
    <w:rsid w:val="0068030B"/>
    <w:rsid w:val="006865D8"/>
    <w:rsid w:val="00694B01"/>
    <w:rsid w:val="006A7B55"/>
    <w:rsid w:val="006B3774"/>
    <w:rsid w:val="006B40DE"/>
    <w:rsid w:val="006C0E76"/>
    <w:rsid w:val="006C4683"/>
    <w:rsid w:val="006C4981"/>
    <w:rsid w:val="006C7784"/>
    <w:rsid w:val="006D548C"/>
    <w:rsid w:val="006E57C7"/>
    <w:rsid w:val="006E6570"/>
    <w:rsid w:val="006F2310"/>
    <w:rsid w:val="006F432F"/>
    <w:rsid w:val="006F54F9"/>
    <w:rsid w:val="006F5763"/>
    <w:rsid w:val="00716FE9"/>
    <w:rsid w:val="00724F07"/>
    <w:rsid w:val="007257A0"/>
    <w:rsid w:val="007358CB"/>
    <w:rsid w:val="00742AC9"/>
    <w:rsid w:val="00744463"/>
    <w:rsid w:val="007446C0"/>
    <w:rsid w:val="00745EED"/>
    <w:rsid w:val="00756AEA"/>
    <w:rsid w:val="007719B8"/>
    <w:rsid w:val="007743FC"/>
    <w:rsid w:val="00783988"/>
    <w:rsid w:val="00784090"/>
    <w:rsid w:val="00797EC4"/>
    <w:rsid w:val="007A0C8E"/>
    <w:rsid w:val="007A35AC"/>
    <w:rsid w:val="007A671F"/>
    <w:rsid w:val="007B76DA"/>
    <w:rsid w:val="007C3B44"/>
    <w:rsid w:val="007D287B"/>
    <w:rsid w:val="007D42B3"/>
    <w:rsid w:val="007F49FA"/>
    <w:rsid w:val="007F7185"/>
    <w:rsid w:val="007F7486"/>
    <w:rsid w:val="00811F83"/>
    <w:rsid w:val="00834DE8"/>
    <w:rsid w:val="00850687"/>
    <w:rsid w:val="0086183A"/>
    <w:rsid w:val="0087162E"/>
    <w:rsid w:val="00875289"/>
    <w:rsid w:val="00877795"/>
    <w:rsid w:val="00886C4B"/>
    <w:rsid w:val="008877E9"/>
    <w:rsid w:val="00887F40"/>
    <w:rsid w:val="00890871"/>
    <w:rsid w:val="00892DBE"/>
    <w:rsid w:val="0089357F"/>
    <w:rsid w:val="008B4822"/>
    <w:rsid w:val="008B4BBC"/>
    <w:rsid w:val="008C012C"/>
    <w:rsid w:val="008F1837"/>
    <w:rsid w:val="008F1B9E"/>
    <w:rsid w:val="008F5DA3"/>
    <w:rsid w:val="00900357"/>
    <w:rsid w:val="00903C05"/>
    <w:rsid w:val="00904407"/>
    <w:rsid w:val="00906901"/>
    <w:rsid w:val="00907B40"/>
    <w:rsid w:val="00911AB3"/>
    <w:rsid w:val="00935638"/>
    <w:rsid w:val="0093615F"/>
    <w:rsid w:val="00941A1C"/>
    <w:rsid w:val="00951C2E"/>
    <w:rsid w:val="00962AA3"/>
    <w:rsid w:val="00965A6D"/>
    <w:rsid w:val="00984FC1"/>
    <w:rsid w:val="00987803"/>
    <w:rsid w:val="009A68D0"/>
    <w:rsid w:val="009A78A4"/>
    <w:rsid w:val="009A7A98"/>
    <w:rsid w:val="009B2856"/>
    <w:rsid w:val="009B2CD1"/>
    <w:rsid w:val="009C680D"/>
    <w:rsid w:val="009E24A5"/>
    <w:rsid w:val="009F03B3"/>
    <w:rsid w:val="00A22973"/>
    <w:rsid w:val="00A31A66"/>
    <w:rsid w:val="00A36E11"/>
    <w:rsid w:val="00A41E93"/>
    <w:rsid w:val="00A43B7C"/>
    <w:rsid w:val="00A4787A"/>
    <w:rsid w:val="00A56A21"/>
    <w:rsid w:val="00A723A9"/>
    <w:rsid w:val="00A72B8A"/>
    <w:rsid w:val="00A732D2"/>
    <w:rsid w:val="00A97A61"/>
    <w:rsid w:val="00AB7770"/>
    <w:rsid w:val="00AC04CD"/>
    <w:rsid w:val="00AC44BC"/>
    <w:rsid w:val="00AC7096"/>
    <w:rsid w:val="00AD0B90"/>
    <w:rsid w:val="00AD253A"/>
    <w:rsid w:val="00AD4FF9"/>
    <w:rsid w:val="00AD5834"/>
    <w:rsid w:val="00AE2A3F"/>
    <w:rsid w:val="00AE56F8"/>
    <w:rsid w:val="00AF18C5"/>
    <w:rsid w:val="00AF3D5E"/>
    <w:rsid w:val="00AF5DD4"/>
    <w:rsid w:val="00B067E1"/>
    <w:rsid w:val="00B11D38"/>
    <w:rsid w:val="00B16FC8"/>
    <w:rsid w:val="00B21C73"/>
    <w:rsid w:val="00B23F1D"/>
    <w:rsid w:val="00B3656E"/>
    <w:rsid w:val="00B42BF7"/>
    <w:rsid w:val="00B46A4F"/>
    <w:rsid w:val="00B50E7C"/>
    <w:rsid w:val="00B519FF"/>
    <w:rsid w:val="00B53023"/>
    <w:rsid w:val="00B547DA"/>
    <w:rsid w:val="00B56F60"/>
    <w:rsid w:val="00B64CBD"/>
    <w:rsid w:val="00B73930"/>
    <w:rsid w:val="00B83493"/>
    <w:rsid w:val="00B83CC7"/>
    <w:rsid w:val="00B92166"/>
    <w:rsid w:val="00BB23EC"/>
    <w:rsid w:val="00BC471F"/>
    <w:rsid w:val="00BC54F3"/>
    <w:rsid w:val="00BD07D3"/>
    <w:rsid w:val="00BD6985"/>
    <w:rsid w:val="00BD6F7E"/>
    <w:rsid w:val="00BE351E"/>
    <w:rsid w:val="00BE70F2"/>
    <w:rsid w:val="00BF35A8"/>
    <w:rsid w:val="00C04900"/>
    <w:rsid w:val="00C12F07"/>
    <w:rsid w:val="00C165C4"/>
    <w:rsid w:val="00C2090D"/>
    <w:rsid w:val="00C2294D"/>
    <w:rsid w:val="00C23DA8"/>
    <w:rsid w:val="00C27768"/>
    <w:rsid w:val="00C30138"/>
    <w:rsid w:val="00C3595E"/>
    <w:rsid w:val="00C44FC0"/>
    <w:rsid w:val="00C57391"/>
    <w:rsid w:val="00C8618A"/>
    <w:rsid w:val="00CA3FD0"/>
    <w:rsid w:val="00CB0434"/>
    <w:rsid w:val="00CB58E9"/>
    <w:rsid w:val="00CB5A4A"/>
    <w:rsid w:val="00CD08C9"/>
    <w:rsid w:val="00CD50F8"/>
    <w:rsid w:val="00CD55B1"/>
    <w:rsid w:val="00CD78E0"/>
    <w:rsid w:val="00CE09FF"/>
    <w:rsid w:val="00CF369D"/>
    <w:rsid w:val="00CF401E"/>
    <w:rsid w:val="00D01046"/>
    <w:rsid w:val="00D01A83"/>
    <w:rsid w:val="00D05A9F"/>
    <w:rsid w:val="00D1001E"/>
    <w:rsid w:val="00D15D4E"/>
    <w:rsid w:val="00D274A8"/>
    <w:rsid w:val="00D30B37"/>
    <w:rsid w:val="00D329D7"/>
    <w:rsid w:val="00D369F7"/>
    <w:rsid w:val="00D43412"/>
    <w:rsid w:val="00D4704D"/>
    <w:rsid w:val="00D56A9E"/>
    <w:rsid w:val="00D61C7B"/>
    <w:rsid w:val="00D63C8F"/>
    <w:rsid w:val="00D66718"/>
    <w:rsid w:val="00D80FB8"/>
    <w:rsid w:val="00D8241C"/>
    <w:rsid w:val="00D843BF"/>
    <w:rsid w:val="00D84F41"/>
    <w:rsid w:val="00D86BDD"/>
    <w:rsid w:val="00D91DEB"/>
    <w:rsid w:val="00DC0C80"/>
    <w:rsid w:val="00DC1855"/>
    <w:rsid w:val="00DC2F1A"/>
    <w:rsid w:val="00DC4D43"/>
    <w:rsid w:val="00DC4EAF"/>
    <w:rsid w:val="00DC7E6A"/>
    <w:rsid w:val="00DD3DAC"/>
    <w:rsid w:val="00DD6756"/>
    <w:rsid w:val="00DE3C3B"/>
    <w:rsid w:val="00DE5EC1"/>
    <w:rsid w:val="00DE68BF"/>
    <w:rsid w:val="00DE6BEC"/>
    <w:rsid w:val="00DF4E55"/>
    <w:rsid w:val="00E00B28"/>
    <w:rsid w:val="00E145D1"/>
    <w:rsid w:val="00E14AE8"/>
    <w:rsid w:val="00E331E9"/>
    <w:rsid w:val="00E34DFD"/>
    <w:rsid w:val="00E516DE"/>
    <w:rsid w:val="00E53C41"/>
    <w:rsid w:val="00E614E1"/>
    <w:rsid w:val="00E6179D"/>
    <w:rsid w:val="00E6274D"/>
    <w:rsid w:val="00E65578"/>
    <w:rsid w:val="00E65D27"/>
    <w:rsid w:val="00E67B3A"/>
    <w:rsid w:val="00E86F2B"/>
    <w:rsid w:val="00E92660"/>
    <w:rsid w:val="00E9694F"/>
    <w:rsid w:val="00EA06D4"/>
    <w:rsid w:val="00EA4895"/>
    <w:rsid w:val="00EC3DC7"/>
    <w:rsid w:val="00EC67E2"/>
    <w:rsid w:val="00ED2049"/>
    <w:rsid w:val="00ED4292"/>
    <w:rsid w:val="00ED440F"/>
    <w:rsid w:val="00F15C24"/>
    <w:rsid w:val="00F15DAF"/>
    <w:rsid w:val="00F23ABF"/>
    <w:rsid w:val="00F25330"/>
    <w:rsid w:val="00F34806"/>
    <w:rsid w:val="00F44C03"/>
    <w:rsid w:val="00F45651"/>
    <w:rsid w:val="00F5045D"/>
    <w:rsid w:val="00F527B6"/>
    <w:rsid w:val="00F52D96"/>
    <w:rsid w:val="00F53E24"/>
    <w:rsid w:val="00F5440B"/>
    <w:rsid w:val="00F7460F"/>
    <w:rsid w:val="00F81953"/>
    <w:rsid w:val="00F82EDB"/>
    <w:rsid w:val="00F90C00"/>
    <w:rsid w:val="00FA1A83"/>
    <w:rsid w:val="00FA5265"/>
    <w:rsid w:val="00FA6E7F"/>
    <w:rsid w:val="00FB0CFC"/>
    <w:rsid w:val="00FD6478"/>
    <w:rsid w:val="00FE740F"/>
    <w:rsid w:val="00FF56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aliases w:val="Normál"/>
    <w:qFormat/>
    <w:rsid w:val="00EC3DC7"/>
    <w:pPr>
      <w:spacing w:before="120" w:after="120"/>
      <w:jc w:val="both"/>
    </w:pPr>
    <w:rPr>
      <w:rFonts w:ascii="Times New Roman" w:hAnsi="Times New Roman"/>
      <w:color w:val="000000" w:themeColor="text1"/>
    </w:rPr>
  </w:style>
  <w:style w:type="paragraph" w:styleId="Nadpis1">
    <w:name w:val="heading 1"/>
    <w:basedOn w:val="Normlny"/>
    <w:next w:val="Normlny"/>
    <w:link w:val="Nadpis1Char"/>
    <w:uiPriority w:val="9"/>
    <w:qFormat/>
    <w:rsid w:val="00D61C7B"/>
    <w:pPr>
      <w:keepNext/>
      <w:keepLines/>
      <w:pageBreakBefore/>
      <w:numPr>
        <w:numId w:val="2"/>
      </w:numPr>
      <w:spacing w:after="0" w:line="240" w:lineRule="auto"/>
      <w:ind w:left="431" w:hanging="431"/>
      <w:jc w:val="left"/>
      <w:outlineLvl w:val="0"/>
    </w:pPr>
    <w:rPr>
      <w:rFonts w:eastAsiaTheme="majorEastAsia" w:cstheme="majorBidi"/>
      <w:b/>
      <w:bCs/>
      <w:color w:val="0070C0"/>
      <w:sz w:val="28"/>
      <w:szCs w:val="28"/>
    </w:rPr>
  </w:style>
  <w:style w:type="paragraph" w:styleId="Nadpis2">
    <w:name w:val="heading 2"/>
    <w:basedOn w:val="Normlny"/>
    <w:next w:val="Normlny"/>
    <w:link w:val="Nadpis2Char"/>
    <w:uiPriority w:val="9"/>
    <w:unhideWhenUsed/>
    <w:qFormat/>
    <w:rsid w:val="00D61C7B"/>
    <w:pPr>
      <w:keepNext/>
      <w:keepLines/>
      <w:numPr>
        <w:ilvl w:val="1"/>
        <w:numId w:val="2"/>
      </w:numPr>
      <w:spacing w:before="200" w:after="0" w:line="240" w:lineRule="auto"/>
      <w:ind w:left="578" w:hanging="578"/>
      <w:outlineLvl w:val="1"/>
    </w:pPr>
    <w:rPr>
      <w:rFonts w:eastAsiaTheme="majorEastAsia" w:cstheme="majorBidi"/>
      <w:b/>
      <w:bCs/>
      <w:color w:val="0070C0"/>
      <w:sz w:val="24"/>
      <w:szCs w:val="26"/>
    </w:rPr>
  </w:style>
  <w:style w:type="paragraph" w:styleId="Nadpis3">
    <w:name w:val="heading 3"/>
    <w:basedOn w:val="Normlny"/>
    <w:next w:val="Normlny"/>
    <w:link w:val="Nadpis3Char"/>
    <w:uiPriority w:val="9"/>
    <w:unhideWhenUsed/>
    <w:qFormat/>
    <w:rsid w:val="00052644"/>
    <w:pPr>
      <w:keepNext/>
      <w:keepLines/>
      <w:numPr>
        <w:ilvl w:val="2"/>
        <w:numId w:val="2"/>
      </w:numPr>
      <w:spacing w:before="200" w:after="0" w:line="240" w:lineRule="auto"/>
      <w:outlineLvl w:val="2"/>
    </w:pPr>
    <w:rPr>
      <w:rFonts w:eastAsiaTheme="majorEastAsia" w:cstheme="majorBidi"/>
      <w:bCs/>
      <w:color w:val="0070C0"/>
    </w:rPr>
  </w:style>
  <w:style w:type="paragraph" w:styleId="Nadpis4">
    <w:name w:val="heading 4"/>
    <w:basedOn w:val="Normlny"/>
    <w:next w:val="Normlny"/>
    <w:link w:val="Nadpis4Char"/>
    <w:uiPriority w:val="9"/>
    <w:semiHidden/>
    <w:unhideWhenUsed/>
    <w:rsid w:val="00D274A8"/>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D274A8"/>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D274A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D274A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D274A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D274A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rsid w:val="00C3595E"/>
    <w:rPr>
      <w:b/>
      <w:bCs/>
    </w:rPr>
  </w:style>
  <w:style w:type="paragraph" w:styleId="Odsekzoznamu">
    <w:name w:val="List Paragraph"/>
    <w:basedOn w:val="Normlny"/>
    <w:uiPriority w:val="34"/>
    <w:qFormat/>
    <w:rsid w:val="00C3595E"/>
    <w:pPr>
      <w:ind w:left="720"/>
      <w:contextualSpacing/>
    </w:pPr>
  </w:style>
  <w:style w:type="paragraph" w:styleId="Hlavika">
    <w:name w:val="header"/>
    <w:basedOn w:val="Normlny"/>
    <w:link w:val="HlavikaChar"/>
    <w:uiPriority w:val="99"/>
    <w:unhideWhenUsed/>
    <w:rsid w:val="00BC54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54F3"/>
  </w:style>
  <w:style w:type="paragraph" w:styleId="Pta">
    <w:name w:val="footer"/>
    <w:link w:val="PtaChar"/>
    <w:uiPriority w:val="99"/>
    <w:unhideWhenUsed/>
    <w:qFormat/>
    <w:rsid w:val="007719B8"/>
    <w:pPr>
      <w:tabs>
        <w:tab w:val="center" w:pos="4536"/>
        <w:tab w:val="right" w:pos="9072"/>
      </w:tabs>
      <w:spacing w:after="0" w:line="240" w:lineRule="auto"/>
    </w:pPr>
    <w:rPr>
      <w:rFonts w:ascii="Times New Roman" w:hAnsi="Times New Roman"/>
      <w:color w:val="0070C0"/>
      <w:sz w:val="14"/>
    </w:rPr>
  </w:style>
  <w:style w:type="character" w:customStyle="1" w:styleId="PtaChar">
    <w:name w:val="Päta Char"/>
    <w:basedOn w:val="Predvolenpsmoodseku"/>
    <w:link w:val="Pta"/>
    <w:uiPriority w:val="99"/>
    <w:rsid w:val="007719B8"/>
    <w:rPr>
      <w:rFonts w:ascii="Times New Roman" w:hAnsi="Times New Roman"/>
      <w:color w:val="0070C0"/>
      <w:sz w:val="14"/>
    </w:rPr>
  </w:style>
  <w:style w:type="character" w:customStyle="1" w:styleId="Nadpis1Char">
    <w:name w:val="Nadpis 1 Char"/>
    <w:basedOn w:val="Predvolenpsmoodseku"/>
    <w:link w:val="Nadpis1"/>
    <w:uiPriority w:val="9"/>
    <w:rsid w:val="00D61C7B"/>
    <w:rPr>
      <w:rFonts w:ascii="Times New Roman" w:eastAsiaTheme="majorEastAsia" w:hAnsi="Times New Roman" w:cstheme="majorBidi"/>
      <w:b/>
      <w:bCs/>
      <w:color w:val="0070C0"/>
      <w:sz w:val="28"/>
      <w:szCs w:val="28"/>
    </w:rPr>
  </w:style>
  <w:style w:type="character" w:customStyle="1" w:styleId="Nadpis2Char">
    <w:name w:val="Nadpis 2 Char"/>
    <w:basedOn w:val="Predvolenpsmoodseku"/>
    <w:link w:val="Nadpis2"/>
    <w:uiPriority w:val="9"/>
    <w:rsid w:val="00D61C7B"/>
    <w:rPr>
      <w:rFonts w:ascii="Times New Roman" w:eastAsiaTheme="majorEastAsia" w:hAnsi="Times New Roman" w:cstheme="majorBidi"/>
      <w:b/>
      <w:bCs/>
      <w:color w:val="0070C0"/>
      <w:sz w:val="24"/>
      <w:szCs w:val="26"/>
    </w:rPr>
  </w:style>
  <w:style w:type="character" w:customStyle="1" w:styleId="Nadpis3Char">
    <w:name w:val="Nadpis 3 Char"/>
    <w:basedOn w:val="Predvolenpsmoodseku"/>
    <w:link w:val="Nadpis3"/>
    <w:uiPriority w:val="9"/>
    <w:rsid w:val="00052644"/>
    <w:rPr>
      <w:rFonts w:ascii="Times New Roman" w:eastAsiaTheme="majorEastAsia" w:hAnsi="Times New Roman" w:cstheme="majorBidi"/>
      <w:bCs/>
      <w:color w:val="0070C0"/>
    </w:rPr>
  </w:style>
  <w:style w:type="table" w:styleId="Mriekatabuky">
    <w:name w:val="Table Grid"/>
    <w:basedOn w:val="Normlnatabuka"/>
    <w:uiPriority w:val="59"/>
    <w:rsid w:val="00907B40"/>
    <w:pPr>
      <w:spacing w:after="0"/>
    </w:pPr>
    <w:rPr>
      <w:rFonts w:ascii="Arial" w:hAnsi="Arial"/>
      <w:color w:val="C00000"/>
      <w:sz w:val="16"/>
    </w:rPr>
    <w:tblPr>
      <w:tblBorders>
        <w:insideH w:val="single" w:sz="8" w:space="0" w:color="auto"/>
        <w:insideV w:val="single" w:sz="8" w:space="0" w:color="auto"/>
      </w:tblBorders>
    </w:tblPr>
    <w:tcPr>
      <w:shd w:val="clear" w:color="auto" w:fill="auto"/>
      <w:vAlign w:val="center"/>
    </w:tcPr>
  </w:style>
  <w:style w:type="paragraph" w:styleId="Popis">
    <w:name w:val="caption"/>
    <w:basedOn w:val="Normlny"/>
    <w:next w:val="Normlny"/>
    <w:uiPriority w:val="35"/>
    <w:unhideWhenUsed/>
    <w:qFormat/>
    <w:rsid w:val="00D61C7B"/>
    <w:pPr>
      <w:spacing w:before="240" w:line="240" w:lineRule="auto"/>
      <w:jc w:val="left"/>
    </w:pPr>
    <w:rPr>
      <w:b/>
      <w:bCs/>
      <w:color w:val="0070C0"/>
      <w:sz w:val="16"/>
      <w:szCs w:val="18"/>
    </w:rPr>
  </w:style>
  <w:style w:type="paragraph" w:styleId="Hlavikaobsahu">
    <w:name w:val="TOC Heading"/>
    <w:basedOn w:val="Nadpis1"/>
    <w:next w:val="Normlny"/>
    <w:uiPriority w:val="39"/>
    <w:unhideWhenUsed/>
    <w:qFormat/>
    <w:rsid w:val="00B83CC7"/>
    <w:pPr>
      <w:numPr>
        <w:numId w:val="0"/>
      </w:numPr>
      <w:outlineLvl w:val="9"/>
    </w:pPr>
    <w:rPr>
      <w:lang w:eastAsia="sk-SK"/>
    </w:rPr>
  </w:style>
  <w:style w:type="paragraph" w:styleId="Obsah1">
    <w:name w:val="toc 1"/>
    <w:basedOn w:val="Normlny"/>
    <w:next w:val="Normlny"/>
    <w:autoRedefine/>
    <w:uiPriority w:val="39"/>
    <w:unhideWhenUsed/>
    <w:rsid w:val="002848CE"/>
    <w:pPr>
      <w:tabs>
        <w:tab w:val="right" w:leader="dot" w:pos="9062"/>
      </w:tabs>
      <w:spacing w:after="100"/>
    </w:pPr>
  </w:style>
  <w:style w:type="paragraph" w:styleId="Obsah2">
    <w:name w:val="toc 2"/>
    <w:basedOn w:val="Normlny"/>
    <w:next w:val="Normlny"/>
    <w:autoRedefine/>
    <w:uiPriority w:val="39"/>
    <w:unhideWhenUsed/>
    <w:rsid w:val="00CD55B1"/>
    <w:pPr>
      <w:spacing w:after="100"/>
      <w:ind w:left="180"/>
    </w:pPr>
  </w:style>
  <w:style w:type="paragraph" w:styleId="Obsah3">
    <w:name w:val="toc 3"/>
    <w:basedOn w:val="Normlny"/>
    <w:next w:val="Normlny"/>
    <w:autoRedefine/>
    <w:uiPriority w:val="39"/>
    <w:unhideWhenUsed/>
    <w:rsid w:val="00CD55B1"/>
    <w:pPr>
      <w:spacing w:after="100"/>
      <w:ind w:left="360"/>
    </w:pPr>
  </w:style>
  <w:style w:type="character" w:styleId="Hypertextovprepojenie">
    <w:name w:val="Hyperlink"/>
    <w:basedOn w:val="Predvolenpsmoodseku"/>
    <w:uiPriority w:val="99"/>
    <w:unhideWhenUsed/>
    <w:rsid w:val="00CD55B1"/>
    <w:rPr>
      <w:color w:val="0000FF" w:themeColor="hyperlink"/>
      <w:u w:val="single"/>
    </w:rPr>
  </w:style>
  <w:style w:type="paragraph" w:styleId="Textbubliny">
    <w:name w:val="Balloon Text"/>
    <w:basedOn w:val="Normlny"/>
    <w:link w:val="TextbublinyChar"/>
    <w:uiPriority w:val="99"/>
    <w:semiHidden/>
    <w:unhideWhenUsed/>
    <w:rsid w:val="00CD55B1"/>
    <w:pPr>
      <w:spacing w:before="0"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D55B1"/>
    <w:rPr>
      <w:rFonts w:ascii="Tahoma" w:hAnsi="Tahoma" w:cs="Tahoma"/>
      <w:color w:val="595959" w:themeColor="text1" w:themeTint="A6"/>
      <w:sz w:val="16"/>
      <w:szCs w:val="16"/>
    </w:rPr>
  </w:style>
  <w:style w:type="paragraph" w:customStyle="1" w:styleId="Tabuka">
    <w:name w:val="Tabuľka"/>
    <w:basedOn w:val="Normlny"/>
    <w:link w:val="TabukaChar"/>
    <w:rsid w:val="00742AC9"/>
    <w:rPr>
      <w:color w:val="404040" w:themeColor="text1" w:themeTint="BF"/>
      <w:sz w:val="16"/>
    </w:rPr>
  </w:style>
  <w:style w:type="table" w:customStyle="1" w:styleId="tl1">
    <w:name w:val="Štýl1"/>
    <w:basedOn w:val="Normlnatabuka"/>
    <w:uiPriority w:val="99"/>
    <w:rsid w:val="00F7460F"/>
    <w:pPr>
      <w:spacing w:after="0" w:line="240" w:lineRule="auto"/>
    </w:pPr>
    <w:tblPr/>
  </w:style>
  <w:style w:type="character" w:customStyle="1" w:styleId="TabukaChar">
    <w:name w:val="Tabuľka Char"/>
    <w:basedOn w:val="Predvolenpsmoodseku"/>
    <w:link w:val="Tabuka"/>
    <w:rsid w:val="00742AC9"/>
    <w:rPr>
      <w:rFonts w:ascii="Arial" w:hAnsi="Arial"/>
      <w:color w:val="404040" w:themeColor="text1" w:themeTint="BF"/>
      <w:sz w:val="16"/>
    </w:rPr>
  </w:style>
  <w:style w:type="table" w:styleId="Svetlpodfarbenie">
    <w:name w:val="Light Shading"/>
    <w:basedOn w:val="Normlnatabuka"/>
    <w:uiPriority w:val="60"/>
    <w:rsid w:val="00F746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oznamobrzkov">
    <w:name w:val="table of figures"/>
    <w:basedOn w:val="Normlny"/>
    <w:next w:val="Normlny"/>
    <w:uiPriority w:val="99"/>
    <w:unhideWhenUsed/>
    <w:rsid w:val="00AF3D5E"/>
    <w:pPr>
      <w:spacing w:after="0"/>
    </w:pPr>
  </w:style>
  <w:style w:type="paragraph" w:customStyle="1" w:styleId="TabukaB">
    <w:name w:val="Tabuľka (B)"/>
    <w:basedOn w:val="Tabuka"/>
    <w:link w:val="TabukaBChar"/>
    <w:rsid w:val="004D3F12"/>
    <w:pPr>
      <w:spacing w:line="240" w:lineRule="auto"/>
    </w:pPr>
    <w:rPr>
      <w:b/>
    </w:rPr>
  </w:style>
  <w:style w:type="paragraph" w:customStyle="1" w:styleId="Nadpistabuliekgrafov">
    <w:name w:val="Nadpis tabuliek/grafov"/>
    <w:basedOn w:val="Normlny"/>
    <w:link w:val="NadpistabuliekgrafovChar"/>
    <w:qFormat/>
    <w:rsid w:val="004D3F12"/>
    <w:rPr>
      <w:b/>
    </w:rPr>
  </w:style>
  <w:style w:type="character" w:customStyle="1" w:styleId="TabukaBChar">
    <w:name w:val="Tabuľka (B) Char"/>
    <w:basedOn w:val="TabukaChar"/>
    <w:link w:val="TabukaB"/>
    <w:rsid w:val="004D3F12"/>
    <w:rPr>
      <w:rFonts w:ascii="Arial" w:hAnsi="Arial"/>
      <w:b/>
      <w:color w:val="31849B" w:themeColor="accent5" w:themeShade="BF"/>
      <w:sz w:val="18"/>
    </w:rPr>
  </w:style>
  <w:style w:type="paragraph" w:styleId="Nzov">
    <w:name w:val="Title"/>
    <w:basedOn w:val="Normlny"/>
    <w:next w:val="Normlny"/>
    <w:link w:val="NzovChar"/>
    <w:uiPriority w:val="10"/>
    <w:rsid w:val="00196EF1"/>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dpistabuliekgrafovChar">
    <w:name w:val="Nadpis tabuliek/grafov Char"/>
    <w:basedOn w:val="Predvolenpsmoodseku"/>
    <w:link w:val="Nadpistabuliekgrafov"/>
    <w:rsid w:val="004D3F12"/>
    <w:rPr>
      <w:rFonts w:ascii="Arial" w:hAnsi="Arial"/>
      <w:b/>
      <w:color w:val="595959" w:themeColor="text1" w:themeTint="A6"/>
      <w:sz w:val="18"/>
    </w:rPr>
  </w:style>
  <w:style w:type="character" w:customStyle="1" w:styleId="NzovChar">
    <w:name w:val="Názov Char"/>
    <w:basedOn w:val="Predvolenpsmoodseku"/>
    <w:link w:val="Nzov"/>
    <w:uiPriority w:val="10"/>
    <w:rsid w:val="00196EF1"/>
    <w:rPr>
      <w:rFonts w:asciiTheme="majorHAnsi" w:eastAsiaTheme="majorEastAsia" w:hAnsiTheme="majorHAnsi" w:cstheme="majorBidi"/>
      <w:color w:val="17365D" w:themeColor="text2" w:themeShade="BF"/>
      <w:spacing w:val="5"/>
      <w:kern w:val="28"/>
      <w:sz w:val="52"/>
      <w:szCs w:val="52"/>
    </w:rPr>
  </w:style>
  <w:style w:type="character" w:styleId="Intenzvnezvraznenie">
    <w:name w:val="Intense Emphasis"/>
    <w:basedOn w:val="Predvolenpsmoodseku"/>
    <w:uiPriority w:val="21"/>
    <w:rsid w:val="00196EF1"/>
    <w:rPr>
      <w:b/>
      <w:bCs/>
      <w:i/>
      <w:iCs/>
      <w:color w:val="4F81BD" w:themeColor="accent1"/>
    </w:rPr>
  </w:style>
  <w:style w:type="paragraph" w:styleId="Zvraznencitcia">
    <w:name w:val="Intense Quote"/>
    <w:basedOn w:val="Normlny"/>
    <w:next w:val="Normlny"/>
    <w:link w:val="ZvraznencitciaChar"/>
    <w:uiPriority w:val="30"/>
    <w:rsid w:val="00196EF1"/>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196EF1"/>
    <w:rPr>
      <w:rFonts w:ascii="Arial" w:hAnsi="Arial"/>
      <w:b/>
      <w:bCs/>
      <w:i/>
      <w:iCs/>
      <w:color w:val="4F81BD" w:themeColor="accent1"/>
      <w:sz w:val="18"/>
    </w:rPr>
  </w:style>
  <w:style w:type="paragraph" w:customStyle="1" w:styleId="Textbox">
    <w:name w:val="Textbox"/>
    <w:basedOn w:val="Tabuka"/>
    <w:link w:val="TextboxChar"/>
    <w:rsid w:val="00F90C00"/>
    <w:pPr>
      <w:jc w:val="left"/>
    </w:pPr>
    <w:rPr>
      <w:i/>
    </w:rPr>
  </w:style>
  <w:style w:type="paragraph" w:customStyle="1" w:styleId="TextboxB">
    <w:name w:val="Textbox (B)"/>
    <w:basedOn w:val="TabukaB"/>
    <w:link w:val="TextboxBChar"/>
    <w:rsid w:val="00F90C00"/>
    <w:pPr>
      <w:jc w:val="left"/>
    </w:pPr>
    <w:rPr>
      <w:i/>
    </w:rPr>
  </w:style>
  <w:style w:type="character" w:customStyle="1" w:styleId="TextboxChar">
    <w:name w:val="Textbox Char"/>
    <w:basedOn w:val="TabukaBChar"/>
    <w:link w:val="Textbox"/>
    <w:rsid w:val="00F90C00"/>
    <w:rPr>
      <w:rFonts w:ascii="Arial" w:hAnsi="Arial"/>
      <w:b w:val="0"/>
      <w:i/>
      <w:color w:val="31849B" w:themeColor="accent5" w:themeShade="BF"/>
      <w:sz w:val="18"/>
    </w:rPr>
  </w:style>
  <w:style w:type="character" w:customStyle="1" w:styleId="TextboxBChar">
    <w:name w:val="Textbox (B) Char"/>
    <w:basedOn w:val="TextboxChar"/>
    <w:link w:val="TextboxB"/>
    <w:rsid w:val="00F90C00"/>
    <w:rPr>
      <w:rFonts w:ascii="Arial" w:hAnsi="Arial"/>
      <w:b w:val="0"/>
      <w:i/>
      <w:color w:val="31849B" w:themeColor="accent5" w:themeShade="BF"/>
      <w:sz w:val="18"/>
    </w:rPr>
  </w:style>
  <w:style w:type="character" w:styleId="Textzstupnhosymbolu">
    <w:name w:val="Placeholder Text"/>
    <w:basedOn w:val="Predvolenpsmoodseku"/>
    <w:uiPriority w:val="99"/>
    <w:semiHidden/>
    <w:rsid w:val="001C1597"/>
    <w:rPr>
      <w:color w:val="808080"/>
    </w:rPr>
  </w:style>
  <w:style w:type="paragraph" w:customStyle="1" w:styleId="TextBox0">
    <w:name w:val="TextBox"/>
    <w:basedOn w:val="Normlny"/>
    <w:next w:val="Normlny"/>
    <w:link w:val="TextBoxChar0"/>
    <w:qFormat/>
    <w:rsid w:val="00161D37"/>
    <w:pPr>
      <w:pBdr>
        <w:top w:val="single" w:sz="24" w:space="1" w:color="0070C0"/>
      </w:pBdr>
    </w:pPr>
    <w:rPr>
      <w:b/>
      <w:smallCaps/>
      <w:sz w:val="16"/>
      <w14:textOutline w14:w="0" w14:cap="rnd" w14:cmpd="sng" w14:algn="ctr">
        <w14:solidFill>
          <w14:srgbClr w14:val="000000">
            <w14:alpha w14:val="5400000"/>
          </w14:srgbClr>
        </w14:solidFill>
        <w14:prstDash w14:val="solid"/>
        <w14:bevel/>
      </w14:textOutline>
    </w:rPr>
  </w:style>
  <w:style w:type="character" w:customStyle="1" w:styleId="Nadpis4Char">
    <w:name w:val="Nadpis 4 Char"/>
    <w:basedOn w:val="Predvolenpsmoodseku"/>
    <w:link w:val="Nadpis4"/>
    <w:uiPriority w:val="9"/>
    <w:semiHidden/>
    <w:rsid w:val="00D274A8"/>
    <w:rPr>
      <w:rFonts w:asciiTheme="majorHAnsi" w:eastAsiaTheme="majorEastAsia" w:hAnsiTheme="majorHAnsi" w:cstheme="majorBidi"/>
      <w:b/>
      <w:bCs/>
      <w:i/>
      <w:iCs/>
      <w:color w:val="4F81BD" w:themeColor="accent1"/>
      <w:sz w:val="18"/>
    </w:rPr>
  </w:style>
  <w:style w:type="character" w:customStyle="1" w:styleId="TextBoxChar0">
    <w:name w:val="TextBox Char"/>
    <w:basedOn w:val="Predvolenpsmoodseku"/>
    <w:link w:val="TextBox0"/>
    <w:rsid w:val="00161D37"/>
    <w:rPr>
      <w:rFonts w:ascii="Times New Roman" w:hAnsi="Times New Roman"/>
      <w:b/>
      <w:smallCaps/>
      <w:color w:val="000000" w:themeColor="text1"/>
      <w:sz w:val="16"/>
      <w14:textOutline w14:w="0" w14:cap="rnd" w14:cmpd="sng" w14:algn="ctr">
        <w14:solidFill>
          <w14:srgbClr w14:val="000000">
            <w14:alpha w14:val="5400000"/>
          </w14:srgbClr>
        </w14:solidFill>
        <w14:prstDash w14:val="solid"/>
        <w14:bevel/>
      </w14:textOutline>
    </w:rPr>
  </w:style>
  <w:style w:type="character" w:customStyle="1" w:styleId="Nadpis5Char">
    <w:name w:val="Nadpis 5 Char"/>
    <w:basedOn w:val="Predvolenpsmoodseku"/>
    <w:link w:val="Nadpis5"/>
    <w:uiPriority w:val="9"/>
    <w:semiHidden/>
    <w:rsid w:val="00D274A8"/>
    <w:rPr>
      <w:rFonts w:asciiTheme="majorHAnsi" w:eastAsiaTheme="majorEastAsia" w:hAnsiTheme="majorHAnsi" w:cstheme="majorBidi"/>
      <w:color w:val="243F60" w:themeColor="accent1" w:themeShade="7F"/>
      <w:sz w:val="18"/>
    </w:rPr>
  </w:style>
  <w:style w:type="character" w:customStyle="1" w:styleId="Nadpis6Char">
    <w:name w:val="Nadpis 6 Char"/>
    <w:basedOn w:val="Predvolenpsmoodseku"/>
    <w:link w:val="Nadpis6"/>
    <w:uiPriority w:val="9"/>
    <w:semiHidden/>
    <w:rsid w:val="00D274A8"/>
    <w:rPr>
      <w:rFonts w:asciiTheme="majorHAnsi" w:eastAsiaTheme="majorEastAsia" w:hAnsiTheme="majorHAnsi" w:cstheme="majorBidi"/>
      <w:i/>
      <w:iCs/>
      <w:color w:val="243F60" w:themeColor="accent1" w:themeShade="7F"/>
      <w:sz w:val="18"/>
    </w:rPr>
  </w:style>
  <w:style w:type="character" w:customStyle="1" w:styleId="Nadpis7Char">
    <w:name w:val="Nadpis 7 Char"/>
    <w:basedOn w:val="Predvolenpsmoodseku"/>
    <w:link w:val="Nadpis7"/>
    <w:uiPriority w:val="9"/>
    <w:semiHidden/>
    <w:rsid w:val="00D274A8"/>
    <w:rPr>
      <w:rFonts w:asciiTheme="majorHAnsi" w:eastAsiaTheme="majorEastAsia" w:hAnsiTheme="majorHAnsi" w:cstheme="majorBidi"/>
      <w:i/>
      <w:iCs/>
      <w:color w:val="404040" w:themeColor="text1" w:themeTint="BF"/>
      <w:sz w:val="18"/>
    </w:rPr>
  </w:style>
  <w:style w:type="character" w:customStyle="1" w:styleId="Nadpis8Char">
    <w:name w:val="Nadpis 8 Char"/>
    <w:basedOn w:val="Predvolenpsmoodseku"/>
    <w:link w:val="Nadpis8"/>
    <w:uiPriority w:val="9"/>
    <w:semiHidden/>
    <w:rsid w:val="00D274A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D274A8"/>
    <w:rPr>
      <w:rFonts w:asciiTheme="majorHAnsi" w:eastAsiaTheme="majorEastAsia" w:hAnsiTheme="majorHAnsi" w:cstheme="majorBidi"/>
      <w:i/>
      <w:iCs/>
      <w:color w:val="404040" w:themeColor="text1" w:themeTint="BF"/>
      <w:sz w:val="20"/>
      <w:szCs w:val="20"/>
    </w:rPr>
  </w:style>
  <w:style w:type="paragraph" w:customStyle="1" w:styleId="Default">
    <w:name w:val="Default"/>
    <w:rsid w:val="00671370"/>
    <w:pPr>
      <w:autoSpaceDE w:val="0"/>
      <w:autoSpaceDN w:val="0"/>
      <w:adjustRightInd w:val="0"/>
      <w:spacing w:after="0" w:line="240" w:lineRule="auto"/>
    </w:pPr>
    <w:rPr>
      <w:rFonts w:ascii="NeueHaasGroteskDisp W02 Bd" w:hAnsi="NeueHaasGroteskDisp W02 Bd" w:cs="NeueHaasGroteskDisp W02 Bd"/>
      <w:color w:val="000000"/>
      <w:sz w:val="24"/>
      <w:szCs w:val="24"/>
    </w:rPr>
  </w:style>
  <w:style w:type="paragraph" w:customStyle="1" w:styleId="Kontrastntext">
    <w:name w:val="Kontrastný text"/>
    <w:basedOn w:val="Normlny"/>
    <w:link w:val="KontrastntextChar"/>
    <w:qFormat/>
    <w:rsid w:val="00123892"/>
    <w:pPr>
      <w:shd w:val="clear" w:color="auto" w:fill="95B3D7" w:themeFill="accent1" w:themeFillTint="99"/>
      <w:ind w:left="34"/>
      <w:jc w:val="left"/>
    </w:pPr>
    <w:rPr>
      <w:b/>
      <w:sz w:val="28"/>
    </w:rPr>
  </w:style>
  <w:style w:type="character" w:customStyle="1" w:styleId="KontrastntextChar">
    <w:name w:val="Kontrastný text Char"/>
    <w:basedOn w:val="Predvolenpsmoodseku"/>
    <w:link w:val="Kontrastntext"/>
    <w:rsid w:val="00123892"/>
    <w:rPr>
      <w:rFonts w:ascii="Times New Roman" w:hAnsi="Times New Roman"/>
      <w:b/>
      <w:color w:val="000000" w:themeColor="text1"/>
      <w:sz w:val="28"/>
      <w:shd w:val="clear" w:color="auto" w:fill="95B3D7" w:themeFill="accent1" w:themeFillTint="99"/>
    </w:rPr>
  </w:style>
  <w:style w:type="character" w:styleId="Odkaznakomentr">
    <w:name w:val="annotation reference"/>
    <w:basedOn w:val="Predvolenpsmoodseku"/>
    <w:uiPriority w:val="99"/>
    <w:semiHidden/>
    <w:unhideWhenUsed/>
    <w:rsid w:val="00394065"/>
    <w:rPr>
      <w:sz w:val="16"/>
      <w:szCs w:val="16"/>
    </w:rPr>
  </w:style>
  <w:style w:type="paragraph" w:styleId="Textkomentra">
    <w:name w:val="annotation text"/>
    <w:basedOn w:val="Normlny"/>
    <w:link w:val="TextkomentraChar"/>
    <w:uiPriority w:val="99"/>
    <w:unhideWhenUsed/>
    <w:rsid w:val="00394065"/>
    <w:pPr>
      <w:spacing w:before="0" w:after="200" w:line="240" w:lineRule="auto"/>
      <w:jc w:val="left"/>
    </w:pPr>
    <w:rPr>
      <w:rFonts w:asciiTheme="minorHAnsi" w:hAnsiTheme="minorHAnsi"/>
      <w:color w:val="auto"/>
      <w:sz w:val="20"/>
      <w:szCs w:val="20"/>
    </w:rPr>
  </w:style>
  <w:style w:type="character" w:customStyle="1" w:styleId="TextkomentraChar">
    <w:name w:val="Text komentára Char"/>
    <w:basedOn w:val="Predvolenpsmoodseku"/>
    <w:link w:val="Textkomentra"/>
    <w:uiPriority w:val="99"/>
    <w:rsid w:val="00394065"/>
    <w:rPr>
      <w:sz w:val="20"/>
      <w:szCs w:val="20"/>
    </w:rPr>
  </w:style>
  <w:style w:type="paragraph" w:styleId="Textpoznmkypodiarou">
    <w:name w:val="footnote text"/>
    <w:basedOn w:val="Normlny"/>
    <w:link w:val="TextpoznmkypodiarouChar"/>
    <w:uiPriority w:val="99"/>
    <w:unhideWhenUsed/>
    <w:qFormat/>
    <w:rsid w:val="00E9694F"/>
    <w:pPr>
      <w:spacing w:before="0" w:line="240" w:lineRule="auto"/>
      <w:jc w:val="left"/>
    </w:pPr>
    <w:rPr>
      <w:color w:val="262626" w:themeColor="text1" w:themeTint="D9"/>
      <w:sz w:val="16"/>
      <w:szCs w:val="20"/>
    </w:rPr>
  </w:style>
  <w:style w:type="character" w:customStyle="1" w:styleId="TextpoznmkypodiarouChar">
    <w:name w:val="Text poznámky pod čiarou Char"/>
    <w:basedOn w:val="Predvolenpsmoodseku"/>
    <w:link w:val="Textpoznmkypodiarou"/>
    <w:uiPriority w:val="99"/>
    <w:rsid w:val="00E9694F"/>
    <w:rPr>
      <w:rFonts w:ascii="Times New Roman" w:hAnsi="Times New Roman"/>
      <w:color w:val="262626" w:themeColor="text1" w:themeTint="D9"/>
      <w:sz w:val="16"/>
      <w:szCs w:val="20"/>
    </w:rPr>
  </w:style>
  <w:style w:type="character" w:styleId="Odkaznapoznmkupodiarou">
    <w:name w:val="footnote reference"/>
    <w:basedOn w:val="Predvolenpsmoodseku"/>
    <w:uiPriority w:val="99"/>
    <w:semiHidden/>
    <w:unhideWhenUsed/>
    <w:rsid w:val="00394065"/>
    <w:rPr>
      <w:vertAlign w:val="superscript"/>
    </w:rPr>
  </w:style>
  <w:style w:type="paragraph" w:styleId="Predmetkomentra">
    <w:name w:val="annotation subject"/>
    <w:basedOn w:val="Textkomentra"/>
    <w:next w:val="Textkomentra"/>
    <w:link w:val="PredmetkomentraChar"/>
    <w:uiPriority w:val="99"/>
    <w:semiHidden/>
    <w:unhideWhenUsed/>
    <w:rsid w:val="000873DC"/>
    <w:pPr>
      <w:spacing w:before="120" w:after="120"/>
      <w:jc w:val="both"/>
    </w:pPr>
    <w:rPr>
      <w:rFonts w:ascii="Arial" w:hAnsi="Arial"/>
      <w:b/>
      <w:bCs/>
      <w:color w:val="595959" w:themeColor="text1" w:themeTint="A6"/>
    </w:rPr>
  </w:style>
  <w:style w:type="character" w:customStyle="1" w:styleId="PredmetkomentraChar">
    <w:name w:val="Predmet komentára Char"/>
    <w:basedOn w:val="TextkomentraChar"/>
    <w:link w:val="Predmetkomentra"/>
    <w:uiPriority w:val="99"/>
    <w:semiHidden/>
    <w:rsid w:val="000873DC"/>
    <w:rPr>
      <w:rFonts w:ascii="Arial" w:hAnsi="Arial"/>
      <w:b/>
      <w:bCs/>
      <w:color w:val="595959" w:themeColor="text1" w:themeTint="A6"/>
      <w:sz w:val="20"/>
      <w:szCs w:val="20"/>
    </w:rPr>
  </w:style>
  <w:style w:type="table" w:styleId="Farebnmriekazvraznenie5">
    <w:name w:val="Colorful Grid Accent 5"/>
    <w:basedOn w:val="Normlnatabuka"/>
    <w:uiPriority w:val="73"/>
    <w:rsid w:val="00A723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Tabukasozoznamom3zvraznenie11">
    <w:name w:val="Tabuľka so zoznamom 3 – zvýraznenie 11"/>
    <w:basedOn w:val="Normlnatabuka"/>
    <w:uiPriority w:val="48"/>
    <w:rsid w:val="003774A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ukasmriekou1svetlzvraznenie51">
    <w:name w:val="Tabuľka s mriežkou 1 – svetlá – zvýraznenie 51"/>
    <w:basedOn w:val="Normlnatabuka"/>
    <w:uiPriority w:val="46"/>
    <w:rsid w:val="00911AB3"/>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Svetlmrieka">
    <w:name w:val="Light Grid"/>
    <w:basedOn w:val="Normlnatabuka"/>
    <w:uiPriority w:val="62"/>
    <w:rsid w:val="006E657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trednpodfarbenie2zvraznenie1">
    <w:name w:val="Medium Shading 2 Accent 1"/>
    <w:basedOn w:val="Normlnatabuka"/>
    <w:uiPriority w:val="64"/>
    <w:rsid w:val="006E657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aliases w:val="Normál"/>
    <w:qFormat/>
    <w:rsid w:val="00EC3DC7"/>
    <w:pPr>
      <w:spacing w:before="120" w:after="120"/>
      <w:jc w:val="both"/>
    </w:pPr>
    <w:rPr>
      <w:rFonts w:ascii="Times New Roman" w:hAnsi="Times New Roman"/>
      <w:color w:val="000000" w:themeColor="text1"/>
    </w:rPr>
  </w:style>
  <w:style w:type="paragraph" w:styleId="Nadpis1">
    <w:name w:val="heading 1"/>
    <w:basedOn w:val="Normlny"/>
    <w:next w:val="Normlny"/>
    <w:link w:val="Nadpis1Char"/>
    <w:uiPriority w:val="9"/>
    <w:qFormat/>
    <w:rsid w:val="00D61C7B"/>
    <w:pPr>
      <w:keepNext/>
      <w:keepLines/>
      <w:pageBreakBefore/>
      <w:numPr>
        <w:numId w:val="2"/>
      </w:numPr>
      <w:spacing w:after="0" w:line="240" w:lineRule="auto"/>
      <w:ind w:left="431" w:hanging="431"/>
      <w:jc w:val="left"/>
      <w:outlineLvl w:val="0"/>
    </w:pPr>
    <w:rPr>
      <w:rFonts w:eastAsiaTheme="majorEastAsia" w:cstheme="majorBidi"/>
      <w:b/>
      <w:bCs/>
      <w:color w:val="0070C0"/>
      <w:sz w:val="28"/>
      <w:szCs w:val="28"/>
    </w:rPr>
  </w:style>
  <w:style w:type="paragraph" w:styleId="Nadpis2">
    <w:name w:val="heading 2"/>
    <w:basedOn w:val="Normlny"/>
    <w:next w:val="Normlny"/>
    <w:link w:val="Nadpis2Char"/>
    <w:uiPriority w:val="9"/>
    <w:unhideWhenUsed/>
    <w:qFormat/>
    <w:rsid w:val="00D61C7B"/>
    <w:pPr>
      <w:keepNext/>
      <w:keepLines/>
      <w:numPr>
        <w:ilvl w:val="1"/>
        <w:numId w:val="2"/>
      </w:numPr>
      <w:spacing w:before="200" w:after="0" w:line="240" w:lineRule="auto"/>
      <w:ind w:left="578" w:hanging="578"/>
      <w:outlineLvl w:val="1"/>
    </w:pPr>
    <w:rPr>
      <w:rFonts w:eastAsiaTheme="majorEastAsia" w:cstheme="majorBidi"/>
      <w:b/>
      <w:bCs/>
      <w:color w:val="0070C0"/>
      <w:sz w:val="24"/>
      <w:szCs w:val="26"/>
    </w:rPr>
  </w:style>
  <w:style w:type="paragraph" w:styleId="Nadpis3">
    <w:name w:val="heading 3"/>
    <w:basedOn w:val="Normlny"/>
    <w:next w:val="Normlny"/>
    <w:link w:val="Nadpis3Char"/>
    <w:uiPriority w:val="9"/>
    <w:unhideWhenUsed/>
    <w:qFormat/>
    <w:rsid w:val="00052644"/>
    <w:pPr>
      <w:keepNext/>
      <w:keepLines/>
      <w:numPr>
        <w:ilvl w:val="2"/>
        <w:numId w:val="2"/>
      </w:numPr>
      <w:spacing w:before="200" w:after="0" w:line="240" w:lineRule="auto"/>
      <w:outlineLvl w:val="2"/>
    </w:pPr>
    <w:rPr>
      <w:rFonts w:eastAsiaTheme="majorEastAsia" w:cstheme="majorBidi"/>
      <w:bCs/>
      <w:color w:val="0070C0"/>
    </w:rPr>
  </w:style>
  <w:style w:type="paragraph" w:styleId="Nadpis4">
    <w:name w:val="heading 4"/>
    <w:basedOn w:val="Normlny"/>
    <w:next w:val="Normlny"/>
    <w:link w:val="Nadpis4Char"/>
    <w:uiPriority w:val="9"/>
    <w:semiHidden/>
    <w:unhideWhenUsed/>
    <w:rsid w:val="00D274A8"/>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D274A8"/>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D274A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D274A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D274A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D274A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rsid w:val="00C3595E"/>
    <w:rPr>
      <w:b/>
      <w:bCs/>
    </w:rPr>
  </w:style>
  <w:style w:type="paragraph" w:styleId="Odsekzoznamu">
    <w:name w:val="List Paragraph"/>
    <w:basedOn w:val="Normlny"/>
    <w:uiPriority w:val="34"/>
    <w:qFormat/>
    <w:rsid w:val="00C3595E"/>
    <w:pPr>
      <w:ind w:left="720"/>
      <w:contextualSpacing/>
    </w:pPr>
  </w:style>
  <w:style w:type="paragraph" w:styleId="Hlavika">
    <w:name w:val="header"/>
    <w:basedOn w:val="Normlny"/>
    <w:link w:val="HlavikaChar"/>
    <w:uiPriority w:val="99"/>
    <w:unhideWhenUsed/>
    <w:rsid w:val="00BC54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54F3"/>
  </w:style>
  <w:style w:type="paragraph" w:styleId="Pta">
    <w:name w:val="footer"/>
    <w:link w:val="PtaChar"/>
    <w:uiPriority w:val="99"/>
    <w:unhideWhenUsed/>
    <w:qFormat/>
    <w:rsid w:val="007719B8"/>
    <w:pPr>
      <w:tabs>
        <w:tab w:val="center" w:pos="4536"/>
        <w:tab w:val="right" w:pos="9072"/>
      </w:tabs>
      <w:spacing w:after="0" w:line="240" w:lineRule="auto"/>
    </w:pPr>
    <w:rPr>
      <w:rFonts w:ascii="Times New Roman" w:hAnsi="Times New Roman"/>
      <w:color w:val="0070C0"/>
      <w:sz w:val="14"/>
    </w:rPr>
  </w:style>
  <w:style w:type="character" w:customStyle="1" w:styleId="PtaChar">
    <w:name w:val="Päta Char"/>
    <w:basedOn w:val="Predvolenpsmoodseku"/>
    <w:link w:val="Pta"/>
    <w:uiPriority w:val="99"/>
    <w:rsid w:val="007719B8"/>
    <w:rPr>
      <w:rFonts w:ascii="Times New Roman" w:hAnsi="Times New Roman"/>
      <w:color w:val="0070C0"/>
      <w:sz w:val="14"/>
    </w:rPr>
  </w:style>
  <w:style w:type="character" w:customStyle="1" w:styleId="Nadpis1Char">
    <w:name w:val="Nadpis 1 Char"/>
    <w:basedOn w:val="Predvolenpsmoodseku"/>
    <w:link w:val="Nadpis1"/>
    <w:uiPriority w:val="9"/>
    <w:rsid w:val="00D61C7B"/>
    <w:rPr>
      <w:rFonts w:ascii="Times New Roman" w:eastAsiaTheme="majorEastAsia" w:hAnsi="Times New Roman" w:cstheme="majorBidi"/>
      <w:b/>
      <w:bCs/>
      <w:color w:val="0070C0"/>
      <w:sz w:val="28"/>
      <w:szCs w:val="28"/>
    </w:rPr>
  </w:style>
  <w:style w:type="character" w:customStyle="1" w:styleId="Nadpis2Char">
    <w:name w:val="Nadpis 2 Char"/>
    <w:basedOn w:val="Predvolenpsmoodseku"/>
    <w:link w:val="Nadpis2"/>
    <w:uiPriority w:val="9"/>
    <w:rsid w:val="00D61C7B"/>
    <w:rPr>
      <w:rFonts w:ascii="Times New Roman" w:eastAsiaTheme="majorEastAsia" w:hAnsi="Times New Roman" w:cstheme="majorBidi"/>
      <w:b/>
      <w:bCs/>
      <w:color w:val="0070C0"/>
      <w:sz w:val="24"/>
      <w:szCs w:val="26"/>
    </w:rPr>
  </w:style>
  <w:style w:type="character" w:customStyle="1" w:styleId="Nadpis3Char">
    <w:name w:val="Nadpis 3 Char"/>
    <w:basedOn w:val="Predvolenpsmoodseku"/>
    <w:link w:val="Nadpis3"/>
    <w:uiPriority w:val="9"/>
    <w:rsid w:val="00052644"/>
    <w:rPr>
      <w:rFonts w:ascii="Times New Roman" w:eastAsiaTheme="majorEastAsia" w:hAnsi="Times New Roman" w:cstheme="majorBidi"/>
      <w:bCs/>
      <w:color w:val="0070C0"/>
    </w:rPr>
  </w:style>
  <w:style w:type="table" w:styleId="Mriekatabuky">
    <w:name w:val="Table Grid"/>
    <w:basedOn w:val="Normlnatabuka"/>
    <w:uiPriority w:val="59"/>
    <w:rsid w:val="00907B40"/>
    <w:pPr>
      <w:spacing w:after="0"/>
    </w:pPr>
    <w:rPr>
      <w:rFonts w:ascii="Arial" w:hAnsi="Arial"/>
      <w:color w:val="C00000"/>
      <w:sz w:val="16"/>
    </w:rPr>
    <w:tblPr>
      <w:tblBorders>
        <w:insideH w:val="single" w:sz="8" w:space="0" w:color="auto"/>
        <w:insideV w:val="single" w:sz="8" w:space="0" w:color="auto"/>
      </w:tblBorders>
    </w:tblPr>
    <w:tcPr>
      <w:shd w:val="clear" w:color="auto" w:fill="auto"/>
      <w:vAlign w:val="center"/>
    </w:tcPr>
  </w:style>
  <w:style w:type="paragraph" w:styleId="Popis">
    <w:name w:val="caption"/>
    <w:basedOn w:val="Normlny"/>
    <w:next w:val="Normlny"/>
    <w:uiPriority w:val="35"/>
    <w:unhideWhenUsed/>
    <w:qFormat/>
    <w:rsid w:val="00D61C7B"/>
    <w:pPr>
      <w:spacing w:before="240" w:line="240" w:lineRule="auto"/>
      <w:jc w:val="left"/>
    </w:pPr>
    <w:rPr>
      <w:b/>
      <w:bCs/>
      <w:color w:val="0070C0"/>
      <w:sz w:val="16"/>
      <w:szCs w:val="18"/>
    </w:rPr>
  </w:style>
  <w:style w:type="paragraph" w:styleId="Hlavikaobsahu">
    <w:name w:val="TOC Heading"/>
    <w:basedOn w:val="Nadpis1"/>
    <w:next w:val="Normlny"/>
    <w:uiPriority w:val="39"/>
    <w:unhideWhenUsed/>
    <w:qFormat/>
    <w:rsid w:val="00B83CC7"/>
    <w:pPr>
      <w:numPr>
        <w:numId w:val="0"/>
      </w:numPr>
      <w:outlineLvl w:val="9"/>
    </w:pPr>
    <w:rPr>
      <w:lang w:eastAsia="sk-SK"/>
    </w:rPr>
  </w:style>
  <w:style w:type="paragraph" w:styleId="Obsah1">
    <w:name w:val="toc 1"/>
    <w:basedOn w:val="Normlny"/>
    <w:next w:val="Normlny"/>
    <w:autoRedefine/>
    <w:uiPriority w:val="39"/>
    <w:unhideWhenUsed/>
    <w:rsid w:val="002848CE"/>
    <w:pPr>
      <w:tabs>
        <w:tab w:val="right" w:leader="dot" w:pos="9062"/>
      </w:tabs>
      <w:spacing w:after="100"/>
    </w:pPr>
  </w:style>
  <w:style w:type="paragraph" w:styleId="Obsah2">
    <w:name w:val="toc 2"/>
    <w:basedOn w:val="Normlny"/>
    <w:next w:val="Normlny"/>
    <w:autoRedefine/>
    <w:uiPriority w:val="39"/>
    <w:unhideWhenUsed/>
    <w:rsid w:val="00CD55B1"/>
    <w:pPr>
      <w:spacing w:after="100"/>
      <w:ind w:left="180"/>
    </w:pPr>
  </w:style>
  <w:style w:type="paragraph" w:styleId="Obsah3">
    <w:name w:val="toc 3"/>
    <w:basedOn w:val="Normlny"/>
    <w:next w:val="Normlny"/>
    <w:autoRedefine/>
    <w:uiPriority w:val="39"/>
    <w:unhideWhenUsed/>
    <w:rsid w:val="00CD55B1"/>
    <w:pPr>
      <w:spacing w:after="100"/>
      <w:ind w:left="360"/>
    </w:pPr>
  </w:style>
  <w:style w:type="character" w:styleId="Hypertextovprepojenie">
    <w:name w:val="Hyperlink"/>
    <w:basedOn w:val="Predvolenpsmoodseku"/>
    <w:uiPriority w:val="99"/>
    <w:unhideWhenUsed/>
    <w:rsid w:val="00CD55B1"/>
    <w:rPr>
      <w:color w:val="0000FF" w:themeColor="hyperlink"/>
      <w:u w:val="single"/>
    </w:rPr>
  </w:style>
  <w:style w:type="paragraph" w:styleId="Textbubliny">
    <w:name w:val="Balloon Text"/>
    <w:basedOn w:val="Normlny"/>
    <w:link w:val="TextbublinyChar"/>
    <w:uiPriority w:val="99"/>
    <w:semiHidden/>
    <w:unhideWhenUsed/>
    <w:rsid w:val="00CD55B1"/>
    <w:pPr>
      <w:spacing w:before="0"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D55B1"/>
    <w:rPr>
      <w:rFonts w:ascii="Tahoma" w:hAnsi="Tahoma" w:cs="Tahoma"/>
      <w:color w:val="595959" w:themeColor="text1" w:themeTint="A6"/>
      <w:sz w:val="16"/>
      <w:szCs w:val="16"/>
    </w:rPr>
  </w:style>
  <w:style w:type="paragraph" w:customStyle="1" w:styleId="Tabuka">
    <w:name w:val="Tabuľka"/>
    <w:basedOn w:val="Normlny"/>
    <w:link w:val="TabukaChar"/>
    <w:rsid w:val="00742AC9"/>
    <w:rPr>
      <w:color w:val="404040" w:themeColor="text1" w:themeTint="BF"/>
      <w:sz w:val="16"/>
    </w:rPr>
  </w:style>
  <w:style w:type="table" w:customStyle="1" w:styleId="tl1">
    <w:name w:val="Štýl1"/>
    <w:basedOn w:val="Normlnatabuka"/>
    <w:uiPriority w:val="99"/>
    <w:rsid w:val="00F7460F"/>
    <w:pPr>
      <w:spacing w:after="0" w:line="240" w:lineRule="auto"/>
    </w:pPr>
    <w:tblPr/>
  </w:style>
  <w:style w:type="character" w:customStyle="1" w:styleId="TabukaChar">
    <w:name w:val="Tabuľka Char"/>
    <w:basedOn w:val="Predvolenpsmoodseku"/>
    <w:link w:val="Tabuka"/>
    <w:rsid w:val="00742AC9"/>
    <w:rPr>
      <w:rFonts w:ascii="Arial" w:hAnsi="Arial"/>
      <w:color w:val="404040" w:themeColor="text1" w:themeTint="BF"/>
      <w:sz w:val="16"/>
    </w:rPr>
  </w:style>
  <w:style w:type="table" w:styleId="Svetlpodfarbenie">
    <w:name w:val="Light Shading"/>
    <w:basedOn w:val="Normlnatabuka"/>
    <w:uiPriority w:val="60"/>
    <w:rsid w:val="00F746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oznamobrzkov">
    <w:name w:val="table of figures"/>
    <w:basedOn w:val="Normlny"/>
    <w:next w:val="Normlny"/>
    <w:uiPriority w:val="99"/>
    <w:unhideWhenUsed/>
    <w:rsid w:val="00AF3D5E"/>
    <w:pPr>
      <w:spacing w:after="0"/>
    </w:pPr>
  </w:style>
  <w:style w:type="paragraph" w:customStyle="1" w:styleId="TabukaB">
    <w:name w:val="Tabuľka (B)"/>
    <w:basedOn w:val="Tabuka"/>
    <w:link w:val="TabukaBChar"/>
    <w:rsid w:val="004D3F12"/>
    <w:pPr>
      <w:spacing w:line="240" w:lineRule="auto"/>
    </w:pPr>
    <w:rPr>
      <w:b/>
    </w:rPr>
  </w:style>
  <w:style w:type="paragraph" w:customStyle="1" w:styleId="Nadpistabuliekgrafov">
    <w:name w:val="Nadpis tabuliek/grafov"/>
    <w:basedOn w:val="Normlny"/>
    <w:link w:val="NadpistabuliekgrafovChar"/>
    <w:qFormat/>
    <w:rsid w:val="004D3F12"/>
    <w:rPr>
      <w:b/>
    </w:rPr>
  </w:style>
  <w:style w:type="character" w:customStyle="1" w:styleId="TabukaBChar">
    <w:name w:val="Tabuľka (B) Char"/>
    <w:basedOn w:val="TabukaChar"/>
    <w:link w:val="TabukaB"/>
    <w:rsid w:val="004D3F12"/>
    <w:rPr>
      <w:rFonts w:ascii="Arial" w:hAnsi="Arial"/>
      <w:b/>
      <w:color w:val="31849B" w:themeColor="accent5" w:themeShade="BF"/>
      <w:sz w:val="18"/>
    </w:rPr>
  </w:style>
  <w:style w:type="paragraph" w:styleId="Nzov">
    <w:name w:val="Title"/>
    <w:basedOn w:val="Normlny"/>
    <w:next w:val="Normlny"/>
    <w:link w:val="NzovChar"/>
    <w:uiPriority w:val="10"/>
    <w:rsid w:val="00196EF1"/>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dpistabuliekgrafovChar">
    <w:name w:val="Nadpis tabuliek/grafov Char"/>
    <w:basedOn w:val="Predvolenpsmoodseku"/>
    <w:link w:val="Nadpistabuliekgrafov"/>
    <w:rsid w:val="004D3F12"/>
    <w:rPr>
      <w:rFonts w:ascii="Arial" w:hAnsi="Arial"/>
      <w:b/>
      <w:color w:val="595959" w:themeColor="text1" w:themeTint="A6"/>
      <w:sz w:val="18"/>
    </w:rPr>
  </w:style>
  <w:style w:type="character" w:customStyle="1" w:styleId="NzovChar">
    <w:name w:val="Názov Char"/>
    <w:basedOn w:val="Predvolenpsmoodseku"/>
    <w:link w:val="Nzov"/>
    <w:uiPriority w:val="10"/>
    <w:rsid w:val="00196EF1"/>
    <w:rPr>
      <w:rFonts w:asciiTheme="majorHAnsi" w:eastAsiaTheme="majorEastAsia" w:hAnsiTheme="majorHAnsi" w:cstheme="majorBidi"/>
      <w:color w:val="17365D" w:themeColor="text2" w:themeShade="BF"/>
      <w:spacing w:val="5"/>
      <w:kern w:val="28"/>
      <w:sz w:val="52"/>
      <w:szCs w:val="52"/>
    </w:rPr>
  </w:style>
  <w:style w:type="character" w:styleId="Intenzvnezvraznenie">
    <w:name w:val="Intense Emphasis"/>
    <w:basedOn w:val="Predvolenpsmoodseku"/>
    <w:uiPriority w:val="21"/>
    <w:rsid w:val="00196EF1"/>
    <w:rPr>
      <w:b/>
      <w:bCs/>
      <w:i/>
      <w:iCs/>
      <w:color w:val="4F81BD" w:themeColor="accent1"/>
    </w:rPr>
  </w:style>
  <w:style w:type="paragraph" w:styleId="Zvraznencitcia">
    <w:name w:val="Intense Quote"/>
    <w:basedOn w:val="Normlny"/>
    <w:next w:val="Normlny"/>
    <w:link w:val="ZvraznencitciaChar"/>
    <w:uiPriority w:val="30"/>
    <w:rsid w:val="00196EF1"/>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196EF1"/>
    <w:rPr>
      <w:rFonts w:ascii="Arial" w:hAnsi="Arial"/>
      <w:b/>
      <w:bCs/>
      <w:i/>
      <w:iCs/>
      <w:color w:val="4F81BD" w:themeColor="accent1"/>
      <w:sz w:val="18"/>
    </w:rPr>
  </w:style>
  <w:style w:type="paragraph" w:customStyle="1" w:styleId="Textbox">
    <w:name w:val="Textbox"/>
    <w:basedOn w:val="Tabuka"/>
    <w:link w:val="TextboxChar"/>
    <w:rsid w:val="00F90C00"/>
    <w:pPr>
      <w:jc w:val="left"/>
    </w:pPr>
    <w:rPr>
      <w:i/>
    </w:rPr>
  </w:style>
  <w:style w:type="paragraph" w:customStyle="1" w:styleId="TextboxB">
    <w:name w:val="Textbox (B)"/>
    <w:basedOn w:val="TabukaB"/>
    <w:link w:val="TextboxBChar"/>
    <w:rsid w:val="00F90C00"/>
    <w:pPr>
      <w:jc w:val="left"/>
    </w:pPr>
    <w:rPr>
      <w:i/>
    </w:rPr>
  </w:style>
  <w:style w:type="character" w:customStyle="1" w:styleId="TextboxChar">
    <w:name w:val="Textbox Char"/>
    <w:basedOn w:val="TabukaBChar"/>
    <w:link w:val="Textbox"/>
    <w:rsid w:val="00F90C00"/>
    <w:rPr>
      <w:rFonts w:ascii="Arial" w:hAnsi="Arial"/>
      <w:b w:val="0"/>
      <w:i/>
      <w:color w:val="31849B" w:themeColor="accent5" w:themeShade="BF"/>
      <w:sz w:val="18"/>
    </w:rPr>
  </w:style>
  <w:style w:type="character" w:customStyle="1" w:styleId="TextboxBChar">
    <w:name w:val="Textbox (B) Char"/>
    <w:basedOn w:val="TextboxChar"/>
    <w:link w:val="TextboxB"/>
    <w:rsid w:val="00F90C00"/>
    <w:rPr>
      <w:rFonts w:ascii="Arial" w:hAnsi="Arial"/>
      <w:b w:val="0"/>
      <w:i/>
      <w:color w:val="31849B" w:themeColor="accent5" w:themeShade="BF"/>
      <w:sz w:val="18"/>
    </w:rPr>
  </w:style>
  <w:style w:type="character" w:styleId="Textzstupnhosymbolu">
    <w:name w:val="Placeholder Text"/>
    <w:basedOn w:val="Predvolenpsmoodseku"/>
    <w:uiPriority w:val="99"/>
    <w:semiHidden/>
    <w:rsid w:val="001C1597"/>
    <w:rPr>
      <w:color w:val="808080"/>
    </w:rPr>
  </w:style>
  <w:style w:type="paragraph" w:customStyle="1" w:styleId="TextBox0">
    <w:name w:val="TextBox"/>
    <w:basedOn w:val="Normlny"/>
    <w:next w:val="Normlny"/>
    <w:link w:val="TextBoxChar0"/>
    <w:qFormat/>
    <w:rsid w:val="00161D37"/>
    <w:pPr>
      <w:pBdr>
        <w:top w:val="single" w:sz="24" w:space="1" w:color="0070C0"/>
      </w:pBdr>
    </w:pPr>
    <w:rPr>
      <w:b/>
      <w:smallCaps/>
      <w:sz w:val="16"/>
      <w14:textOutline w14:w="0" w14:cap="rnd" w14:cmpd="sng" w14:algn="ctr">
        <w14:solidFill>
          <w14:srgbClr w14:val="000000">
            <w14:alpha w14:val="5400000"/>
          </w14:srgbClr>
        </w14:solidFill>
        <w14:prstDash w14:val="solid"/>
        <w14:bevel/>
      </w14:textOutline>
    </w:rPr>
  </w:style>
  <w:style w:type="character" w:customStyle="1" w:styleId="Nadpis4Char">
    <w:name w:val="Nadpis 4 Char"/>
    <w:basedOn w:val="Predvolenpsmoodseku"/>
    <w:link w:val="Nadpis4"/>
    <w:uiPriority w:val="9"/>
    <w:semiHidden/>
    <w:rsid w:val="00D274A8"/>
    <w:rPr>
      <w:rFonts w:asciiTheme="majorHAnsi" w:eastAsiaTheme="majorEastAsia" w:hAnsiTheme="majorHAnsi" w:cstheme="majorBidi"/>
      <w:b/>
      <w:bCs/>
      <w:i/>
      <w:iCs/>
      <w:color w:val="4F81BD" w:themeColor="accent1"/>
      <w:sz w:val="18"/>
    </w:rPr>
  </w:style>
  <w:style w:type="character" w:customStyle="1" w:styleId="TextBoxChar0">
    <w:name w:val="TextBox Char"/>
    <w:basedOn w:val="Predvolenpsmoodseku"/>
    <w:link w:val="TextBox0"/>
    <w:rsid w:val="00161D37"/>
    <w:rPr>
      <w:rFonts w:ascii="Times New Roman" w:hAnsi="Times New Roman"/>
      <w:b/>
      <w:smallCaps/>
      <w:color w:val="000000" w:themeColor="text1"/>
      <w:sz w:val="16"/>
      <w14:textOutline w14:w="0" w14:cap="rnd" w14:cmpd="sng" w14:algn="ctr">
        <w14:solidFill>
          <w14:srgbClr w14:val="000000">
            <w14:alpha w14:val="5400000"/>
          </w14:srgbClr>
        </w14:solidFill>
        <w14:prstDash w14:val="solid"/>
        <w14:bevel/>
      </w14:textOutline>
    </w:rPr>
  </w:style>
  <w:style w:type="character" w:customStyle="1" w:styleId="Nadpis5Char">
    <w:name w:val="Nadpis 5 Char"/>
    <w:basedOn w:val="Predvolenpsmoodseku"/>
    <w:link w:val="Nadpis5"/>
    <w:uiPriority w:val="9"/>
    <w:semiHidden/>
    <w:rsid w:val="00D274A8"/>
    <w:rPr>
      <w:rFonts w:asciiTheme="majorHAnsi" w:eastAsiaTheme="majorEastAsia" w:hAnsiTheme="majorHAnsi" w:cstheme="majorBidi"/>
      <w:color w:val="243F60" w:themeColor="accent1" w:themeShade="7F"/>
      <w:sz w:val="18"/>
    </w:rPr>
  </w:style>
  <w:style w:type="character" w:customStyle="1" w:styleId="Nadpis6Char">
    <w:name w:val="Nadpis 6 Char"/>
    <w:basedOn w:val="Predvolenpsmoodseku"/>
    <w:link w:val="Nadpis6"/>
    <w:uiPriority w:val="9"/>
    <w:semiHidden/>
    <w:rsid w:val="00D274A8"/>
    <w:rPr>
      <w:rFonts w:asciiTheme="majorHAnsi" w:eastAsiaTheme="majorEastAsia" w:hAnsiTheme="majorHAnsi" w:cstheme="majorBidi"/>
      <w:i/>
      <w:iCs/>
      <w:color w:val="243F60" w:themeColor="accent1" w:themeShade="7F"/>
      <w:sz w:val="18"/>
    </w:rPr>
  </w:style>
  <w:style w:type="character" w:customStyle="1" w:styleId="Nadpis7Char">
    <w:name w:val="Nadpis 7 Char"/>
    <w:basedOn w:val="Predvolenpsmoodseku"/>
    <w:link w:val="Nadpis7"/>
    <w:uiPriority w:val="9"/>
    <w:semiHidden/>
    <w:rsid w:val="00D274A8"/>
    <w:rPr>
      <w:rFonts w:asciiTheme="majorHAnsi" w:eastAsiaTheme="majorEastAsia" w:hAnsiTheme="majorHAnsi" w:cstheme="majorBidi"/>
      <w:i/>
      <w:iCs/>
      <w:color w:val="404040" w:themeColor="text1" w:themeTint="BF"/>
      <w:sz w:val="18"/>
    </w:rPr>
  </w:style>
  <w:style w:type="character" w:customStyle="1" w:styleId="Nadpis8Char">
    <w:name w:val="Nadpis 8 Char"/>
    <w:basedOn w:val="Predvolenpsmoodseku"/>
    <w:link w:val="Nadpis8"/>
    <w:uiPriority w:val="9"/>
    <w:semiHidden/>
    <w:rsid w:val="00D274A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D274A8"/>
    <w:rPr>
      <w:rFonts w:asciiTheme="majorHAnsi" w:eastAsiaTheme="majorEastAsia" w:hAnsiTheme="majorHAnsi" w:cstheme="majorBidi"/>
      <w:i/>
      <w:iCs/>
      <w:color w:val="404040" w:themeColor="text1" w:themeTint="BF"/>
      <w:sz w:val="20"/>
      <w:szCs w:val="20"/>
    </w:rPr>
  </w:style>
  <w:style w:type="paragraph" w:customStyle="1" w:styleId="Default">
    <w:name w:val="Default"/>
    <w:rsid w:val="00671370"/>
    <w:pPr>
      <w:autoSpaceDE w:val="0"/>
      <w:autoSpaceDN w:val="0"/>
      <w:adjustRightInd w:val="0"/>
      <w:spacing w:after="0" w:line="240" w:lineRule="auto"/>
    </w:pPr>
    <w:rPr>
      <w:rFonts w:ascii="NeueHaasGroteskDisp W02 Bd" w:hAnsi="NeueHaasGroteskDisp W02 Bd" w:cs="NeueHaasGroteskDisp W02 Bd"/>
      <w:color w:val="000000"/>
      <w:sz w:val="24"/>
      <w:szCs w:val="24"/>
    </w:rPr>
  </w:style>
  <w:style w:type="paragraph" w:customStyle="1" w:styleId="Kontrastntext">
    <w:name w:val="Kontrastný text"/>
    <w:basedOn w:val="Normlny"/>
    <w:link w:val="KontrastntextChar"/>
    <w:qFormat/>
    <w:rsid w:val="00123892"/>
    <w:pPr>
      <w:shd w:val="clear" w:color="auto" w:fill="95B3D7" w:themeFill="accent1" w:themeFillTint="99"/>
      <w:ind w:left="34"/>
      <w:jc w:val="left"/>
    </w:pPr>
    <w:rPr>
      <w:b/>
      <w:sz w:val="28"/>
    </w:rPr>
  </w:style>
  <w:style w:type="character" w:customStyle="1" w:styleId="KontrastntextChar">
    <w:name w:val="Kontrastný text Char"/>
    <w:basedOn w:val="Predvolenpsmoodseku"/>
    <w:link w:val="Kontrastntext"/>
    <w:rsid w:val="00123892"/>
    <w:rPr>
      <w:rFonts w:ascii="Times New Roman" w:hAnsi="Times New Roman"/>
      <w:b/>
      <w:color w:val="000000" w:themeColor="text1"/>
      <w:sz w:val="28"/>
      <w:shd w:val="clear" w:color="auto" w:fill="95B3D7" w:themeFill="accent1" w:themeFillTint="99"/>
    </w:rPr>
  </w:style>
  <w:style w:type="character" w:styleId="Odkaznakomentr">
    <w:name w:val="annotation reference"/>
    <w:basedOn w:val="Predvolenpsmoodseku"/>
    <w:uiPriority w:val="99"/>
    <w:semiHidden/>
    <w:unhideWhenUsed/>
    <w:rsid w:val="00394065"/>
    <w:rPr>
      <w:sz w:val="16"/>
      <w:szCs w:val="16"/>
    </w:rPr>
  </w:style>
  <w:style w:type="paragraph" w:styleId="Textkomentra">
    <w:name w:val="annotation text"/>
    <w:basedOn w:val="Normlny"/>
    <w:link w:val="TextkomentraChar"/>
    <w:uiPriority w:val="99"/>
    <w:unhideWhenUsed/>
    <w:rsid w:val="00394065"/>
    <w:pPr>
      <w:spacing w:before="0" w:after="200" w:line="240" w:lineRule="auto"/>
      <w:jc w:val="left"/>
    </w:pPr>
    <w:rPr>
      <w:rFonts w:asciiTheme="minorHAnsi" w:hAnsiTheme="minorHAnsi"/>
      <w:color w:val="auto"/>
      <w:sz w:val="20"/>
      <w:szCs w:val="20"/>
    </w:rPr>
  </w:style>
  <w:style w:type="character" w:customStyle="1" w:styleId="TextkomentraChar">
    <w:name w:val="Text komentára Char"/>
    <w:basedOn w:val="Predvolenpsmoodseku"/>
    <w:link w:val="Textkomentra"/>
    <w:uiPriority w:val="99"/>
    <w:rsid w:val="00394065"/>
    <w:rPr>
      <w:sz w:val="20"/>
      <w:szCs w:val="20"/>
    </w:rPr>
  </w:style>
  <w:style w:type="paragraph" w:styleId="Textpoznmkypodiarou">
    <w:name w:val="footnote text"/>
    <w:basedOn w:val="Normlny"/>
    <w:link w:val="TextpoznmkypodiarouChar"/>
    <w:uiPriority w:val="99"/>
    <w:unhideWhenUsed/>
    <w:qFormat/>
    <w:rsid w:val="00E9694F"/>
    <w:pPr>
      <w:spacing w:before="0" w:line="240" w:lineRule="auto"/>
      <w:jc w:val="left"/>
    </w:pPr>
    <w:rPr>
      <w:color w:val="262626" w:themeColor="text1" w:themeTint="D9"/>
      <w:sz w:val="16"/>
      <w:szCs w:val="20"/>
    </w:rPr>
  </w:style>
  <w:style w:type="character" w:customStyle="1" w:styleId="TextpoznmkypodiarouChar">
    <w:name w:val="Text poznámky pod čiarou Char"/>
    <w:basedOn w:val="Predvolenpsmoodseku"/>
    <w:link w:val="Textpoznmkypodiarou"/>
    <w:uiPriority w:val="99"/>
    <w:rsid w:val="00E9694F"/>
    <w:rPr>
      <w:rFonts w:ascii="Times New Roman" w:hAnsi="Times New Roman"/>
      <w:color w:val="262626" w:themeColor="text1" w:themeTint="D9"/>
      <w:sz w:val="16"/>
      <w:szCs w:val="20"/>
    </w:rPr>
  </w:style>
  <w:style w:type="character" w:styleId="Odkaznapoznmkupodiarou">
    <w:name w:val="footnote reference"/>
    <w:basedOn w:val="Predvolenpsmoodseku"/>
    <w:uiPriority w:val="99"/>
    <w:semiHidden/>
    <w:unhideWhenUsed/>
    <w:rsid w:val="00394065"/>
    <w:rPr>
      <w:vertAlign w:val="superscript"/>
    </w:rPr>
  </w:style>
  <w:style w:type="paragraph" w:styleId="Predmetkomentra">
    <w:name w:val="annotation subject"/>
    <w:basedOn w:val="Textkomentra"/>
    <w:next w:val="Textkomentra"/>
    <w:link w:val="PredmetkomentraChar"/>
    <w:uiPriority w:val="99"/>
    <w:semiHidden/>
    <w:unhideWhenUsed/>
    <w:rsid w:val="000873DC"/>
    <w:pPr>
      <w:spacing w:before="120" w:after="120"/>
      <w:jc w:val="both"/>
    </w:pPr>
    <w:rPr>
      <w:rFonts w:ascii="Arial" w:hAnsi="Arial"/>
      <w:b/>
      <w:bCs/>
      <w:color w:val="595959" w:themeColor="text1" w:themeTint="A6"/>
    </w:rPr>
  </w:style>
  <w:style w:type="character" w:customStyle="1" w:styleId="PredmetkomentraChar">
    <w:name w:val="Predmet komentára Char"/>
    <w:basedOn w:val="TextkomentraChar"/>
    <w:link w:val="Predmetkomentra"/>
    <w:uiPriority w:val="99"/>
    <w:semiHidden/>
    <w:rsid w:val="000873DC"/>
    <w:rPr>
      <w:rFonts w:ascii="Arial" w:hAnsi="Arial"/>
      <w:b/>
      <w:bCs/>
      <w:color w:val="595959" w:themeColor="text1" w:themeTint="A6"/>
      <w:sz w:val="20"/>
      <w:szCs w:val="20"/>
    </w:rPr>
  </w:style>
  <w:style w:type="table" w:styleId="Farebnmriekazvraznenie5">
    <w:name w:val="Colorful Grid Accent 5"/>
    <w:basedOn w:val="Normlnatabuka"/>
    <w:uiPriority w:val="73"/>
    <w:rsid w:val="00A723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Tabukasozoznamom3zvraznenie11">
    <w:name w:val="Tabuľka so zoznamom 3 – zvýraznenie 11"/>
    <w:basedOn w:val="Normlnatabuka"/>
    <w:uiPriority w:val="48"/>
    <w:rsid w:val="003774A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ukasmriekou1svetlzvraznenie51">
    <w:name w:val="Tabuľka s mriežkou 1 – svetlá – zvýraznenie 51"/>
    <w:basedOn w:val="Normlnatabuka"/>
    <w:uiPriority w:val="46"/>
    <w:rsid w:val="00911AB3"/>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Svetlmrieka">
    <w:name w:val="Light Grid"/>
    <w:basedOn w:val="Normlnatabuka"/>
    <w:uiPriority w:val="62"/>
    <w:rsid w:val="006E657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trednpodfarbenie2zvraznenie1">
    <w:name w:val="Medium Shading 2 Accent 1"/>
    <w:basedOn w:val="Normlnatabuka"/>
    <w:uiPriority w:val="64"/>
    <w:rsid w:val="006E657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05447">
      <w:bodyDiv w:val="1"/>
      <w:marLeft w:val="0"/>
      <w:marRight w:val="0"/>
      <w:marTop w:val="0"/>
      <w:marBottom w:val="0"/>
      <w:divBdr>
        <w:top w:val="none" w:sz="0" w:space="0" w:color="auto"/>
        <w:left w:val="none" w:sz="0" w:space="0" w:color="auto"/>
        <w:bottom w:val="none" w:sz="0" w:space="0" w:color="auto"/>
        <w:right w:val="none" w:sz="0" w:space="0" w:color="auto"/>
      </w:divBdr>
    </w:div>
    <w:div w:id="567574367">
      <w:bodyDiv w:val="1"/>
      <w:marLeft w:val="0"/>
      <w:marRight w:val="0"/>
      <w:marTop w:val="0"/>
      <w:marBottom w:val="0"/>
      <w:divBdr>
        <w:top w:val="none" w:sz="0" w:space="0" w:color="auto"/>
        <w:left w:val="none" w:sz="0" w:space="0" w:color="auto"/>
        <w:bottom w:val="none" w:sz="0" w:space="0" w:color="auto"/>
        <w:right w:val="none" w:sz="0" w:space="0" w:color="auto"/>
      </w:divBdr>
    </w:div>
    <w:div w:id="699745499">
      <w:bodyDiv w:val="1"/>
      <w:marLeft w:val="0"/>
      <w:marRight w:val="0"/>
      <w:marTop w:val="0"/>
      <w:marBottom w:val="0"/>
      <w:divBdr>
        <w:top w:val="none" w:sz="0" w:space="0" w:color="auto"/>
        <w:left w:val="none" w:sz="0" w:space="0" w:color="auto"/>
        <w:bottom w:val="none" w:sz="0" w:space="0" w:color="auto"/>
        <w:right w:val="none" w:sz="0" w:space="0" w:color="auto"/>
      </w:divBdr>
    </w:div>
    <w:div w:id="957906357">
      <w:bodyDiv w:val="1"/>
      <w:marLeft w:val="0"/>
      <w:marRight w:val="0"/>
      <w:marTop w:val="0"/>
      <w:marBottom w:val="0"/>
      <w:divBdr>
        <w:top w:val="none" w:sz="0" w:space="0" w:color="auto"/>
        <w:left w:val="none" w:sz="0" w:space="0" w:color="auto"/>
        <w:bottom w:val="none" w:sz="0" w:space="0" w:color="auto"/>
        <w:right w:val="none" w:sz="0" w:space="0" w:color="auto"/>
      </w:divBdr>
      <w:divsChild>
        <w:div w:id="1229145628">
          <w:marLeft w:val="0"/>
          <w:marRight w:val="0"/>
          <w:marTop w:val="0"/>
          <w:marBottom w:val="0"/>
          <w:divBdr>
            <w:top w:val="none" w:sz="0" w:space="0" w:color="auto"/>
            <w:left w:val="none" w:sz="0" w:space="0" w:color="auto"/>
            <w:bottom w:val="none" w:sz="0" w:space="0" w:color="auto"/>
            <w:right w:val="none" w:sz="0" w:space="0" w:color="auto"/>
          </w:divBdr>
        </w:div>
      </w:divsChild>
    </w:div>
    <w:div w:id="1192304369">
      <w:bodyDiv w:val="1"/>
      <w:marLeft w:val="0"/>
      <w:marRight w:val="0"/>
      <w:marTop w:val="0"/>
      <w:marBottom w:val="0"/>
      <w:divBdr>
        <w:top w:val="none" w:sz="0" w:space="0" w:color="auto"/>
        <w:left w:val="none" w:sz="0" w:space="0" w:color="auto"/>
        <w:bottom w:val="none" w:sz="0" w:space="0" w:color="auto"/>
        <w:right w:val="none" w:sz="0" w:space="0" w:color="auto"/>
      </w:divBdr>
    </w:div>
    <w:div w:id="1315181808">
      <w:bodyDiv w:val="1"/>
      <w:marLeft w:val="0"/>
      <w:marRight w:val="0"/>
      <w:marTop w:val="0"/>
      <w:marBottom w:val="0"/>
      <w:divBdr>
        <w:top w:val="none" w:sz="0" w:space="0" w:color="auto"/>
        <w:left w:val="none" w:sz="0" w:space="0" w:color="auto"/>
        <w:bottom w:val="none" w:sz="0" w:space="0" w:color="auto"/>
        <w:right w:val="none" w:sz="0" w:space="0" w:color="auto"/>
      </w:divBdr>
    </w:div>
    <w:div w:id="1410226620">
      <w:bodyDiv w:val="1"/>
      <w:marLeft w:val="0"/>
      <w:marRight w:val="0"/>
      <w:marTop w:val="0"/>
      <w:marBottom w:val="0"/>
      <w:divBdr>
        <w:top w:val="none" w:sz="0" w:space="0" w:color="auto"/>
        <w:left w:val="none" w:sz="0" w:space="0" w:color="auto"/>
        <w:bottom w:val="none" w:sz="0" w:space="0" w:color="auto"/>
        <w:right w:val="none" w:sz="0" w:space="0" w:color="auto"/>
      </w:divBdr>
    </w:div>
    <w:div w:id="1453864155">
      <w:bodyDiv w:val="1"/>
      <w:marLeft w:val="0"/>
      <w:marRight w:val="0"/>
      <w:marTop w:val="0"/>
      <w:marBottom w:val="0"/>
      <w:divBdr>
        <w:top w:val="none" w:sz="0" w:space="0" w:color="auto"/>
        <w:left w:val="none" w:sz="0" w:space="0" w:color="auto"/>
        <w:bottom w:val="none" w:sz="0" w:space="0" w:color="auto"/>
        <w:right w:val="none" w:sz="0" w:space="0" w:color="auto"/>
      </w:divBdr>
    </w:div>
    <w:div w:id="1568684310">
      <w:bodyDiv w:val="1"/>
      <w:marLeft w:val="0"/>
      <w:marRight w:val="0"/>
      <w:marTop w:val="0"/>
      <w:marBottom w:val="0"/>
      <w:divBdr>
        <w:top w:val="none" w:sz="0" w:space="0" w:color="auto"/>
        <w:left w:val="none" w:sz="0" w:space="0" w:color="auto"/>
        <w:bottom w:val="none" w:sz="0" w:space="0" w:color="auto"/>
        <w:right w:val="none" w:sz="0" w:space="0" w:color="auto"/>
      </w:divBdr>
      <w:divsChild>
        <w:div w:id="451558460">
          <w:marLeft w:val="0"/>
          <w:marRight w:val="0"/>
          <w:marTop w:val="0"/>
          <w:marBottom w:val="0"/>
          <w:divBdr>
            <w:top w:val="none" w:sz="0" w:space="0" w:color="auto"/>
            <w:left w:val="none" w:sz="0" w:space="0" w:color="auto"/>
            <w:bottom w:val="none" w:sz="0" w:space="0" w:color="auto"/>
            <w:right w:val="none" w:sz="0" w:space="0" w:color="auto"/>
          </w:divBdr>
          <w:divsChild>
            <w:div w:id="8922784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83050977">
      <w:bodyDiv w:val="1"/>
      <w:marLeft w:val="0"/>
      <w:marRight w:val="0"/>
      <w:marTop w:val="0"/>
      <w:marBottom w:val="0"/>
      <w:divBdr>
        <w:top w:val="none" w:sz="0" w:space="0" w:color="auto"/>
        <w:left w:val="none" w:sz="0" w:space="0" w:color="auto"/>
        <w:bottom w:val="none" w:sz="0" w:space="0" w:color="auto"/>
        <w:right w:val="none" w:sz="0" w:space="0" w:color="auto"/>
      </w:divBdr>
    </w:div>
    <w:div w:id="1835997107">
      <w:bodyDiv w:val="1"/>
      <w:marLeft w:val="0"/>
      <w:marRight w:val="0"/>
      <w:marTop w:val="0"/>
      <w:marBottom w:val="0"/>
      <w:divBdr>
        <w:top w:val="none" w:sz="0" w:space="0" w:color="auto"/>
        <w:left w:val="none" w:sz="0" w:space="0" w:color="auto"/>
        <w:bottom w:val="none" w:sz="0" w:space="0" w:color="auto"/>
        <w:right w:val="none" w:sz="0" w:space="0" w:color="auto"/>
      </w:divBdr>
    </w:div>
    <w:div w:id="186359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publications/economy-finance/2018-ageing-report-economic-and-budgetary-projections-eu-member-states-2016-2070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Sspds\OA\!osobne%20priecinky\Plav&#269;an\Sablony\Sablona%20v6%20-%20dlh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udcovsky\Desktop\Projekcie%20II.%20pilier\Projekcie%20predpoklad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udcovsky\Desktop\K&#243;pia%20-%20porovnanie%20spor%20a%20nespo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udcovsky\Desktop\Valoriz&#225;cia%20II.%20pili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Hárok1!$AQ$84</c:f>
              <c:strCache>
                <c:ptCount val="1"/>
                <c:pt idx="0">
                  <c:v>Kanada</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cat>
            <c:numRef>
              <c:f>Hárok1!$AP$85:$AP$125</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cat>
          <c:val>
            <c:numRef>
              <c:f>Hárok1!$AQ$85:$AQ$125</c:f>
              <c:numCache>
                <c:formatCode>General</c:formatCode>
                <c:ptCount val="41"/>
                <c:pt idx="0">
                  <c:v>0</c:v>
                </c:pt>
                <c:pt idx="1">
                  <c:v>0.04</c:v>
                </c:pt>
                <c:pt idx="2">
                  <c:v>0.08</c:v>
                </c:pt>
                <c:pt idx="3">
                  <c:v>0.12</c:v>
                </c:pt>
                <c:pt idx="4">
                  <c:v>0.16</c:v>
                </c:pt>
                <c:pt idx="5">
                  <c:v>0.2</c:v>
                </c:pt>
                <c:pt idx="6">
                  <c:v>0.24</c:v>
                </c:pt>
                <c:pt idx="7">
                  <c:v>0.28000000000000003</c:v>
                </c:pt>
                <c:pt idx="8">
                  <c:v>0.32</c:v>
                </c:pt>
                <c:pt idx="9">
                  <c:v>0.36</c:v>
                </c:pt>
                <c:pt idx="10">
                  <c:v>0.4</c:v>
                </c:pt>
                <c:pt idx="11">
                  <c:v>0.44</c:v>
                </c:pt>
                <c:pt idx="12">
                  <c:v>0.48</c:v>
                </c:pt>
                <c:pt idx="13">
                  <c:v>0.52</c:v>
                </c:pt>
                <c:pt idx="14">
                  <c:v>0.56000000000000005</c:v>
                </c:pt>
                <c:pt idx="15">
                  <c:v>0.6</c:v>
                </c:pt>
                <c:pt idx="16">
                  <c:v>0.64</c:v>
                </c:pt>
                <c:pt idx="17">
                  <c:v>0.68</c:v>
                </c:pt>
                <c:pt idx="18">
                  <c:v>0.72</c:v>
                </c:pt>
                <c:pt idx="19">
                  <c:v>0.73</c:v>
                </c:pt>
                <c:pt idx="20">
                  <c:v>0.74</c:v>
                </c:pt>
                <c:pt idx="21">
                  <c:v>0.75</c:v>
                </c:pt>
                <c:pt idx="22">
                  <c:v>0.76</c:v>
                </c:pt>
                <c:pt idx="23">
                  <c:v>0.77</c:v>
                </c:pt>
                <c:pt idx="24">
                  <c:v>0.78</c:v>
                </c:pt>
                <c:pt idx="25">
                  <c:v>0.79</c:v>
                </c:pt>
                <c:pt idx="26">
                  <c:v>0.8</c:v>
                </c:pt>
                <c:pt idx="27">
                  <c:v>0.8</c:v>
                </c:pt>
                <c:pt idx="28">
                  <c:v>0.8</c:v>
                </c:pt>
                <c:pt idx="29">
                  <c:v>0.79</c:v>
                </c:pt>
                <c:pt idx="30">
                  <c:v>0.78</c:v>
                </c:pt>
                <c:pt idx="31">
                  <c:v>0.77</c:v>
                </c:pt>
                <c:pt idx="32">
                  <c:v>0.77</c:v>
                </c:pt>
                <c:pt idx="33">
                  <c:v>0.77</c:v>
                </c:pt>
                <c:pt idx="34">
                  <c:v>0.73</c:v>
                </c:pt>
                <c:pt idx="35">
                  <c:v>0.72</c:v>
                </c:pt>
                <c:pt idx="36">
                  <c:v>0.71</c:v>
                </c:pt>
                <c:pt idx="37">
                  <c:v>0.71</c:v>
                </c:pt>
                <c:pt idx="38">
                  <c:v>0.7</c:v>
                </c:pt>
                <c:pt idx="39">
                  <c:v>0.69</c:v>
                </c:pt>
                <c:pt idx="40">
                  <c:v>0.68</c:v>
                </c:pt>
              </c:numCache>
            </c:numRef>
          </c:val>
          <c:smooth val="0"/>
          <c:extLst xmlns:c16r2="http://schemas.microsoft.com/office/drawing/2015/06/chart">
            <c:ext xmlns:c16="http://schemas.microsoft.com/office/drawing/2014/chart" uri="{C3380CC4-5D6E-409C-BE32-E72D297353CC}">
              <c16:uniqueId val="{00000000-0820-4402-9DE5-4CF9ABDDEA93}"/>
            </c:ext>
          </c:extLst>
        </c:ser>
        <c:ser>
          <c:idx val="1"/>
          <c:order val="1"/>
          <c:tx>
            <c:strRef>
              <c:f>Hárok1!$AR$84</c:f>
              <c:strCache>
                <c:ptCount val="1"/>
                <c:pt idx="0">
                  <c:v>Nemecko </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cat>
            <c:numRef>
              <c:f>Hárok1!$AP$85:$AP$125</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cat>
          <c:val>
            <c:numRef>
              <c:f>Hárok1!$AR$85:$AR$125</c:f>
              <c:numCache>
                <c:formatCode>General</c:formatCode>
                <c:ptCount val="41"/>
                <c:pt idx="0">
                  <c:v>0</c:v>
                </c:pt>
                <c:pt idx="1">
                  <c:v>0.06</c:v>
                </c:pt>
                <c:pt idx="2">
                  <c:v>0.15</c:v>
                </c:pt>
                <c:pt idx="3">
                  <c:v>0.22</c:v>
                </c:pt>
                <c:pt idx="4">
                  <c:v>0.31</c:v>
                </c:pt>
                <c:pt idx="5">
                  <c:v>0.39</c:v>
                </c:pt>
                <c:pt idx="6">
                  <c:v>0.45</c:v>
                </c:pt>
                <c:pt idx="7">
                  <c:v>0.57999999999999996</c:v>
                </c:pt>
                <c:pt idx="8">
                  <c:v>0.7</c:v>
                </c:pt>
                <c:pt idx="9">
                  <c:v>0.75</c:v>
                </c:pt>
                <c:pt idx="10">
                  <c:v>0.81</c:v>
                </c:pt>
                <c:pt idx="11">
                  <c:v>0.88</c:v>
                </c:pt>
                <c:pt idx="12">
                  <c:v>0.91</c:v>
                </c:pt>
                <c:pt idx="13">
                  <c:v>0.95</c:v>
                </c:pt>
                <c:pt idx="14">
                  <c:v>0.97</c:v>
                </c:pt>
                <c:pt idx="15">
                  <c:v>1</c:v>
                </c:pt>
                <c:pt idx="16">
                  <c:v>1.01</c:v>
                </c:pt>
                <c:pt idx="17">
                  <c:v>1.02</c:v>
                </c:pt>
                <c:pt idx="18">
                  <c:v>1.03</c:v>
                </c:pt>
                <c:pt idx="19">
                  <c:v>1.04</c:v>
                </c:pt>
                <c:pt idx="20">
                  <c:v>1.05</c:v>
                </c:pt>
                <c:pt idx="21">
                  <c:v>1.06</c:v>
                </c:pt>
                <c:pt idx="22">
                  <c:v>1.07</c:v>
                </c:pt>
                <c:pt idx="23">
                  <c:v>1.08</c:v>
                </c:pt>
                <c:pt idx="24">
                  <c:v>1.0900000000000001</c:v>
                </c:pt>
                <c:pt idx="25">
                  <c:v>1.1000000000000001</c:v>
                </c:pt>
                <c:pt idx="26">
                  <c:v>1.1499999999999999</c:v>
                </c:pt>
                <c:pt idx="27">
                  <c:v>1.18</c:v>
                </c:pt>
                <c:pt idx="28">
                  <c:v>1.19</c:v>
                </c:pt>
                <c:pt idx="29">
                  <c:v>1.19</c:v>
                </c:pt>
                <c:pt idx="30">
                  <c:v>1.2</c:v>
                </c:pt>
                <c:pt idx="31">
                  <c:v>1.21</c:v>
                </c:pt>
                <c:pt idx="32">
                  <c:v>1.22</c:v>
                </c:pt>
                <c:pt idx="33">
                  <c:v>1.23</c:v>
                </c:pt>
                <c:pt idx="34">
                  <c:v>1.24</c:v>
                </c:pt>
                <c:pt idx="35">
                  <c:v>1.25</c:v>
                </c:pt>
                <c:pt idx="36">
                  <c:v>1.24</c:v>
                </c:pt>
                <c:pt idx="37">
                  <c:v>1.23</c:v>
                </c:pt>
                <c:pt idx="38">
                  <c:v>1.22</c:v>
                </c:pt>
                <c:pt idx="39">
                  <c:v>1.21</c:v>
                </c:pt>
                <c:pt idx="40">
                  <c:v>1.2</c:v>
                </c:pt>
              </c:numCache>
            </c:numRef>
          </c:val>
          <c:smooth val="0"/>
          <c:extLst xmlns:c16r2="http://schemas.microsoft.com/office/drawing/2015/06/chart">
            <c:ext xmlns:c16="http://schemas.microsoft.com/office/drawing/2014/chart" uri="{C3380CC4-5D6E-409C-BE32-E72D297353CC}">
              <c16:uniqueId val="{00000001-0820-4402-9DE5-4CF9ABDDEA93}"/>
            </c:ext>
          </c:extLst>
        </c:ser>
        <c:ser>
          <c:idx val="2"/>
          <c:order val="2"/>
          <c:tx>
            <c:strRef>
              <c:f>Hárok1!$AS$84</c:f>
              <c:strCache>
                <c:ptCount val="1"/>
                <c:pt idx="0">
                  <c:v>USA</c:v>
                </c:pt>
              </c:strCache>
            </c:strRef>
          </c:tx>
          <c:spPr>
            <a:ln w="34925" cap="rnd">
              <a:solidFill>
                <a:schemeClr val="accent3"/>
              </a:solidFill>
              <a:round/>
            </a:ln>
            <a:effectLst>
              <a:outerShdw blurRad="40000" dist="23000" dir="5400000" rotWithShape="0">
                <a:srgbClr val="000000">
                  <a:alpha val="35000"/>
                </a:srgbClr>
              </a:outerShdw>
            </a:effectLst>
          </c:spPr>
          <c:marker>
            <c:symbol val="none"/>
          </c:marker>
          <c:cat>
            <c:numRef>
              <c:f>Hárok1!$AP$85:$AP$125</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cat>
          <c:val>
            <c:numRef>
              <c:f>Hárok1!$AS$85:$AS$125</c:f>
              <c:numCache>
                <c:formatCode>General</c:formatCode>
                <c:ptCount val="4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0.81</c:v>
                </c:pt>
                <c:pt idx="18">
                  <c:v>0.82</c:v>
                </c:pt>
                <c:pt idx="19">
                  <c:v>0.83</c:v>
                </c:pt>
                <c:pt idx="20">
                  <c:v>0.84</c:v>
                </c:pt>
                <c:pt idx="21">
                  <c:v>0.85</c:v>
                </c:pt>
                <c:pt idx="22">
                  <c:v>0.86</c:v>
                </c:pt>
                <c:pt idx="23">
                  <c:v>0.87</c:v>
                </c:pt>
                <c:pt idx="24">
                  <c:v>0.88</c:v>
                </c:pt>
                <c:pt idx="25">
                  <c:v>0.89</c:v>
                </c:pt>
                <c:pt idx="26">
                  <c:v>0.9</c:v>
                </c:pt>
                <c:pt idx="27">
                  <c:v>0.89</c:v>
                </c:pt>
                <c:pt idx="28">
                  <c:v>0.88</c:v>
                </c:pt>
                <c:pt idx="29">
                  <c:v>0.88</c:v>
                </c:pt>
                <c:pt idx="30">
                  <c:v>0.87333333333333296</c:v>
                </c:pt>
                <c:pt idx="31">
                  <c:v>0.86833333333333296</c:v>
                </c:pt>
                <c:pt idx="32">
                  <c:v>0.86333333333333295</c:v>
                </c:pt>
                <c:pt idx="33">
                  <c:v>0.85833333333333295</c:v>
                </c:pt>
                <c:pt idx="34">
                  <c:v>0.85333333333333306</c:v>
                </c:pt>
                <c:pt idx="35">
                  <c:v>0.84833333333333305</c:v>
                </c:pt>
                <c:pt idx="36">
                  <c:v>0.84333333333333305</c:v>
                </c:pt>
                <c:pt idx="37">
                  <c:v>0.83833333333333304</c:v>
                </c:pt>
                <c:pt idx="38">
                  <c:v>0.83333333333333304</c:v>
                </c:pt>
                <c:pt idx="39">
                  <c:v>0.82833333333333303</c:v>
                </c:pt>
                <c:pt idx="40">
                  <c:v>0.82333333333333303</c:v>
                </c:pt>
              </c:numCache>
            </c:numRef>
          </c:val>
          <c:smooth val="0"/>
          <c:extLst xmlns:c16r2="http://schemas.microsoft.com/office/drawing/2015/06/chart">
            <c:ext xmlns:c16="http://schemas.microsoft.com/office/drawing/2014/chart" uri="{C3380CC4-5D6E-409C-BE32-E72D297353CC}">
              <c16:uniqueId val="{00000002-0820-4402-9DE5-4CF9ABDDEA93}"/>
            </c:ext>
          </c:extLst>
        </c:ser>
        <c:ser>
          <c:idx val="3"/>
          <c:order val="3"/>
          <c:tx>
            <c:strRef>
              <c:f>Hárok1!$AT$84</c:f>
              <c:strCache>
                <c:ptCount val="1"/>
                <c:pt idx="0">
                  <c:v>Veľká Británia</c:v>
                </c:pt>
              </c:strCache>
            </c:strRef>
          </c:tx>
          <c:spPr>
            <a:ln w="34925" cap="rnd">
              <a:solidFill>
                <a:schemeClr val="accent4"/>
              </a:solidFill>
              <a:round/>
            </a:ln>
            <a:effectLst>
              <a:outerShdw blurRad="40000" dist="23000" dir="5400000" rotWithShape="0">
                <a:srgbClr val="000000">
                  <a:alpha val="35000"/>
                </a:srgbClr>
              </a:outerShdw>
            </a:effectLst>
          </c:spPr>
          <c:marker>
            <c:symbol val="none"/>
          </c:marker>
          <c:cat>
            <c:numRef>
              <c:f>Hárok1!$AP$85:$AP$125</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cat>
          <c:val>
            <c:numRef>
              <c:f>Hárok1!$AT$85:$AT$125</c:f>
              <c:numCache>
                <c:formatCode>General</c:formatCode>
                <c:ptCount val="41"/>
                <c:pt idx="0">
                  <c:v>0</c:v>
                </c:pt>
                <c:pt idx="1">
                  <c:v>0.06</c:v>
                </c:pt>
                <c:pt idx="2">
                  <c:v>0.12</c:v>
                </c:pt>
                <c:pt idx="3">
                  <c:v>0.18</c:v>
                </c:pt>
                <c:pt idx="4">
                  <c:v>0.24</c:v>
                </c:pt>
                <c:pt idx="5">
                  <c:v>0.3</c:v>
                </c:pt>
                <c:pt idx="6">
                  <c:v>0.36</c:v>
                </c:pt>
                <c:pt idx="7">
                  <c:v>0.42</c:v>
                </c:pt>
                <c:pt idx="8">
                  <c:v>0.48</c:v>
                </c:pt>
                <c:pt idx="9">
                  <c:v>0.54</c:v>
                </c:pt>
                <c:pt idx="10">
                  <c:v>0.6</c:v>
                </c:pt>
                <c:pt idx="11">
                  <c:v>0.66</c:v>
                </c:pt>
                <c:pt idx="12">
                  <c:v>0.72</c:v>
                </c:pt>
                <c:pt idx="13">
                  <c:v>0.78</c:v>
                </c:pt>
                <c:pt idx="14">
                  <c:v>0.79</c:v>
                </c:pt>
                <c:pt idx="15">
                  <c:v>0.8</c:v>
                </c:pt>
                <c:pt idx="16">
                  <c:v>0.8</c:v>
                </c:pt>
                <c:pt idx="17">
                  <c:v>0.8</c:v>
                </c:pt>
                <c:pt idx="18">
                  <c:v>0.8</c:v>
                </c:pt>
                <c:pt idx="19">
                  <c:v>0.79</c:v>
                </c:pt>
                <c:pt idx="20">
                  <c:v>0.78</c:v>
                </c:pt>
                <c:pt idx="21">
                  <c:v>0.78</c:v>
                </c:pt>
                <c:pt idx="22">
                  <c:v>0.77333333333333298</c:v>
                </c:pt>
                <c:pt idx="23">
                  <c:v>0.76833333333333298</c:v>
                </c:pt>
                <c:pt idx="24">
                  <c:v>0.76333333333333298</c:v>
                </c:pt>
                <c:pt idx="25">
                  <c:v>0.75833333333333297</c:v>
                </c:pt>
                <c:pt idx="26">
                  <c:v>0.75333333333333297</c:v>
                </c:pt>
                <c:pt idx="27">
                  <c:v>0.74833333333333296</c:v>
                </c:pt>
                <c:pt idx="28">
                  <c:v>0.74333333333333296</c:v>
                </c:pt>
                <c:pt idx="29">
                  <c:v>0.73833333333333295</c:v>
                </c:pt>
                <c:pt idx="30">
                  <c:v>0.73333333333333295</c:v>
                </c:pt>
                <c:pt idx="31">
                  <c:v>0.72833333333333306</c:v>
                </c:pt>
                <c:pt idx="32">
                  <c:v>0.7</c:v>
                </c:pt>
                <c:pt idx="33">
                  <c:v>0.69</c:v>
                </c:pt>
                <c:pt idx="34">
                  <c:v>0.68</c:v>
                </c:pt>
                <c:pt idx="35">
                  <c:v>0.67</c:v>
                </c:pt>
                <c:pt idx="36">
                  <c:v>0.66</c:v>
                </c:pt>
                <c:pt idx="37">
                  <c:v>0.65</c:v>
                </c:pt>
                <c:pt idx="38">
                  <c:v>0.64</c:v>
                </c:pt>
                <c:pt idx="39">
                  <c:v>0.63</c:v>
                </c:pt>
                <c:pt idx="40">
                  <c:v>0.62</c:v>
                </c:pt>
              </c:numCache>
            </c:numRef>
          </c:val>
          <c:smooth val="0"/>
          <c:extLst xmlns:c16r2="http://schemas.microsoft.com/office/drawing/2015/06/chart">
            <c:ext xmlns:c16="http://schemas.microsoft.com/office/drawing/2014/chart" uri="{C3380CC4-5D6E-409C-BE32-E72D297353CC}">
              <c16:uniqueId val="{00000003-0820-4402-9DE5-4CF9ABDDEA93}"/>
            </c:ext>
          </c:extLst>
        </c:ser>
        <c:dLbls>
          <c:showLegendKey val="0"/>
          <c:showVal val="0"/>
          <c:showCatName val="0"/>
          <c:showSerName val="0"/>
          <c:showPercent val="0"/>
          <c:showBubbleSize val="0"/>
        </c:dLbls>
        <c:marker val="1"/>
        <c:smooth val="0"/>
        <c:axId val="254535168"/>
        <c:axId val="254537088"/>
      </c:lineChart>
      <c:catAx>
        <c:axId val="2545351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k-SK" b="1"/>
                  <a:t>Počet rokov kariéry</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254537088"/>
        <c:crosses val="autoZero"/>
        <c:auto val="1"/>
        <c:lblAlgn val="ctr"/>
        <c:lblOffset val="100"/>
        <c:tickLblSkip val="5"/>
        <c:tickMarkSkip val="5"/>
        <c:noMultiLvlLbl val="0"/>
      </c:catAx>
      <c:valAx>
        <c:axId val="254537088"/>
        <c:scaling>
          <c:orientation val="minMax"/>
          <c:max val="1.4"/>
          <c:min val="0"/>
        </c:scaling>
        <c:delete val="0"/>
        <c:axPos val="l"/>
        <c:majorGridlines>
          <c:spPr>
            <a:ln w="9525" cap="flat" cmpd="sng" algn="ctr">
              <a:solidFill>
                <a:schemeClr val="tx2">
                  <a:lumMod val="40000"/>
                  <a:lumOff val="60000"/>
                </a:schemeClr>
              </a:solidFill>
              <a:prstDash val="dashDot"/>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Potenciálny nárast mzdy </a:t>
                </a:r>
                <a:r>
                  <a:rPr lang="sk-SK" b="1"/>
                  <a:t>upravený o infláciu </a:t>
                </a:r>
                <a:r>
                  <a:rPr lang="en-US" b="1"/>
                  <a:t>v %</a:t>
                </a:r>
              </a:p>
            </c:rich>
          </c:tx>
          <c:layout>
            <c:manualLayout>
              <c:xMode val="edge"/>
              <c:yMode val="edge"/>
              <c:x val="2.4411266310652102E-2"/>
              <c:y val="6.0875915615150614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254535168"/>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k-S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spPr>
            <a:solidFill>
              <a:srgbClr val="0070C0"/>
            </a:solidFill>
            <a:ln>
              <a:noFill/>
            </a:ln>
            <a:effectLst>
              <a:outerShdw blurRad="40000" dist="23000" dir="5400000" rotWithShape="0">
                <a:srgbClr val="000000">
                  <a:alpha val="35000"/>
                </a:srgbClr>
              </a:outerShdw>
            </a:effectLst>
          </c:spPr>
          <c:invertIfNegative val="0"/>
          <c:cat>
            <c:numRef>
              <c:f>'sporitelia podľa veku základný'!$BA$11:$BA$51</c:f>
              <c:numCache>
                <c:formatCode>General</c:formatCode>
                <c:ptCount val="41"/>
                <c:pt idx="0">
                  <c:v>20</c:v>
                </c:pt>
                <c:pt idx="1">
                  <c:v>21</c:v>
                </c:pt>
                <c:pt idx="2">
                  <c:v>22</c:v>
                </c:pt>
                <c:pt idx="3">
                  <c:v>23</c:v>
                </c:pt>
                <c:pt idx="4">
                  <c:v>24</c:v>
                </c:pt>
                <c:pt idx="5">
                  <c:v>25</c:v>
                </c:pt>
                <c:pt idx="6">
                  <c:v>26</c:v>
                </c:pt>
                <c:pt idx="7">
                  <c:v>27</c:v>
                </c:pt>
                <c:pt idx="8">
                  <c:v>28</c:v>
                </c:pt>
                <c:pt idx="9">
                  <c:v>29</c:v>
                </c:pt>
                <c:pt idx="10">
                  <c:v>30</c:v>
                </c:pt>
                <c:pt idx="11">
                  <c:v>31</c:v>
                </c:pt>
                <c:pt idx="12">
                  <c:v>32</c:v>
                </c:pt>
                <c:pt idx="13">
                  <c:v>33</c:v>
                </c:pt>
                <c:pt idx="14">
                  <c:v>34</c:v>
                </c:pt>
                <c:pt idx="15">
                  <c:v>35</c:v>
                </c:pt>
                <c:pt idx="16">
                  <c:v>36</c:v>
                </c:pt>
                <c:pt idx="17">
                  <c:v>37</c:v>
                </c:pt>
                <c:pt idx="18">
                  <c:v>38</c:v>
                </c:pt>
                <c:pt idx="19">
                  <c:v>39</c:v>
                </c:pt>
                <c:pt idx="20">
                  <c:v>40</c:v>
                </c:pt>
                <c:pt idx="21">
                  <c:v>41</c:v>
                </c:pt>
                <c:pt idx="22">
                  <c:v>42</c:v>
                </c:pt>
                <c:pt idx="23">
                  <c:v>43</c:v>
                </c:pt>
                <c:pt idx="24">
                  <c:v>44</c:v>
                </c:pt>
                <c:pt idx="25">
                  <c:v>45</c:v>
                </c:pt>
                <c:pt idx="26">
                  <c:v>46</c:v>
                </c:pt>
                <c:pt idx="27">
                  <c:v>47</c:v>
                </c:pt>
                <c:pt idx="28">
                  <c:v>48</c:v>
                </c:pt>
                <c:pt idx="29">
                  <c:v>49</c:v>
                </c:pt>
                <c:pt idx="30">
                  <c:v>50</c:v>
                </c:pt>
                <c:pt idx="31">
                  <c:v>51</c:v>
                </c:pt>
                <c:pt idx="32">
                  <c:v>52</c:v>
                </c:pt>
                <c:pt idx="33">
                  <c:v>53</c:v>
                </c:pt>
                <c:pt idx="34">
                  <c:v>54</c:v>
                </c:pt>
                <c:pt idx="35">
                  <c:v>55</c:v>
                </c:pt>
                <c:pt idx="36">
                  <c:v>56</c:v>
                </c:pt>
                <c:pt idx="37">
                  <c:v>57</c:v>
                </c:pt>
                <c:pt idx="38">
                  <c:v>58</c:v>
                </c:pt>
                <c:pt idx="39">
                  <c:v>59</c:v>
                </c:pt>
                <c:pt idx="40">
                  <c:v>60</c:v>
                </c:pt>
              </c:numCache>
            </c:numRef>
          </c:cat>
          <c:val>
            <c:numRef>
              <c:f>'sporitelia podľa veku základný'!$BC$11:$BC$51</c:f>
              <c:numCache>
                <c:formatCode>#,##0</c:formatCode>
                <c:ptCount val="41"/>
                <c:pt idx="0">
                  <c:v>5650</c:v>
                </c:pt>
                <c:pt idx="1">
                  <c:v>8787</c:v>
                </c:pt>
                <c:pt idx="2">
                  <c:v>10711</c:v>
                </c:pt>
                <c:pt idx="3">
                  <c:v>12361</c:v>
                </c:pt>
                <c:pt idx="4">
                  <c:v>15423</c:v>
                </c:pt>
                <c:pt idx="5">
                  <c:v>20795</c:v>
                </c:pt>
                <c:pt idx="6">
                  <c:v>24173</c:v>
                </c:pt>
                <c:pt idx="7">
                  <c:v>26437</c:v>
                </c:pt>
                <c:pt idx="8">
                  <c:v>27758</c:v>
                </c:pt>
                <c:pt idx="9">
                  <c:v>29821</c:v>
                </c:pt>
                <c:pt idx="10">
                  <c:v>35319</c:v>
                </c:pt>
                <c:pt idx="11">
                  <c:v>34220</c:v>
                </c:pt>
                <c:pt idx="12">
                  <c:v>37741</c:v>
                </c:pt>
                <c:pt idx="13">
                  <c:v>41115</c:v>
                </c:pt>
                <c:pt idx="14">
                  <c:v>43037</c:v>
                </c:pt>
                <c:pt idx="15">
                  <c:v>44601</c:v>
                </c:pt>
                <c:pt idx="16">
                  <c:v>44814</c:v>
                </c:pt>
                <c:pt idx="17">
                  <c:v>44846</c:v>
                </c:pt>
                <c:pt idx="18">
                  <c:v>45627</c:v>
                </c:pt>
                <c:pt idx="19">
                  <c:v>48156</c:v>
                </c:pt>
                <c:pt idx="20">
                  <c:v>47909</c:v>
                </c:pt>
                <c:pt idx="21">
                  <c:v>47547</c:v>
                </c:pt>
                <c:pt idx="22">
                  <c:v>46931</c:v>
                </c:pt>
                <c:pt idx="23">
                  <c:v>45576</c:v>
                </c:pt>
                <c:pt idx="24">
                  <c:v>44856</c:v>
                </c:pt>
                <c:pt idx="25">
                  <c:v>41663</c:v>
                </c:pt>
                <c:pt idx="26">
                  <c:v>38061</c:v>
                </c:pt>
                <c:pt idx="27">
                  <c:v>35422</c:v>
                </c:pt>
                <c:pt idx="28">
                  <c:v>32666</c:v>
                </c:pt>
                <c:pt idx="29">
                  <c:v>30529</c:v>
                </c:pt>
                <c:pt idx="30">
                  <c:v>27600</c:v>
                </c:pt>
                <c:pt idx="31">
                  <c:v>26209</c:v>
                </c:pt>
                <c:pt idx="32">
                  <c:v>25449</c:v>
                </c:pt>
                <c:pt idx="33">
                  <c:v>23861</c:v>
                </c:pt>
                <c:pt idx="34">
                  <c:v>22506</c:v>
                </c:pt>
                <c:pt idx="35">
                  <c:v>19725</c:v>
                </c:pt>
                <c:pt idx="36">
                  <c:v>16355</c:v>
                </c:pt>
                <c:pt idx="37">
                  <c:v>14134</c:v>
                </c:pt>
                <c:pt idx="38">
                  <c:v>10605</c:v>
                </c:pt>
                <c:pt idx="39">
                  <c:v>7272</c:v>
                </c:pt>
                <c:pt idx="40">
                  <c:v>4976</c:v>
                </c:pt>
              </c:numCache>
            </c:numRef>
          </c:val>
          <c:extLst xmlns:c16r2="http://schemas.microsoft.com/office/drawing/2015/06/chart">
            <c:ext xmlns:c16="http://schemas.microsoft.com/office/drawing/2014/chart" uri="{C3380CC4-5D6E-409C-BE32-E72D297353CC}">
              <c16:uniqueId val="{00000000-4F9B-4803-997B-6D653BFF07CA}"/>
            </c:ext>
          </c:extLst>
        </c:ser>
        <c:dLbls>
          <c:showLegendKey val="0"/>
          <c:showVal val="0"/>
          <c:showCatName val="0"/>
          <c:showSerName val="0"/>
          <c:showPercent val="0"/>
          <c:showBubbleSize val="0"/>
        </c:dLbls>
        <c:gapWidth val="100"/>
        <c:overlap val="-24"/>
        <c:axId val="254554880"/>
        <c:axId val="254556800"/>
      </c:barChart>
      <c:catAx>
        <c:axId val="25455488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k-SK">
                    <a:solidFill>
                      <a:sysClr val="windowText" lastClr="000000"/>
                    </a:solidFill>
                    <a:latin typeface="Times New Roman" panose="02020603050405020304" pitchFamily="18" charset="0"/>
                    <a:cs typeface="Times New Roman" panose="02020603050405020304" pitchFamily="18" charset="0"/>
                  </a:rPr>
                  <a:t>Vek</a:t>
                </a: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254556800"/>
        <c:crosses val="autoZero"/>
        <c:auto val="1"/>
        <c:lblAlgn val="ctr"/>
        <c:lblOffset val="100"/>
        <c:noMultiLvlLbl val="0"/>
      </c:catAx>
      <c:valAx>
        <c:axId val="254556800"/>
        <c:scaling>
          <c:orientation val="minMax"/>
          <c:max val="50000"/>
        </c:scaling>
        <c:delete val="0"/>
        <c:axPos val="l"/>
        <c:majorGridlines>
          <c:spPr>
            <a:ln w="9525" cap="flat" cmpd="sng" algn="ctr">
              <a:solidFill>
                <a:schemeClr val="tx2">
                  <a:lumMod val="15000"/>
                  <a:lumOff val="85000"/>
                </a:schemeClr>
              </a:solidFill>
              <a:prstDash val="dashDot"/>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sk-SK">
                    <a:solidFill>
                      <a:sysClr val="windowText" lastClr="000000"/>
                    </a:solidFill>
                  </a:rPr>
                  <a:t>Počet </a:t>
                </a:r>
                <a:r>
                  <a:rPr lang="sk-SK">
                    <a:solidFill>
                      <a:sysClr val="windowText" lastClr="000000"/>
                    </a:solidFill>
                    <a:latin typeface="Times New Roman" panose="02020603050405020304" pitchFamily="18" charset="0"/>
                    <a:cs typeface="Times New Roman" panose="02020603050405020304" pitchFamily="18" charset="0"/>
                  </a:rPr>
                  <a:t>sporiteľov</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254554880"/>
        <c:crosses val="autoZero"/>
        <c:crossBetween val="between"/>
        <c:majorUnit val="10000"/>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k-SK"/>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4925" cap="rnd">
              <a:solidFill>
                <a:schemeClr val="accent1"/>
              </a:solidFill>
              <a:round/>
            </a:ln>
            <a:effectLst>
              <a:outerShdw blurRad="40000" dist="23000" dir="5400000" rotWithShape="0">
                <a:srgbClr val="000000">
                  <a:alpha val="35000"/>
                </a:srgbClr>
              </a:outerShdw>
            </a:effectLst>
          </c:spPr>
          <c:marker>
            <c:symbol val="none"/>
          </c:marker>
          <c:cat>
            <c:numRef>
              <c:f>Hárok2!$S$4:$S$44</c:f>
              <c:numCache>
                <c:formatCode>General</c:formatCode>
                <c:ptCount val="41"/>
                <c:pt idx="0">
                  <c:v>20</c:v>
                </c:pt>
                <c:pt idx="1">
                  <c:v>21</c:v>
                </c:pt>
                <c:pt idx="2">
                  <c:v>22</c:v>
                </c:pt>
                <c:pt idx="3">
                  <c:v>23</c:v>
                </c:pt>
                <c:pt idx="4">
                  <c:v>24</c:v>
                </c:pt>
                <c:pt idx="5">
                  <c:v>25</c:v>
                </c:pt>
                <c:pt idx="6">
                  <c:v>26</c:v>
                </c:pt>
                <c:pt idx="7">
                  <c:v>27</c:v>
                </c:pt>
                <c:pt idx="8">
                  <c:v>28</c:v>
                </c:pt>
                <c:pt idx="9">
                  <c:v>29</c:v>
                </c:pt>
                <c:pt idx="10">
                  <c:v>30</c:v>
                </c:pt>
                <c:pt idx="11">
                  <c:v>31</c:v>
                </c:pt>
                <c:pt idx="12">
                  <c:v>32</c:v>
                </c:pt>
                <c:pt idx="13">
                  <c:v>33</c:v>
                </c:pt>
                <c:pt idx="14">
                  <c:v>34</c:v>
                </c:pt>
                <c:pt idx="15">
                  <c:v>35</c:v>
                </c:pt>
                <c:pt idx="16">
                  <c:v>36</c:v>
                </c:pt>
                <c:pt idx="17">
                  <c:v>37</c:v>
                </c:pt>
                <c:pt idx="18">
                  <c:v>38</c:v>
                </c:pt>
                <c:pt idx="19">
                  <c:v>39</c:v>
                </c:pt>
                <c:pt idx="20">
                  <c:v>40</c:v>
                </c:pt>
                <c:pt idx="21">
                  <c:v>41</c:v>
                </c:pt>
                <c:pt idx="22">
                  <c:v>42</c:v>
                </c:pt>
                <c:pt idx="23">
                  <c:v>43</c:v>
                </c:pt>
                <c:pt idx="24">
                  <c:v>44</c:v>
                </c:pt>
                <c:pt idx="25">
                  <c:v>45</c:v>
                </c:pt>
                <c:pt idx="26">
                  <c:v>46</c:v>
                </c:pt>
                <c:pt idx="27">
                  <c:v>47</c:v>
                </c:pt>
                <c:pt idx="28">
                  <c:v>48</c:v>
                </c:pt>
                <c:pt idx="29">
                  <c:v>49</c:v>
                </c:pt>
                <c:pt idx="30">
                  <c:v>50</c:v>
                </c:pt>
                <c:pt idx="31">
                  <c:v>51</c:v>
                </c:pt>
                <c:pt idx="32">
                  <c:v>52</c:v>
                </c:pt>
                <c:pt idx="33">
                  <c:v>53</c:v>
                </c:pt>
                <c:pt idx="34">
                  <c:v>54</c:v>
                </c:pt>
                <c:pt idx="35">
                  <c:v>55</c:v>
                </c:pt>
                <c:pt idx="36">
                  <c:v>56</c:v>
                </c:pt>
                <c:pt idx="37">
                  <c:v>57</c:v>
                </c:pt>
                <c:pt idx="38">
                  <c:v>58</c:v>
                </c:pt>
                <c:pt idx="39">
                  <c:v>59</c:v>
                </c:pt>
                <c:pt idx="40">
                  <c:v>60</c:v>
                </c:pt>
              </c:numCache>
            </c:numRef>
          </c:cat>
          <c:val>
            <c:numRef>
              <c:f>Hárok2!$AM$4:$AM$44</c:f>
              <c:numCache>
                <c:formatCode>General</c:formatCode>
                <c:ptCount val="41"/>
                <c:pt idx="0">
                  <c:v>0.54206386220000002</c:v>
                </c:pt>
                <c:pt idx="1">
                  <c:v>0.61237242950000059</c:v>
                </c:pt>
                <c:pt idx="2">
                  <c:v>0.67549453419999939</c:v>
                </c:pt>
                <c:pt idx="3">
                  <c:v>0.73195186909999954</c:v>
                </c:pt>
                <c:pt idx="4">
                  <c:v>0.78224597659999962</c:v>
                </c:pt>
                <c:pt idx="5">
                  <c:v>0.82685824869999891</c:v>
                </c:pt>
                <c:pt idx="6">
                  <c:v>0.86624992699999925</c:v>
                </c:pt>
                <c:pt idx="7">
                  <c:v>0.90086210269999967</c:v>
                </c:pt>
                <c:pt idx="8">
                  <c:v>0.93111571660000081</c:v>
                </c:pt>
                <c:pt idx="9">
                  <c:v>0.95741155910000053</c:v>
                </c:pt>
                <c:pt idx="10">
                  <c:v>0.98013027020000099</c:v>
                </c:pt>
                <c:pt idx="11">
                  <c:v>0.99963233949999974</c:v>
                </c:pt>
                <c:pt idx="12">
                  <c:v>1.0162581061999996</c:v>
                </c:pt>
                <c:pt idx="13">
                  <c:v>1.0303277590999995</c:v>
                </c:pt>
                <c:pt idx="14">
                  <c:v>1.0421413365999994</c:v>
                </c:pt>
                <c:pt idx="15">
                  <c:v>1.0519787267000007</c:v>
                </c:pt>
                <c:pt idx="16">
                  <c:v>1.0600996670000002</c:v>
                </c:pt>
                <c:pt idx="17">
                  <c:v>1.0667437446999992</c:v>
                </c:pt>
                <c:pt idx="18">
                  <c:v>1.0721303965999995</c:v>
                </c:pt>
                <c:pt idx="19">
                  <c:v>1.0764589091000003</c:v>
                </c:pt>
                <c:pt idx="20">
                  <c:v>1.0799084181999996</c:v>
                </c:pt>
                <c:pt idx="21">
                  <c:v>1.0826379094999998</c:v>
                </c:pt>
                <c:pt idx="22">
                  <c:v>1.0847862182000023</c:v>
                </c:pt>
                <c:pt idx="23">
                  <c:v>1.0864720291000003</c:v>
                </c:pt>
                <c:pt idx="24">
                  <c:v>1.0877938765999984</c:v>
                </c:pt>
                <c:pt idx="25">
                  <c:v>1.0888301447000019</c:v>
                </c:pt>
                <c:pt idx="26">
                  <c:v>1.0896390669999976</c:v>
                </c:pt>
                <c:pt idx="27">
                  <c:v>1.0902587266999975</c:v>
                </c:pt>
                <c:pt idx="28">
                  <c:v>1.0907070565999986</c:v>
                </c:pt>
                <c:pt idx="29">
                  <c:v>1.0909818390999986</c:v>
                </c:pt>
                <c:pt idx="30">
                  <c:v>1.0910607061999995</c:v>
                </c:pt>
                <c:pt idx="31">
                  <c:v>1.0909011394999988</c:v>
                </c:pt>
                <c:pt idx="32">
                  <c:v>1.0904404701999999</c:v>
                </c:pt>
                <c:pt idx="33">
                  <c:v>1.0895958790999947</c:v>
                </c:pt>
                <c:pt idx="34">
                  <c:v>1.0882643965999987</c:v>
                </c:pt>
                <c:pt idx="35">
                  <c:v>1.0863229027000001</c:v>
                </c:pt>
                <c:pt idx="36">
                  <c:v>1.0836281270000034</c:v>
                </c:pt>
                <c:pt idx="37">
                  <c:v>1.0800166486999982</c:v>
                </c:pt>
                <c:pt idx="38">
                  <c:v>1.0753048966000014</c:v>
                </c:pt>
                <c:pt idx="39">
                  <c:v>1.0692891490999967</c:v>
                </c:pt>
                <c:pt idx="40">
                  <c:v>1.0617455341999991</c:v>
                </c:pt>
              </c:numCache>
            </c:numRef>
          </c:val>
          <c:smooth val="0"/>
          <c:extLst xmlns:c16r2="http://schemas.microsoft.com/office/drawing/2015/06/chart">
            <c:ext xmlns:c16="http://schemas.microsoft.com/office/drawing/2014/chart" uri="{C3380CC4-5D6E-409C-BE32-E72D297353CC}">
              <c16:uniqueId val="{00000000-4283-4FE1-B55D-D888BD69DA9F}"/>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254722048"/>
        <c:axId val="254723968"/>
      </c:lineChart>
      <c:catAx>
        <c:axId val="25472204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k-SK" b="1"/>
                  <a:t>Vek</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254723968"/>
        <c:crosses val="autoZero"/>
        <c:auto val="1"/>
        <c:lblAlgn val="ctr"/>
        <c:lblOffset val="100"/>
        <c:tickLblSkip val="5"/>
        <c:noMultiLvlLbl val="0"/>
      </c:catAx>
      <c:valAx>
        <c:axId val="254723968"/>
        <c:scaling>
          <c:orientation val="minMax"/>
          <c:max val="1.1000000000000001"/>
          <c:min val="0.5"/>
        </c:scaling>
        <c:delete val="0"/>
        <c:axPos val="l"/>
        <c:majorGridlines>
          <c:spPr>
            <a:ln w="9525" cap="flat" cmpd="sng" algn="ctr">
              <a:solidFill>
                <a:schemeClr val="tx2">
                  <a:lumMod val="40000"/>
                  <a:lumOff val="60000"/>
                </a:schemeClr>
              </a:solidFill>
              <a:prstDash val="dashDot"/>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k-SK" b="1"/>
                  <a:t>Vymeriavací základ</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254722048"/>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k-SK"/>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85EE9393344B16BF64196E365909E1"/>
        <w:category>
          <w:name w:val="Všeobecné"/>
          <w:gallery w:val="placeholder"/>
        </w:category>
        <w:types>
          <w:type w:val="bbPlcHdr"/>
        </w:types>
        <w:behaviors>
          <w:behavior w:val="content"/>
        </w:behaviors>
        <w:guid w:val="{FE25DFCC-6872-40B6-92D7-9F0B55B1D308}"/>
      </w:docPartPr>
      <w:docPartBody>
        <w:p w:rsidR="00C00BCA" w:rsidRDefault="00C00BCA" w:rsidP="00C00BCA">
          <w:pPr>
            <w:pStyle w:val="2E85EE9393344B16BF64196E365909E1"/>
          </w:pPr>
          <w:r w:rsidRPr="00E4139E">
            <w:rPr>
              <w:rStyle w:val="Textzstupnhosymbolu"/>
            </w:rPr>
            <w:t>[Názov]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NeueHaasGroteskDisp W02 B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D3"/>
    <w:rsid w:val="000572FA"/>
    <w:rsid w:val="000C22E1"/>
    <w:rsid w:val="000D5FEE"/>
    <w:rsid w:val="00281120"/>
    <w:rsid w:val="00412406"/>
    <w:rsid w:val="00584C13"/>
    <w:rsid w:val="00932435"/>
    <w:rsid w:val="009E1AB2"/>
    <w:rsid w:val="00AA7B4C"/>
    <w:rsid w:val="00C00BCA"/>
    <w:rsid w:val="00CB2AD3"/>
    <w:rsid w:val="00CB6C13"/>
    <w:rsid w:val="00CC440F"/>
    <w:rsid w:val="00F867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AA7B4C"/>
    <w:rPr>
      <w:color w:val="808080"/>
    </w:rPr>
  </w:style>
  <w:style w:type="paragraph" w:customStyle="1" w:styleId="193CAF1B95174339A5F63A22780FF34E">
    <w:name w:val="193CAF1B95174339A5F63A22780FF34E"/>
  </w:style>
  <w:style w:type="paragraph" w:customStyle="1" w:styleId="2E85EE9393344B16BF64196E365909E1">
    <w:name w:val="2E85EE9393344B16BF64196E365909E1"/>
    <w:rsid w:val="00C00B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AA7B4C"/>
    <w:rPr>
      <w:color w:val="808080"/>
    </w:rPr>
  </w:style>
  <w:style w:type="paragraph" w:customStyle="1" w:styleId="193CAF1B95174339A5F63A22780FF34E">
    <w:name w:val="193CAF1B95174339A5F63A22780FF34E"/>
  </w:style>
  <w:style w:type="paragraph" w:customStyle="1" w:styleId="2E85EE9393344B16BF64196E365909E1">
    <w:name w:val="2E85EE9393344B16BF64196E365909E1"/>
    <w:rsid w:val="00C00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45B0D-5A6F-49DA-BBDA-F9D45891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v6 - dlha</Template>
  <TotalTime>3</TotalTime>
  <Pages>9</Pages>
  <Words>2021</Words>
  <Characters>11524</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Projekcie dôchodkov v II. pilieri</vt:lpstr>
    </vt:vector>
  </TitlesOfParts>
  <Company/>
  <LinksUpToDate>false</LinksUpToDate>
  <CharactersWithSpaces>13518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Projekcie dôchodkov v II. pilieri</dc:title>
  <dc:creator>Hudcovský Jaroslav</dc:creator>
  <cp:lastModifiedBy>Hudcovský Jaroslav</cp:lastModifiedBy>
  <cp:revision>3</cp:revision>
  <cp:lastPrinted>2019-10-07T11:48:00Z</cp:lastPrinted>
  <dcterms:created xsi:type="dcterms:W3CDTF">2019-10-07T11:48:00Z</dcterms:created>
  <dcterms:modified xsi:type="dcterms:W3CDTF">2019-10-07T11:50:00Z</dcterms:modified>
</cp:coreProperties>
</file>