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riekatabuky"/>
        <w:tblW w:w="13887" w:type="dxa"/>
        <w:tblLayout w:type="fixed"/>
        <w:tblLook w:val="04A0" w:firstRow="1" w:lastRow="0" w:firstColumn="1" w:lastColumn="0" w:noHBand="0" w:noVBand="1"/>
      </w:tblPr>
      <w:tblGrid>
        <w:gridCol w:w="1971"/>
        <w:gridCol w:w="10640"/>
        <w:gridCol w:w="1276"/>
      </w:tblGrid>
      <w:tr w:rsidR="00547359" w:rsidRPr="00D1492B" w:rsidTr="00547359">
        <w:trPr>
          <w:trHeight w:val="566"/>
        </w:trPr>
        <w:tc>
          <w:tcPr>
            <w:tcW w:w="1971" w:type="dxa"/>
            <w:tcBorders>
              <w:top w:val="single" w:sz="4" w:space="0" w:color="auto"/>
              <w:left w:val="single" w:sz="4" w:space="0" w:color="auto"/>
              <w:bottom w:val="single" w:sz="4" w:space="0" w:color="auto"/>
              <w:right w:val="single" w:sz="4" w:space="0" w:color="auto"/>
            </w:tcBorders>
            <w:shd w:val="clear" w:color="auto" w:fill="00B0F0"/>
          </w:tcPr>
          <w:p w:rsidR="00547359" w:rsidRPr="00D1492B" w:rsidRDefault="00547359">
            <w:pPr>
              <w:rPr>
                <w:rFonts w:ascii="Arial Narrow" w:hAnsi="Arial Narrow"/>
                <w:b/>
                <w:sz w:val="24"/>
                <w:szCs w:val="24"/>
              </w:rPr>
            </w:pPr>
            <w:r w:rsidRPr="00D1492B">
              <w:rPr>
                <w:rFonts w:ascii="Arial Narrow" w:hAnsi="Arial Narrow"/>
                <w:b/>
                <w:sz w:val="24"/>
                <w:szCs w:val="24"/>
              </w:rPr>
              <w:t>Subjekt</w:t>
            </w:r>
            <w:r w:rsidR="00046358">
              <w:rPr>
                <w:rFonts w:ascii="Arial Narrow" w:hAnsi="Arial Narrow"/>
                <w:b/>
                <w:sz w:val="24"/>
                <w:szCs w:val="24"/>
              </w:rPr>
              <w:t xml:space="preserve"> </w:t>
            </w:r>
          </w:p>
        </w:tc>
        <w:tc>
          <w:tcPr>
            <w:tcW w:w="10640" w:type="dxa"/>
            <w:tcBorders>
              <w:top w:val="single" w:sz="4" w:space="0" w:color="auto"/>
              <w:left w:val="single" w:sz="4" w:space="0" w:color="auto"/>
              <w:bottom w:val="single" w:sz="4" w:space="0" w:color="auto"/>
              <w:right w:val="single" w:sz="4" w:space="0" w:color="auto"/>
            </w:tcBorders>
            <w:shd w:val="clear" w:color="auto" w:fill="00B0F0"/>
          </w:tcPr>
          <w:p w:rsidR="00547359" w:rsidRPr="00D1492B" w:rsidRDefault="00547359">
            <w:pPr>
              <w:rPr>
                <w:rFonts w:ascii="Arial Narrow" w:hAnsi="Arial Narrow"/>
                <w:b/>
                <w:sz w:val="24"/>
                <w:szCs w:val="24"/>
              </w:rPr>
            </w:pPr>
            <w:r w:rsidRPr="00D1492B">
              <w:rPr>
                <w:rFonts w:ascii="Arial Narrow" w:hAnsi="Arial Narrow"/>
                <w:b/>
                <w:sz w:val="24"/>
                <w:szCs w:val="24"/>
              </w:rPr>
              <w:t xml:space="preserve">Pripomienky / Návrhy </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rsidR="00547359" w:rsidRPr="00EA2269" w:rsidRDefault="00547359">
            <w:pPr>
              <w:rPr>
                <w:rFonts w:ascii="Arial Narrow" w:hAnsi="Arial Narrow"/>
                <w:b/>
              </w:rPr>
            </w:pPr>
            <w:r w:rsidRPr="00EA2269">
              <w:rPr>
                <w:rFonts w:ascii="Arial Narrow" w:hAnsi="Arial Narrow"/>
                <w:b/>
              </w:rPr>
              <w:t>Poznámky</w:t>
            </w:r>
          </w:p>
        </w:tc>
      </w:tr>
      <w:tr w:rsidR="00547359" w:rsidRPr="00D1492B" w:rsidTr="00547359">
        <w:trPr>
          <w:trHeight w:val="1575"/>
        </w:trPr>
        <w:tc>
          <w:tcPr>
            <w:tcW w:w="1971" w:type="dxa"/>
            <w:tcBorders>
              <w:top w:val="single" w:sz="4" w:space="0" w:color="auto"/>
            </w:tcBorders>
          </w:tcPr>
          <w:p w:rsidR="00547359" w:rsidRPr="00D1492B" w:rsidRDefault="00547359" w:rsidP="00DD1096">
            <w:pPr>
              <w:pStyle w:val="Odsekzoznamu"/>
              <w:numPr>
                <w:ilvl w:val="0"/>
                <w:numId w:val="2"/>
              </w:numPr>
              <w:ind w:left="313" w:hanging="313"/>
              <w:rPr>
                <w:rFonts w:ascii="Arial Narrow" w:hAnsi="Arial Narrow"/>
                <w:b/>
              </w:rPr>
            </w:pPr>
            <w:proofErr w:type="spellStart"/>
            <w:r w:rsidRPr="00D1492B">
              <w:rPr>
                <w:rFonts w:ascii="Arial Narrow" w:hAnsi="Arial Narrow"/>
                <w:b/>
              </w:rPr>
              <w:t>AmCham</w:t>
            </w:r>
            <w:proofErr w:type="spellEnd"/>
            <w:r w:rsidRPr="00D1492B">
              <w:rPr>
                <w:rFonts w:ascii="Arial Narrow" w:hAnsi="Arial Narrow"/>
                <w:b/>
              </w:rPr>
              <w:t xml:space="preserve"> (Americká obchodná komora v Slovenskej republike)</w:t>
            </w:r>
          </w:p>
        </w:tc>
        <w:tc>
          <w:tcPr>
            <w:tcW w:w="10640" w:type="dxa"/>
            <w:tcBorders>
              <w:top w:val="single" w:sz="4" w:space="0" w:color="auto"/>
            </w:tcBorders>
            <w:shd w:val="clear" w:color="auto" w:fill="FFFFFF" w:themeFill="background1"/>
          </w:tcPr>
          <w:p w:rsidR="00547359" w:rsidRPr="00437337" w:rsidRDefault="00547359" w:rsidP="00437337">
            <w:pPr>
              <w:jc w:val="both"/>
              <w:rPr>
                <w:rFonts w:ascii="Arial Narrow" w:hAnsi="Arial Narrow"/>
              </w:rPr>
            </w:pPr>
            <w:r w:rsidRPr="00437337">
              <w:rPr>
                <w:rFonts w:ascii="Arial Narrow" w:hAnsi="Arial Narrow"/>
              </w:rPr>
              <w:t>Inštitút záväzného stanoviska pokladáme za opatrenie, ktoré má potenciál prispieť k zvýšeniu právnej istoty daňovníkov plniacich si svoje povinnosti voči štátu, ako aj prehĺbiť dôveru medzi daňovou správou a podnikateľskou sférou. Vítame rozšírenie inštitútu záväzného stanoviska ako pozitívny krok smerom k budovaniu právnej istoty, ktorá je nesmierne dôležitým aspektom pre stabilné podnikateľské prostredie a zvýšenie atraktívnosti krajiny pre zahraničných investorov.</w:t>
            </w:r>
          </w:p>
          <w:p w:rsidR="00547359" w:rsidRPr="00437337" w:rsidRDefault="00547359" w:rsidP="00437337">
            <w:pPr>
              <w:jc w:val="both"/>
              <w:rPr>
                <w:rFonts w:ascii="Arial Narrow" w:hAnsi="Arial Narrow"/>
              </w:rPr>
            </w:pPr>
          </w:p>
          <w:p w:rsidR="00547359" w:rsidRPr="00437337" w:rsidRDefault="00547359" w:rsidP="00437337">
            <w:pPr>
              <w:jc w:val="both"/>
              <w:rPr>
                <w:rFonts w:ascii="Arial Narrow" w:hAnsi="Arial Narrow"/>
              </w:rPr>
            </w:pPr>
            <w:r w:rsidRPr="00437337">
              <w:rPr>
                <w:rFonts w:ascii="Arial Narrow" w:hAnsi="Arial Narrow"/>
              </w:rPr>
              <w:t xml:space="preserve">Podľa vyhlášky 229/2014 je rozsah tém, ku ktorým sa záväzné stanoviská poskytujú, zameraný na časti slovenských daňových zákonov a na prípady, ktoré ešte len majú nastať (teda sú v prípravnej fáze). </w:t>
            </w:r>
            <w:r w:rsidRPr="000962C6">
              <w:rPr>
                <w:rFonts w:ascii="Arial Narrow" w:hAnsi="Arial Narrow"/>
                <w:b/>
              </w:rPr>
              <w:t>Súhlasíme s tým, aby sa rozšíril rozsah daňových oblastí a ustanovení, ku ktorým je možné požiadať o záväzné stanovisko.</w:t>
            </w:r>
          </w:p>
          <w:p w:rsidR="00547359" w:rsidRDefault="00547359" w:rsidP="00437337">
            <w:pPr>
              <w:jc w:val="both"/>
              <w:rPr>
                <w:rFonts w:ascii="Arial Narrow" w:hAnsi="Arial Narrow"/>
              </w:rPr>
            </w:pPr>
          </w:p>
          <w:p w:rsidR="00547359" w:rsidRPr="00437337" w:rsidRDefault="00547359" w:rsidP="00437337">
            <w:pPr>
              <w:jc w:val="both"/>
              <w:rPr>
                <w:rFonts w:ascii="Arial Narrow" w:hAnsi="Arial Narrow"/>
              </w:rPr>
            </w:pPr>
            <w:r w:rsidRPr="00437337">
              <w:rPr>
                <w:rFonts w:ascii="Arial Narrow" w:hAnsi="Arial Narrow"/>
              </w:rPr>
              <w:t>Očakávame, že FR SR v spolupráci s MF SR zabezpečí funkčnejší a efektívnejší systém fungovania tohto inštitútu, ako aj zníženie jeho finančnej náročnosti.</w:t>
            </w:r>
          </w:p>
          <w:p w:rsidR="00547359" w:rsidRPr="00437337" w:rsidRDefault="00547359" w:rsidP="00437337">
            <w:pPr>
              <w:jc w:val="both"/>
              <w:rPr>
                <w:rFonts w:ascii="Arial Narrow" w:hAnsi="Arial Narrow"/>
              </w:rPr>
            </w:pPr>
          </w:p>
          <w:p w:rsidR="00547359" w:rsidRDefault="00547359" w:rsidP="00437337">
            <w:pPr>
              <w:jc w:val="both"/>
              <w:rPr>
                <w:rFonts w:ascii="Arial Narrow" w:hAnsi="Arial Narrow"/>
              </w:rPr>
            </w:pPr>
            <w:r w:rsidRPr="00437337">
              <w:rPr>
                <w:rFonts w:ascii="Arial Narrow" w:hAnsi="Arial Narrow"/>
              </w:rPr>
              <w:t>Ako negatívum môže byť vnímaná aj 2-mesačná lehota na vydanie záväzného stanoviska FR SR, ako aj potreba úhrady za jeho vydanie vopred.</w:t>
            </w:r>
            <w:r>
              <w:rPr>
                <w:rFonts w:ascii="Arial Narrow" w:hAnsi="Arial Narrow"/>
              </w:rPr>
              <w:t>*</w:t>
            </w:r>
          </w:p>
          <w:p w:rsidR="00547359" w:rsidRDefault="00547359" w:rsidP="00437337">
            <w:pPr>
              <w:jc w:val="both"/>
              <w:rPr>
                <w:rFonts w:ascii="Arial Narrow" w:hAnsi="Arial Narrow"/>
              </w:rPr>
            </w:pPr>
          </w:p>
          <w:p w:rsidR="00547359" w:rsidRPr="00003CFB" w:rsidRDefault="00547359" w:rsidP="00FA266F">
            <w:pPr>
              <w:jc w:val="both"/>
              <w:rPr>
                <w:rFonts w:ascii="Arial Narrow" w:hAnsi="Arial Narrow"/>
                <w:b/>
                <w:color w:val="0070C0"/>
              </w:rPr>
            </w:pPr>
            <w:r w:rsidRPr="00003CFB">
              <w:rPr>
                <w:rFonts w:ascii="Arial Narrow" w:hAnsi="Arial Narrow"/>
                <w:b/>
                <w:color w:val="0070C0"/>
              </w:rPr>
              <w:t>Otázky:*</w:t>
            </w:r>
          </w:p>
          <w:p w:rsidR="00547359" w:rsidRPr="00003CFB" w:rsidRDefault="00547359" w:rsidP="00FA266F">
            <w:pPr>
              <w:jc w:val="both"/>
              <w:rPr>
                <w:rFonts w:ascii="Arial Narrow" w:hAnsi="Arial Narrow"/>
                <w:b/>
                <w:color w:val="0070C0"/>
              </w:rPr>
            </w:pPr>
            <w:r w:rsidRPr="00003CFB">
              <w:rPr>
                <w:rFonts w:ascii="Arial Narrow" w:hAnsi="Arial Narrow"/>
                <w:b/>
                <w:color w:val="0070C0"/>
              </w:rPr>
              <w:t>- Budú následne spoplatnené stanoviská zverejňované tak, ako je to pri rozsudkoch súdu (samozrejme, bez uvedenia údajov daňového subjektu žiadajúceho o záväzné stanovisko)? Vydá k tomu FR SR napr. metodické usmernenie alebo inštrukciu?</w:t>
            </w:r>
          </w:p>
          <w:p w:rsidR="00547359" w:rsidRPr="00003CFB" w:rsidRDefault="00547359" w:rsidP="00FA266F">
            <w:pPr>
              <w:jc w:val="both"/>
              <w:rPr>
                <w:rFonts w:ascii="Arial Narrow" w:hAnsi="Arial Narrow"/>
                <w:b/>
                <w:color w:val="0070C0"/>
              </w:rPr>
            </w:pPr>
            <w:r w:rsidRPr="00003CFB">
              <w:rPr>
                <w:rFonts w:ascii="Arial Narrow" w:hAnsi="Arial Narrow"/>
                <w:b/>
                <w:color w:val="0070C0"/>
              </w:rPr>
              <w:t>- Akú právnu silu/ úroveň záväznosti bude mať záväzné stanovisko pre ostatné daňové subjekty, ktoré o stanovisko nepožiadali a riešili svoju situáciu ináč?</w:t>
            </w:r>
          </w:p>
          <w:p w:rsidR="00547359" w:rsidRPr="00D1492B" w:rsidRDefault="00547359" w:rsidP="00FA266F">
            <w:pPr>
              <w:jc w:val="both"/>
              <w:rPr>
                <w:rFonts w:ascii="Arial Narrow" w:hAnsi="Arial Narrow"/>
              </w:rPr>
            </w:pPr>
          </w:p>
        </w:tc>
        <w:tc>
          <w:tcPr>
            <w:tcW w:w="1276" w:type="dxa"/>
            <w:tcBorders>
              <w:top w:val="single" w:sz="4" w:space="0" w:color="auto"/>
            </w:tcBorders>
          </w:tcPr>
          <w:p w:rsidR="00547359" w:rsidRPr="000962C6" w:rsidRDefault="00547359" w:rsidP="00437337">
            <w:pPr>
              <w:rPr>
                <w:rFonts w:ascii="Arial Narrow" w:hAnsi="Arial Narrow"/>
                <w:i/>
              </w:rPr>
            </w:pPr>
            <w:r>
              <w:rPr>
                <w:rFonts w:ascii="Arial Narrow" w:hAnsi="Arial Narrow"/>
                <w:i/>
              </w:rPr>
              <w:t>*</w:t>
            </w:r>
            <w:r w:rsidRPr="000962C6">
              <w:rPr>
                <w:rFonts w:ascii="Arial Narrow" w:hAnsi="Arial Narrow"/>
                <w:i/>
              </w:rPr>
              <w:t xml:space="preserve">Návrh </w:t>
            </w:r>
            <w:r>
              <w:rPr>
                <w:rFonts w:ascii="Arial Narrow" w:hAnsi="Arial Narrow"/>
                <w:i/>
              </w:rPr>
              <w:t xml:space="preserve">do Daňového poriadku </w:t>
            </w:r>
            <w:r w:rsidRPr="000962C6">
              <w:rPr>
                <w:rFonts w:ascii="Arial Narrow" w:hAnsi="Arial Narrow"/>
                <w:i/>
              </w:rPr>
              <w:t xml:space="preserve"> </w:t>
            </w:r>
          </w:p>
        </w:tc>
      </w:tr>
      <w:tr w:rsidR="00547359" w:rsidRPr="00D1492B" w:rsidTr="00547359">
        <w:tc>
          <w:tcPr>
            <w:tcW w:w="1971" w:type="dxa"/>
          </w:tcPr>
          <w:p w:rsidR="00547359" w:rsidRPr="00D1492B" w:rsidRDefault="00547359" w:rsidP="00D1492B">
            <w:pPr>
              <w:pStyle w:val="Odsekzoznamu"/>
              <w:numPr>
                <w:ilvl w:val="0"/>
                <w:numId w:val="2"/>
              </w:numPr>
              <w:ind w:left="313" w:hanging="313"/>
              <w:rPr>
                <w:rFonts w:ascii="Arial Narrow" w:hAnsi="Arial Narrow"/>
                <w:b/>
              </w:rPr>
            </w:pPr>
            <w:r w:rsidRPr="00D1492B">
              <w:rPr>
                <w:rFonts w:ascii="Arial Narrow" w:hAnsi="Arial Narrow"/>
                <w:b/>
              </w:rPr>
              <w:t>SLASPO (Slovenská asociácia poisťovní)</w:t>
            </w:r>
          </w:p>
        </w:tc>
        <w:tc>
          <w:tcPr>
            <w:tcW w:w="10640" w:type="dxa"/>
          </w:tcPr>
          <w:p w:rsidR="00547359" w:rsidRDefault="00547359" w:rsidP="00D1492B">
            <w:pPr>
              <w:jc w:val="both"/>
              <w:rPr>
                <w:rFonts w:ascii="Arial Narrow" w:hAnsi="Arial Narrow"/>
              </w:rPr>
            </w:pPr>
            <w:r w:rsidRPr="00D1492B">
              <w:rPr>
                <w:rFonts w:ascii="Arial Narrow" w:hAnsi="Arial Narrow"/>
              </w:rPr>
              <w:t>Možnosť vydať záväzné stanovisko k uplatneniu všetkých ustanovení daňových zákonov, prípadne aby boli exaktne uvedené výnimky, ku ktorým nie je možné o vydanie stanoviska požiadať. Pokiaľ by tento návrh nebol akceptovateľný, navrhujeme, aby do okruhu ustanovení daňových predpisov, k uplatneniu ktorých možno vydať záväzné stanovisko, boli zahrnuté najmä nasledovné ustanovenia zákonov:</w:t>
            </w:r>
          </w:p>
          <w:p w:rsidR="00547359" w:rsidRPr="00D1492B" w:rsidRDefault="00547359" w:rsidP="00D1492B">
            <w:pPr>
              <w:jc w:val="both"/>
              <w:rPr>
                <w:rFonts w:ascii="Arial Narrow" w:hAnsi="Arial Narrow"/>
              </w:rPr>
            </w:pPr>
          </w:p>
          <w:p w:rsidR="00547359" w:rsidRPr="00D1492B" w:rsidRDefault="00547359" w:rsidP="00D1492B">
            <w:pPr>
              <w:jc w:val="both"/>
              <w:rPr>
                <w:rFonts w:ascii="Arial Narrow" w:hAnsi="Arial Narrow"/>
                <w:b/>
              </w:rPr>
            </w:pPr>
            <w:r w:rsidRPr="00D1492B">
              <w:rPr>
                <w:rFonts w:ascii="Arial Narrow" w:hAnsi="Arial Narrow"/>
                <w:b/>
              </w:rPr>
              <w:t>Zákon č. 235/2012 Z. z. o osobitnom odvode z podnikania v regulovaných odvetviach</w:t>
            </w:r>
          </w:p>
          <w:p w:rsidR="00547359" w:rsidRPr="00D1492B" w:rsidRDefault="00547359" w:rsidP="00D1492B">
            <w:pPr>
              <w:pStyle w:val="Odsekzoznamu"/>
              <w:ind w:left="708"/>
              <w:jc w:val="both"/>
              <w:rPr>
                <w:rFonts w:ascii="Arial Narrow" w:hAnsi="Arial Narrow"/>
              </w:rPr>
            </w:pPr>
            <w:r w:rsidRPr="00D1492B">
              <w:rPr>
                <w:rFonts w:ascii="Arial Narrow" w:hAnsi="Arial Narrow"/>
              </w:rPr>
              <w:t>•            § 5 Základ odvodu</w:t>
            </w:r>
          </w:p>
          <w:p w:rsidR="00547359" w:rsidRPr="00D1492B" w:rsidRDefault="00547359" w:rsidP="00D1492B">
            <w:pPr>
              <w:pStyle w:val="Odsekzoznamu"/>
              <w:ind w:left="708"/>
              <w:jc w:val="both"/>
              <w:rPr>
                <w:rFonts w:ascii="Arial Narrow" w:hAnsi="Arial Narrow"/>
              </w:rPr>
            </w:pPr>
            <w:r w:rsidRPr="00D1492B">
              <w:rPr>
                <w:rFonts w:ascii="Arial Narrow" w:hAnsi="Arial Narrow"/>
              </w:rPr>
              <w:t>•            § 8 Vyrubenie odvodu</w:t>
            </w:r>
          </w:p>
          <w:p w:rsidR="00547359" w:rsidRPr="00D1492B" w:rsidRDefault="00547359" w:rsidP="00D1492B">
            <w:pPr>
              <w:pStyle w:val="Odsekzoznamu"/>
              <w:ind w:left="708"/>
              <w:jc w:val="both"/>
              <w:rPr>
                <w:rFonts w:ascii="Arial Narrow" w:hAnsi="Arial Narrow"/>
              </w:rPr>
            </w:pPr>
            <w:r w:rsidRPr="00D1492B">
              <w:rPr>
                <w:rFonts w:ascii="Arial Narrow" w:hAnsi="Arial Narrow"/>
              </w:rPr>
              <w:t>•            § 9 Zúčtovanie odvodov</w:t>
            </w:r>
          </w:p>
          <w:p w:rsidR="00547359" w:rsidRPr="00D1492B" w:rsidRDefault="00547359" w:rsidP="00D1492B">
            <w:pPr>
              <w:jc w:val="both"/>
              <w:rPr>
                <w:rFonts w:ascii="Arial Narrow" w:hAnsi="Arial Narrow"/>
              </w:rPr>
            </w:pPr>
            <w:r w:rsidRPr="00D1492B">
              <w:rPr>
                <w:rFonts w:ascii="Arial Narrow" w:hAnsi="Arial Narrow"/>
                <w:b/>
              </w:rPr>
              <w:t>Zákon č. 595/2003 Z. z. o dani z príjmov</w:t>
            </w:r>
          </w:p>
          <w:p w:rsidR="00547359" w:rsidRPr="00D1492B" w:rsidRDefault="00547359" w:rsidP="00EA2269">
            <w:pPr>
              <w:pStyle w:val="Odsekzoznamu"/>
              <w:numPr>
                <w:ilvl w:val="0"/>
                <w:numId w:val="10"/>
              </w:numPr>
              <w:jc w:val="both"/>
              <w:rPr>
                <w:rFonts w:ascii="Arial Narrow" w:hAnsi="Arial Narrow"/>
              </w:rPr>
            </w:pPr>
            <w:r w:rsidRPr="00D1492B">
              <w:rPr>
                <w:rFonts w:ascii="Arial Narrow" w:hAnsi="Arial Narrow"/>
              </w:rPr>
              <w:t>§17 ods. 1 písm. c) – IFRS mostík</w:t>
            </w:r>
          </w:p>
          <w:p w:rsidR="00547359" w:rsidRPr="00D1492B" w:rsidRDefault="00547359" w:rsidP="00EA2269">
            <w:pPr>
              <w:pStyle w:val="Odsekzoznamu"/>
              <w:numPr>
                <w:ilvl w:val="0"/>
                <w:numId w:val="10"/>
              </w:numPr>
              <w:jc w:val="both"/>
              <w:rPr>
                <w:rFonts w:ascii="Arial Narrow" w:hAnsi="Arial Narrow"/>
              </w:rPr>
            </w:pPr>
            <w:r w:rsidRPr="00D1492B">
              <w:rPr>
                <w:rFonts w:ascii="Arial Narrow" w:hAnsi="Arial Narrow"/>
              </w:rPr>
              <w:lastRenderedPageBreak/>
              <w:t xml:space="preserve">§17 ods. 2 písm. d) a § 17 ods. 44 </w:t>
            </w:r>
          </w:p>
          <w:p w:rsidR="00547359" w:rsidRPr="00D1492B" w:rsidRDefault="00547359" w:rsidP="00EA2269">
            <w:pPr>
              <w:pStyle w:val="Odsekzoznamu"/>
              <w:numPr>
                <w:ilvl w:val="0"/>
                <w:numId w:val="10"/>
              </w:numPr>
              <w:jc w:val="both"/>
              <w:rPr>
                <w:rFonts w:ascii="Arial Narrow" w:hAnsi="Arial Narrow"/>
              </w:rPr>
            </w:pPr>
            <w:r w:rsidRPr="00D1492B">
              <w:rPr>
                <w:rFonts w:ascii="Arial Narrow" w:hAnsi="Arial Narrow"/>
              </w:rPr>
              <w:t>§17 ods. 5</w:t>
            </w:r>
          </w:p>
          <w:p w:rsidR="00547359" w:rsidRPr="00D1492B" w:rsidRDefault="00547359" w:rsidP="00EA2269">
            <w:pPr>
              <w:pStyle w:val="Odsekzoznamu"/>
              <w:numPr>
                <w:ilvl w:val="0"/>
                <w:numId w:val="10"/>
              </w:numPr>
              <w:jc w:val="both"/>
              <w:rPr>
                <w:rFonts w:ascii="Arial Narrow" w:hAnsi="Arial Narrow"/>
              </w:rPr>
            </w:pPr>
            <w:r w:rsidRPr="00D1492B">
              <w:rPr>
                <w:rFonts w:ascii="Arial Narrow" w:hAnsi="Arial Narrow"/>
              </w:rPr>
              <w:t>§ 17 ods. 15 a § 17 ods. 29</w:t>
            </w:r>
          </w:p>
          <w:p w:rsidR="00547359" w:rsidRPr="00D1492B" w:rsidRDefault="00547359" w:rsidP="00EA2269">
            <w:pPr>
              <w:pStyle w:val="Odsekzoznamu"/>
              <w:numPr>
                <w:ilvl w:val="0"/>
                <w:numId w:val="10"/>
              </w:numPr>
              <w:jc w:val="both"/>
              <w:rPr>
                <w:rFonts w:ascii="Arial Narrow" w:hAnsi="Arial Narrow"/>
              </w:rPr>
            </w:pPr>
            <w:r w:rsidRPr="00D1492B">
              <w:rPr>
                <w:rFonts w:ascii="Arial Narrow" w:hAnsi="Arial Narrow"/>
              </w:rPr>
              <w:t xml:space="preserve">§ 17 ods. 19 </w:t>
            </w:r>
          </w:p>
          <w:p w:rsidR="00547359" w:rsidRPr="00D1492B" w:rsidRDefault="00547359" w:rsidP="00EA2269">
            <w:pPr>
              <w:pStyle w:val="Odsekzoznamu"/>
              <w:numPr>
                <w:ilvl w:val="0"/>
                <w:numId w:val="10"/>
              </w:numPr>
              <w:jc w:val="both"/>
              <w:rPr>
                <w:rFonts w:ascii="Arial Narrow" w:hAnsi="Arial Narrow"/>
              </w:rPr>
            </w:pPr>
            <w:r w:rsidRPr="00D1492B">
              <w:rPr>
                <w:rFonts w:ascii="Arial Narrow" w:hAnsi="Arial Narrow"/>
              </w:rPr>
              <w:t>§ 17 ods. 28</w:t>
            </w:r>
          </w:p>
          <w:p w:rsidR="00547359" w:rsidRPr="00D1492B" w:rsidRDefault="00547359" w:rsidP="00EA2269">
            <w:pPr>
              <w:pStyle w:val="Odsekzoznamu"/>
              <w:numPr>
                <w:ilvl w:val="0"/>
                <w:numId w:val="10"/>
              </w:numPr>
              <w:jc w:val="both"/>
              <w:rPr>
                <w:rFonts w:ascii="Arial Narrow" w:hAnsi="Arial Narrow"/>
              </w:rPr>
            </w:pPr>
            <w:r w:rsidRPr="00D1492B">
              <w:rPr>
                <w:rFonts w:ascii="Arial Narrow" w:hAnsi="Arial Narrow"/>
              </w:rPr>
              <w:t>§ 18 ods. 1</w:t>
            </w:r>
          </w:p>
          <w:p w:rsidR="00547359" w:rsidRPr="00D1492B" w:rsidRDefault="00547359" w:rsidP="00EA2269">
            <w:pPr>
              <w:pStyle w:val="Odsekzoznamu"/>
              <w:numPr>
                <w:ilvl w:val="0"/>
                <w:numId w:val="10"/>
              </w:numPr>
              <w:jc w:val="both"/>
              <w:rPr>
                <w:rFonts w:ascii="Arial Narrow" w:hAnsi="Arial Narrow"/>
              </w:rPr>
            </w:pPr>
            <w:r w:rsidRPr="00D1492B">
              <w:rPr>
                <w:rFonts w:ascii="Arial Narrow" w:hAnsi="Arial Narrow"/>
              </w:rPr>
              <w:t>§ 18 ods. 11</w:t>
            </w:r>
          </w:p>
          <w:p w:rsidR="00547359" w:rsidRPr="00D1492B" w:rsidRDefault="00547359" w:rsidP="00EA2269">
            <w:pPr>
              <w:pStyle w:val="Odsekzoznamu"/>
              <w:numPr>
                <w:ilvl w:val="0"/>
                <w:numId w:val="10"/>
              </w:numPr>
              <w:jc w:val="both"/>
              <w:rPr>
                <w:rFonts w:ascii="Arial Narrow" w:hAnsi="Arial Narrow"/>
              </w:rPr>
            </w:pPr>
            <w:r w:rsidRPr="00D1492B">
              <w:rPr>
                <w:rFonts w:ascii="Arial Narrow" w:hAnsi="Arial Narrow"/>
              </w:rPr>
              <w:t>§ 20 - Rezervy a opravné položky</w:t>
            </w:r>
          </w:p>
          <w:p w:rsidR="00547359" w:rsidRPr="00D1492B" w:rsidRDefault="00547359" w:rsidP="00EA2269">
            <w:pPr>
              <w:pStyle w:val="Odsekzoznamu"/>
              <w:numPr>
                <w:ilvl w:val="0"/>
                <w:numId w:val="10"/>
              </w:numPr>
              <w:jc w:val="both"/>
              <w:rPr>
                <w:rFonts w:ascii="Arial Narrow" w:hAnsi="Arial Narrow"/>
              </w:rPr>
            </w:pPr>
            <w:r w:rsidRPr="00D1492B">
              <w:rPr>
                <w:rFonts w:ascii="Arial Narrow" w:hAnsi="Arial Narrow"/>
              </w:rPr>
              <w:t>§ 21</w:t>
            </w:r>
          </w:p>
          <w:p w:rsidR="00547359" w:rsidRPr="00D1492B" w:rsidRDefault="00547359" w:rsidP="00EA2269">
            <w:pPr>
              <w:pStyle w:val="Odsekzoznamu"/>
              <w:numPr>
                <w:ilvl w:val="0"/>
                <w:numId w:val="10"/>
              </w:numPr>
              <w:jc w:val="both"/>
              <w:rPr>
                <w:rFonts w:ascii="Arial Narrow" w:hAnsi="Arial Narrow"/>
              </w:rPr>
            </w:pPr>
            <w:r w:rsidRPr="00D1492B">
              <w:rPr>
                <w:rFonts w:ascii="Arial Narrow" w:hAnsi="Arial Narrow"/>
              </w:rPr>
              <w:t xml:space="preserve">§ 25a </w:t>
            </w:r>
          </w:p>
          <w:p w:rsidR="00547359" w:rsidRPr="00D1492B" w:rsidRDefault="00547359" w:rsidP="00EA2269">
            <w:pPr>
              <w:pStyle w:val="Odsekzoznamu"/>
              <w:numPr>
                <w:ilvl w:val="0"/>
                <w:numId w:val="10"/>
              </w:numPr>
              <w:jc w:val="both"/>
              <w:rPr>
                <w:rFonts w:ascii="Arial Narrow" w:hAnsi="Arial Narrow"/>
              </w:rPr>
            </w:pPr>
            <w:r w:rsidRPr="00D1492B">
              <w:rPr>
                <w:rFonts w:ascii="Arial Narrow" w:hAnsi="Arial Narrow"/>
              </w:rPr>
              <w:t>§ 30c Odpočet výdavkov (nákladov) na výskum a vývoj</w:t>
            </w:r>
          </w:p>
          <w:p w:rsidR="00547359" w:rsidRPr="00D1492B" w:rsidRDefault="00547359" w:rsidP="00D1492B">
            <w:pPr>
              <w:jc w:val="both"/>
              <w:rPr>
                <w:rFonts w:ascii="Arial Narrow" w:hAnsi="Arial Narrow"/>
                <w:b/>
              </w:rPr>
            </w:pPr>
            <w:r w:rsidRPr="00D1492B">
              <w:rPr>
                <w:rFonts w:ascii="Arial Narrow" w:hAnsi="Arial Narrow"/>
                <w:b/>
              </w:rPr>
              <w:t>Zákon č. 563/2009 Z. z. Daňový poriadok</w:t>
            </w:r>
          </w:p>
          <w:p w:rsidR="00547359" w:rsidRPr="00D1492B" w:rsidRDefault="00547359" w:rsidP="00D1492B">
            <w:pPr>
              <w:pStyle w:val="Odsekzoznamu"/>
              <w:numPr>
                <w:ilvl w:val="0"/>
                <w:numId w:val="8"/>
              </w:numPr>
              <w:jc w:val="both"/>
              <w:rPr>
                <w:rFonts w:ascii="Arial Narrow" w:hAnsi="Arial Narrow"/>
              </w:rPr>
            </w:pPr>
            <w:r w:rsidRPr="00D1492B">
              <w:rPr>
                <w:rFonts w:ascii="Arial Narrow" w:hAnsi="Arial Narrow"/>
              </w:rPr>
              <w:t xml:space="preserve">§ 24 Dokazovanie </w:t>
            </w:r>
          </w:p>
          <w:p w:rsidR="00547359" w:rsidRPr="00D1492B" w:rsidRDefault="00547359" w:rsidP="00D1492B">
            <w:pPr>
              <w:pStyle w:val="Odsekzoznamu"/>
              <w:numPr>
                <w:ilvl w:val="0"/>
                <w:numId w:val="8"/>
              </w:numPr>
              <w:jc w:val="both"/>
              <w:rPr>
                <w:rFonts w:ascii="Arial Narrow" w:hAnsi="Arial Narrow"/>
              </w:rPr>
            </w:pPr>
            <w:r w:rsidRPr="00D1492B">
              <w:rPr>
                <w:rFonts w:ascii="Arial Narrow" w:hAnsi="Arial Narrow"/>
              </w:rPr>
              <w:t>§ 26 Poskytovanie údajov správcovi dane, najmä ods. 4 – oznamovanie výplat poistných plnení</w:t>
            </w:r>
          </w:p>
          <w:p w:rsidR="00547359" w:rsidRPr="00D1492B" w:rsidRDefault="00547359" w:rsidP="00D1492B">
            <w:pPr>
              <w:pStyle w:val="Odsekzoznamu"/>
              <w:numPr>
                <w:ilvl w:val="0"/>
                <w:numId w:val="8"/>
              </w:numPr>
              <w:jc w:val="both"/>
              <w:rPr>
                <w:rFonts w:ascii="Arial Narrow" w:hAnsi="Arial Narrow"/>
              </w:rPr>
            </w:pPr>
            <w:r w:rsidRPr="00D1492B">
              <w:rPr>
                <w:rFonts w:ascii="Arial Narrow" w:hAnsi="Arial Narrow"/>
              </w:rPr>
              <w:t>§ 53d Index daňovej spoľahlivosti</w:t>
            </w:r>
          </w:p>
          <w:p w:rsidR="00547359" w:rsidRPr="00D1492B" w:rsidRDefault="00547359" w:rsidP="00D1492B">
            <w:pPr>
              <w:pStyle w:val="Odsekzoznamu"/>
              <w:numPr>
                <w:ilvl w:val="0"/>
                <w:numId w:val="8"/>
              </w:numPr>
              <w:jc w:val="both"/>
              <w:rPr>
                <w:rFonts w:ascii="Arial Narrow" w:hAnsi="Arial Narrow"/>
              </w:rPr>
            </w:pPr>
            <w:r w:rsidRPr="00D1492B">
              <w:rPr>
                <w:rFonts w:ascii="Arial Narrow" w:hAnsi="Arial Narrow"/>
              </w:rPr>
              <w:t>§ 69 Zánik práva vyrubiť daň</w:t>
            </w:r>
          </w:p>
          <w:p w:rsidR="00547359" w:rsidRPr="00D1492B" w:rsidRDefault="00547359" w:rsidP="00D1492B">
            <w:pPr>
              <w:pStyle w:val="Odsekzoznamu"/>
              <w:numPr>
                <w:ilvl w:val="0"/>
                <w:numId w:val="8"/>
              </w:numPr>
              <w:jc w:val="both"/>
              <w:rPr>
                <w:rFonts w:ascii="Arial Narrow" w:hAnsi="Arial Narrow"/>
              </w:rPr>
            </w:pPr>
            <w:r w:rsidRPr="00D1492B">
              <w:rPr>
                <w:rFonts w:ascii="Arial Narrow" w:hAnsi="Arial Narrow"/>
              </w:rPr>
              <w:t>PIATA ČASŤ - ZODPOVEDNOSŤ ZA PORUŠENIE POVINNOSTÍ (všetky paragrafy)</w:t>
            </w:r>
          </w:p>
          <w:p w:rsidR="00547359" w:rsidRPr="00D1492B" w:rsidRDefault="00547359" w:rsidP="00D1492B">
            <w:pPr>
              <w:rPr>
                <w:rFonts w:ascii="Arial Narrow" w:hAnsi="Arial Narrow"/>
                <w:b/>
                <w:bCs/>
              </w:rPr>
            </w:pPr>
            <w:r w:rsidRPr="00D1492B">
              <w:rPr>
                <w:rFonts w:ascii="Arial Narrow" w:hAnsi="Arial Narrow"/>
                <w:b/>
                <w:bCs/>
              </w:rPr>
              <w:t>Zákon č. 442/2012 Z. z. o medzinárodnej pomoci a spolupráci pri správe daní</w:t>
            </w:r>
          </w:p>
          <w:p w:rsidR="00547359" w:rsidRPr="00D1492B" w:rsidRDefault="00547359" w:rsidP="00D1492B">
            <w:pPr>
              <w:pStyle w:val="Odsekzoznamu"/>
              <w:numPr>
                <w:ilvl w:val="0"/>
                <w:numId w:val="8"/>
              </w:numPr>
              <w:rPr>
                <w:rFonts w:ascii="Arial Narrow" w:hAnsi="Arial Narrow"/>
              </w:rPr>
            </w:pPr>
            <w:r w:rsidRPr="00D1492B">
              <w:rPr>
                <w:rFonts w:ascii="Arial Narrow" w:hAnsi="Arial Narrow"/>
              </w:rPr>
              <w:t>§8b Povinná osoba</w:t>
            </w:r>
          </w:p>
          <w:p w:rsidR="00547359" w:rsidRPr="00D1492B" w:rsidRDefault="00547359" w:rsidP="00D1492B">
            <w:pPr>
              <w:pStyle w:val="Odsekzoznamu"/>
              <w:numPr>
                <w:ilvl w:val="0"/>
                <w:numId w:val="8"/>
              </w:numPr>
              <w:rPr>
                <w:rFonts w:ascii="Arial Narrow" w:hAnsi="Arial Narrow"/>
              </w:rPr>
            </w:pPr>
            <w:r w:rsidRPr="00D1492B">
              <w:rPr>
                <w:rFonts w:ascii="Arial Narrow" w:hAnsi="Arial Narrow"/>
              </w:rPr>
              <w:t>Príloha č. 1a, Časť E. Osobitné charakteristické znaky týkajúce sa transferového oceňovania</w:t>
            </w:r>
          </w:p>
          <w:p w:rsidR="00547359" w:rsidRPr="00D1492B" w:rsidRDefault="00547359" w:rsidP="00D1492B">
            <w:pPr>
              <w:rPr>
                <w:rFonts w:ascii="Arial Narrow" w:hAnsi="Arial Narrow"/>
                <w:b/>
              </w:rPr>
            </w:pPr>
            <w:r w:rsidRPr="00D1492B">
              <w:rPr>
                <w:rFonts w:ascii="Arial Narrow" w:hAnsi="Arial Narrow"/>
                <w:b/>
              </w:rPr>
              <w:t>Zákon č. 222/2004 Z. z. o DPH</w:t>
            </w:r>
          </w:p>
          <w:p w:rsidR="00547359" w:rsidRPr="00D1492B" w:rsidRDefault="00547359" w:rsidP="00D1492B">
            <w:pPr>
              <w:pStyle w:val="Odsekzoznamu"/>
              <w:numPr>
                <w:ilvl w:val="0"/>
                <w:numId w:val="8"/>
              </w:numPr>
              <w:jc w:val="both"/>
              <w:rPr>
                <w:rFonts w:ascii="Arial Narrow" w:hAnsi="Arial Narrow"/>
              </w:rPr>
            </w:pPr>
            <w:r w:rsidRPr="00D1492B">
              <w:rPr>
                <w:rFonts w:ascii="Arial Narrow" w:hAnsi="Arial Narrow"/>
              </w:rPr>
              <w:t>§ 37 Poisťovacie služby</w:t>
            </w:r>
          </w:p>
          <w:p w:rsidR="00547359" w:rsidRPr="00D1492B" w:rsidRDefault="00547359" w:rsidP="00D1492B">
            <w:pPr>
              <w:pStyle w:val="Odsekzoznamu"/>
              <w:numPr>
                <w:ilvl w:val="0"/>
                <w:numId w:val="8"/>
              </w:numPr>
              <w:jc w:val="both"/>
              <w:rPr>
                <w:rFonts w:ascii="Arial Narrow" w:hAnsi="Arial Narrow"/>
              </w:rPr>
            </w:pPr>
            <w:r w:rsidRPr="00D1492B">
              <w:rPr>
                <w:rFonts w:ascii="Arial Narrow" w:hAnsi="Arial Narrow"/>
              </w:rPr>
              <w:t xml:space="preserve">§ 15  </w:t>
            </w:r>
          </w:p>
          <w:p w:rsidR="00547359" w:rsidRPr="00D1492B" w:rsidRDefault="00547359" w:rsidP="00D1492B">
            <w:pPr>
              <w:pStyle w:val="Odsekzoznamu"/>
              <w:numPr>
                <w:ilvl w:val="0"/>
                <w:numId w:val="8"/>
              </w:numPr>
              <w:jc w:val="both"/>
              <w:rPr>
                <w:rFonts w:ascii="Arial Narrow" w:hAnsi="Arial Narrow"/>
              </w:rPr>
            </w:pPr>
            <w:r w:rsidRPr="00D1492B">
              <w:rPr>
                <w:rFonts w:ascii="Arial Narrow" w:hAnsi="Arial Narrow"/>
              </w:rPr>
              <w:t>§22 ods. 3</w:t>
            </w:r>
          </w:p>
          <w:p w:rsidR="00547359" w:rsidRDefault="00547359" w:rsidP="00D1492B">
            <w:pPr>
              <w:pStyle w:val="Odsekzoznamu"/>
              <w:numPr>
                <w:ilvl w:val="0"/>
                <w:numId w:val="8"/>
              </w:numPr>
              <w:jc w:val="both"/>
              <w:rPr>
                <w:rFonts w:ascii="Arial Narrow" w:hAnsi="Arial Narrow"/>
              </w:rPr>
            </w:pPr>
            <w:r w:rsidRPr="00D1492B">
              <w:rPr>
                <w:rFonts w:ascii="Arial Narrow" w:hAnsi="Arial Narrow"/>
              </w:rPr>
              <w:t>§ 19 ods. 5</w:t>
            </w:r>
          </w:p>
          <w:p w:rsidR="00547359" w:rsidRDefault="00547359" w:rsidP="00547359">
            <w:pPr>
              <w:jc w:val="both"/>
              <w:rPr>
                <w:rFonts w:ascii="Arial Narrow" w:hAnsi="Arial Narrow"/>
              </w:rPr>
            </w:pPr>
          </w:p>
          <w:p w:rsidR="00547359" w:rsidRPr="00D92806" w:rsidRDefault="00547359" w:rsidP="00547359">
            <w:pPr>
              <w:pStyle w:val="Odsekzoznamu"/>
              <w:ind w:left="0"/>
              <w:jc w:val="both"/>
              <w:rPr>
                <w:rFonts w:ascii="Arial Narrow" w:hAnsi="Arial Narrow"/>
                <w:color w:val="FF0000"/>
                <w:u w:val="single"/>
              </w:rPr>
            </w:pPr>
            <w:r w:rsidRPr="00D92806">
              <w:rPr>
                <w:rFonts w:ascii="Arial Narrow" w:hAnsi="Arial Narrow"/>
                <w:color w:val="FF0000"/>
                <w:u w:val="single"/>
              </w:rPr>
              <w:t xml:space="preserve">Doplnenie zo dňa 21.4.2021: </w:t>
            </w:r>
          </w:p>
          <w:p w:rsidR="00547359" w:rsidRPr="007F5ED4" w:rsidRDefault="00547359" w:rsidP="00547359">
            <w:pPr>
              <w:pStyle w:val="Odsekzoznamu"/>
              <w:ind w:left="0"/>
              <w:jc w:val="both"/>
              <w:rPr>
                <w:rFonts w:ascii="Arial Narrow" w:hAnsi="Arial Narrow"/>
              </w:rPr>
            </w:pPr>
          </w:p>
          <w:p w:rsidR="00547359" w:rsidRPr="006A48C9" w:rsidRDefault="00547359" w:rsidP="00547359">
            <w:pPr>
              <w:jc w:val="both"/>
              <w:rPr>
                <w:rFonts w:ascii="Arial Narrow" w:hAnsi="Arial Narrow"/>
                <w:b/>
                <w:bCs/>
              </w:rPr>
            </w:pPr>
            <w:r w:rsidRPr="006A48C9">
              <w:rPr>
                <w:rFonts w:ascii="Arial Narrow" w:hAnsi="Arial Narrow"/>
                <w:b/>
                <w:bCs/>
              </w:rPr>
              <w:t>Zákon č. 563/2009 Z.</w:t>
            </w:r>
            <w:r>
              <w:rPr>
                <w:rFonts w:ascii="Arial Narrow" w:hAnsi="Arial Narrow"/>
                <w:b/>
                <w:bCs/>
              </w:rPr>
              <w:t xml:space="preserve"> </w:t>
            </w:r>
            <w:r w:rsidRPr="006A48C9">
              <w:rPr>
                <w:rFonts w:ascii="Arial Narrow" w:hAnsi="Arial Narrow"/>
                <w:b/>
                <w:bCs/>
              </w:rPr>
              <w:t>z., Daňový poriadok</w:t>
            </w:r>
          </w:p>
          <w:p w:rsidR="00547359" w:rsidRPr="006A48C9" w:rsidRDefault="00547359" w:rsidP="00547359">
            <w:pPr>
              <w:pStyle w:val="Odsekzoznamu"/>
              <w:numPr>
                <w:ilvl w:val="0"/>
                <w:numId w:val="12"/>
              </w:numPr>
              <w:jc w:val="both"/>
              <w:rPr>
                <w:rFonts w:ascii="Arial Narrow" w:hAnsi="Arial Narrow"/>
              </w:rPr>
            </w:pPr>
            <w:r w:rsidRPr="006A48C9">
              <w:rPr>
                <w:rFonts w:ascii="Arial Narrow" w:hAnsi="Arial Narrow"/>
              </w:rPr>
              <w:t>§ 24 – Dokazovanie – tento paragraf správcovia dane využívajú veľmi širokom rozsahu napríklad aj na zisťovanie skutočností, ktoré už boli predmetom daňovej kontroly alebo je tento paragraf použitý namiesto miestneho zisťovania. Paragraf sa dá zo strany správcu dane využiť na zistenie akýchkoľvek skutočnosti. Záväzné stanovisko k paragrafu 24 by zvýšilo právnu istotu daňovníkov ohľadom informácií, ktoré môže správca dane požadovať a či tie isté informácie môže napríklad požadovať opakovane. Treba dodať, že v riadnom konaní, akým je napríklad daňová kontrola alebo miestne zisťovanie má daňovník jasne stanovené práva a povinnosti ale pri „Dokazovaní“ ide viac – menej o jednostrannú požiadavku správcu dane.</w:t>
            </w:r>
          </w:p>
          <w:p w:rsidR="00547359" w:rsidRPr="006A48C9" w:rsidRDefault="00547359" w:rsidP="00547359">
            <w:pPr>
              <w:pStyle w:val="Odsekzoznamu"/>
              <w:numPr>
                <w:ilvl w:val="0"/>
                <w:numId w:val="12"/>
              </w:numPr>
              <w:jc w:val="both"/>
              <w:rPr>
                <w:rFonts w:ascii="Arial Narrow" w:hAnsi="Arial Narrow"/>
              </w:rPr>
            </w:pPr>
            <w:r w:rsidRPr="006A48C9">
              <w:rPr>
                <w:rFonts w:ascii="Arial Narrow" w:hAnsi="Arial Narrow"/>
              </w:rPr>
              <w:lastRenderedPageBreak/>
              <w:t xml:space="preserve">§ 26 - Poskytovanie údajov správcovi dane, najmä ods. 4 – oznamovanie výplat poistných plnení – Podľa ods. 4 „Poisťovňa alebo pobočka zahraničnej poisťovne a zaisťovňa alebo pobočka zahraničnej zaisťovne je povinná oznamovať správcovi dane výplaty poistných plnení, ktoré nahrádzajú príjem alebo výnos, do 30 dní po skončení príslušného kalendárneho roka“ – znenie zákona je koncipované veľmi všeobecne. Poisťovne preto zasielajú správcovi dane veľa údajov, ktoré sú možno zbytočné. V prípade záväzného stanoviska by poisťovne mali vyššiu právnu istotu, čo presne sa myslí pod pojmom „nahrádza príjem alebo výnos“ a to pri konkrétnych typoch poistenia, ktoré sa ale, samozrejme, pravidelne menia. </w:t>
            </w:r>
          </w:p>
          <w:p w:rsidR="00547359" w:rsidRPr="006A48C9" w:rsidRDefault="00547359" w:rsidP="00547359">
            <w:pPr>
              <w:pStyle w:val="Odsekzoznamu"/>
              <w:numPr>
                <w:ilvl w:val="0"/>
                <w:numId w:val="12"/>
              </w:numPr>
              <w:jc w:val="both"/>
              <w:rPr>
                <w:rFonts w:ascii="Arial Narrow" w:hAnsi="Arial Narrow"/>
              </w:rPr>
            </w:pPr>
            <w:r w:rsidRPr="006A48C9">
              <w:rPr>
                <w:rFonts w:ascii="Arial Narrow" w:hAnsi="Arial Narrow"/>
              </w:rPr>
              <w:t xml:space="preserve">§ 53d - Index daňovej spoľahlivosti – kritériá pre hodnotenie sú nejasné a daňová správa odmieta zdôvodniť svoje rozhodnutia v tejto oblasti. Napríklad, ak je kritérium hodnotenia „výsledky daňových kontrol“ znamená to, že akékoľvek dorubenie dane (aj za malú administratívnu chybu) je dôvodom na označenie subjektu za nespoľahlivý? Ak áno, čaká sa s takýmto označením do ukončenia všetkých opravných prostriedkov (napr. súdne rozhodnutie) alebo hneď ako správca dane dorubí daň je subjekt automaticky nespoľahlivý? Vzhľadom na to, že daňové orgány dlhodobo sľubujú, že inštitút spoľahlivosti bude mať do budúcna čoraz väčší význam, predpokladáme viac a viac otázok na túto tému. </w:t>
            </w:r>
          </w:p>
          <w:p w:rsidR="00547359" w:rsidRPr="006A48C9" w:rsidRDefault="00547359" w:rsidP="00547359">
            <w:pPr>
              <w:pStyle w:val="Odsekzoznamu"/>
              <w:numPr>
                <w:ilvl w:val="0"/>
                <w:numId w:val="12"/>
              </w:numPr>
              <w:jc w:val="both"/>
              <w:rPr>
                <w:rFonts w:ascii="Arial Narrow" w:hAnsi="Arial Narrow"/>
              </w:rPr>
            </w:pPr>
            <w:r w:rsidRPr="006A48C9">
              <w:rPr>
                <w:rFonts w:ascii="Arial Narrow" w:hAnsi="Arial Narrow"/>
              </w:rPr>
              <w:t xml:space="preserve">§ 69 - Zánik práva vyrubiť daň – zánik práva vyrubiť daň je pre daňovníkov extréme dôležitý a keďže závisí od viacerých kritérií (časové hľadisko, uplatnenie straty, vykonanie úkonu smerujúceho na vyrubenie dane, medzinárodné zmluvy...) v praxi môže prísť ku prípadom, ktoré nie sú úplne jasné zo zákona. Daňovníci, napríklad aj pre účely plnenia povinností z hľadiska archivácie účtovných dokumentov, by ocenili väčšiu právnu istotu v prípade, ktoré nie sú úplne jasné zo zákona. </w:t>
            </w:r>
          </w:p>
          <w:p w:rsidR="00547359" w:rsidRDefault="00547359" w:rsidP="00547359">
            <w:pPr>
              <w:pStyle w:val="Odsekzoznamu"/>
              <w:numPr>
                <w:ilvl w:val="0"/>
                <w:numId w:val="12"/>
              </w:numPr>
              <w:jc w:val="both"/>
              <w:rPr>
                <w:rFonts w:ascii="Arial Narrow" w:hAnsi="Arial Narrow"/>
              </w:rPr>
            </w:pPr>
            <w:r w:rsidRPr="006A48C9">
              <w:rPr>
                <w:rFonts w:ascii="Arial Narrow" w:hAnsi="Arial Narrow"/>
              </w:rPr>
              <w:t xml:space="preserve">PIATA ČASŤ - ZODPOVEDNOSŤ ZA PORUŠENIE POVINNOSTÍ (všetky paragrafy) – existujú rôzne delikty,  niekoľko druhov sankcií, môže nastať ich súčasný prienik. Napriek tomu vo väčšine prípadov je zákon jasný a zrejmý. V praxi sa však vyskytujú aj špecifické prípady a situácie, ktoré nie je možné priamo v zákone popísať, preto by právna istota v tejto oblasti (vzhľadom na priamy dopad na náklady spoločnosti) posilnila právnu istotu daňovníkov. </w:t>
            </w:r>
          </w:p>
          <w:p w:rsidR="00547359" w:rsidRPr="00547359" w:rsidRDefault="00547359" w:rsidP="00547359">
            <w:pPr>
              <w:pStyle w:val="Odsekzoznamu"/>
              <w:ind w:left="360"/>
              <w:jc w:val="both"/>
              <w:rPr>
                <w:rFonts w:ascii="Arial Narrow" w:hAnsi="Arial Narrow"/>
              </w:rPr>
            </w:pPr>
          </w:p>
        </w:tc>
        <w:tc>
          <w:tcPr>
            <w:tcW w:w="1276" w:type="dxa"/>
          </w:tcPr>
          <w:p w:rsidR="00547359" w:rsidRPr="00D1492B" w:rsidRDefault="00547359" w:rsidP="00D1492B">
            <w:pPr>
              <w:rPr>
                <w:rFonts w:ascii="Arial Narrow" w:hAnsi="Arial Narrow"/>
              </w:rPr>
            </w:pPr>
          </w:p>
        </w:tc>
      </w:tr>
      <w:tr w:rsidR="00547359" w:rsidRPr="00D1492B" w:rsidTr="00547359">
        <w:tc>
          <w:tcPr>
            <w:tcW w:w="1971" w:type="dxa"/>
          </w:tcPr>
          <w:p w:rsidR="00547359" w:rsidRPr="00437337" w:rsidRDefault="00547359" w:rsidP="00D1492B">
            <w:pPr>
              <w:pStyle w:val="Odsekzoznamu"/>
              <w:numPr>
                <w:ilvl w:val="0"/>
                <w:numId w:val="2"/>
              </w:numPr>
              <w:ind w:left="313" w:hanging="313"/>
              <w:rPr>
                <w:rFonts w:ascii="Arial Narrow" w:hAnsi="Arial Narrow"/>
                <w:b/>
              </w:rPr>
            </w:pPr>
            <w:r w:rsidRPr="00437337">
              <w:rPr>
                <w:rFonts w:ascii="Arial Narrow" w:hAnsi="Arial Narrow"/>
                <w:b/>
              </w:rPr>
              <w:lastRenderedPageBreak/>
              <w:t xml:space="preserve">SKDP (Slovenská komora daňových poradcov) </w:t>
            </w:r>
          </w:p>
        </w:tc>
        <w:tc>
          <w:tcPr>
            <w:tcW w:w="10640" w:type="dxa"/>
          </w:tcPr>
          <w:p w:rsidR="00547359" w:rsidRPr="00437337" w:rsidRDefault="00547359" w:rsidP="00437337">
            <w:pPr>
              <w:jc w:val="both"/>
              <w:rPr>
                <w:rFonts w:ascii="Arial Narrow" w:hAnsi="Arial Narrow"/>
              </w:rPr>
            </w:pPr>
            <w:r w:rsidRPr="00437337">
              <w:rPr>
                <w:rFonts w:ascii="Arial Narrow" w:hAnsi="Arial Narrow"/>
              </w:rPr>
              <w:t xml:space="preserve">Pozitívne vnímame, že Ministerstvo financií SR plánuje rozšíriť rozsah ustanovení daňových predpisov, ku ktorým môže v súčasnosti daňový subjekt požiadať finančné riaditeľstvo o záväzné stanovisko. V súčasnosti zahŕňa len veľmi obmedzené množstvo ustanovení zákona č. 595/2003 Z. z. o dani z príjmov v znení neskorších predpisov („zákon o dani z príjmov“) a zákona č. č. 222/2004 Z. z. o dani z pridanej hodnoty v znení neskorších predpisov („zákon o DPH“). </w:t>
            </w:r>
          </w:p>
          <w:p w:rsidR="00547359" w:rsidRPr="00437337" w:rsidRDefault="00547359" w:rsidP="00437337">
            <w:pPr>
              <w:jc w:val="both"/>
              <w:rPr>
                <w:rFonts w:ascii="Arial Narrow" w:hAnsi="Arial Narrow"/>
              </w:rPr>
            </w:pPr>
          </w:p>
          <w:p w:rsidR="00547359" w:rsidRPr="00437337" w:rsidRDefault="00547359" w:rsidP="00437337">
            <w:pPr>
              <w:jc w:val="both"/>
              <w:rPr>
                <w:rFonts w:ascii="Arial Narrow" w:hAnsi="Arial Narrow"/>
              </w:rPr>
            </w:pPr>
            <w:r w:rsidRPr="00437337">
              <w:rPr>
                <w:rFonts w:ascii="Arial Narrow" w:hAnsi="Arial Narrow"/>
              </w:rPr>
              <w:t>Vzhľadom na prezentovaný zámer predkladateľov sprístupniť inštitút vydávania záväzných stanovísk daňovým subjektom navrhujeme podstatne rozšíriť rozsah ustanovení predpisov, ku ktorých uplatneniu možno vydať záväzné stanovisko, a to najmä:</w:t>
            </w:r>
          </w:p>
          <w:p w:rsidR="00547359" w:rsidRPr="00437337" w:rsidRDefault="00547359" w:rsidP="00437337">
            <w:pPr>
              <w:jc w:val="both"/>
              <w:rPr>
                <w:rFonts w:ascii="Arial Narrow" w:hAnsi="Arial Narrow"/>
              </w:rPr>
            </w:pPr>
            <w:r w:rsidRPr="00437337">
              <w:rPr>
                <w:rFonts w:ascii="Arial Narrow" w:hAnsi="Arial Narrow"/>
              </w:rPr>
              <w:t xml:space="preserve"> </w:t>
            </w:r>
          </w:p>
          <w:p w:rsidR="00547359" w:rsidRPr="000962C6" w:rsidRDefault="00547359" w:rsidP="00437337">
            <w:pPr>
              <w:jc w:val="both"/>
              <w:rPr>
                <w:rFonts w:ascii="Arial Narrow" w:hAnsi="Arial Narrow"/>
                <w:b/>
              </w:rPr>
            </w:pPr>
            <w:r>
              <w:rPr>
                <w:rFonts w:ascii="Arial Narrow" w:hAnsi="Arial Narrow"/>
                <w:b/>
              </w:rPr>
              <w:t>- o ďalšie, okrem už pokrytých</w:t>
            </w:r>
            <w:r w:rsidRPr="000962C6">
              <w:rPr>
                <w:rFonts w:ascii="Arial Narrow" w:hAnsi="Arial Narrow"/>
                <w:b/>
              </w:rPr>
              <w:t xml:space="preserve"> ustanovení zákona o dani z príjmov, a to predovšetkým ustanovení § 13a až § 13c, </w:t>
            </w:r>
            <w:r>
              <w:rPr>
                <w:rFonts w:ascii="Arial Narrow" w:hAnsi="Arial Narrow"/>
                <w:b/>
              </w:rPr>
              <w:br/>
            </w:r>
            <w:r w:rsidRPr="000962C6">
              <w:rPr>
                <w:rFonts w:ascii="Arial Narrow" w:hAnsi="Arial Narrow"/>
                <w:b/>
              </w:rPr>
              <w:t xml:space="preserve">§ 17 až § 17j, § 20 až § 22, § 24 až § 29 zákona o dani z príjmov, a </w:t>
            </w:r>
          </w:p>
          <w:p w:rsidR="00547359" w:rsidRPr="00437337" w:rsidRDefault="00547359" w:rsidP="00437337">
            <w:pPr>
              <w:jc w:val="both"/>
              <w:rPr>
                <w:rFonts w:ascii="Arial Narrow" w:hAnsi="Arial Narrow"/>
              </w:rPr>
            </w:pPr>
          </w:p>
          <w:p w:rsidR="00547359" w:rsidRPr="000962C6" w:rsidRDefault="00547359" w:rsidP="00437337">
            <w:pPr>
              <w:jc w:val="both"/>
              <w:rPr>
                <w:rFonts w:ascii="Arial Narrow" w:hAnsi="Arial Narrow"/>
                <w:b/>
              </w:rPr>
            </w:pPr>
            <w:r w:rsidRPr="000962C6">
              <w:rPr>
                <w:rFonts w:ascii="Arial Narrow" w:hAnsi="Arial Narrow"/>
                <w:b/>
              </w:rPr>
              <w:t xml:space="preserve">- ustanovení zákona č. 431/2002 Z. z. o účtovníctve a opatrenia Ministerstva financií Slovenskej republiky č. 16. decembra 2002 č. 23054/2002-92, ktorým sa ustanovujú podrobnosti o postupoch účtovania a rámcovej účtovej osnove pre </w:t>
            </w:r>
            <w:r w:rsidRPr="000962C6">
              <w:rPr>
                <w:rFonts w:ascii="Arial Narrow" w:hAnsi="Arial Narrow"/>
                <w:b/>
              </w:rPr>
              <w:lastRenderedPageBreak/>
              <w:t>podnikateľov účtujúcich v sústave podvojného účtovníctva, a to v rozsahu potrebnom pre posúdenie ošetrenia transakcie z pohľadu zákona o dani z príjmov,</w:t>
            </w:r>
          </w:p>
          <w:p w:rsidR="00547359" w:rsidRPr="00437337" w:rsidRDefault="00547359" w:rsidP="00437337">
            <w:pPr>
              <w:jc w:val="both"/>
              <w:rPr>
                <w:rFonts w:ascii="Arial Narrow" w:hAnsi="Arial Narrow"/>
              </w:rPr>
            </w:pPr>
          </w:p>
          <w:p w:rsidR="00547359" w:rsidRPr="000962C6" w:rsidRDefault="00547359" w:rsidP="00437337">
            <w:pPr>
              <w:jc w:val="both"/>
              <w:rPr>
                <w:rFonts w:ascii="Arial Narrow" w:hAnsi="Arial Narrow"/>
                <w:b/>
              </w:rPr>
            </w:pPr>
            <w:r w:rsidRPr="000962C6">
              <w:rPr>
                <w:rFonts w:ascii="Arial Narrow" w:hAnsi="Arial Narrow"/>
                <w:b/>
              </w:rPr>
              <w:t xml:space="preserve">- v </w:t>
            </w:r>
            <w:r>
              <w:rPr>
                <w:rFonts w:ascii="Arial Narrow" w:hAnsi="Arial Narrow"/>
                <w:b/>
              </w:rPr>
              <w:t xml:space="preserve">prípade zákona o DPH, aby sa vydávanie </w:t>
            </w:r>
            <w:r w:rsidRPr="000962C6">
              <w:rPr>
                <w:rFonts w:ascii="Arial Narrow" w:hAnsi="Arial Narrow"/>
                <w:b/>
              </w:rPr>
              <w:t>záväzných stanovísk neviazalo na konkrétny paragraf zákona, ale aby bolo možné žiadať o stanovisko ku ktorémukoľvek ustanoveniu zákona o DPH.</w:t>
            </w:r>
          </w:p>
          <w:p w:rsidR="00547359" w:rsidRPr="00437337" w:rsidRDefault="00547359" w:rsidP="00437337">
            <w:pPr>
              <w:jc w:val="both"/>
              <w:rPr>
                <w:rFonts w:ascii="Arial Narrow" w:hAnsi="Arial Narrow"/>
              </w:rPr>
            </w:pPr>
          </w:p>
          <w:p w:rsidR="00547359" w:rsidRDefault="00547359" w:rsidP="00437337">
            <w:pPr>
              <w:jc w:val="both"/>
              <w:rPr>
                <w:rFonts w:ascii="Arial Narrow" w:hAnsi="Arial Narrow"/>
              </w:rPr>
            </w:pPr>
            <w:r w:rsidRPr="00437337">
              <w:rPr>
                <w:rFonts w:ascii="Arial Narrow" w:hAnsi="Arial Narrow"/>
              </w:rPr>
              <w:t>Zároveň navrhuje zvážiť zníženie poplatkov za vydanie záväzného stanoviska a skrátenie lehôt na vydanie záväzných stanovísk uvedených v § 53a ods. 5 zákona č. 563/2009 Z.</w:t>
            </w:r>
            <w:r>
              <w:rPr>
                <w:rFonts w:ascii="Arial Narrow" w:hAnsi="Arial Narrow"/>
              </w:rPr>
              <w:t xml:space="preserve"> </w:t>
            </w:r>
            <w:r w:rsidRPr="00437337">
              <w:rPr>
                <w:rFonts w:ascii="Arial Narrow" w:hAnsi="Arial Narrow"/>
              </w:rPr>
              <w:t xml:space="preserve">z. </w:t>
            </w:r>
            <w:r>
              <w:rPr>
                <w:rFonts w:ascii="Arial Narrow" w:hAnsi="Arial Narrow"/>
              </w:rPr>
              <w:t>o správe daní (daňový poriadok).*</w:t>
            </w:r>
          </w:p>
          <w:p w:rsidR="008161F8" w:rsidRDefault="008161F8" w:rsidP="00437337">
            <w:pPr>
              <w:jc w:val="both"/>
              <w:rPr>
                <w:rFonts w:ascii="Arial Narrow" w:hAnsi="Arial Narrow"/>
              </w:rPr>
            </w:pPr>
          </w:p>
          <w:p w:rsidR="008161F8" w:rsidRPr="00D92806" w:rsidRDefault="008161F8" w:rsidP="008161F8">
            <w:pPr>
              <w:pStyle w:val="Odsekzoznamu"/>
              <w:ind w:left="0"/>
              <w:jc w:val="both"/>
              <w:rPr>
                <w:rFonts w:ascii="Arial Narrow" w:hAnsi="Arial Narrow"/>
                <w:color w:val="FF0000"/>
                <w:u w:val="single"/>
              </w:rPr>
            </w:pPr>
            <w:r w:rsidRPr="00D92806">
              <w:rPr>
                <w:rFonts w:ascii="Arial Narrow" w:hAnsi="Arial Narrow"/>
                <w:color w:val="FF0000"/>
                <w:u w:val="single"/>
              </w:rPr>
              <w:t>Doplnenie zo dňa 30</w:t>
            </w:r>
            <w:r w:rsidRPr="00D92806">
              <w:rPr>
                <w:rFonts w:ascii="Arial Narrow" w:hAnsi="Arial Narrow"/>
                <w:color w:val="FF0000"/>
                <w:u w:val="single"/>
              </w:rPr>
              <w:t xml:space="preserve">.4.2021: </w:t>
            </w:r>
          </w:p>
          <w:p w:rsidR="008161F8" w:rsidRDefault="008161F8" w:rsidP="008161F8">
            <w:pPr>
              <w:jc w:val="both"/>
              <w:rPr>
                <w:rFonts w:ascii="Arial Narrow" w:hAnsi="Arial Narrow"/>
              </w:rPr>
            </w:pPr>
          </w:p>
          <w:p w:rsidR="008161F8" w:rsidRPr="008161F8" w:rsidRDefault="008161F8" w:rsidP="008161F8">
            <w:pPr>
              <w:jc w:val="both"/>
              <w:rPr>
                <w:rFonts w:ascii="Arial Narrow" w:hAnsi="Arial Narrow"/>
              </w:rPr>
            </w:pPr>
            <w:r w:rsidRPr="008161F8">
              <w:rPr>
                <w:rFonts w:ascii="Arial Narrow" w:hAnsi="Arial Narrow"/>
              </w:rPr>
              <w:t>Podnety členov MLK pre DPH, SD a clo k zápisnici z verejnej konzultácie k PI/2021/62 k novele Vyhlášky MFSR č. 229/2014 Z. z., ktorou sa ustanovuje rozsah daňových predpisov, ku ktorých uplatneniu možno vydať záväzné stanovisko (termín konania verejnej konzultácie 20. 04. 2021)</w:t>
            </w:r>
          </w:p>
          <w:p w:rsidR="008161F8" w:rsidRPr="008161F8" w:rsidRDefault="008161F8" w:rsidP="008161F8">
            <w:pPr>
              <w:jc w:val="both"/>
              <w:rPr>
                <w:rFonts w:ascii="Arial Narrow" w:hAnsi="Arial Narrow"/>
              </w:rPr>
            </w:pPr>
          </w:p>
          <w:p w:rsidR="008161F8" w:rsidRPr="008161F8" w:rsidRDefault="008161F8" w:rsidP="008161F8">
            <w:pPr>
              <w:jc w:val="both"/>
              <w:rPr>
                <w:rFonts w:ascii="Arial Narrow" w:hAnsi="Arial Narrow"/>
              </w:rPr>
            </w:pPr>
            <w:r w:rsidRPr="008161F8">
              <w:rPr>
                <w:rFonts w:ascii="Arial Narrow" w:hAnsi="Arial Narrow"/>
                <w:b/>
              </w:rPr>
              <w:t>1)</w:t>
            </w:r>
            <w:r w:rsidRPr="008161F8">
              <w:rPr>
                <w:rFonts w:ascii="Arial Narrow" w:hAnsi="Arial Narrow"/>
                <w:b/>
              </w:rPr>
              <w:tab/>
              <w:t>K zákonu č. 222/2004 Z. z. o DPH navrhujeme doplniť možnosť vyžiadať záväzné stanovisko k nasledovným ustanoveniam:</w:t>
            </w:r>
          </w:p>
          <w:p w:rsidR="008161F8" w:rsidRPr="008161F8" w:rsidRDefault="008161F8" w:rsidP="008161F8">
            <w:pPr>
              <w:jc w:val="both"/>
              <w:rPr>
                <w:rFonts w:ascii="Arial Narrow" w:hAnsi="Arial Narrow"/>
              </w:rPr>
            </w:pPr>
          </w:p>
          <w:p w:rsidR="008161F8" w:rsidRPr="008161F8" w:rsidRDefault="008161F8" w:rsidP="008161F8">
            <w:pPr>
              <w:jc w:val="both"/>
              <w:rPr>
                <w:rFonts w:ascii="Arial Narrow" w:hAnsi="Arial Narrow"/>
              </w:rPr>
            </w:pPr>
            <w:r w:rsidRPr="008161F8">
              <w:rPr>
                <w:rFonts w:ascii="Arial Narrow" w:hAnsi="Arial Narrow"/>
              </w:rPr>
              <w:t>•</w:t>
            </w:r>
            <w:r w:rsidRPr="008161F8">
              <w:rPr>
                <w:rFonts w:ascii="Arial Narrow" w:hAnsi="Arial Narrow"/>
              </w:rPr>
              <w:tab/>
            </w:r>
            <w:r w:rsidRPr="00D92806">
              <w:rPr>
                <w:rFonts w:ascii="Arial Narrow" w:hAnsi="Arial Narrow"/>
                <w:b/>
              </w:rPr>
              <w:t>§ 8 ods. 2 a 3 a k § 9 ods. 2 a 3</w:t>
            </w:r>
            <w:r w:rsidRPr="008161F8">
              <w:rPr>
                <w:rFonts w:ascii="Arial Narrow" w:hAnsi="Arial Narrow"/>
              </w:rPr>
              <w:t xml:space="preserve"> vo väzbe na posudzovanie bezodplatného dodania na podnikanie a na iný účel ako na podnikanie, ktoré sa považuje/nepovažuje za dodanie za protihodnotu,</w:t>
            </w:r>
          </w:p>
          <w:p w:rsidR="008161F8" w:rsidRPr="008161F8" w:rsidRDefault="008161F8" w:rsidP="008161F8">
            <w:pPr>
              <w:jc w:val="both"/>
              <w:rPr>
                <w:rFonts w:ascii="Arial Narrow" w:hAnsi="Arial Narrow"/>
              </w:rPr>
            </w:pPr>
            <w:r w:rsidRPr="008161F8">
              <w:rPr>
                <w:rFonts w:ascii="Arial Narrow" w:hAnsi="Arial Narrow"/>
              </w:rPr>
              <w:t>•</w:t>
            </w:r>
            <w:r w:rsidRPr="008161F8">
              <w:rPr>
                <w:rFonts w:ascii="Arial Narrow" w:hAnsi="Arial Narrow"/>
              </w:rPr>
              <w:tab/>
            </w:r>
            <w:r w:rsidRPr="00D92806">
              <w:rPr>
                <w:rFonts w:ascii="Arial Narrow" w:hAnsi="Arial Narrow"/>
                <w:b/>
              </w:rPr>
              <w:t>§ 4 ods. 4</w:t>
            </w:r>
            <w:r w:rsidRPr="008161F8">
              <w:rPr>
                <w:rFonts w:ascii="Arial Narrow" w:hAnsi="Arial Narrow"/>
              </w:rPr>
              <w:t xml:space="preserve"> - ide o ustanovenie týkajúce sa nadobudnutia postavenia platiteľa dane priamo zo zákona  (nejasne najme v situáciách pri nadobudnutí podniku alebo jeho časti)</w:t>
            </w:r>
          </w:p>
          <w:p w:rsidR="008161F8" w:rsidRPr="008161F8" w:rsidRDefault="008161F8" w:rsidP="008161F8">
            <w:pPr>
              <w:jc w:val="both"/>
              <w:rPr>
                <w:rFonts w:ascii="Arial Narrow" w:hAnsi="Arial Narrow"/>
              </w:rPr>
            </w:pPr>
            <w:r w:rsidRPr="008161F8">
              <w:rPr>
                <w:rFonts w:ascii="Arial Narrow" w:hAnsi="Arial Narrow"/>
              </w:rPr>
              <w:t>•</w:t>
            </w:r>
            <w:r w:rsidRPr="008161F8">
              <w:rPr>
                <w:rFonts w:ascii="Arial Narrow" w:hAnsi="Arial Narrow"/>
              </w:rPr>
              <w:tab/>
            </w:r>
            <w:r w:rsidRPr="00D92806">
              <w:rPr>
                <w:rFonts w:ascii="Arial Narrow" w:hAnsi="Arial Narrow"/>
                <w:b/>
              </w:rPr>
              <w:t>§ 13 -  § 18</w:t>
            </w:r>
            <w:r w:rsidRPr="008161F8">
              <w:rPr>
                <w:rFonts w:ascii="Arial Narrow" w:hAnsi="Arial Narrow"/>
              </w:rPr>
              <w:t xml:space="preserve"> - ide o ustanovenia týkajúce sa miesta zdaniteľného obchodu</w:t>
            </w:r>
          </w:p>
          <w:p w:rsidR="008161F8" w:rsidRPr="008161F8" w:rsidRDefault="008161F8" w:rsidP="008161F8">
            <w:pPr>
              <w:jc w:val="both"/>
              <w:rPr>
                <w:rFonts w:ascii="Arial Narrow" w:hAnsi="Arial Narrow"/>
              </w:rPr>
            </w:pPr>
            <w:r w:rsidRPr="008161F8">
              <w:rPr>
                <w:rFonts w:ascii="Arial Narrow" w:hAnsi="Arial Narrow"/>
              </w:rPr>
              <w:t>•</w:t>
            </w:r>
            <w:r w:rsidRPr="008161F8">
              <w:rPr>
                <w:rFonts w:ascii="Arial Narrow" w:hAnsi="Arial Narrow"/>
              </w:rPr>
              <w:tab/>
            </w:r>
            <w:r w:rsidRPr="00D92806">
              <w:rPr>
                <w:rFonts w:ascii="Arial Narrow" w:hAnsi="Arial Narrow"/>
                <w:b/>
              </w:rPr>
              <w:t>§ 25a</w:t>
            </w:r>
            <w:r w:rsidRPr="008161F8">
              <w:rPr>
                <w:rFonts w:ascii="Arial Narrow" w:hAnsi="Arial Narrow"/>
              </w:rPr>
              <w:t xml:space="preserve"> - nove ustanovenie k oprave základu dane pri nezaplatení protihodnoty za dodanie tovaru alebo služby - (nové ustanovenie, ktoré zo sebou prináša veľa rôznorodých otázok resp. situácii v praxi, ktoré priamo v zákone nie sú upravene),</w:t>
            </w:r>
          </w:p>
          <w:p w:rsidR="008161F8" w:rsidRPr="008161F8" w:rsidRDefault="008161F8" w:rsidP="008161F8">
            <w:pPr>
              <w:jc w:val="both"/>
              <w:rPr>
                <w:rFonts w:ascii="Arial Narrow" w:hAnsi="Arial Narrow"/>
              </w:rPr>
            </w:pPr>
            <w:r w:rsidRPr="008161F8">
              <w:rPr>
                <w:rFonts w:ascii="Arial Narrow" w:hAnsi="Arial Narrow"/>
              </w:rPr>
              <w:t>•</w:t>
            </w:r>
            <w:r w:rsidRPr="008161F8">
              <w:rPr>
                <w:rFonts w:ascii="Arial Narrow" w:hAnsi="Arial Narrow"/>
              </w:rPr>
              <w:tab/>
            </w:r>
            <w:r w:rsidRPr="00D92806">
              <w:rPr>
                <w:rFonts w:ascii="Arial Narrow" w:hAnsi="Arial Narrow"/>
                <w:b/>
              </w:rPr>
              <w:t>§  38</w:t>
            </w:r>
            <w:r w:rsidRPr="008161F8">
              <w:rPr>
                <w:rFonts w:ascii="Arial Narrow" w:hAnsi="Arial Narrow"/>
              </w:rPr>
              <w:t xml:space="preserve"> - ide o ustanovenie k dodaniu a nájmu nehnuteľnosti,</w:t>
            </w:r>
          </w:p>
          <w:p w:rsidR="008161F8" w:rsidRDefault="008161F8" w:rsidP="008161F8">
            <w:pPr>
              <w:jc w:val="both"/>
              <w:rPr>
                <w:rFonts w:ascii="Arial Narrow" w:hAnsi="Arial Narrow"/>
              </w:rPr>
            </w:pPr>
            <w:r w:rsidRPr="008161F8">
              <w:rPr>
                <w:rFonts w:ascii="Arial Narrow" w:hAnsi="Arial Narrow"/>
              </w:rPr>
              <w:t>•</w:t>
            </w:r>
            <w:r w:rsidRPr="008161F8">
              <w:rPr>
                <w:rFonts w:ascii="Arial Narrow" w:hAnsi="Arial Narrow"/>
              </w:rPr>
              <w:tab/>
            </w:r>
            <w:r w:rsidRPr="00D92806">
              <w:rPr>
                <w:rFonts w:ascii="Arial Narrow" w:hAnsi="Arial Narrow"/>
                <w:b/>
              </w:rPr>
              <w:t>§ 49 najmä ods. 2</w:t>
            </w:r>
            <w:r w:rsidRPr="008161F8">
              <w:rPr>
                <w:rFonts w:ascii="Arial Narrow" w:hAnsi="Arial Narrow"/>
              </w:rPr>
              <w:t xml:space="preserve"> – odpočítanie dane platiteľom vo väzbe na posúdenie použitia tovarov a služieb ako platiteľ.</w:t>
            </w:r>
          </w:p>
          <w:p w:rsidR="00D92806" w:rsidRPr="008161F8" w:rsidRDefault="00D92806" w:rsidP="008161F8">
            <w:pPr>
              <w:jc w:val="both"/>
              <w:rPr>
                <w:rFonts w:ascii="Arial Narrow" w:hAnsi="Arial Narrow"/>
              </w:rPr>
            </w:pPr>
          </w:p>
          <w:p w:rsidR="008161F8" w:rsidRDefault="008161F8" w:rsidP="008161F8">
            <w:pPr>
              <w:jc w:val="both"/>
              <w:rPr>
                <w:rFonts w:ascii="Arial Narrow" w:hAnsi="Arial Narrow"/>
              </w:rPr>
            </w:pPr>
            <w:r w:rsidRPr="008161F8">
              <w:rPr>
                <w:rFonts w:ascii="Arial Narrow" w:hAnsi="Arial Narrow"/>
              </w:rPr>
              <w:t>Vyššie uvedene ustanovenia zákona o DPH navrhujeme do vyhlášky doplniť najmä z dôvodu, že sa v praxi stretávame s rozmanitými situáciami a otázkami daňových subjektov, ktorých správne daňové ošetrenie z pohľadu DPH závisí na správnej aplikácii týchto ustanovení a nakoľko ide o ustanovenia, ktoré sa novelami stále menia a ich výklad nie vždy pokrýva všetky špecifické situácie, ich doplnenie do vyhlášky by predstavovalo výrazne zvýšenie právnej istoty a tým zlepšenie a zatraktívnenie podnikateľského prostredia na Slovensku.</w:t>
            </w:r>
            <w:r w:rsidR="00D92806">
              <w:rPr>
                <w:rFonts w:ascii="Arial Narrow" w:hAnsi="Arial Narrow"/>
              </w:rPr>
              <w:t xml:space="preserve"> </w:t>
            </w:r>
          </w:p>
          <w:p w:rsidR="00D92806" w:rsidRPr="008161F8" w:rsidRDefault="00D92806" w:rsidP="008161F8">
            <w:pPr>
              <w:jc w:val="both"/>
              <w:rPr>
                <w:rFonts w:ascii="Arial Narrow" w:hAnsi="Arial Narrow"/>
              </w:rPr>
            </w:pPr>
          </w:p>
          <w:p w:rsidR="008161F8" w:rsidRDefault="008161F8" w:rsidP="008161F8">
            <w:pPr>
              <w:jc w:val="both"/>
              <w:rPr>
                <w:rFonts w:ascii="Arial Narrow" w:hAnsi="Arial Narrow"/>
              </w:rPr>
            </w:pPr>
            <w:r w:rsidRPr="008161F8">
              <w:rPr>
                <w:rFonts w:ascii="Arial Narrow" w:hAnsi="Arial Narrow"/>
                <w:b/>
              </w:rPr>
              <w:lastRenderedPageBreak/>
              <w:t>2)</w:t>
            </w:r>
            <w:r w:rsidRPr="008161F8">
              <w:rPr>
                <w:rFonts w:ascii="Arial Narrow" w:hAnsi="Arial Narrow"/>
              </w:rPr>
              <w:tab/>
            </w:r>
            <w:r w:rsidRPr="008161F8">
              <w:rPr>
                <w:rFonts w:ascii="Arial Narrow" w:hAnsi="Arial Narrow"/>
                <w:b/>
              </w:rPr>
              <w:t>K zákonu č. 563/2009 Z. z. o správe daní (daňový poriadok) navrhujeme doplniť možnosť vyžiadať záväzné stanovisko k</w:t>
            </w:r>
            <w:r w:rsidR="00D92806">
              <w:rPr>
                <w:rFonts w:ascii="Arial Narrow" w:hAnsi="Arial Narrow"/>
              </w:rPr>
              <w:t xml:space="preserve"> uplatneniu</w:t>
            </w:r>
            <w:r w:rsidRPr="008161F8">
              <w:rPr>
                <w:rFonts w:ascii="Arial Narrow" w:hAnsi="Arial Narrow"/>
                <w:b/>
              </w:rPr>
              <w:t xml:space="preserve"> § 3 ods. 6</w:t>
            </w:r>
            <w:r w:rsidRPr="008161F8">
              <w:rPr>
                <w:rFonts w:ascii="Arial Narrow" w:hAnsi="Arial Narrow"/>
              </w:rPr>
              <w:t xml:space="preserve"> (základnej zásady pri správe daní „obsah nad formou“ právneho úkonu) správcom dane napr. v prípade prevodu majetku vyššej hodnoty za symbolickú cenu v záujme získania právnej istoty daňovníka pri preukazovaní riadneho podnikateľského alebo iného dôvodu.</w:t>
            </w:r>
            <w:bookmarkStart w:id="0" w:name="_GoBack"/>
            <w:bookmarkEnd w:id="0"/>
          </w:p>
          <w:p w:rsidR="008161F8" w:rsidRPr="008161F8" w:rsidRDefault="008161F8" w:rsidP="008161F8">
            <w:pPr>
              <w:jc w:val="both"/>
              <w:rPr>
                <w:rFonts w:ascii="Arial Narrow" w:hAnsi="Arial Narrow"/>
              </w:rPr>
            </w:pPr>
          </w:p>
          <w:p w:rsidR="008161F8" w:rsidRDefault="008161F8" w:rsidP="008161F8">
            <w:pPr>
              <w:jc w:val="both"/>
              <w:rPr>
                <w:rFonts w:ascii="Arial Narrow" w:hAnsi="Arial Narrow"/>
              </w:rPr>
            </w:pPr>
            <w:r w:rsidRPr="008161F8">
              <w:rPr>
                <w:rFonts w:ascii="Arial Narrow" w:hAnsi="Arial Narrow"/>
              </w:rPr>
              <w:t>Tieto návrhy vyplývajú z aplikačnej praxe často napr. v oblasti developerských projektov.</w:t>
            </w:r>
          </w:p>
          <w:p w:rsidR="008161F8" w:rsidRPr="00D1492B" w:rsidRDefault="008161F8" w:rsidP="00437337">
            <w:pPr>
              <w:jc w:val="both"/>
              <w:rPr>
                <w:rFonts w:ascii="Arial Narrow" w:hAnsi="Arial Narrow"/>
              </w:rPr>
            </w:pPr>
          </w:p>
        </w:tc>
        <w:tc>
          <w:tcPr>
            <w:tcW w:w="1276" w:type="dxa"/>
          </w:tcPr>
          <w:p w:rsidR="00547359" w:rsidRPr="000962C6" w:rsidRDefault="00547359">
            <w:pPr>
              <w:rPr>
                <w:rFonts w:ascii="Arial Narrow" w:hAnsi="Arial Narrow"/>
                <w:i/>
              </w:rPr>
            </w:pPr>
            <w:r w:rsidRPr="000962C6">
              <w:rPr>
                <w:rFonts w:ascii="Arial Narrow" w:hAnsi="Arial Narrow"/>
                <w:i/>
              </w:rPr>
              <w:lastRenderedPageBreak/>
              <w:t xml:space="preserve">*Návrh do Daňového poriadku  </w:t>
            </w:r>
          </w:p>
        </w:tc>
      </w:tr>
      <w:tr w:rsidR="00547359" w:rsidRPr="00D1492B" w:rsidTr="00547359">
        <w:tc>
          <w:tcPr>
            <w:tcW w:w="1971" w:type="dxa"/>
          </w:tcPr>
          <w:p w:rsidR="00547359" w:rsidRPr="00437337" w:rsidRDefault="00547359" w:rsidP="00D1492B">
            <w:pPr>
              <w:pStyle w:val="Odsekzoznamu"/>
              <w:numPr>
                <w:ilvl w:val="0"/>
                <w:numId w:val="2"/>
              </w:numPr>
              <w:ind w:left="313" w:hanging="313"/>
              <w:rPr>
                <w:rFonts w:ascii="Arial Narrow" w:hAnsi="Arial Narrow"/>
                <w:b/>
              </w:rPr>
            </w:pPr>
            <w:r>
              <w:rPr>
                <w:rFonts w:ascii="Arial Narrow" w:hAnsi="Arial Narrow"/>
                <w:b/>
              </w:rPr>
              <w:lastRenderedPageBreak/>
              <w:t>ZAP SR (Zväz automobilového priemyslu SR)</w:t>
            </w:r>
          </w:p>
        </w:tc>
        <w:tc>
          <w:tcPr>
            <w:tcW w:w="10640" w:type="dxa"/>
          </w:tcPr>
          <w:p w:rsidR="00547359" w:rsidRPr="00437337" w:rsidRDefault="00547359" w:rsidP="00437337">
            <w:pPr>
              <w:jc w:val="both"/>
              <w:rPr>
                <w:rFonts w:ascii="Arial Narrow" w:hAnsi="Arial Narrow"/>
              </w:rPr>
            </w:pPr>
          </w:p>
        </w:tc>
        <w:tc>
          <w:tcPr>
            <w:tcW w:w="1276" w:type="dxa"/>
          </w:tcPr>
          <w:p w:rsidR="00547359" w:rsidRPr="000962C6" w:rsidRDefault="00547359">
            <w:pPr>
              <w:rPr>
                <w:rFonts w:ascii="Arial Narrow" w:hAnsi="Arial Narrow"/>
                <w:i/>
              </w:rPr>
            </w:pPr>
          </w:p>
        </w:tc>
      </w:tr>
    </w:tbl>
    <w:p w:rsidR="005B0852" w:rsidRPr="00D1492B" w:rsidRDefault="00715540" w:rsidP="00547359">
      <w:pPr>
        <w:spacing w:after="0" w:line="240" w:lineRule="auto"/>
        <w:rPr>
          <w:rFonts w:ascii="Arial Narrow" w:hAnsi="Arial Narrow"/>
          <w:b/>
        </w:rPr>
      </w:pPr>
      <w:r>
        <w:rPr>
          <w:rFonts w:ascii="Arial Narrow" w:hAnsi="Arial Narrow"/>
          <w:b/>
        </w:rPr>
        <w:t xml:space="preserve"> </w:t>
      </w:r>
    </w:p>
    <w:sectPr w:rsidR="005B0852" w:rsidRPr="00D1492B" w:rsidSect="00C42177">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85DB0"/>
    <w:multiLevelType w:val="hybridMultilevel"/>
    <w:tmpl w:val="D506FD5E"/>
    <w:lvl w:ilvl="0" w:tplc="B51ED14C">
      <w:numFmt w:val="bullet"/>
      <w:lvlText w:val="•"/>
      <w:lvlJc w:val="left"/>
      <w:pPr>
        <w:ind w:left="1413" w:hanging="693"/>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E7D754C"/>
    <w:multiLevelType w:val="hybridMultilevel"/>
    <w:tmpl w:val="EF3ED372"/>
    <w:lvl w:ilvl="0" w:tplc="90FC7D86">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F5C62BB"/>
    <w:multiLevelType w:val="hybridMultilevel"/>
    <w:tmpl w:val="88D82F16"/>
    <w:lvl w:ilvl="0" w:tplc="5238B064">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5E64658"/>
    <w:multiLevelType w:val="hybridMultilevel"/>
    <w:tmpl w:val="C37AB0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4E4F4C"/>
    <w:multiLevelType w:val="hybridMultilevel"/>
    <w:tmpl w:val="B174648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0D66D5C"/>
    <w:multiLevelType w:val="hybridMultilevel"/>
    <w:tmpl w:val="44E8C76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2F557F03"/>
    <w:multiLevelType w:val="multilevel"/>
    <w:tmpl w:val="F07A00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8F37251"/>
    <w:multiLevelType w:val="hybridMultilevel"/>
    <w:tmpl w:val="2FC60520"/>
    <w:lvl w:ilvl="0" w:tplc="041B000F">
      <w:start w:val="1"/>
      <w:numFmt w:val="decimal"/>
      <w:lvlText w:val="%1."/>
      <w:lvlJc w:val="left"/>
      <w:pPr>
        <w:ind w:left="1495"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BA207DA"/>
    <w:multiLevelType w:val="hybridMultilevel"/>
    <w:tmpl w:val="D63C64CC"/>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9" w15:restartNumberingAfterBreak="0">
    <w:nsid w:val="57FF1FE3"/>
    <w:multiLevelType w:val="hybridMultilevel"/>
    <w:tmpl w:val="9AD2D504"/>
    <w:lvl w:ilvl="0" w:tplc="E8B4FC38">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F1515C5"/>
    <w:multiLevelType w:val="hybridMultilevel"/>
    <w:tmpl w:val="DAD0156C"/>
    <w:lvl w:ilvl="0" w:tplc="B8F40BFA">
      <w:numFmt w:val="bullet"/>
      <w:lvlText w:val="•"/>
      <w:lvlJc w:val="left"/>
      <w:pPr>
        <w:ind w:left="1386" w:hanging="666"/>
      </w:pPr>
      <w:rPr>
        <w:rFonts w:ascii="Arial Narrow" w:eastAsiaTheme="minorHAnsi" w:hAnsi="Arial Narrow"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2"/>
  </w:num>
  <w:num w:numId="5">
    <w:abstractNumId w:val="3"/>
  </w:num>
  <w:num w:numId="6">
    <w:abstractNumId w:val="4"/>
  </w:num>
  <w:num w:numId="7">
    <w:abstractNumId w:val="1"/>
  </w:num>
  <w:num w:numId="8">
    <w:abstractNumId w:val="0"/>
  </w:num>
  <w:num w:numId="9">
    <w:abstractNumId w:val="5"/>
  </w:num>
  <w:num w:numId="10">
    <w:abstractNumId w:val="1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177"/>
    <w:rsid w:val="00003CFB"/>
    <w:rsid w:val="00005B2E"/>
    <w:rsid w:val="0002400D"/>
    <w:rsid w:val="00031FED"/>
    <w:rsid w:val="00046358"/>
    <w:rsid w:val="00056D09"/>
    <w:rsid w:val="00057F46"/>
    <w:rsid w:val="00085AFB"/>
    <w:rsid w:val="000962C6"/>
    <w:rsid w:val="000A1D04"/>
    <w:rsid w:val="000A6754"/>
    <w:rsid w:val="000F248B"/>
    <w:rsid w:val="001005F2"/>
    <w:rsid w:val="00114DA1"/>
    <w:rsid w:val="001510AF"/>
    <w:rsid w:val="00164706"/>
    <w:rsid w:val="00164DA5"/>
    <w:rsid w:val="00172274"/>
    <w:rsid w:val="00173271"/>
    <w:rsid w:val="00173395"/>
    <w:rsid w:val="00180A59"/>
    <w:rsid w:val="00185AD8"/>
    <w:rsid w:val="002679E4"/>
    <w:rsid w:val="00284707"/>
    <w:rsid w:val="002A1448"/>
    <w:rsid w:val="002A37E4"/>
    <w:rsid w:val="002A717B"/>
    <w:rsid w:val="002E77A0"/>
    <w:rsid w:val="002F7E46"/>
    <w:rsid w:val="00314CAE"/>
    <w:rsid w:val="00316B37"/>
    <w:rsid w:val="003176AC"/>
    <w:rsid w:val="003435A8"/>
    <w:rsid w:val="003763F0"/>
    <w:rsid w:val="003A07BC"/>
    <w:rsid w:val="003B6703"/>
    <w:rsid w:val="003D3975"/>
    <w:rsid w:val="00437337"/>
    <w:rsid w:val="0046347F"/>
    <w:rsid w:val="00464D5F"/>
    <w:rsid w:val="00476D1C"/>
    <w:rsid w:val="004823D9"/>
    <w:rsid w:val="00497826"/>
    <w:rsid w:val="004B2E59"/>
    <w:rsid w:val="004C2740"/>
    <w:rsid w:val="004C5B77"/>
    <w:rsid w:val="005027AF"/>
    <w:rsid w:val="00513353"/>
    <w:rsid w:val="00516651"/>
    <w:rsid w:val="00547359"/>
    <w:rsid w:val="0055761F"/>
    <w:rsid w:val="005861E7"/>
    <w:rsid w:val="00593405"/>
    <w:rsid w:val="005940CF"/>
    <w:rsid w:val="005B0852"/>
    <w:rsid w:val="005C7D1D"/>
    <w:rsid w:val="005F78ED"/>
    <w:rsid w:val="006444CA"/>
    <w:rsid w:val="00650D92"/>
    <w:rsid w:val="00667162"/>
    <w:rsid w:val="00680606"/>
    <w:rsid w:val="006C1CCD"/>
    <w:rsid w:val="006F267B"/>
    <w:rsid w:val="007063F2"/>
    <w:rsid w:val="00715540"/>
    <w:rsid w:val="0072563F"/>
    <w:rsid w:val="007465A8"/>
    <w:rsid w:val="007608CE"/>
    <w:rsid w:val="007C0B9E"/>
    <w:rsid w:val="007C6E69"/>
    <w:rsid w:val="007D4704"/>
    <w:rsid w:val="007E76E9"/>
    <w:rsid w:val="008055FC"/>
    <w:rsid w:val="008161F8"/>
    <w:rsid w:val="0087616B"/>
    <w:rsid w:val="008A33F4"/>
    <w:rsid w:val="008A5E2E"/>
    <w:rsid w:val="008A7F47"/>
    <w:rsid w:val="008B42A4"/>
    <w:rsid w:val="008C524F"/>
    <w:rsid w:val="00931FA0"/>
    <w:rsid w:val="009513AC"/>
    <w:rsid w:val="00957CB5"/>
    <w:rsid w:val="009A4F86"/>
    <w:rsid w:val="009F6778"/>
    <w:rsid w:val="00A05640"/>
    <w:rsid w:val="00A1354F"/>
    <w:rsid w:val="00A339C5"/>
    <w:rsid w:val="00A43402"/>
    <w:rsid w:val="00A85DB5"/>
    <w:rsid w:val="00AA057D"/>
    <w:rsid w:val="00AC0973"/>
    <w:rsid w:val="00AF2625"/>
    <w:rsid w:val="00AF581E"/>
    <w:rsid w:val="00B16D20"/>
    <w:rsid w:val="00B72DB6"/>
    <w:rsid w:val="00B85B10"/>
    <w:rsid w:val="00B8749F"/>
    <w:rsid w:val="00BB15A8"/>
    <w:rsid w:val="00C41633"/>
    <w:rsid w:val="00C42177"/>
    <w:rsid w:val="00C54ECE"/>
    <w:rsid w:val="00C60AE1"/>
    <w:rsid w:val="00C73D0F"/>
    <w:rsid w:val="00C74AA2"/>
    <w:rsid w:val="00CA3B73"/>
    <w:rsid w:val="00CF7A4D"/>
    <w:rsid w:val="00D1492B"/>
    <w:rsid w:val="00D15EBC"/>
    <w:rsid w:val="00D765B1"/>
    <w:rsid w:val="00D766C2"/>
    <w:rsid w:val="00D92806"/>
    <w:rsid w:val="00DD1096"/>
    <w:rsid w:val="00E02399"/>
    <w:rsid w:val="00E21F0F"/>
    <w:rsid w:val="00E379DA"/>
    <w:rsid w:val="00E54875"/>
    <w:rsid w:val="00E566E3"/>
    <w:rsid w:val="00E61A03"/>
    <w:rsid w:val="00EA2269"/>
    <w:rsid w:val="00EB1E42"/>
    <w:rsid w:val="00EE1EC3"/>
    <w:rsid w:val="00EF600F"/>
    <w:rsid w:val="00EF67FB"/>
    <w:rsid w:val="00F37882"/>
    <w:rsid w:val="00F44964"/>
    <w:rsid w:val="00F52F6D"/>
    <w:rsid w:val="00F93C2F"/>
    <w:rsid w:val="00FA266F"/>
    <w:rsid w:val="00FD1B02"/>
    <w:rsid w:val="00FE12E0"/>
    <w:rsid w:val="00FE597C"/>
    <w:rsid w:val="00FE73F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A91B3"/>
  <w15:chartTrackingRefBased/>
  <w15:docId w15:val="{834B92E8-FE07-45E6-B805-EA7F1F3BE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C42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semiHidden/>
    <w:unhideWhenUsed/>
    <w:rsid w:val="00EB1E42"/>
    <w:rPr>
      <w:color w:val="0563C1"/>
      <w:u w:val="single"/>
    </w:rPr>
  </w:style>
  <w:style w:type="paragraph" w:styleId="Odsekzoznamu">
    <w:name w:val="List Paragraph"/>
    <w:basedOn w:val="Normlny"/>
    <w:uiPriority w:val="34"/>
    <w:qFormat/>
    <w:rsid w:val="004C27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476493">
      <w:bodyDiv w:val="1"/>
      <w:marLeft w:val="0"/>
      <w:marRight w:val="0"/>
      <w:marTop w:val="0"/>
      <w:marBottom w:val="0"/>
      <w:divBdr>
        <w:top w:val="none" w:sz="0" w:space="0" w:color="auto"/>
        <w:left w:val="none" w:sz="0" w:space="0" w:color="auto"/>
        <w:bottom w:val="none" w:sz="0" w:space="0" w:color="auto"/>
        <w:right w:val="none" w:sz="0" w:space="0" w:color="auto"/>
      </w:divBdr>
    </w:div>
    <w:div w:id="506941485">
      <w:bodyDiv w:val="1"/>
      <w:marLeft w:val="0"/>
      <w:marRight w:val="0"/>
      <w:marTop w:val="0"/>
      <w:marBottom w:val="0"/>
      <w:divBdr>
        <w:top w:val="none" w:sz="0" w:space="0" w:color="auto"/>
        <w:left w:val="none" w:sz="0" w:space="0" w:color="auto"/>
        <w:bottom w:val="none" w:sz="0" w:space="0" w:color="auto"/>
        <w:right w:val="none" w:sz="0" w:space="0" w:color="auto"/>
      </w:divBdr>
    </w:div>
    <w:div w:id="563101764">
      <w:bodyDiv w:val="1"/>
      <w:marLeft w:val="0"/>
      <w:marRight w:val="0"/>
      <w:marTop w:val="0"/>
      <w:marBottom w:val="0"/>
      <w:divBdr>
        <w:top w:val="none" w:sz="0" w:space="0" w:color="auto"/>
        <w:left w:val="none" w:sz="0" w:space="0" w:color="auto"/>
        <w:bottom w:val="none" w:sz="0" w:space="0" w:color="auto"/>
        <w:right w:val="none" w:sz="0" w:space="0" w:color="auto"/>
      </w:divBdr>
    </w:div>
    <w:div w:id="586502940">
      <w:bodyDiv w:val="1"/>
      <w:marLeft w:val="0"/>
      <w:marRight w:val="0"/>
      <w:marTop w:val="0"/>
      <w:marBottom w:val="0"/>
      <w:divBdr>
        <w:top w:val="none" w:sz="0" w:space="0" w:color="auto"/>
        <w:left w:val="none" w:sz="0" w:space="0" w:color="auto"/>
        <w:bottom w:val="none" w:sz="0" w:space="0" w:color="auto"/>
        <w:right w:val="none" w:sz="0" w:space="0" w:color="auto"/>
      </w:divBdr>
    </w:div>
    <w:div w:id="734663136">
      <w:bodyDiv w:val="1"/>
      <w:marLeft w:val="0"/>
      <w:marRight w:val="0"/>
      <w:marTop w:val="0"/>
      <w:marBottom w:val="0"/>
      <w:divBdr>
        <w:top w:val="none" w:sz="0" w:space="0" w:color="auto"/>
        <w:left w:val="none" w:sz="0" w:space="0" w:color="auto"/>
        <w:bottom w:val="none" w:sz="0" w:space="0" w:color="auto"/>
        <w:right w:val="none" w:sz="0" w:space="0" w:color="auto"/>
      </w:divBdr>
    </w:div>
    <w:div w:id="734738825">
      <w:bodyDiv w:val="1"/>
      <w:marLeft w:val="0"/>
      <w:marRight w:val="0"/>
      <w:marTop w:val="0"/>
      <w:marBottom w:val="0"/>
      <w:divBdr>
        <w:top w:val="none" w:sz="0" w:space="0" w:color="auto"/>
        <w:left w:val="none" w:sz="0" w:space="0" w:color="auto"/>
        <w:bottom w:val="none" w:sz="0" w:space="0" w:color="auto"/>
        <w:right w:val="none" w:sz="0" w:space="0" w:color="auto"/>
      </w:divBdr>
    </w:div>
    <w:div w:id="749304592">
      <w:bodyDiv w:val="1"/>
      <w:marLeft w:val="0"/>
      <w:marRight w:val="0"/>
      <w:marTop w:val="0"/>
      <w:marBottom w:val="0"/>
      <w:divBdr>
        <w:top w:val="none" w:sz="0" w:space="0" w:color="auto"/>
        <w:left w:val="none" w:sz="0" w:space="0" w:color="auto"/>
        <w:bottom w:val="none" w:sz="0" w:space="0" w:color="auto"/>
        <w:right w:val="none" w:sz="0" w:space="0" w:color="auto"/>
      </w:divBdr>
    </w:div>
    <w:div w:id="763570205">
      <w:bodyDiv w:val="1"/>
      <w:marLeft w:val="0"/>
      <w:marRight w:val="0"/>
      <w:marTop w:val="0"/>
      <w:marBottom w:val="0"/>
      <w:divBdr>
        <w:top w:val="none" w:sz="0" w:space="0" w:color="auto"/>
        <w:left w:val="none" w:sz="0" w:space="0" w:color="auto"/>
        <w:bottom w:val="none" w:sz="0" w:space="0" w:color="auto"/>
        <w:right w:val="none" w:sz="0" w:space="0" w:color="auto"/>
      </w:divBdr>
    </w:div>
    <w:div w:id="826165927">
      <w:bodyDiv w:val="1"/>
      <w:marLeft w:val="0"/>
      <w:marRight w:val="0"/>
      <w:marTop w:val="0"/>
      <w:marBottom w:val="0"/>
      <w:divBdr>
        <w:top w:val="none" w:sz="0" w:space="0" w:color="auto"/>
        <w:left w:val="none" w:sz="0" w:space="0" w:color="auto"/>
        <w:bottom w:val="none" w:sz="0" w:space="0" w:color="auto"/>
        <w:right w:val="none" w:sz="0" w:space="0" w:color="auto"/>
      </w:divBdr>
    </w:div>
    <w:div w:id="865757077">
      <w:bodyDiv w:val="1"/>
      <w:marLeft w:val="0"/>
      <w:marRight w:val="0"/>
      <w:marTop w:val="0"/>
      <w:marBottom w:val="0"/>
      <w:divBdr>
        <w:top w:val="none" w:sz="0" w:space="0" w:color="auto"/>
        <w:left w:val="none" w:sz="0" w:space="0" w:color="auto"/>
        <w:bottom w:val="none" w:sz="0" w:space="0" w:color="auto"/>
        <w:right w:val="none" w:sz="0" w:space="0" w:color="auto"/>
      </w:divBdr>
    </w:div>
    <w:div w:id="911965138">
      <w:bodyDiv w:val="1"/>
      <w:marLeft w:val="0"/>
      <w:marRight w:val="0"/>
      <w:marTop w:val="0"/>
      <w:marBottom w:val="0"/>
      <w:divBdr>
        <w:top w:val="none" w:sz="0" w:space="0" w:color="auto"/>
        <w:left w:val="none" w:sz="0" w:space="0" w:color="auto"/>
        <w:bottom w:val="none" w:sz="0" w:space="0" w:color="auto"/>
        <w:right w:val="none" w:sz="0" w:space="0" w:color="auto"/>
      </w:divBdr>
    </w:div>
    <w:div w:id="940798670">
      <w:bodyDiv w:val="1"/>
      <w:marLeft w:val="0"/>
      <w:marRight w:val="0"/>
      <w:marTop w:val="0"/>
      <w:marBottom w:val="0"/>
      <w:divBdr>
        <w:top w:val="none" w:sz="0" w:space="0" w:color="auto"/>
        <w:left w:val="none" w:sz="0" w:space="0" w:color="auto"/>
        <w:bottom w:val="none" w:sz="0" w:space="0" w:color="auto"/>
        <w:right w:val="none" w:sz="0" w:space="0" w:color="auto"/>
      </w:divBdr>
    </w:div>
    <w:div w:id="1114521075">
      <w:bodyDiv w:val="1"/>
      <w:marLeft w:val="0"/>
      <w:marRight w:val="0"/>
      <w:marTop w:val="0"/>
      <w:marBottom w:val="0"/>
      <w:divBdr>
        <w:top w:val="none" w:sz="0" w:space="0" w:color="auto"/>
        <w:left w:val="none" w:sz="0" w:space="0" w:color="auto"/>
        <w:bottom w:val="none" w:sz="0" w:space="0" w:color="auto"/>
        <w:right w:val="none" w:sz="0" w:space="0" w:color="auto"/>
      </w:divBdr>
    </w:div>
    <w:div w:id="1267813651">
      <w:bodyDiv w:val="1"/>
      <w:marLeft w:val="0"/>
      <w:marRight w:val="0"/>
      <w:marTop w:val="0"/>
      <w:marBottom w:val="0"/>
      <w:divBdr>
        <w:top w:val="none" w:sz="0" w:space="0" w:color="auto"/>
        <w:left w:val="none" w:sz="0" w:space="0" w:color="auto"/>
        <w:bottom w:val="none" w:sz="0" w:space="0" w:color="auto"/>
        <w:right w:val="none" w:sz="0" w:space="0" w:color="auto"/>
      </w:divBdr>
    </w:div>
    <w:div w:id="1453671759">
      <w:bodyDiv w:val="1"/>
      <w:marLeft w:val="0"/>
      <w:marRight w:val="0"/>
      <w:marTop w:val="0"/>
      <w:marBottom w:val="0"/>
      <w:divBdr>
        <w:top w:val="none" w:sz="0" w:space="0" w:color="auto"/>
        <w:left w:val="none" w:sz="0" w:space="0" w:color="auto"/>
        <w:bottom w:val="none" w:sz="0" w:space="0" w:color="auto"/>
        <w:right w:val="none" w:sz="0" w:space="0" w:color="auto"/>
      </w:divBdr>
    </w:div>
    <w:div w:id="1592205199">
      <w:bodyDiv w:val="1"/>
      <w:marLeft w:val="0"/>
      <w:marRight w:val="0"/>
      <w:marTop w:val="0"/>
      <w:marBottom w:val="0"/>
      <w:divBdr>
        <w:top w:val="none" w:sz="0" w:space="0" w:color="auto"/>
        <w:left w:val="none" w:sz="0" w:space="0" w:color="auto"/>
        <w:bottom w:val="none" w:sz="0" w:space="0" w:color="auto"/>
        <w:right w:val="none" w:sz="0" w:space="0" w:color="auto"/>
      </w:divBdr>
    </w:div>
    <w:div w:id="1676489839">
      <w:bodyDiv w:val="1"/>
      <w:marLeft w:val="0"/>
      <w:marRight w:val="0"/>
      <w:marTop w:val="0"/>
      <w:marBottom w:val="0"/>
      <w:divBdr>
        <w:top w:val="none" w:sz="0" w:space="0" w:color="auto"/>
        <w:left w:val="none" w:sz="0" w:space="0" w:color="auto"/>
        <w:bottom w:val="none" w:sz="0" w:space="0" w:color="auto"/>
        <w:right w:val="none" w:sz="0" w:space="0" w:color="auto"/>
      </w:divBdr>
    </w:div>
    <w:div w:id="1799298051">
      <w:bodyDiv w:val="1"/>
      <w:marLeft w:val="0"/>
      <w:marRight w:val="0"/>
      <w:marTop w:val="0"/>
      <w:marBottom w:val="0"/>
      <w:divBdr>
        <w:top w:val="none" w:sz="0" w:space="0" w:color="auto"/>
        <w:left w:val="none" w:sz="0" w:space="0" w:color="auto"/>
        <w:bottom w:val="none" w:sz="0" w:space="0" w:color="auto"/>
        <w:right w:val="none" w:sz="0" w:space="0" w:color="auto"/>
      </w:divBdr>
    </w:div>
    <w:div w:id="1804955842">
      <w:bodyDiv w:val="1"/>
      <w:marLeft w:val="0"/>
      <w:marRight w:val="0"/>
      <w:marTop w:val="0"/>
      <w:marBottom w:val="0"/>
      <w:divBdr>
        <w:top w:val="none" w:sz="0" w:space="0" w:color="auto"/>
        <w:left w:val="none" w:sz="0" w:space="0" w:color="auto"/>
        <w:bottom w:val="none" w:sz="0" w:space="0" w:color="auto"/>
        <w:right w:val="none" w:sz="0" w:space="0" w:color="auto"/>
      </w:divBdr>
    </w:div>
    <w:div w:id="1881820180">
      <w:bodyDiv w:val="1"/>
      <w:marLeft w:val="0"/>
      <w:marRight w:val="0"/>
      <w:marTop w:val="0"/>
      <w:marBottom w:val="0"/>
      <w:divBdr>
        <w:top w:val="none" w:sz="0" w:space="0" w:color="auto"/>
        <w:left w:val="none" w:sz="0" w:space="0" w:color="auto"/>
        <w:bottom w:val="none" w:sz="0" w:space="0" w:color="auto"/>
        <w:right w:val="none" w:sz="0" w:space="0" w:color="auto"/>
      </w:divBdr>
    </w:div>
    <w:div w:id="1888249918">
      <w:bodyDiv w:val="1"/>
      <w:marLeft w:val="0"/>
      <w:marRight w:val="0"/>
      <w:marTop w:val="0"/>
      <w:marBottom w:val="0"/>
      <w:divBdr>
        <w:top w:val="none" w:sz="0" w:space="0" w:color="auto"/>
        <w:left w:val="none" w:sz="0" w:space="0" w:color="auto"/>
        <w:bottom w:val="none" w:sz="0" w:space="0" w:color="auto"/>
        <w:right w:val="none" w:sz="0" w:space="0" w:color="auto"/>
      </w:divBdr>
    </w:div>
    <w:div w:id="1929071265">
      <w:bodyDiv w:val="1"/>
      <w:marLeft w:val="0"/>
      <w:marRight w:val="0"/>
      <w:marTop w:val="0"/>
      <w:marBottom w:val="0"/>
      <w:divBdr>
        <w:top w:val="none" w:sz="0" w:space="0" w:color="auto"/>
        <w:left w:val="none" w:sz="0" w:space="0" w:color="auto"/>
        <w:bottom w:val="none" w:sz="0" w:space="0" w:color="auto"/>
        <w:right w:val="none" w:sz="0" w:space="0" w:color="auto"/>
      </w:divBdr>
    </w:div>
    <w:div w:id="1956280381">
      <w:bodyDiv w:val="1"/>
      <w:marLeft w:val="0"/>
      <w:marRight w:val="0"/>
      <w:marTop w:val="0"/>
      <w:marBottom w:val="0"/>
      <w:divBdr>
        <w:top w:val="none" w:sz="0" w:space="0" w:color="auto"/>
        <w:left w:val="none" w:sz="0" w:space="0" w:color="auto"/>
        <w:bottom w:val="none" w:sz="0" w:space="0" w:color="auto"/>
        <w:right w:val="none" w:sz="0" w:space="0" w:color="auto"/>
      </w:divBdr>
    </w:div>
    <w:div w:id="1987514199">
      <w:bodyDiv w:val="1"/>
      <w:marLeft w:val="0"/>
      <w:marRight w:val="0"/>
      <w:marTop w:val="0"/>
      <w:marBottom w:val="0"/>
      <w:divBdr>
        <w:top w:val="none" w:sz="0" w:space="0" w:color="auto"/>
        <w:left w:val="none" w:sz="0" w:space="0" w:color="auto"/>
        <w:bottom w:val="none" w:sz="0" w:space="0" w:color="auto"/>
        <w:right w:val="none" w:sz="0" w:space="0" w:color="auto"/>
      </w:divBdr>
    </w:div>
    <w:div w:id="207612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1530</Words>
  <Characters>8725</Characters>
  <Application>Microsoft Office Word</Application>
  <DocSecurity>0</DocSecurity>
  <Lines>72</Lines>
  <Paragraphs>20</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Hajsterova Lenka</dc:creator>
  <cp:keywords/>
  <dc:description/>
  <cp:lastModifiedBy>Slavikova Eva</cp:lastModifiedBy>
  <cp:revision>3</cp:revision>
  <dcterms:created xsi:type="dcterms:W3CDTF">2021-05-03T07:11:00Z</dcterms:created>
  <dcterms:modified xsi:type="dcterms:W3CDTF">2021-05-03T07:13:00Z</dcterms:modified>
</cp:coreProperties>
</file>