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B18F0" w14:textId="6E8EE57D" w:rsidR="0024039A" w:rsidRDefault="0024039A" w:rsidP="0024039A">
      <w:pPr>
        <w:jc w:val="center"/>
        <w:rPr>
          <w:b/>
          <w:bCs/>
          <w:sz w:val="32"/>
          <w:szCs w:val="32"/>
        </w:rPr>
      </w:pPr>
      <w:r>
        <w:rPr>
          <w:b/>
          <w:bCs/>
          <w:sz w:val="32"/>
          <w:szCs w:val="32"/>
        </w:rPr>
        <w:t>Podnety RÚZ – novela zákona o</w:t>
      </w:r>
      <w:r w:rsidR="003E174A" w:rsidRPr="003E174A">
        <w:rPr>
          <w:b/>
          <w:bCs/>
          <w:sz w:val="32"/>
          <w:szCs w:val="32"/>
        </w:rPr>
        <w:t xml:space="preserve"> spotrebnej dani z minerálneho oleja</w:t>
      </w:r>
    </w:p>
    <w:p w14:paraId="21989A30" w14:textId="77777777" w:rsidR="0024039A" w:rsidRPr="0024039A" w:rsidRDefault="0024039A" w:rsidP="0024039A">
      <w:pPr>
        <w:rPr>
          <w:szCs w:val="22"/>
        </w:rPr>
      </w:pPr>
    </w:p>
    <w:p w14:paraId="765FE599" w14:textId="0A65D45C" w:rsidR="0024039A" w:rsidRPr="003E174A" w:rsidRDefault="0024039A" w:rsidP="0024039A">
      <w:pPr>
        <w:jc w:val="both"/>
        <w:rPr>
          <w:szCs w:val="22"/>
        </w:rPr>
      </w:pPr>
      <w:r>
        <w:rPr>
          <w:szCs w:val="22"/>
        </w:rPr>
        <w:t>Republiková únia zamestnávateľov</w:t>
      </w:r>
      <w:r w:rsidR="007B5CB7">
        <w:rPr>
          <w:szCs w:val="22"/>
        </w:rPr>
        <w:t xml:space="preserve"> navrhuje v rámci najbližšej novely </w:t>
      </w:r>
      <w:r>
        <w:rPr>
          <w:szCs w:val="22"/>
        </w:rPr>
        <w:t xml:space="preserve"> </w:t>
      </w:r>
      <w:r w:rsidR="007B5CB7">
        <w:rPr>
          <w:szCs w:val="22"/>
        </w:rPr>
        <w:t>vykonať nasledovné zmeny a doplnenia v zákone</w:t>
      </w:r>
      <w:r w:rsidR="00BA121C">
        <w:rPr>
          <w:szCs w:val="22"/>
        </w:rPr>
        <w:t> </w:t>
      </w:r>
      <w:r w:rsidR="003E174A" w:rsidRPr="003E174A">
        <w:t>o spotrebnej dani z minerálneho oleja</w:t>
      </w:r>
      <w:r w:rsidRPr="003E174A">
        <w:rPr>
          <w:szCs w:val="22"/>
        </w:rPr>
        <w:t>:</w:t>
      </w:r>
    </w:p>
    <w:p w14:paraId="57F80755" w14:textId="278F6C55" w:rsidR="0024039A" w:rsidRPr="003E174A" w:rsidRDefault="0024039A" w:rsidP="0024039A">
      <w:pPr>
        <w:jc w:val="both"/>
      </w:pPr>
    </w:p>
    <w:p w14:paraId="386130BF" w14:textId="35134DDD" w:rsidR="00BA121C" w:rsidRDefault="003E174A" w:rsidP="0024039A">
      <w:pPr>
        <w:jc w:val="both"/>
        <w:rPr>
          <w:b/>
          <w:bCs/>
        </w:rPr>
      </w:pPr>
      <w:commentRangeStart w:id="0"/>
      <w:r>
        <w:rPr>
          <w:b/>
          <w:bCs/>
        </w:rPr>
        <w:t xml:space="preserve">Finančná </w:t>
      </w:r>
      <w:commentRangeEnd w:id="0"/>
      <w:r>
        <w:rPr>
          <w:rStyle w:val="Odkaznakoment"/>
        </w:rPr>
        <w:commentReference w:id="0"/>
      </w:r>
      <w:r>
        <w:rPr>
          <w:b/>
          <w:bCs/>
        </w:rPr>
        <w:t>zábezpeka</w:t>
      </w:r>
      <w:r w:rsidR="000A3A88">
        <w:rPr>
          <w:b/>
          <w:bCs/>
        </w:rPr>
        <w:t xml:space="preserve"> (§21 a §22)</w:t>
      </w:r>
    </w:p>
    <w:p w14:paraId="162F6382" w14:textId="77777777" w:rsidR="003E174A" w:rsidRDefault="003E174A" w:rsidP="003E174A">
      <w:pPr>
        <w:jc w:val="both"/>
      </w:pPr>
      <w:r>
        <w:t xml:space="preserve">Vzhľadom na to, že sú v súčasnosti indície z praxe, že súčasné podmienky týkajúce podmienok pre veľkoobchodníkov sú síce vedené správnym smerom avšak stále sa na trhu s pohonnými látkami objavia subjekty, ktoré ich obchádzajú, respektíve zneužívajú, navrhujeme, s cieľom eliminovať daňové úniky na spotrebnej dani z minerálneho oleja, sprísniť podmienky na vydanie povolenia na distribúciu pohonných látok (§ 25b ods. 1), a to zavedením inštitútu finančnej zábezpeky. </w:t>
      </w:r>
    </w:p>
    <w:p w14:paraId="330928A0" w14:textId="77777777" w:rsidR="003E174A" w:rsidRDefault="003E174A" w:rsidP="003E174A">
      <w:pPr>
        <w:jc w:val="both"/>
      </w:pPr>
    </w:p>
    <w:p w14:paraId="01685706" w14:textId="77777777" w:rsidR="003E174A" w:rsidRDefault="003E174A" w:rsidP="003E174A">
      <w:pPr>
        <w:jc w:val="both"/>
      </w:pPr>
      <w:r>
        <w:t>Navrhujeme, aby finančnú zábezpeku musela zložiť každá osoba, ktorá chce byť distribútorom pohonných látok, avšak súčasne by bolo možné požiadať o zníženie zloženia finančnej zábezpeky, a to za vopred stanovených podmienok. Zloženie finančnej zábezpeky na daň by sa nevyžadovalo u osoby:</w:t>
      </w:r>
    </w:p>
    <w:p w14:paraId="1ADF2CF1" w14:textId="77777777" w:rsidR="003E174A" w:rsidRDefault="003E174A" w:rsidP="003E174A">
      <w:pPr>
        <w:jc w:val="both"/>
      </w:pPr>
      <w:r>
        <w:t>-</w:t>
      </w:r>
      <w:r>
        <w:tab/>
        <w:t>podľa § 21, ktorej colný úrad povolil zníženie zábezpeky na daň podľa § 22 ods. 11, keďže o zníženie zábezpeky na daň musí táto osoba žiadať najmenej raz za štyri roky, pričom musí splniť podmienky daňovej spoľahlivosti, ktoré sú uvedené v § 22 ods. 14,</w:t>
      </w:r>
    </w:p>
    <w:p w14:paraId="7ECBD005" w14:textId="77777777" w:rsidR="003E174A" w:rsidRDefault="003E174A" w:rsidP="003E174A">
      <w:pPr>
        <w:jc w:val="both"/>
      </w:pPr>
      <w:r>
        <w:t>-</w:t>
      </w:r>
      <w:r>
        <w:tab/>
        <w:t>ktorá dodáva len minerálny olej podľa § 6 ods. 1 písm. d) užívateľskému podniku podľa § 11 na účely oslobodené od dane podľa § 10 ods. 1 písm. a).</w:t>
      </w:r>
    </w:p>
    <w:p w14:paraId="6BF85D8A" w14:textId="77777777" w:rsidR="003E174A" w:rsidRDefault="003E174A" w:rsidP="003E174A">
      <w:pPr>
        <w:jc w:val="both"/>
      </w:pPr>
    </w:p>
    <w:p w14:paraId="32297A2F" w14:textId="6459661A" w:rsidR="003E174A" w:rsidRDefault="003E174A" w:rsidP="003E174A">
      <w:pPr>
        <w:jc w:val="both"/>
      </w:pPr>
      <w:r>
        <w:t>Zároveň navrhujeme, aby zavedenie inštitútu finančnej zábezpeky nahradilo povinnosť upravenú v § 25b ods. 7 písm. b) zákona č. 98/2004 Z. z., t. j. splnenie podmienky minimálneho ročného objemu predaja pohonných látok.</w:t>
      </w:r>
      <w:r w:rsidR="00880AD8">
        <w:t xml:space="preserve"> Zdôrazňujeme, že toto riešenie navrhujeme aplikovať výlučne na distribútorov pohonných látok.</w:t>
      </w:r>
    </w:p>
    <w:p w14:paraId="7C412B12" w14:textId="77777777" w:rsidR="003E174A" w:rsidRDefault="003E174A" w:rsidP="003E174A">
      <w:pPr>
        <w:jc w:val="both"/>
      </w:pPr>
    </w:p>
    <w:p w14:paraId="1EFFDD08" w14:textId="409EF625" w:rsidR="003E174A" w:rsidRDefault="003E174A" w:rsidP="003E174A">
      <w:pPr>
        <w:jc w:val="both"/>
      </w:pPr>
      <w:r>
        <w:t>V prípade, že zo strany MF SR nebude akceptované, aby bola problematika inštitútu finančnej zábezpeky ustanovená v zákone č. 98/2004 Z. z. privítali by sme a plne podporili vypracovanie nového zákona o podmienkach na prevádzkovanie čerpacích staníc, ktorý by komplexne upravoval podmienky na prevádzkovanie prevádzok pre predajcov pohonných látok, ktorí predávajú  pohonné látky konečnému spotrebiteľovi, a to nielen pre predaj motorového benzínu, motorovej nafty a LPG ale aj pre predaj ďalších alternatívnych pohonných látok (elektrina, CNG, LNG a H2) vrátane problematiky označovania čerpacích staníc ako aj problematiky upravenej v smernici EP a Rady 2014/94/EÚ o zavádzaní infraštruktúry pre alternatívne palivá a vo vykonávacom nariadení Komisie (EÚ) 2018/732 o spoločnej metodike porovnávania jednotkových cien alternatívnych palív v súlade so smernicou EP a Rady 2014/94/EÚ.</w:t>
      </w:r>
    </w:p>
    <w:p w14:paraId="2D55C1A2" w14:textId="4DF235AC" w:rsidR="000A3A88" w:rsidRDefault="000A3A88" w:rsidP="003E174A">
      <w:pPr>
        <w:jc w:val="both"/>
      </w:pPr>
    </w:p>
    <w:p w14:paraId="48062C48" w14:textId="48962E7F" w:rsidR="000A3A88" w:rsidRPr="000A3A88" w:rsidRDefault="000A3A88" w:rsidP="000A3A88">
      <w:pPr>
        <w:jc w:val="both"/>
        <w:rPr>
          <w:b/>
          <w:bCs/>
        </w:rPr>
      </w:pPr>
      <w:commentRangeStart w:id="1"/>
      <w:r>
        <w:rPr>
          <w:b/>
          <w:bCs/>
        </w:rPr>
        <w:t xml:space="preserve">Oznamovacia </w:t>
      </w:r>
      <w:commentRangeEnd w:id="1"/>
      <w:r>
        <w:rPr>
          <w:rStyle w:val="Odkaznakoment"/>
        </w:rPr>
        <w:commentReference w:id="1"/>
      </w:r>
      <w:r>
        <w:rPr>
          <w:b/>
          <w:bCs/>
        </w:rPr>
        <w:t>povinnosť (§11 odsek 7, písm. e)</w:t>
      </w:r>
    </w:p>
    <w:p w14:paraId="651E7BA3" w14:textId="2965F8CA" w:rsidR="000A3A88" w:rsidRDefault="000A3A88" w:rsidP="000A3A88">
      <w:pPr>
        <w:jc w:val="both"/>
      </w:pPr>
      <w:r>
        <w:t>Žiadame vypustiť v § 11 ods. 7 písm. e) oznamovaciu povinnosť právnických a fyzických osôb, a to  pri každej zmene údajov potrebných na vyžiadane výpisu z registra trestov. Na druhej strane navrhujeme ponechať oznamovaciu povinnosť údajov potrebných na vyžiadanie výpisu z registra trestov len v prípade, že nastane výmena členov riadiacich orgánov.</w:t>
      </w:r>
    </w:p>
    <w:p w14:paraId="17C6CBE2" w14:textId="77777777" w:rsidR="000A3A88" w:rsidRDefault="000A3A88" w:rsidP="000A3A88">
      <w:pPr>
        <w:jc w:val="both"/>
      </w:pPr>
    </w:p>
    <w:p w14:paraId="620EF588" w14:textId="2E0BDA69" w:rsidR="000A3A88" w:rsidRDefault="000A3A88" w:rsidP="000A3A88">
      <w:pPr>
        <w:jc w:val="both"/>
      </w:pPr>
      <w:r>
        <w:t>Zmena údajov potrebných na vyžiadanie výpisu z registra trestov žiadateľa - právnickej osoby sa zapisuje do obchodného registra a uvedené informácie môže colný úrad získať v rámci informačných systémov verejnej správy cez register právnických osôb, podnikateľov a orgánov verejnej moci. Rovnako štát zrušil povinnosť predkladať listinné výpisy z registra trestov, pretože v súlade s ust. § 1 ods. 1 zákona č.  177/2018 Z. z. niektorých opatreniach na znižovanie administratívnej záťaže využívaním informačných systémov verejnej správy a o zmene a doplnení niektorých zákonov (ďalej len „zákon proti byrokracii“) si orgány štátnej správy vedia zistiť tieto údaje o právnickej osobe. Považujeme za nadbytočné administratívne zaťaženie, že právnické osoby budú musieť oznamovať každú zmenu, či už súvisiacu s identifikačnými údajmi spoločnosti, alebo zmeny súvisiace s výmenou členov riadiacich orgánov. Rovnako považujeme za nadbytočnú administratívnu záťaž aby členovia riadiacich orgánov oznamovali každú zmenu, ktorá u nich nastane. Jednou z príloh k žiadosti o vydanie povolenia sú aj údaje potrebné na získanie výpisu z registra trestov členov riadiacich orgánov.  Colný úrad má informácie, kto sú aktuálne členovia riadiacich orgánov a všetky zmeny, ktoré u nich nastanú (zmena priezviska, OP a i.) sú v zmysle zákona 253/1998 Z. z o hlásení pobytu občanov Slovenskej republiky a registri obyvateľov Slovenskej republiky zachytené v registri obyvateľov SR, do ktorého majú prístup orgány štátnej správy, čiže aj colný úrad.</w:t>
      </w:r>
    </w:p>
    <w:p w14:paraId="72EE598A" w14:textId="77777777" w:rsidR="000A3A88" w:rsidRDefault="000A3A88" w:rsidP="000A3A88">
      <w:pPr>
        <w:jc w:val="both"/>
      </w:pPr>
    </w:p>
    <w:p w14:paraId="3CEDFBFE" w14:textId="53CBB2C6" w:rsidR="000A3A88" w:rsidRPr="000A3A88" w:rsidRDefault="000A3A88" w:rsidP="000A3A88">
      <w:pPr>
        <w:jc w:val="both"/>
        <w:rPr>
          <w:b/>
          <w:bCs/>
        </w:rPr>
      </w:pPr>
      <w:commentRangeStart w:id="2"/>
      <w:r>
        <w:rPr>
          <w:b/>
          <w:bCs/>
        </w:rPr>
        <w:t xml:space="preserve">Oznamovacie </w:t>
      </w:r>
      <w:commentRangeEnd w:id="2"/>
      <w:r>
        <w:rPr>
          <w:rStyle w:val="Odkaznakoment"/>
        </w:rPr>
        <w:commentReference w:id="2"/>
      </w:r>
      <w:r>
        <w:rPr>
          <w:b/>
          <w:bCs/>
        </w:rPr>
        <w:t>povinnosti (§11 odsek 8, písm. f)</w:t>
      </w:r>
    </w:p>
    <w:p w14:paraId="10E918AB" w14:textId="3E2A38E5" w:rsidR="000A3A88" w:rsidRDefault="000A3A88" w:rsidP="000A3A88">
      <w:pPr>
        <w:jc w:val="both"/>
      </w:pPr>
      <w:r>
        <w:t>Oznámenie povinnosti uvedenej v § 11 ods. 8 písm. f) žiadame zrušiť v prípade osôb, ktoré majú sídlo alebo trvalý pobyt na území Slovenskej republiky.</w:t>
      </w:r>
    </w:p>
    <w:p w14:paraId="5963FFFB" w14:textId="77777777" w:rsidR="000A3A88" w:rsidRDefault="000A3A88" w:rsidP="000A3A88">
      <w:pPr>
        <w:jc w:val="both"/>
      </w:pPr>
    </w:p>
    <w:p w14:paraId="41767FF3" w14:textId="07026E5E" w:rsidR="000A3A88" w:rsidRDefault="000A3A88" w:rsidP="000A3A88">
      <w:pPr>
        <w:jc w:val="both"/>
      </w:pPr>
      <w:r>
        <w:t>Uvedené navrhujeme za účelom zníženia administratívnej záťaže žiadateľov. Informácie o vyhlásení konkurzu ako aj začatí reštrukturalizácie sa zverejňujú v Obchodnom vestníku, ktorý je verejne prístupný na stránke Ministerstva spravodlivosti SR. Vyhlásenie konkurzu, povolenie reštrukturalizácie ako aj dátum vstupu spoločnosti do likvidácie, sú informácie, ktoré sa povinne zapisujú do obchodného registra. Konkurz sa považuje za vyhlásený zverejnením uznesenia o vyhlásení konkurzu v Obchodnom vestníku. (§ 23 ods. 1 zákona č. 7/2005 Z. z.)O začatí reštrukturalizačného konania súd vydá uznesenie, ktoré bezodkladne zverejní v Obchodnom vestníku; zverejnením uznesenia v Obchodnom vestníku sa začína reštrukturalizačné konanie. (§ 113 ods. 3 zákona č. 7/2005 Z.z.). V nadväznosti na úpravy Obchodného zákonníka, ktorých účinnosť nastáva 01.10.2020 spoločnosť vstupuje do likvidácie zápisom likvidátora do obchodného registra. Štát zrušil povinnosť právnickým osobám predkladať listinné výpisy z obchodného registra, pretože orgány štátnej správy si vedia tieto údaje zistiť. Okrem toho, že orgány štátnej správy vidia zápis likvidátora a zápis zmeny názvu spoločnosti v obchodnom registri, spoločnosť zverejňuje informácie o vstupe do likvidácie aj v Obchodnom vestníku. V prípade, že spoločnosť vstúpi do likvidácie považujeme za zbytočné zaťažovanie spoločnosti, ktorá má sídlo na daňovom území, s oznamovacou povinnosťou predmetnej skutočnosti.</w:t>
      </w:r>
    </w:p>
    <w:p w14:paraId="0350CE17" w14:textId="4DFEF5D6" w:rsidR="00D23477" w:rsidRDefault="00D23477" w:rsidP="000A3A88">
      <w:pPr>
        <w:jc w:val="both"/>
      </w:pPr>
    </w:p>
    <w:p w14:paraId="57A3FFD5" w14:textId="77777777" w:rsidR="00D23477" w:rsidRPr="00D23477" w:rsidRDefault="00D23477" w:rsidP="00D23477">
      <w:pPr>
        <w:jc w:val="both"/>
        <w:rPr>
          <w:b/>
          <w:bCs/>
        </w:rPr>
      </w:pPr>
      <w:r w:rsidRPr="00D23477">
        <w:rPr>
          <w:b/>
          <w:bCs/>
        </w:rPr>
        <w:t>Oznamovacia povinnosť (§19a odsek 3)</w:t>
      </w:r>
    </w:p>
    <w:p w14:paraId="4929F666" w14:textId="499A7E65" w:rsidR="00D23477" w:rsidRDefault="00D23477" w:rsidP="00D23477">
      <w:pPr>
        <w:jc w:val="both"/>
      </w:pPr>
      <w:r>
        <w:t>V § 19a ods. 3 žiadame vypustiť slová „podľa odseku 1 písm. a) do 30 dní odo dňa jej vzniku,“. Vypustením navrhovaných slov v § 19a ods. 3 žiadame zrušiť povinnosť výrobcu biogénnej látky oznamovať colnému úradu každú zmenu údajov podľa §19a ods. 1 písm. a), t.j. každú zmenu identifikačných údajov výrobcu biogénnej látky. Štát zrušil povinnosť právnickým osobám predkladať listinné výpisy z obchodného registra, pretože orgány štátnej správy si vedia tieto údaje zistiť. V prípade, že spoločnosť zmenila identifikačné údaje, považujeme za neodôvodnene zbytočné byrokratické a administratívne zaťažovanie spoločnosti, ktorá má sídlo na daňovom území, aby oznamovala tieto skutočnosti colnému úradu. Uvedený legislatívny návrh je zároveň aj v rozpore s programovým vyhlásením vlády SR, konkrétne so záväzkami uvedenými v kapitole „ZVÝŠENIE KONKURENCIESCHOPNOSTI - ZLEPŠENIE PODNIKATEĽSKÉHO PROSTREDIA - ZVÝŠENIE ŽIVOTNEJ ÚROVNE OBČANOV, PODNIKATEĽSKÉ PROSTREDIE“. V rámci tejto kapitoly sa vláda SR zaviazala, že bude vytvárať priaznivé podmienky pre podnikanie, podnikateľské prostredie s jednoduchými zákonmi a nízkym administratívnym, finančným a regulačným zaťažením pre všetkých. Zároveň vláda deklarovala, že v nadväznosti na množstvo údajov, ktoré štát požaduje je duplicitných alebo sa ich výsledok v dostatočnej miere nevyužíva a rôzne typy výkazov či štatistických zisťovaní vytvárajú zbytočnú a neprimeranú administratívnu záťaž, a preto ich zjednoduší a zníži ich počet. Zároveň sa vláda SR zaviazala, že odbúra časť byrokracie zbytočne brzdiacej podnikanie čo najrýchlejším prijatím balíka takých zmien zákonov, ktoré uľahčia život podnikateľom, a ktoré nebudú predstavovať významný vplyv pre verejné financie a zároveň, že podstatne zníži regulačnú záťaž podnikania. Vláda SR sa taktiež zaviazala, že bude uplatňovať agendu lepšej regulácie a v neposlednom rade sa zaviazala, že zavedie povinnosť predkladateľov nových regulácií v prvej fáze nezvyšovať a následne znižovať regulačné zaťaženie v ich kompetencii. Cieľom je systémovým spôsobom zastaviť nárast a následne dosiahnuť znižovanie regulačných povinností s akcentom na ex post hodnotenie ich účelnosti a opodstatnenosti, a to vo všetkých sektoroch.</w:t>
      </w:r>
    </w:p>
    <w:p w14:paraId="5F3ECB98" w14:textId="41C38AE7" w:rsidR="000A3A88" w:rsidRDefault="000A3A88" w:rsidP="000A3A88">
      <w:pPr>
        <w:jc w:val="both"/>
      </w:pPr>
    </w:p>
    <w:p w14:paraId="7964FCB6" w14:textId="65C9908D" w:rsidR="000A3A88" w:rsidRPr="000A3A88" w:rsidRDefault="000A3A88" w:rsidP="000A3A88">
      <w:pPr>
        <w:jc w:val="both"/>
        <w:rPr>
          <w:b/>
          <w:bCs/>
        </w:rPr>
      </w:pPr>
      <w:commentRangeStart w:id="3"/>
      <w:r>
        <w:rPr>
          <w:b/>
          <w:bCs/>
        </w:rPr>
        <w:t xml:space="preserve">Oznamovacie </w:t>
      </w:r>
      <w:commentRangeEnd w:id="3"/>
      <w:r>
        <w:rPr>
          <w:rStyle w:val="Odkaznakoment"/>
        </w:rPr>
        <w:commentReference w:id="3"/>
      </w:r>
      <w:r>
        <w:rPr>
          <w:b/>
          <w:bCs/>
        </w:rPr>
        <w:t>povinnosti (§21 odsek 2 a 6)</w:t>
      </w:r>
    </w:p>
    <w:p w14:paraId="6FEFAF27" w14:textId="2EDFD399" w:rsidR="000A3A88" w:rsidRDefault="000A3A88" w:rsidP="000A3A88">
      <w:pPr>
        <w:jc w:val="both"/>
      </w:pPr>
      <w:r>
        <w:t>V § 21 ods. 6 žiadame vypustiť oznamovaciu povinnosť právnických a fyzických osôb podľa § 21 ods. 2 písm. d), tzn.  pri každej zmene údajov potrebných na vyžiadane výpisu z registra trestov. Na druhej strane navrhujeme ponechať oznamovaciu povinnosť údajov potrebných na vyžiadanie výpisu z registra trestov len v prípade, že nastane výmena členov riadiacich orgánov.</w:t>
      </w:r>
    </w:p>
    <w:p w14:paraId="591F5F15" w14:textId="77777777" w:rsidR="000A3A88" w:rsidRDefault="000A3A88" w:rsidP="000A3A88">
      <w:pPr>
        <w:jc w:val="both"/>
      </w:pPr>
    </w:p>
    <w:p w14:paraId="538D0744" w14:textId="77777777" w:rsidR="000A3A88" w:rsidRDefault="000A3A88" w:rsidP="000A3A88">
      <w:pPr>
        <w:jc w:val="both"/>
      </w:pPr>
      <w:r>
        <w:t xml:space="preserve">Zmena údajov potrebných na vyžiadanie výpisu z registra trestov prevádzkovateľa daňového skladu sa zapisuje do obchodného registra a uvedené informácie môže colný úrad získať v rámci informačných systémov verejnej správy cez register právnických osôb, podnikateľov a orgánov verejnej moci. Rovnako štát zrušil povinnosť predkladať listinné výpisy z registra trestov, pretože v súlade s ust. § 1 ods. 1 zákona č.  177/2018 Z. z. niektorých opatreniach na znižovanie administratívnej záťaže využívaním informačných systémov verejnej správy a o zmene </w:t>
      </w:r>
      <w:r>
        <w:lastRenderedPageBreak/>
        <w:t>a doplnení niektorých zákonov (ďalej len „zákon proti byrokracii“) si orgány štátnej správy vedia zistiť tieto údaje o právnickej osobe. Považujeme za nadbytočné administratívne zaťaženie, že právnické osoby budú musieť oznamovať každú zmenu, či už súvisiacu s identifikačnými údajmi spoločnosti, alebo zmeny súvisiace s výmenou členov riadiacich orgánov. Rovnako považujeme za nadbytočnú administratívnu záťaž aby členovia riadiacich orgánov oznamovali každú zmenu, ktorá u nich nastane. Jednou z príloh k žiadosti o vydanie povolenia sú aj údaje potrebné na získanie výpisu z registra trestov členov riadiacich orgánov.  Colný úrad má informácie, kto sú aktuálne členovia riadiacich orgánov a všetky zmeny, ktoré u nich nastanú (zmena priezviska, OP a i.) sú v zmysle zákona 253/1998 Z. z o hlásení pobytu občanov Slovenskej republiky a registri obyvateľov Slovenskej republiky zachytené v registri obyvateľov SR, do ktorého majú prístup orgány štátnej správy, čiže aj colný úrad.</w:t>
      </w:r>
    </w:p>
    <w:p w14:paraId="31855993" w14:textId="77777777" w:rsidR="000A3A88" w:rsidRDefault="000A3A88" w:rsidP="000A3A88">
      <w:pPr>
        <w:jc w:val="both"/>
      </w:pPr>
    </w:p>
    <w:p w14:paraId="5C11CDEA" w14:textId="0746DBAE" w:rsidR="000A3A88" w:rsidRPr="000A3A88" w:rsidRDefault="000A3A88" w:rsidP="000A3A88">
      <w:pPr>
        <w:jc w:val="both"/>
        <w:rPr>
          <w:b/>
          <w:bCs/>
        </w:rPr>
      </w:pPr>
      <w:r>
        <w:rPr>
          <w:b/>
          <w:bCs/>
        </w:rPr>
        <w:t>Informácia o začatí konkurzu a reštrukturalizácie (§21 odsek 6)</w:t>
      </w:r>
    </w:p>
    <w:p w14:paraId="273045F7" w14:textId="77777777" w:rsidR="000A3A88" w:rsidRDefault="000A3A88" w:rsidP="000A3A88">
      <w:pPr>
        <w:jc w:val="both"/>
      </w:pPr>
      <w:r>
        <w:t>Zníženie administratívnej záťaže žiadateľov. Informácie o vyhlásení konkurzu ako aj začatí reštrukturalizácie sa zverejňujú v Obchodnom vestníku, ktorý je verejne prístupný na stránke Ministerstva spravodlivosti SR. Vyhlásenie konkurzu, povolenie reštrukturalizácie ako aj dátum vstupu spoločnosti do likvidácie, sú informácie, ktoré sa povinne zapisujú do obchodného registra. Konkurz sa považuje za vyhlásený zverejnením uznesenia o vyhlásení konkurzu v Obchodnom vestníku (§ 23 ods. 1 zákona č. 7/2005 Z. z.). O začatí reštrukturalizačného konania súd vydá uznesenie, ktoré bezodkladne zverejní v Obchodnom vestníku; zverejnením uznesenia v Obchodnom vestníku sa začína reštrukturalizačné konanie (§ 113 ods. 3 zákona č. 7/2005 Z.z.). V nadväznosti na úpravy Obchodného zákonníka, ktorých účinnosť nastáva 01.10.2020 spoločnosť vstupuje do likvidácie zápisom likvidátora do obchodného registra. Štát zrušil povinnosť právnickým osobám predkladať listinné výpisy z obchodného registra, pretože orgány štátnej správy si vedia tieto údaje zistiť. Okrem toho, že orgány štátnej správy vidia zápis likvidátora a zápis zmeny názvu spoločnosti v obchodnom registri, spoločnosť zverejňuje informácie o vstupe do likvidácie aj v Obchodnom vestníku. V prípade, že spoločnosť vstúpi do likvidácie považujeme za zbytočné zaťažovanie spoločnosti, ktorá má sídlo na daňovom území, s oznamovacou povinnosťou predmetnej skutočnosti.</w:t>
      </w:r>
    </w:p>
    <w:p w14:paraId="01F8E941" w14:textId="4CDD70DC" w:rsidR="000A3A88" w:rsidRDefault="000A3A88" w:rsidP="000A3A88">
      <w:pPr>
        <w:jc w:val="both"/>
      </w:pPr>
    </w:p>
    <w:p w14:paraId="663F9491" w14:textId="3CE0F705" w:rsidR="000A3A88" w:rsidRPr="000A3A88" w:rsidRDefault="000A3A88" w:rsidP="000A3A88">
      <w:pPr>
        <w:jc w:val="both"/>
        <w:rPr>
          <w:b/>
          <w:bCs/>
        </w:rPr>
      </w:pPr>
      <w:commentRangeStart w:id="4"/>
      <w:r>
        <w:rPr>
          <w:b/>
          <w:bCs/>
        </w:rPr>
        <w:t xml:space="preserve">Oznamovacia </w:t>
      </w:r>
      <w:commentRangeEnd w:id="4"/>
      <w:r>
        <w:rPr>
          <w:rStyle w:val="Odkaznakoment"/>
        </w:rPr>
        <w:commentReference w:id="4"/>
      </w:r>
      <w:r>
        <w:rPr>
          <w:b/>
          <w:bCs/>
        </w:rPr>
        <w:t>povinnosť (§25 odsek 14)</w:t>
      </w:r>
    </w:p>
    <w:p w14:paraId="6DD04945" w14:textId="0C5FA8DA" w:rsidR="000A3A88" w:rsidRDefault="000A3A88" w:rsidP="000A3A88">
      <w:pPr>
        <w:jc w:val="both"/>
      </w:pPr>
      <w:r>
        <w:t>V § 25 ods. 14 žiadame vypustiť oznamovaciu povinnosť právnických a fyzických osôb podľa § 25 ods. 3 písm. c), tzn.  pri každej zmene údajov potrebných na vyžiadane výpisu z registra trestov. Na druhej strane navrhujeme ponechať oznamovaciu povinnosť údajov potrebných na vyžiadanie výpisu z registra trestov len v prípade, že nastane výmena členov riadiacich orgánov.</w:t>
      </w:r>
    </w:p>
    <w:p w14:paraId="1EE0AD2E" w14:textId="77777777" w:rsidR="000A3A88" w:rsidRDefault="000A3A88" w:rsidP="000A3A88">
      <w:pPr>
        <w:jc w:val="both"/>
      </w:pPr>
    </w:p>
    <w:p w14:paraId="6354783E" w14:textId="1D714E97" w:rsidR="000A3A88" w:rsidRDefault="000A3A88" w:rsidP="000A3A88">
      <w:pPr>
        <w:jc w:val="both"/>
      </w:pPr>
      <w:r>
        <w:t>Zmena údajov potrebných na vyžiadanie výpisu z registra trestov oprávneného príjemcu - právnickej osoby sa zapisuje do obchodného registra a uvedené informácie môže colný úrad získať v rámci informačných systémov verejnej správy cez register právnických osôb, podnikateľov a orgánov verejnej moci. Rovnako štát zrušil povinnosť predkladať listinné výpisy z registra trestov, pretože v súlade s ust. § 1 ods. 1 zákona č.  177/2018 Z. z. niektorých opatreniach na znižovanie administratívnej záťaže využívaním informačných systémov verejnej správy a o zmene a doplnení niektorých zákonov (ďalej len „zákon proti byrokracii“) si orgány štátnej správy vedia zistiť tieto údaje o právnickej osobe. Považujeme za nadbytočné administratívne zaťaženie, že právnické osoby budú musieť oznamovať každú zmenu, či už súvisiacu s identifikačnými údajmi spoločnosti, alebo zmeny súvisiace s výmenou členov riadiacich orgánov. Rovnako považujeme za nadbytočnú administratívnu záťaž aby členovia riadiacich orgánov oznamovali každú zmenu, ktorá u nich nastane. Jednou z príloh k žiadosti o vydanie povolenia sú aj údaje potrebné na získanie výpisu z registra trestov členov riadiacich orgánov.  Colný úrad má informácie, kto sú aktuálne členovia riadiacich orgánov a všetky zmeny, ktoré u nich nastanú (zmena priezviska, OP a i.) sú v zmysle zákona 253/1998 Z. z o hlásení pobytu občanov Slovenskej republiky a registri obyvateľov Slovenskej republiky zachytené v registri obyvateľov SR, do ktorého majú prístup orgány štátnej správy, čiže aj colný úrad.</w:t>
      </w:r>
    </w:p>
    <w:p w14:paraId="3A95D7C9" w14:textId="77777777" w:rsidR="000A3A88" w:rsidRDefault="000A3A88" w:rsidP="000A3A88">
      <w:pPr>
        <w:jc w:val="both"/>
      </w:pPr>
    </w:p>
    <w:p w14:paraId="33424971" w14:textId="77777777" w:rsidR="000A3A88" w:rsidRPr="000A3A88" w:rsidRDefault="000A3A88" w:rsidP="000A3A88">
      <w:pPr>
        <w:jc w:val="both"/>
        <w:rPr>
          <w:b/>
          <w:bCs/>
        </w:rPr>
      </w:pPr>
      <w:commentRangeStart w:id="5"/>
      <w:r>
        <w:rPr>
          <w:b/>
          <w:bCs/>
        </w:rPr>
        <w:t xml:space="preserve">Oznamovacia </w:t>
      </w:r>
      <w:commentRangeEnd w:id="5"/>
      <w:r>
        <w:rPr>
          <w:rStyle w:val="Odkaznakoment"/>
        </w:rPr>
        <w:commentReference w:id="5"/>
      </w:r>
      <w:r>
        <w:rPr>
          <w:b/>
          <w:bCs/>
        </w:rPr>
        <w:t>povinnosť (§25 odsek 14)</w:t>
      </w:r>
    </w:p>
    <w:p w14:paraId="36B94ADC" w14:textId="77777777" w:rsidR="000A3A88" w:rsidRDefault="000A3A88" w:rsidP="000A3A88">
      <w:pPr>
        <w:jc w:val="both"/>
      </w:pPr>
      <w:r>
        <w:t xml:space="preserve">Zníženie administratívnej záťaže oprávnených príjemcov. Uvedenú povinnosť oznamovania žiadame vypustiť  v prípade osôb, ktoré majú sídlo alebo trvalý pobyt na území Slovenskej republiky. </w:t>
      </w:r>
    </w:p>
    <w:p w14:paraId="7D79B5DB" w14:textId="77777777" w:rsidR="000A3A88" w:rsidRDefault="000A3A88" w:rsidP="000A3A88">
      <w:pPr>
        <w:jc w:val="both"/>
      </w:pPr>
      <w:r>
        <w:t xml:space="preserve">Informácie o vyhlásení konkurzu ako aj začatí reštrukturalizácie sa zverejňujú v Obchodnom vestníku, ktorý je verejne prístupný na stránke Ministerstva spravodlivosti SR. Vyhlásenie konkurzu, povolenie reštrukturalizácie ako aj dátum vstupu spoločnosti do likvidácie, sú informácie, ktoré sa povinne zapisujú do obchodného registra. Konkurz sa považuje za vyhlásený zverejnením uznesenia o vyhlásení konkurzu v Obchodnom vestníku (§ 23 ods. 1 zákona č. 7/2005 Z. z.). O začatí reštrukturalizačného konania súd vydá uznesenie, ktoré bezodkladne zverejní </w:t>
      </w:r>
      <w:r>
        <w:lastRenderedPageBreak/>
        <w:t>v Obchodnom vestníku; zverejnením uznesenia v Obchodnom vestníku sa začína reštrukturalizačné konanie (§ 113 ods. 3 zákona č. 7/2005 Z.z.).V nadväznosti na úpravy Obchodného zákonníka, ktorých účinnosť nastáva 01.10.2020 spoločnosť vstupuje do likvidácie zápisom likvidátora do obchodného registra. Štát zrušil povinnosť právnickým osobám predkladať listinné výpisy z obchodného registra, pretože orgány štátnej správy si vedia tieto údaje zistiť. Okrem toho, že orgány štátnej správy vidia zápis likvidátora a zápis zmeny názvu spoločnosti v obchodnom registri, spoločnosť zverejňuje informácie o vstupe do likvidácie aj v Obchodnom vestníku. V prípade, že spoločnosť vstúpi do likvidácie považujeme za zbytočné zaťažovanie spoločnosti, ktorá má sídlo na daňovom území, s oznamovacou povinnosťou predmetnej skutočnosti.</w:t>
      </w:r>
    </w:p>
    <w:p w14:paraId="41428DE4" w14:textId="1DA1D879" w:rsidR="000A3A88" w:rsidRDefault="000A3A88" w:rsidP="000A3A88">
      <w:pPr>
        <w:jc w:val="both"/>
      </w:pPr>
    </w:p>
    <w:p w14:paraId="760E383A" w14:textId="4BA6347C" w:rsidR="000A3A88" w:rsidRPr="000A3A88" w:rsidRDefault="000A3A88" w:rsidP="000A3A88">
      <w:pPr>
        <w:jc w:val="both"/>
        <w:rPr>
          <w:b/>
          <w:bCs/>
        </w:rPr>
      </w:pPr>
      <w:commentRangeStart w:id="6"/>
      <w:r>
        <w:rPr>
          <w:b/>
          <w:bCs/>
        </w:rPr>
        <w:t xml:space="preserve">Oznamovacia </w:t>
      </w:r>
      <w:commentRangeEnd w:id="6"/>
      <w:r>
        <w:rPr>
          <w:rStyle w:val="Odkaznakoment"/>
        </w:rPr>
        <w:commentReference w:id="6"/>
      </w:r>
      <w:r>
        <w:rPr>
          <w:b/>
          <w:bCs/>
        </w:rPr>
        <w:t>povinnosť (§25a odsek 10)</w:t>
      </w:r>
    </w:p>
    <w:p w14:paraId="1A99B95B" w14:textId="51FB68B3" w:rsidR="000A3A88" w:rsidRDefault="000A3A88" w:rsidP="000A3A88">
      <w:pPr>
        <w:jc w:val="both"/>
      </w:pPr>
      <w:r>
        <w:t>V § 25a ods. 10 žiadame vypustiť slová „podľa odseku 5 písm. a) do 30 dní odo dňa jej vzniku,“ Navrhujeme vypustiť oznamovaciu povinnosť v súvislosti so zmenou identifikačných údajov v zmysle § 25a ods. 5 písm. a) v spojení s § 25a ods. 10, a to pre žiadateľa ktorý má sídlo na daňovom území. Štát zrušil povinnosť právnickým osobám predkladať listinné výpisy z obchodného registra, pretože orgány štátnej správy si vedia tieto údaje zistiť. V prípade, že spoločnosť zmenila identifikačné údaje, považujeme za zbytočné zaťažovanie spoločnosti, ktorá má sídlo na daňovom území, s oznamovacou povinnosťou predmetnej skutočnosti.</w:t>
      </w:r>
    </w:p>
    <w:p w14:paraId="16688911" w14:textId="77777777" w:rsidR="000A3A88" w:rsidRDefault="000A3A88" w:rsidP="000A3A88">
      <w:pPr>
        <w:jc w:val="both"/>
      </w:pPr>
    </w:p>
    <w:p w14:paraId="4342C15C" w14:textId="3FCFF79B" w:rsidR="000A3A88" w:rsidRPr="000A3A88" w:rsidRDefault="000A3A88" w:rsidP="000A3A88">
      <w:pPr>
        <w:jc w:val="both"/>
        <w:rPr>
          <w:b/>
          <w:bCs/>
        </w:rPr>
      </w:pPr>
      <w:commentRangeStart w:id="7"/>
      <w:r>
        <w:rPr>
          <w:b/>
          <w:bCs/>
        </w:rPr>
        <w:t xml:space="preserve">Oznamovacia </w:t>
      </w:r>
      <w:commentRangeEnd w:id="7"/>
      <w:r>
        <w:rPr>
          <w:rStyle w:val="Odkaznakoment"/>
        </w:rPr>
        <w:commentReference w:id="7"/>
      </w:r>
      <w:r>
        <w:rPr>
          <w:b/>
          <w:bCs/>
        </w:rPr>
        <w:t>povinnosť (§25b odsek 3)</w:t>
      </w:r>
    </w:p>
    <w:p w14:paraId="2D8D1F13" w14:textId="62991D8E" w:rsidR="000A3A88" w:rsidRDefault="000A3A88" w:rsidP="000A3A88">
      <w:pPr>
        <w:jc w:val="both"/>
      </w:pPr>
      <w:r>
        <w:t>Navrhujeme vypustiť oznamovaciu povinnosť právnických a fyzických osôb podľa § 25b ods. 3 písm. d). Navrhujeme vypustiť oznamovaciu povinnosť právnických a fyzických osôb podľa § 25b ods. 3 písm. d), tzn.  pri každej zmene údajov potrebných na vyžiadane výpisu z registra trestov. Na druhej strane navrhujeme ponechať oznamovaciu povinnosť údajov potrebných na vyžiadanie výpisu z registra trestov len v prípade, že nastane výmena členov riadiacich orgánov. Zmena údajov potrebných na vyžiadanie výpisu z registra trestov žiadateľa - právnickej osoby sa zapisuje do obchodného registra a uvedené informácie môže colný úrad získať v rámci informačných systémov verejnej správy cez register právnických osôb, podnikateľov a orgánov verejnej moci. Rovnako štát zrušil povinnosť predkladať listinné výpisy z registra trestov, pretože v súlade s ust. § 1 ods. 1 zákona č.  177/2018 Z.z. niektorých opatreniach na znižovanie administratívnej záťaže využívaním informačných systémov verejnej správy a o zmene a doplnení niektorých zákonov (ďalej len „zákon proti byrokracii“) si orgány štátnej správy vedia zistiť tieto údaje o právnickej osobe. Považujeme za nadbytočné administratívne zaťaženie, že právnické osoby budú musieť oznamovať každú zmenu, či už súvisiacu s identifikačnými údajmi spoločnosti, alebo zmeny súvisiace s výmenou členov riadiacich orgánov. Rovnako považujeme za nadbytočnú administratívnu záťaž aby členovia riadiacich orgánov oznamovali každú zmenu, ktorá u nich nastane. Jednou z príloh k žiadosti o vydanie povolenia sú aj údaje potrebné na získanie výpisu z registra trestov členov riadiacich orgánov.  Colný úrad má informácie, kto sú aktuálne členovia riadiacich orgánov a všetky zmeny, ktoré u nich nastanú (zmena priezviska, OP a i.) sú v zmysle zákona 253/1998 Z. z o hlásení pobytu občanov Slovenskej republiky a registri obyvateľov Slovenskej republiky zachytené v registri obyvateľov SR, do ktorého majú prístup orgány štátnej správy, čiže aj colný úrad.</w:t>
      </w:r>
    </w:p>
    <w:p w14:paraId="2034DBD2" w14:textId="025DFB79" w:rsidR="000A3A88" w:rsidRDefault="000A3A88" w:rsidP="000A3A88">
      <w:pPr>
        <w:jc w:val="both"/>
      </w:pPr>
    </w:p>
    <w:p w14:paraId="791676D3" w14:textId="56C2A2BA" w:rsidR="000A3A88" w:rsidRPr="000A3A88" w:rsidRDefault="000A3A88" w:rsidP="000A3A88">
      <w:pPr>
        <w:jc w:val="both"/>
        <w:rPr>
          <w:b/>
          <w:bCs/>
        </w:rPr>
      </w:pPr>
      <w:commentRangeStart w:id="8"/>
      <w:r>
        <w:rPr>
          <w:b/>
          <w:bCs/>
        </w:rPr>
        <w:t xml:space="preserve">Oznamovacia </w:t>
      </w:r>
      <w:commentRangeEnd w:id="8"/>
      <w:r>
        <w:rPr>
          <w:rStyle w:val="Odkaznakoment"/>
        </w:rPr>
        <w:commentReference w:id="8"/>
      </w:r>
      <w:r>
        <w:rPr>
          <w:b/>
          <w:bCs/>
        </w:rPr>
        <w:t>povinnosť (§25b odsek 15)</w:t>
      </w:r>
    </w:p>
    <w:p w14:paraId="157D9DA4" w14:textId="03E992F7" w:rsidR="000A3A88" w:rsidRDefault="000A3A88" w:rsidP="000A3A88">
      <w:pPr>
        <w:jc w:val="both"/>
      </w:pPr>
      <w:r>
        <w:t xml:space="preserve">Navrhujeme vypustiť oznamovaciu povinnosť právnických a fyzických osôb stanovenú v § 25b ods. 15 písm. e) spojenú s § 25b ods. 6 písm. e) Navrhujeme vypustiť oznamovaciu povinnosť právnických a fyzických osôb stanovenú v § 25b ods. 15 písm. e) spojenú s § 25b ods. 6 písm. e), tzn.  pri každej zmene údajov potrebných na vyžiadane výpisu z registra trestov. Na druhej strane navrhujeme ponechať oznamovaciu povinnosť údajov potrebných na vyžiadanie výpisu z registra trestov len v prípade, že nastane výmena členov riadiacich orgánov. Zmena údajov potrebných na vyžiadanie výpisu z registra trestov žiadateľa - právnickej osoby sa zapisuje do obchodného registra a uvedené informácie môže colný úrad získať v rámci informačných systémov verejnej správy cez register právnických osôb, podnikateľov a orgánov verejnej moci. Rovnako štát zrušil povinnosť predkladať listinné výpisy z registra trestov, pretože v súlade s ust. § 1 ods. 1 zákona č.  177/2018 Z.z. niektorých opatreniach na znižovanie administratívnej záťaže využívaním informačných systémov verejnej správy a o zmene a doplnení niektorých zákonov (ďalej len „zákon proti byrokracii“) si orgány štátnej správy vedia zistiť tieto údaje o právnickej osobe. Považujeme za nadbytočné administratívne zaťaženie, že právnické osoby budú musieť oznamovať každú zmenu, či už súvisiacu s identifikačnými údajmi spoločnosti, alebo zmeny súvisiace s výmenou členov riadiacich orgánov. Rovnako považujeme za nadbytočnú administratívnu záťaž aby členovia riadiacich orgánov oznamovali každú zmenu, ktorá u nich nastane. Jednou z príloh k žiadosti o vydanie povolenia sú aj údaje potrebné na získanie výpisu z registra trestov členov riadiacich orgánov.  Colný úrad má informácie, kto sú aktuálne členovia riadiacich </w:t>
      </w:r>
      <w:r>
        <w:lastRenderedPageBreak/>
        <w:t>orgánov a všetky zmeny, ktoré u nich nastanú (zmena priezviska, OP a i.) sú v zmysle zákona 253/1998 Z. z o hlásení pobytu občanov Slovenskej republiky a registri obyvateľov Slovenskej republiky zachytené v registri obyvateľov SR, do ktorého majú prístup orgány štátnej správy, čiže aj colný úrad.</w:t>
      </w:r>
    </w:p>
    <w:p w14:paraId="32B7B598" w14:textId="77777777" w:rsidR="000A3A88" w:rsidRDefault="000A3A88" w:rsidP="000A3A88">
      <w:pPr>
        <w:jc w:val="both"/>
      </w:pPr>
    </w:p>
    <w:p w14:paraId="28BBD58A" w14:textId="0B579B14" w:rsidR="00D23477" w:rsidRPr="00D23477" w:rsidRDefault="00D23477" w:rsidP="000A3A88">
      <w:pPr>
        <w:jc w:val="both"/>
        <w:rPr>
          <w:b/>
          <w:bCs/>
        </w:rPr>
      </w:pPr>
      <w:bookmarkStart w:id="9" w:name="_Hlk62721013"/>
      <w:commentRangeStart w:id="10"/>
      <w:r>
        <w:rPr>
          <w:b/>
          <w:bCs/>
        </w:rPr>
        <w:t xml:space="preserve">Oznamovacia </w:t>
      </w:r>
      <w:commentRangeEnd w:id="10"/>
      <w:r>
        <w:rPr>
          <w:rStyle w:val="Odkaznakoment"/>
        </w:rPr>
        <w:commentReference w:id="10"/>
      </w:r>
      <w:r>
        <w:rPr>
          <w:b/>
          <w:bCs/>
        </w:rPr>
        <w:t>povinnosť (§19a odsek 3)</w:t>
      </w:r>
    </w:p>
    <w:p w14:paraId="2D8CC6C3" w14:textId="7E164C7A" w:rsidR="000A3A88" w:rsidRDefault="000A3A88" w:rsidP="000A3A88">
      <w:pPr>
        <w:jc w:val="both"/>
      </w:pPr>
      <w:r>
        <w:t>V § 19a ods. 3 žiadame vypustiť slová „podľa odseku 1 písm. a) do 30 dní odo dňa jej vzniku,“. Vypustením navrhovaných slov v § 19a ods. 3 žiadame zrušiť povinnosť výrobcu biogénnej látky oznamovať colnému úradu každú zmenu údajov podľa §19a ods. 1 písm. a), t.j. každú zmenu identifikačných údajov výrobcu biogénnej látky. Štát zrušil povinnosť právnickým osobám predkladať listinné výpisy z obchodného registra, pretože orgány štátnej správy si vedia tieto údaje zistiť. V prípade, že spoločnosť zmenila identifikačné údaje, považujeme za neodôvodnene zbytočné byrokratické a administratívne zaťažovanie spoločnosti, ktorá má sídlo na daňovom území, aby oznamovala tieto skutočnosti colnému úradu. Uvedený legislatívny návrh je zároveň aj v rozpore s programovým vyhlásením vlády SR, konkrétne so záväzkami uvedenými v kapitole „ZVÝŠENIE KONKURENCIESCHOPNOSTI - ZLEPŠENIE PODNIKATEĽSKÉHO PROSTREDIA - ZVÝŠENIE ŽIVOTNEJ ÚROVNE OBČANOV, PODNIKATEĽSKÉ PROSTREDIE“. V rámci tejto kapitoly sa vláda SR zaviazala, že bude vytvárať priaznivé podmienky pre podnikanie, podnikateľské prostredie s jednoduchými zákonmi a nízkym administratívnym, finančným a regulačným zaťažením pre všetkých. Zároveň vláda deklarovala, že v nadväznosti na množstvo údajov, ktoré štát požaduje je duplicitných alebo sa ich výsledok v dostatočnej miere nevyužíva a rôzne typy výkazov či štatistických zisťovaní vytvárajú zbytočnú a neprimeranú administratívnu záťaž, a preto ich zjednoduší a zníži ich počet. Zároveň sa vláda SR zaviazala, že odbúra časť byrokracie zbytočne brzdiacej podnikanie čo najrýchlejším prijatím balíka takých zmien zákonov, ktoré uľahčia život podnikateľom, a ktoré nebudú predstavovať významný vplyv pre verejné financie a zároveň, že podstatne zníži regulačnú záťaž podnikania. Vláda SR sa taktiež zaviazala, že bude uplatňovať agendu lepšej regulácie a v neposlednom rade sa zaviazala, že zavedie povinnosť predkladateľov nových regulácií v prvej fáze nezvyšovať a následne znižovať regulačné zaťaženie v ich kompetencii. Cieľom je systémovým spôsobom zastaviť nárast a následne dosiahnuť znižovanie regulačných povinností s akcentom na ex post hodnotenie ich účelnosti a opodstatnenosti, a to vo všetkých sektoroch.</w:t>
      </w:r>
    </w:p>
    <w:bookmarkEnd w:id="9"/>
    <w:p w14:paraId="3880E31A" w14:textId="4ADFE2B4" w:rsidR="00D23477" w:rsidRDefault="00D23477" w:rsidP="000A3A88">
      <w:pPr>
        <w:jc w:val="both"/>
      </w:pPr>
    </w:p>
    <w:p w14:paraId="11991818" w14:textId="4295B43F" w:rsidR="00D23477" w:rsidRPr="00D23477" w:rsidRDefault="00D23477" w:rsidP="00D23477">
      <w:pPr>
        <w:jc w:val="both"/>
        <w:rPr>
          <w:b/>
          <w:bCs/>
        </w:rPr>
      </w:pPr>
      <w:commentRangeStart w:id="11"/>
      <w:r>
        <w:rPr>
          <w:b/>
          <w:bCs/>
        </w:rPr>
        <w:t xml:space="preserve">Oznamovacia </w:t>
      </w:r>
      <w:commentRangeEnd w:id="11"/>
      <w:r>
        <w:rPr>
          <w:rStyle w:val="Odkaznakoment"/>
        </w:rPr>
        <w:commentReference w:id="11"/>
      </w:r>
      <w:r>
        <w:rPr>
          <w:b/>
          <w:bCs/>
        </w:rPr>
        <w:t>povinnosť (§25b odsek 14, písm. g)</w:t>
      </w:r>
    </w:p>
    <w:p w14:paraId="205AE3A1" w14:textId="5B2DB746" w:rsidR="000A3A88" w:rsidRDefault="000A3A88" w:rsidP="000A3A88">
      <w:pPr>
        <w:jc w:val="both"/>
      </w:pPr>
      <w:r>
        <w:t>V § 25b ods. 14 písm. g) žiadame vypustiť oznamovaciu povinnosť stanovenú v § 25b ods. 3 písm. a), a to pre distribútora, ktorý má sídlo na daňovom území.</w:t>
      </w:r>
      <w:r w:rsidR="00D23477">
        <w:t xml:space="preserve"> </w:t>
      </w:r>
      <w:r>
        <w:t>Štát zrušil povinnosť právnickým osobám predkladať listinné výpisy z obchodného registra, pretože orgány štátnej správy si vedia tieto údaje zistiť. V prípade, že spoločnosť zmenila identifikačné údaje, považujeme za zbytočné zaťažovanie spoločnosti, ktorá má sídlo na daňovom území, s oznamovacou povinnosťou predmetnej skutočnosti.</w:t>
      </w:r>
    </w:p>
    <w:p w14:paraId="127AA667" w14:textId="77777777" w:rsidR="00D23477" w:rsidRDefault="00D23477" w:rsidP="000A3A88">
      <w:pPr>
        <w:jc w:val="both"/>
      </w:pPr>
    </w:p>
    <w:p w14:paraId="0976DC5D" w14:textId="735D907F" w:rsidR="00D23477" w:rsidRPr="00D23477" w:rsidRDefault="00D23477" w:rsidP="00D23477">
      <w:pPr>
        <w:jc w:val="both"/>
        <w:rPr>
          <w:b/>
          <w:bCs/>
        </w:rPr>
      </w:pPr>
      <w:commentRangeStart w:id="12"/>
      <w:r>
        <w:rPr>
          <w:b/>
          <w:bCs/>
        </w:rPr>
        <w:t xml:space="preserve">Oznamovacia </w:t>
      </w:r>
      <w:commentRangeEnd w:id="12"/>
      <w:r>
        <w:rPr>
          <w:rStyle w:val="Odkaznakoment"/>
        </w:rPr>
        <w:commentReference w:id="12"/>
      </w:r>
      <w:r>
        <w:rPr>
          <w:b/>
          <w:bCs/>
        </w:rPr>
        <w:t>povinnosť (§25b odsek 15, písm. e)</w:t>
      </w:r>
    </w:p>
    <w:p w14:paraId="16B1AA85" w14:textId="17756FB7" w:rsidR="000A3A88" w:rsidRDefault="000A3A88" w:rsidP="000A3A88">
      <w:pPr>
        <w:jc w:val="both"/>
      </w:pPr>
      <w:r>
        <w:t>V § 25b ods. 15 písm. e) žiadame vypustiť oznamovaciu povinnosť predajcu pohonných hmôt stanovenú v  § 25b ods. 6 písm. a) súvisiacu s oznamovaním zmeny identifikačných údajov predajcu pohonných hmôt, ktorý má sídlo na daňovom území.</w:t>
      </w:r>
      <w:r w:rsidR="00D23477">
        <w:t xml:space="preserve"> </w:t>
      </w:r>
      <w:r>
        <w:t>Štát zrušil povinnosť právnickým osobám predkladať listinné výpisy z obchodného registra, pretože orgány štátnej správy si vedia tieto údaje zistiť. V prípade, že spoločnosť zmenila identifikačné údaje, považujeme za zbytočné zaťažovanie spoločnosti, ktorá má sídlo na daňovom území, s oznamovacou povinnosťou predmetnej skutočnosti.</w:t>
      </w:r>
    </w:p>
    <w:p w14:paraId="0F4B7249" w14:textId="3A8EF3AA" w:rsidR="00D23477" w:rsidRDefault="00D23477" w:rsidP="000A3A88">
      <w:pPr>
        <w:jc w:val="both"/>
      </w:pPr>
    </w:p>
    <w:p w14:paraId="778D2231" w14:textId="34F22740" w:rsidR="00D23477" w:rsidRPr="00D23477" w:rsidRDefault="00D23477" w:rsidP="00D23477">
      <w:pPr>
        <w:jc w:val="both"/>
        <w:rPr>
          <w:b/>
          <w:bCs/>
        </w:rPr>
      </w:pPr>
      <w:commentRangeStart w:id="13"/>
      <w:r>
        <w:rPr>
          <w:b/>
          <w:bCs/>
        </w:rPr>
        <w:t xml:space="preserve">Oznamovacia </w:t>
      </w:r>
      <w:commentRangeEnd w:id="13"/>
      <w:r>
        <w:rPr>
          <w:rStyle w:val="Odkaznakoment"/>
        </w:rPr>
        <w:commentReference w:id="13"/>
      </w:r>
      <w:r>
        <w:rPr>
          <w:b/>
          <w:bCs/>
        </w:rPr>
        <w:t>povinnosť (§25b odsek 18, písm. d)</w:t>
      </w:r>
    </w:p>
    <w:p w14:paraId="6001EECF" w14:textId="7555F194" w:rsidR="000A3A88" w:rsidRPr="003E174A" w:rsidRDefault="000A3A88" w:rsidP="000A3A88">
      <w:pPr>
        <w:jc w:val="both"/>
      </w:pPr>
      <w:r>
        <w:t>V § 25b ods. 18 písm. d) žiadame vypustiť slová „podľa odseku 16 písm. a) do 30 dní odo dňa jej vzniku a“</w:t>
      </w:r>
      <w:r w:rsidR="00D23477">
        <w:t xml:space="preserve"> </w:t>
      </w:r>
      <w:r>
        <w:t>Navrhujeme vypustiť oznamovaciu povinnosť uvedenú v § 25b ods. 18 písm. d) súvisiacu s oznamovaním zmien identifikačných údajov spotrebiteľa pohonných látok podľa § 25b ods. 16 písm. a), ktorý má sídlo na daňovom území. Štát zrušil povinnosť právnickým osobám predkladať listinné výpisy z obchodného registra, pretože orgány štátnej správy si vedia tieto údaje zistiť. V prípade, že spoločnosť zmenila identifikačné údaje, považujeme za zbytočné zaťažovanie spoločnosti, ktorá má sídlo na daňovom území, s oznamovacou povinnosťou predmetnej skutočnosti.</w:t>
      </w:r>
    </w:p>
    <w:sectPr w:rsidR="000A3A88" w:rsidRPr="003E174A">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ndrej Beňo" w:date="2021-01-28T00:36:00Z" w:initials="AB">
    <w:p w14:paraId="05B411E1" w14:textId="3343F9BF" w:rsidR="003E174A" w:rsidRDefault="003E174A">
      <w:pPr>
        <w:pStyle w:val="Textkomente"/>
      </w:pPr>
      <w:r>
        <w:rPr>
          <w:rStyle w:val="Odkaznakoment"/>
        </w:rPr>
        <w:annotationRef/>
      </w:r>
      <w:r>
        <w:t>Slovnaft</w:t>
      </w:r>
    </w:p>
  </w:comment>
  <w:comment w:id="1" w:author="Andrej Beňo" w:date="2021-01-28T10:01:00Z" w:initials="AB">
    <w:p w14:paraId="44828C70" w14:textId="45704088" w:rsidR="000A3A88" w:rsidRDefault="000A3A88">
      <w:pPr>
        <w:pStyle w:val="Textkomente"/>
      </w:pPr>
      <w:r>
        <w:rPr>
          <w:rStyle w:val="Odkaznakoment"/>
        </w:rPr>
        <w:annotationRef/>
      </w:r>
      <w:r>
        <w:t>Potravinárska komora Slovenska</w:t>
      </w:r>
    </w:p>
  </w:comment>
  <w:comment w:id="2" w:author="Andrej Beňo" w:date="2021-01-28T10:01:00Z" w:initials="AB">
    <w:p w14:paraId="5603211F" w14:textId="020ECC7D" w:rsidR="000A3A88" w:rsidRDefault="000A3A88">
      <w:pPr>
        <w:pStyle w:val="Textkomente"/>
      </w:pPr>
      <w:r>
        <w:rPr>
          <w:rStyle w:val="Odkaznakoment"/>
        </w:rPr>
        <w:annotationRef/>
      </w:r>
      <w:r>
        <w:t>Potravinárska komora Slovenska</w:t>
      </w:r>
    </w:p>
  </w:comment>
  <w:comment w:id="3" w:author="Andrej Beňo" w:date="2021-01-28T10:01:00Z" w:initials="AB">
    <w:p w14:paraId="323FC043" w14:textId="77777777" w:rsidR="000A3A88" w:rsidRDefault="000A3A88" w:rsidP="000A3A88">
      <w:pPr>
        <w:pStyle w:val="Textkomente"/>
      </w:pPr>
      <w:r>
        <w:rPr>
          <w:rStyle w:val="Odkaznakoment"/>
        </w:rPr>
        <w:annotationRef/>
      </w:r>
      <w:r>
        <w:t>Potravinárska komora Slovenska</w:t>
      </w:r>
    </w:p>
  </w:comment>
  <w:comment w:id="4" w:author="Andrej Beňo" w:date="2021-01-28T10:04:00Z" w:initials="AB">
    <w:p w14:paraId="2C608BA3" w14:textId="162750FE" w:rsidR="000A3A88" w:rsidRDefault="000A3A88">
      <w:pPr>
        <w:pStyle w:val="Textkomente"/>
      </w:pPr>
      <w:r>
        <w:rPr>
          <w:rStyle w:val="Odkaznakoment"/>
        </w:rPr>
        <w:annotationRef/>
      </w:r>
      <w:r>
        <w:t>Potravinárska komora Slovenska</w:t>
      </w:r>
    </w:p>
  </w:comment>
  <w:comment w:id="5" w:author="Andrej Beňo" w:date="2021-01-28T10:04:00Z" w:initials="AB">
    <w:p w14:paraId="11083338" w14:textId="77777777" w:rsidR="000A3A88" w:rsidRDefault="000A3A88" w:rsidP="000A3A88">
      <w:pPr>
        <w:pStyle w:val="Textkomente"/>
      </w:pPr>
      <w:r>
        <w:rPr>
          <w:rStyle w:val="Odkaznakoment"/>
        </w:rPr>
        <w:annotationRef/>
      </w:r>
      <w:r>
        <w:t>Potravinárska komora Slovenska</w:t>
      </w:r>
    </w:p>
  </w:comment>
  <w:comment w:id="6" w:author="Andrej Beňo" w:date="2021-01-28T10:04:00Z" w:initials="AB">
    <w:p w14:paraId="1A900F6B" w14:textId="77777777" w:rsidR="000A3A88" w:rsidRDefault="000A3A88" w:rsidP="000A3A88">
      <w:pPr>
        <w:pStyle w:val="Textkomente"/>
      </w:pPr>
      <w:r>
        <w:rPr>
          <w:rStyle w:val="Odkaznakoment"/>
        </w:rPr>
        <w:annotationRef/>
      </w:r>
      <w:r>
        <w:t>Potravinárska komora Slovenska</w:t>
      </w:r>
    </w:p>
  </w:comment>
  <w:comment w:id="7" w:author="Andrej Beňo" w:date="2021-01-28T10:04:00Z" w:initials="AB">
    <w:p w14:paraId="7300CD25" w14:textId="77777777" w:rsidR="000A3A88" w:rsidRDefault="000A3A88" w:rsidP="000A3A88">
      <w:pPr>
        <w:pStyle w:val="Textkomente"/>
      </w:pPr>
      <w:r>
        <w:rPr>
          <w:rStyle w:val="Odkaznakoment"/>
        </w:rPr>
        <w:annotationRef/>
      </w:r>
      <w:r>
        <w:t>Potravinárska komora Slovenska</w:t>
      </w:r>
    </w:p>
  </w:comment>
  <w:comment w:id="8" w:author="Andrej Beňo" w:date="2021-01-28T10:04:00Z" w:initials="AB">
    <w:p w14:paraId="6DD984A5" w14:textId="77777777" w:rsidR="000A3A88" w:rsidRDefault="000A3A88" w:rsidP="000A3A88">
      <w:pPr>
        <w:pStyle w:val="Textkomente"/>
      </w:pPr>
      <w:r>
        <w:rPr>
          <w:rStyle w:val="Odkaznakoment"/>
        </w:rPr>
        <w:annotationRef/>
      </w:r>
      <w:r>
        <w:t>Potravinárska komora Slovenska</w:t>
      </w:r>
    </w:p>
  </w:comment>
  <w:comment w:id="10" w:author="Andrej Beňo" w:date="2021-01-28T10:11:00Z" w:initials="AB">
    <w:p w14:paraId="522533A1" w14:textId="76D0ED13" w:rsidR="00D23477" w:rsidRDefault="00D23477">
      <w:pPr>
        <w:pStyle w:val="Textkomente"/>
      </w:pPr>
      <w:r>
        <w:rPr>
          <w:rStyle w:val="Odkaznakoment"/>
        </w:rPr>
        <w:annotationRef/>
      </w:r>
      <w:r>
        <w:t>Potravinárska komora Slovenska</w:t>
      </w:r>
    </w:p>
  </w:comment>
  <w:comment w:id="11" w:author="Andrej Beňo" w:date="2021-01-28T10:11:00Z" w:initials="AB">
    <w:p w14:paraId="4823E092" w14:textId="6096A887" w:rsidR="00D23477" w:rsidRDefault="00D23477">
      <w:pPr>
        <w:pStyle w:val="Textkomente"/>
      </w:pPr>
      <w:r>
        <w:rPr>
          <w:rStyle w:val="Odkaznakoment"/>
        </w:rPr>
        <w:annotationRef/>
      </w:r>
      <w:r>
        <w:t>Potravinárska komora Slovenska</w:t>
      </w:r>
    </w:p>
  </w:comment>
  <w:comment w:id="12" w:author="Andrej Beňo" w:date="2021-01-28T10:11:00Z" w:initials="AB">
    <w:p w14:paraId="0ECC2893" w14:textId="4EF09B43" w:rsidR="00D23477" w:rsidRDefault="00D23477">
      <w:pPr>
        <w:pStyle w:val="Textkomente"/>
      </w:pPr>
      <w:r>
        <w:rPr>
          <w:rStyle w:val="Odkaznakoment"/>
        </w:rPr>
        <w:annotationRef/>
      </w:r>
      <w:r>
        <w:t>Potravinárska komora Slovenska</w:t>
      </w:r>
    </w:p>
  </w:comment>
  <w:comment w:id="13" w:author="Andrej Beňo" w:date="2021-01-28T10:11:00Z" w:initials="AB">
    <w:p w14:paraId="7C65B453" w14:textId="77777777" w:rsidR="00D23477" w:rsidRDefault="00D23477" w:rsidP="00D23477">
      <w:pPr>
        <w:pStyle w:val="Textkomente"/>
      </w:pPr>
      <w:r>
        <w:rPr>
          <w:rStyle w:val="Odkaznakoment"/>
        </w:rPr>
        <w:annotationRef/>
      </w:r>
      <w:r>
        <w:t>Potravinárska komora Slovenska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B411E1" w15:done="0"/>
  <w15:commentEx w15:paraId="44828C70" w15:done="0"/>
  <w15:commentEx w15:paraId="5603211F" w15:done="0"/>
  <w15:commentEx w15:paraId="323FC043" w15:done="0"/>
  <w15:commentEx w15:paraId="2C608BA3" w15:done="0"/>
  <w15:commentEx w15:paraId="11083338" w15:done="0"/>
  <w15:commentEx w15:paraId="1A900F6B" w15:done="0"/>
  <w15:commentEx w15:paraId="7300CD25" w15:done="0"/>
  <w15:commentEx w15:paraId="6DD984A5" w15:done="0"/>
  <w15:commentEx w15:paraId="522533A1" w15:done="0"/>
  <w15:commentEx w15:paraId="4823E092" w15:done="0"/>
  <w15:commentEx w15:paraId="0ECC2893" w15:done="0"/>
  <w15:commentEx w15:paraId="7C65B4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C8580" w16cex:dateUtc="2021-01-27T23:36:00Z"/>
  <w16cex:commentExtensible w16cex:durableId="23BD09FD" w16cex:dateUtc="2021-01-28T09:01:00Z"/>
  <w16cex:commentExtensible w16cex:durableId="23BD0A15" w16cex:dateUtc="2021-01-28T09:01:00Z"/>
  <w16cex:commentExtensible w16cex:durableId="23BD0A27" w16cex:dateUtc="2021-01-28T09:01:00Z"/>
  <w16cex:commentExtensible w16cex:durableId="23BD0ABC" w16cex:dateUtc="2021-01-28T09:04:00Z"/>
  <w16cex:commentExtensible w16cex:durableId="23BD0ADF" w16cex:dateUtc="2021-01-28T09:04:00Z"/>
  <w16cex:commentExtensible w16cex:durableId="23BD0B02" w16cex:dateUtc="2021-01-28T09:04:00Z"/>
  <w16cex:commentExtensible w16cex:durableId="23BD0B1B" w16cex:dateUtc="2021-01-28T09:04:00Z"/>
  <w16cex:commentExtensible w16cex:durableId="23BD0B4E" w16cex:dateUtc="2021-01-28T09:04:00Z"/>
  <w16cex:commentExtensible w16cex:durableId="23BD0C46" w16cex:dateUtc="2021-01-28T09:11:00Z"/>
  <w16cex:commentExtensible w16cex:durableId="23BD0C49" w16cex:dateUtc="2021-01-28T09:11:00Z"/>
  <w16cex:commentExtensible w16cex:durableId="23BD0C51" w16cex:dateUtc="2021-01-28T09:11:00Z"/>
  <w16cex:commentExtensible w16cex:durableId="23BD0C6E" w16cex:dateUtc="2021-01-28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B411E1" w16cid:durableId="23BC8580"/>
  <w16cid:commentId w16cid:paraId="44828C70" w16cid:durableId="23BD09FD"/>
  <w16cid:commentId w16cid:paraId="5603211F" w16cid:durableId="23BD0A15"/>
  <w16cid:commentId w16cid:paraId="323FC043" w16cid:durableId="23BD0A27"/>
  <w16cid:commentId w16cid:paraId="2C608BA3" w16cid:durableId="23BD0ABC"/>
  <w16cid:commentId w16cid:paraId="11083338" w16cid:durableId="23BD0ADF"/>
  <w16cid:commentId w16cid:paraId="1A900F6B" w16cid:durableId="23BD0B02"/>
  <w16cid:commentId w16cid:paraId="7300CD25" w16cid:durableId="23BD0B1B"/>
  <w16cid:commentId w16cid:paraId="6DD984A5" w16cid:durableId="23BD0B4E"/>
  <w16cid:commentId w16cid:paraId="522533A1" w16cid:durableId="23BD0C46"/>
  <w16cid:commentId w16cid:paraId="4823E092" w16cid:durableId="23BD0C49"/>
  <w16cid:commentId w16cid:paraId="0ECC2893" w16cid:durableId="23BD0C51"/>
  <w16cid:commentId w16cid:paraId="7C65B453" w16cid:durableId="23BD0C6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56622"/>
    <w:multiLevelType w:val="hybridMultilevel"/>
    <w:tmpl w:val="CF905248"/>
    <w:lvl w:ilvl="0" w:tplc="041B0017">
      <w:start w:val="1"/>
      <w:numFmt w:val="lowerLetter"/>
      <w:lvlText w:val="%1)"/>
      <w:lvlJc w:val="left"/>
      <w:pPr>
        <w:ind w:left="770" w:hanging="360"/>
      </w:pPr>
    </w:lvl>
    <w:lvl w:ilvl="1" w:tplc="041B0019">
      <w:start w:val="1"/>
      <w:numFmt w:val="lowerLetter"/>
      <w:lvlText w:val="%2."/>
      <w:lvlJc w:val="left"/>
      <w:pPr>
        <w:ind w:left="1490" w:hanging="360"/>
      </w:pPr>
    </w:lvl>
    <w:lvl w:ilvl="2" w:tplc="041B001B">
      <w:start w:val="1"/>
      <w:numFmt w:val="lowerRoman"/>
      <w:lvlText w:val="%3."/>
      <w:lvlJc w:val="right"/>
      <w:pPr>
        <w:ind w:left="2210" w:hanging="180"/>
      </w:pPr>
    </w:lvl>
    <w:lvl w:ilvl="3" w:tplc="041B000F">
      <w:start w:val="1"/>
      <w:numFmt w:val="decimal"/>
      <w:lvlText w:val="%4."/>
      <w:lvlJc w:val="left"/>
      <w:pPr>
        <w:ind w:left="2930" w:hanging="360"/>
      </w:pPr>
    </w:lvl>
    <w:lvl w:ilvl="4" w:tplc="041B0019">
      <w:start w:val="1"/>
      <w:numFmt w:val="lowerLetter"/>
      <w:lvlText w:val="%5."/>
      <w:lvlJc w:val="left"/>
      <w:pPr>
        <w:ind w:left="3650" w:hanging="360"/>
      </w:pPr>
    </w:lvl>
    <w:lvl w:ilvl="5" w:tplc="041B001B">
      <w:start w:val="1"/>
      <w:numFmt w:val="lowerRoman"/>
      <w:lvlText w:val="%6."/>
      <w:lvlJc w:val="right"/>
      <w:pPr>
        <w:ind w:left="4370" w:hanging="180"/>
      </w:pPr>
    </w:lvl>
    <w:lvl w:ilvl="6" w:tplc="041B000F">
      <w:start w:val="1"/>
      <w:numFmt w:val="decimal"/>
      <w:lvlText w:val="%7."/>
      <w:lvlJc w:val="left"/>
      <w:pPr>
        <w:ind w:left="5090" w:hanging="360"/>
      </w:pPr>
    </w:lvl>
    <w:lvl w:ilvl="7" w:tplc="041B0019">
      <w:start w:val="1"/>
      <w:numFmt w:val="lowerLetter"/>
      <w:lvlText w:val="%8."/>
      <w:lvlJc w:val="left"/>
      <w:pPr>
        <w:ind w:left="5810" w:hanging="360"/>
      </w:pPr>
    </w:lvl>
    <w:lvl w:ilvl="8" w:tplc="041B001B">
      <w:start w:val="1"/>
      <w:numFmt w:val="lowerRoman"/>
      <w:lvlText w:val="%9."/>
      <w:lvlJc w:val="right"/>
      <w:pPr>
        <w:ind w:left="6530" w:hanging="180"/>
      </w:pPr>
    </w:lvl>
  </w:abstractNum>
  <w:abstractNum w:abstractNumId="1" w15:restartNumberingAfterBreak="0">
    <w:nsid w:val="668E23C2"/>
    <w:multiLevelType w:val="hybridMultilevel"/>
    <w:tmpl w:val="E0FCA45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drej Beňo">
    <w15:presenceInfo w15:providerId="Windows Live" w15:userId="363b4bb59af1cf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86A"/>
    <w:rsid w:val="000A3A88"/>
    <w:rsid w:val="000B78E2"/>
    <w:rsid w:val="001E66C8"/>
    <w:rsid w:val="00232241"/>
    <w:rsid w:val="0024039A"/>
    <w:rsid w:val="00256192"/>
    <w:rsid w:val="00256E98"/>
    <w:rsid w:val="002A086A"/>
    <w:rsid w:val="00323589"/>
    <w:rsid w:val="003E174A"/>
    <w:rsid w:val="0063307B"/>
    <w:rsid w:val="007B5CB7"/>
    <w:rsid w:val="0081773A"/>
    <w:rsid w:val="00841286"/>
    <w:rsid w:val="00880AD8"/>
    <w:rsid w:val="008C5C27"/>
    <w:rsid w:val="00944E1D"/>
    <w:rsid w:val="00957FF4"/>
    <w:rsid w:val="00B4129F"/>
    <w:rsid w:val="00BA121C"/>
    <w:rsid w:val="00D23477"/>
    <w:rsid w:val="00D63B98"/>
    <w:rsid w:val="00DC58E2"/>
    <w:rsid w:val="00F22D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98A78"/>
  <w15:chartTrackingRefBased/>
  <w15:docId w15:val="{75EFF384-EB1C-466F-BDF6-C24EB7B3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3589"/>
    <w:pPr>
      <w:widowControl w:val="0"/>
      <w:adjustRightInd w:val="0"/>
      <w:spacing w:after="0" w:line="240" w:lineRule="auto"/>
    </w:pPr>
    <w:rPr>
      <w:rFonts w:ascii="Arial Narrow" w:hAnsi="Arial Narrow" w:cs="Times New Roman"/>
      <w:szCs w:val="24"/>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2A086A"/>
    <w:rPr>
      <w:sz w:val="16"/>
      <w:szCs w:val="16"/>
    </w:rPr>
  </w:style>
  <w:style w:type="paragraph" w:styleId="Textkomente">
    <w:name w:val="annotation text"/>
    <w:basedOn w:val="Normln"/>
    <w:link w:val="TextkomenteChar"/>
    <w:uiPriority w:val="99"/>
    <w:semiHidden/>
    <w:unhideWhenUsed/>
    <w:rsid w:val="002A086A"/>
    <w:rPr>
      <w:sz w:val="20"/>
      <w:szCs w:val="20"/>
    </w:rPr>
  </w:style>
  <w:style w:type="character" w:customStyle="1" w:styleId="TextkomenteChar">
    <w:name w:val="Text komentáře Char"/>
    <w:basedOn w:val="Standardnpsmoodstavce"/>
    <w:link w:val="Textkomente"/>
    <w:uiPriority w:val="99"/>
    <w:semiHidden/>
    <w:rsid w:val="002A086A"/>
    <w:rPr>
      <w:rFonts w:ascii="Arial Narrow" w:hAnsi="Arial Narrow" w:cs="Times New Roman"/>
      <w:sz w:val="20"/>
      <w:szCs w:val="20"/>
      <w:lang w:eastAsia="sk-SK"/>
    </w:rPr>
  </w:style>
  <w:style w:type="paragraph" w:styleId="Pedmtkomente">
    <w:name w:val="annotation subject"/>
    <w:basedOn w:val="Textkomente"/>
    <w:next w:val="Textkomente"/>
    <w:link w:val="PedmtkomenteChar"/>
    <w:uiPriority w:val="99"/>
    <w:semiHidden/>
    <w:unhideWhenUsed/>
    <w:rsid w:val="002A086A"/>
    <w:rPr>
      <w:b/>
      <w:bCs/>
    </w:rPr>
  </w:style>
  <w:style w:type="character" w:customStyle="1" w:styleId="PedmtkomenteChar">
    <w:name w:val="Předmět komentáře Char"/>
    <w:basedOn w:val="TextkomenteChar"/>
    <w:link w:val="Pedmtkomente"/>
    <w:uiPriority w:val="99"/>
    <w:semiHidden/>
    <w:rsid w:val="002A086A"/>
    <w:rPr>
      <w:rFonts w:ascii="Arial Narrow" w:hAnsi="Arial Narrow" w:cs="Times New Roman"/>
      <w:b/>
      <w:bCs/>
      <w:sz w:val="20"/>
      <w:szCs w:val="20"/>
      <w:lang w:eastAsia="sk-SK"/>
    </w:rPr>
  </w:style>
  <w:style w:type="paragraph" w:styleId="Textbubliny">
    <w:name w:val="Balloon Text"/>
    <w:basedOn w:val="Normln"/>
    <w:link w:val="TextbublinyChar"/>
    <w:uiPriority w:val="99"/>
    <w:semiHidden/>
    <w:unhideWhenUsed/>
    <w:rsid w:val="002A08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086A"/>
    <w:rPr>
      <w:rFonts w:ascii="Segoe UI" w:hAnsi="Segoe UI" w:cs="Segoe UI"/>
      <w:sz w:val="18"/>
      <w:szCs w:val="18"/>
      <w:lang w:eastAsia="sk-SK"/>
    </w:rPr>
  </w:style>
  <w:style w:type="character" w:styleId="Hypertextovodkaz">
    <w:name w:val="Hyperlink"/>
    <w:basedOn w:val="Standardnpsmoodstavce"/>
    <w:uiPriority w:val="99"/>
    <w:unhideWhenUsed/>
    <w:rsid w:val="008C5C27"/>
    <w:rPr>
      <w:color w:val="0563C1" w:themeColor="hyperlink"/>
      <w:u w:val="single"/>
    </w:rPr>
  </w:style>
  <w:style w:type="character" w:styleId="Nevyeenzmnka">
    <w:name w:val="Unresolved Mention"/>
    <w:basedOn w:val="Standardnpsmoodstavce"/>
    <w:uiPriority w:val="99"/>
    <w:semiHidden/>
    <w:unhideWhenUsed/>
    <w:rsid w:val="008C5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594229">
      <w:bodyDiv w:val="1"/>
      <w:marLeft w:val="0"/>
      <w:marRight w:val="0"/>
      <w:marTop w:val="0"/>
      <w:marBottom w:val="0"/>
      <w:divBdr>
        <w:top w:val="none" w:sz="0" w:space="0" w:color="auto"/>
        <w:left w:val="none" w:sz="0" w:space="0" w:color="auto"/>
        <w:bottom w:val="none" w:sz="0" w:space="0" w:color="auto"/>
        <w:right w:val="none" w:sz="0" w:space="0" w:color="auto"/>
      </w:divBdr>
    </w:div>
    <w:div w:id="984316077">
      <w:bodyDiv w:val="1"/>
      <w:marLeft w:val="0"/>
      <w:marRight w:val="0"/>
      <w:marTop w:val="0"/>
      <w:marBottom w:val="0"/>
      <w:divBdr>
        <w:top w:val="none" w:sz="0" w:space="0" w:color="auto"/>
        <w:left w:val="none" w:sz="0" w:space="0" w:color="auto"/>
        <w:bottom w:val="none" w:sz="0" w:space="0" w:color="auto"/>
        <w:right w:val="none" w:sz="0" w:space="0" w:color="auto"/>
      </w:divBdr>
    </w:div>
    <w:div w:id="1256279559">
      <w:bodyDiv w:val="1"/>
      <w:marLeft w:val="0"/>
      <w:marRight w:val="0"/>
      <w:marTop w:val="0"/>
      <w:marBottom w:val="0"/>
      <w:divBdr>
        <w:top w:val="none" w:sz="0" w:space="0" w:color="auto"/>
        <w:left w:val="none" w:sz="0" w:space="0" w:color="auto"/>
        <w:bottom w:val="none" w:sz="0" w:space="0" w:color="auto"/>
        <w:right w:val="none" w:sz="0" w:space="0" w:color="auto"/>
      </w:divBdr>
    </w:div>
    <w:div w:id="1531724347">
      <w:bodyDiv w:val="1"/>
      <w:marLeft w:val="0"/>
      <w:marRight w:val="0"/>
      <w:marTop w:val="0"/>
      <w:marBottom w:val="0"/>
      <w:divBdr>
        <w:top w:val="none" w:sz="0" w:space="0" w:color="auto"/>
        <w:left w:val="none" w:sz="0" w:space="0" w:color="auto"/>
        <w:bottom w:val="none" w:sz="0" w:space="0" w:color="auto"/>
        <w:right w:val="none" w:sz="0" w:space="0" w:color="auto"/>
      </w:divBdr>
    </w:div>
    <w:div w:id="161782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3633</Words>
  <Characters>20710</Characters>
  <Application>Microsoft Office Word</Application>
  <DocSecurity>0</DocSecurity>
  <Lines>172</Lines>
  <Paragraphs>48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dc:creator>
  <cp:keywords/>
  <dc:description/>
  <cp:lastModifiedBy>Andrej Beňo</cp:lastModifiedBy>
  <cp:revision>9</cp:revision>
  <dcterms:created xsi:type="dcterms:W3CDTF">2021-01-27T22:58:00Z</dcterms:created>
  <dcterms:modified xsi:type="dcterms:W3CDTF">2021-01-29T18:06:00Z</dcterms:modified>
</cp:coreProperties>
</file>