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18F0" w14:textId="78F03BB6" w:rsidR="0024039A" w:rsidRDefault="0024039A" w:rsidP="002403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Podnety RÚZ – novela zákona o</w:t>
      </w:r>
      <w:r w:rsidR="00CB6006">
        <w:rPr>
          <w:b/>
          <w:bCs/>
          <w:sz w:val="32"/>
          <w:szCs w:val="32"/>
        </w:rPr>
        <w:t> dani z pridanej hodnoty</w:t>
      </w:r>
    </w:p>
    <w:p w14:paraId="21989A30" w14:textId="77777777" w:rsidR="0024039A" w:rsidRPr="0024039A" w:rsidRDefault="0024039A" w:rsidP="0024039A">
      <w:pPr>
        <w:rPr>
          <w:szCs w:val="22"/>
        </w:rPr>
      </w:pPr>
    </w:p>
    <w:p w14:paraId="765FE599" w14:textId="636CC68D" w:rsidR="0024039A" w:rsidRPr="0024039A" w:rsidRDefault="0024039A" w:rsidP="0024039A">
      <w:pPr>
        <w:jc w:val="both"/>
        <w:rPr>
          <w:szCs w:val="22"/>
        </w:rPr>
      </w:pPr>
      <w:r>
        <w:rPr>
          <w:szCs w:val="22"/>
        </w:rPr>
        <w:t>Republiková únia zamestnávateľov</w:t>
      </w:r>
      <w:r w:rsidR="007B5CB7">
        <w:rPr>
          <w:szCs w:val="22"/>
        </w:rPr>
        <w:t xml:space="preserve"> navrhuje v rámci najbližšej novely </w:t>
      </w:r>
      <w:r>
        <w:rPr>
          <w:szCs w:val="22"/>
        </w:rPr>
        <w:t xml:space="preserve"> </w:t>
      </w:r>
      <w:r w:rsidR="007B5CB7">
        <w:rPr>
          <w:szCs w:val="22"/>
        </w:rPr>
        <w:t>vykonať nasledovné zmeny a doplnenia v zákone o</w:t>
      </w:r>
      <w:r w:rsidR="00CB6006">
        <w:rPr>
          <w:szCs w:val="22"/>
        </w:rPr>
        <w:t xml:space="preserve"> dani z pridanej </w:t>
      </w:r>
    </w:p>
    <w:p w14:paraId="57F80755" w14:textId="35C70AE2" w:rsidR="0024039A" w:rsidRDefault="0024039A" w:rsidP="0024039A">
      <w:pPr>
        <w:jc w:val="both"/>
        <w:rPr>
          <w:b/>
          <w:bCs/>
        </w:rPr>
      </w:pPr>
    </w:p>
    <w:p w14:paraId="2FF941AA" w14:textId="33634743" w:rsidR="00CB6006" w:rsidRPr="00CB6006" w:rsidRDefault="00CB6006" w:rsidP="0024039A">
      <w:pPr>
        <w:jc w:val="both"/>
        <w:rPr>
          <w:b/>
          <w:bCs/>
        </w:rPr>
      </w:pPr>
      <w:commentRangeStart w:id="0"/>
      <w:r>
        <w:rPr>
          <w:b/>
          <w:bCs/>
        </w:rPr>
        <w:t xml:space="preserve">Podávanie </w:t>
      </w:r>
      <w:commentRangeEnd w:id="0"/>
      <w:r>
        <w:rPr>
          <w:rStyle w:val="Odkaznakoment"/>
        </w:rPr>
        <w:commentReference w:id="0"/>
      </w:r>
      <w:r>
        <w:rPr>
          <w:b/>
          <w:bCs/>
        </w:rPr>
        <w:t xml:space="preserve">nulových daňových priznaní </w:t>
      </w:r>
    </w:p>
    <w:p w14:paraId="2F7F151F" w14:textId="73F915D2" w:rsidR="00CB6006" w:rsidRDefault="00CB6006" w:rsidP="00CB6006">
      <w:pPr>
        <w:jc w:val="both"/>
      </w:pPr>
      <w:r>
        <w:t>Ak daňový subjekt nemá v rámci zdaňovacieho obdobia žiadny pohyb pre účely daňového priznania DPH, je povinný podať nevyplnené DPH priznanie. Kontrolný výkaz nie je povinný podať. Ak v nasledujúcom období príde k oprave tohto obdobia, je daňový subjekt povinný podať tak dodatočné DPH priznanie ako i riadny kontrolný výkaz (keďže v rámci riadneho termínu kontrolný výkaz podaný nebol, nejde o dodatočný kontrolný výkaz). Takýto postup Finančná sprava pokutuje ako delikt nepodania kontrolného výkazu v rámci zákonného termínu. Navrhujeme úpravu tejto anomálie v rámci zákona.</w:t>
      </w:r>
    </w:p>
    <w:p w14:paraId="395A1FE0" w14:textId="77F928CE" w:rsidR="00CB6006" w:rsidRDefault="00CB6006" w:rsidP="00CB6006">
      <w:pPr>
        <w:jc w:val="both"/>
      </w:pPr>
    </w:p>
    <w:p w14:paraId="2C9F70D9" w14:textId="2E1BA362" w:rsidR="00CB6006" w:rsidRPr="00CB6006" w:rsidRDefault="00CB6006" w:rsidP="00CB6006">
      <w:pPr>
        <w:jc w:val="both"/>
        <w:rPr>
          <w:b/>
          <w:bCs/>
        </w:rPr>
      </w:pPr>
      <w:commentRangeStart w:id="1"/>
      <w:r>
        <w:rPr>
          <w:b/>
          <w:bCs/>
        </w:rPr>
        <w:t xml:space="preserve">Podávanie </w:t>
      </w:r>
      <w:commentRangeEnd w:id="1"/>
      <w:r>
        <w:rPr>
          <w:rStyle w:val="Odkaznakoment"/>
        </w:rPr>
        <w:commentReference w:id="1"/>
      </w:r>
      <w:r>
        <w:rPr>
          <w:b/>
          <w:bCs/>
        </w:rPr>
        <w:t>opravných daňových priznaní</w:t>
      </w:r>
    </w:p>
    <w:p w14:paraId="5185B781" w14:textId="6E753A8A" w:rsidR="00CB6006" w:rsidRDefault="00CB6006" w:rsidP="00CB6006">
      <w:pPr>
        <w:jc w:val="both"/>
      </w:pPr>
      <w:r>
        <w:t>Ak daňový subjekt oneskorene obdrží doklad, v rámci ktorého je povinný platiť daň (napr. §69/3 pri nadobudnutí služby z EU alebo mimo EU), je povinný opraviť DPH podanie za obdobie, ku ktorému doklad prislúcha. Ak ide o platiteľa DPH, ktorý uplatňuje zároveň odpočet DPH</w:t>
      </w:r>
      <w:r w:rsidR="00D87CE4">
        <w:t xml:space="preserve"> </w:t>
      </w:r>
      <w:r w:rsidR="00D87CE4" w:rsidRPr="00D87CE4">
        <w:t>a tento odpočet nie podmienený prijatím faktúry</w:t>
      </w:r>
      <w:r w:rsidRPr="00D87CE4">
        <w:t xml:space="preserve"> </w:t>
      </w:r>
      <w:r>
        <w:t>z takéhoto obchodného vzťahu, je dopad na štátny rozpočet nula. Navrhujeme o úpravu zákona o DPH tak, aby bolo možné doklad, ktorý prislúcha k takémuto obchodnému vzťahu (ak je platiteľ povinný uhradiť daň v zmysle §69 a zároveň môže uplatniť odpočet DPH</w:t>
      </w:r>
      <w:r w:rsidR="00D87CE4">
        <w:t xml:space="preserve"> </w:t>
      </w:r>
      <w:r w:rsidR="00D87CE4" w:rsidRPr="00D87CE4">
        <w:t>bez vlastníctva faktúry (§51, ods. 1, písm. b)</w:t>
      </w:r>
      <w:r w:rsidR="00D87CE4" w:rsidRPr="00D87CE4">
        <w:t xml:space="preserve"> </w:t>
      </w:r>
      <w:r>
        <w:t xml:space="preserve">) zaúčtovať a uplatniť 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mechanizmu v tom daňovom období, kedy doklad platiteľ obdrží. Neustále opravovanie DPH podaní za minulé obdobia z dôvodu oneskoreného príchodu podobných dokladov je zbytočne administratívny a nemá dopad na štátny rozpočet.</w:t>
      </w:r>
    </w:p>
    <w:p w14:paraId="11DDB59E" w14:textId="3B1EBAFC" w:rsidR="00CB6006" w:rsidRDefault="00CB6006" w:rsidP="00CB6006">
      <w:pPr>
        <w:jc w:val="both"/>
      </w:pPr>
    </w:p>
    <w:p w14:paraId="24F8213A" w14:textId="394F4E6F" w:rsidR="00CB6006" w:rsidRPr="00CB6006" w:rsidRDefault="00CB6006" w:rsidP="00CB6006">
      <w:pPr>
        <w:jc w:val="both"/>
        <w:rPr>
          <w:b/>
          <w:bCs/>
        </w:rPr>
      </w:pPr>
      <w:commentRangeStart w:id="2"/>
      <w:r>
        <w:rPr>
          <w:b/>
          <w:bCs/>
        </w:rPr>
        <w:t xml:space="preserve">Dodanie </w:t>
      </w:r>
      <w:commentRangeEnd w:id="2"/>
      <w:r>
        <w:rPr>
          <w:rStyle w:val="Odkaznakoment"/>
        </w:rPr>
        <w:commentReference w:id="2"/>
      </w:r>
      <w:r>
        <w:rPr>
          <w:b/>
          <w:bCs/>
        </w:rPr>
        <w:t>stavebných prác</w:t>
      </w:r>
    </w:p>
    <w:p w14:paraId="386130BF" w14:textId="2795DEBD" w:rsidR="00BA121C" w:rsidRDefault="00CB6006" w:rsidP="00CB6006">
      <w:pPr>
        <w:jc w:val="both"/>
      </w:pPr>
      <w:r>
        <w:t xml:space="preserve">§69 ods. 12 </w:t>
      </w:r>
      <w:proofErr w:type="spellStart"/>
      <w:r>
        <w:t>písm</w:t>
      </w:r>
      <w:proofErr w:type="spellEnd"/>
      <w:r>
        <w:t xml:space="preserve"> j) – dodanie stavebných prác – toto ustanovenie stratilo svoj význam, keďže bolo zavedené v rámci problémov s úhradami pohľadávok v rámci stavebníctva v SR. Keďže Zákon o DPH má na tento problém ďalšiu páku v podobe §68d Zákona o DPH a najnovšie aj inštitút </w:t>
      </w:r>
      <w:proofErr w:type="spellStart"/>
      <w:r>
        <w:t>nevymožitelných</w:t>
      </w:r>
      <w:proofErr w:type="spellEnd"/>
      <w:r>
        <w:t xml:space="preserve"> pohľadávok, navrhujeme zrušiť uplatňovanie spomínaného §.</w:t>
      </w:r>
    </w:p>
    <w:p w14:paraId="3B8ECE3B" w14:textId="708A718A" w:rsidR="007A7CCE" w:rsidRDefault="007A7CCE" w:rsidP="00CB6006">
      <w:pPr>
        <w:jc w:val="both"/>
      </w:pPr>
    </w:p>
    <w:p w14:paraId="16506D0C" w14:textId="77777777" w:rsidR="007A7CCE" w:rsidRPr="007A7CCE" w:rsidRDefault="007A7CCE" w:rsidP="007A7CCE">
      <w:pPr>
        <w:jc w:val="both"/>
        <w:rPr>
          <w:b/>
          <w:bCs/>
        </w:rPr>
      </w:pPr>
      <w:commentRangeStart w:id="3"/>
      <w:proofErr w:type="spellStart"/>
      <w:r w:rsidRPr="007A7CCE">
        <w:rPr>
          <w:b/>
          <w:bCs/>
        </w:rPr>
        <w:t>Reverse</w:t>
      </w:r>
      <w:proofErr w:type="spellEnd"/>
      <w:r w:rsidRPr="007A7CCE">
        <w:rPr>
          <w:b/>
          <w:bCs/>
        </w:rPr>
        <w:t xml:space="preserve"> </w:t>
      </w:r>
      <w:commentRangeEnd w:id="3"/>
      <w:r>
        <w:rPr>
          <w:rStyle w:val="Odkaznakoment"/>
        </w:rPr>
        <w:commentReference w:id="3"/>
      </w:r>
      <w:proofErr w:type="spellStart"/>
      <w:r w:rsidRPr="007A7CCE">
        <w:rPr>
          <w:b/>
          <w:bCs/>
        </w:rPr>
        <w:t>charge</w:t>
      </w:r>
      <w:proofErr w:type="spellEnd"/>
      <w:r w:rsidRPr="007A7CCE">
        <w:rPr>
          <w:b/>
          <w:bCs/>
        </w:rPr>
        <w:t xml:space="preserve"> pri dovoze.</w:t>
      </w:r>
    </w:p>
    <w:p w14:paraId="0A32BF9C" w14:textId="26741D55" w:rsidR="007A7CCE" w:rsidRPr="00BA121C" w:rsidRDefault="007A7CCE" w:rsidP="007A7CCE">
      <w:pPr>
        <w:jc w:val="both"/>
      </w:pPr>
      <w:r>
        <w:t>Legislatíva Európskej únie umožňuje členským štátom, aby pri dovoze tovaru platiteľ dane z pridanej hodnoty daň vypočítal a priznal prostredníctvom daňového priznania. Tato možnosť, známa ako „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charge</w:t>
      </w:r>
      <w:proofErr w:type="spellEnd"/>
      <w:r>
        <w:t>“, zabezpečí rovnaké podmienky z hľadiska platenia dane pre tovary nadobudnuté platiteľom dane z iných členských štátov EÚ a pre tovary dovezené platiteľom dane z tretích štátov (štáty mimo EÚ). Platiteľ dane by tak mohol v rovnakom zdaňovacom období priznať daň a súčasne uplatniť odpočítanie dane v daňovom priznaní, čo by nám ako čistému exportérovi, ktorý svoje výrobné vstupy dováža takmer výhradne z krajín mimo EÚ, výrazne zefektívnilo plánovanie cash-</w:t>
      </w:r>
      <w:proofErr w:type="spellStart"/>
      <w:r>
        <w:t>flow</w:t>
      </w:r>
      <w:proofErr w:type="spellEnd"/>
      <w:r>
        <w:t xml:space="preserve"> potrebné pre financovanie našich prevádzkových nákladov.  Je zavedená v okolitých krajinách EU.</w:t>
      </w:r>
    </w:p>
    <w:sectPr w:rsidR="007A7CCE" w:rsidRPr="00BA1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ej Beňo" w:date="2021-01-28T00:15:00Z" w:initials="AB">
    <w:p w14:paraId="7383A16F" w14:textId="6A692A49" w:rsidR="00CB6006" w:rsidRDefault="00CB6006">
      <w:pPr>
        <w:pStyle w:val="Textkomente"/>
      </w:pPr>
      <w:r>
        <w:rPr>
          <w:rStyle w:val="Odkaznakoment"/>
        </w:rPr>
        <w:annotationRef/>
      </w:r>
      <w:r>
        <w:t>Západoslovenská energetika</w:t>
      </w:r>
    </w:p>
  </w:comment>
  <w:comment w:id="1" w:author="Andrej Beňo" w:date="2021-01-28T00:16:00Z" w:initials="AB">
    <w:p w14:paraId="7557AE61" w14:textId="08DACC57" w:rsidR="00CB6006" w:rsidRDefault="00CB6006">
      <w:pPr>
        <w:pStyle w:val="Textkomente"/>
      </w:pPr>
      <w:r>
        <w:rPr>
          <w:rStyle w:val="Odkaznakoment"/>
        </w:rPr>
        <w:annotationRef/>
      </w:r>
      <w:r>
        <w:t>Západoslovenská energetika</w:t>
      </w:r>
    </w:p>
  </w:comment>
  <w:comment w:id="2" w:author="Andrej Beňo" w:date="2021-01-28T00:17:00Z" w:initials="AB">
    <w:p w14:paraId="3280BB03" w14:textId="30BFB0A4" w:rsidR="00CB6006" w:rsidRDefault="00CB6006">
      <w:pPr>
        <w:pStyle w:val="Textkomente"/>
      </w:pPr>
      <w:r>
        <w:rPr>
          <w:rStyle w:val="Odkaznakoment"/>
        </w:rPr>
        <w:annotationRef/>
      </w:r>
      <w:r>
        <w:t>Západoslovenská energetika</w:t>
      </w:r>
    </w:p>
  </w:comment>
  <w:comment w:id="3" w:author="Andrej Beňo" w:date="2021-01-29T19:17:00Z" w:initials="AB">
    <w:p w14:paraId="4F9613A7" w14:textId="3EED78FB" w:rsidR="007A7CCE" w:rsidRDefault="007A7CCE">
      <w:pPr>
        <w:pStyle w:val="Textkomente"/>
      </w:pPr>
      <w:r>
        <w:rPr>
          <w:rStyle w:val="Odkaznakoment"/>
        </w:rPr>
        <w:annotationRef/>
      </w:r>
      <w:r>
        <w:t>US Steel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83A16F" w15:done="0"/>
  <w15:commentEx w15:paraId="7557AE61" w15:done="0"/>
  <w15:commentEx w15:paraId="3280BB03" w15:done="0"/>
  <w15:commentEx w15:paraId="4F9613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C80A5" w16cex:dateUtc="2021-01-27T23:15:00Z"/>
  <w16cex:commentExtensible w16cex:durableId="23BC80EF" w16cex:dateUtc="2021-01-27T23:16:00Z"/>
  <w16cex:commentExtensible w16cex:durableId="23BC8103" w16cex:dateUtc="2021-01-27T23:17:00Z"/>
  <w16cex:commentExtensible w16cex:durableId="23BEDDAE" w16cex:dateUtc="2021-01-29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83A16F" w16cid:durableId="23BC80A5"/>
  <w16cid:commentId w16cid:paraId="7557AE61" w16cid:durableId="23BC80EF"/>
  <w16cid:commentId w16cid:paraId="3280BB03" w16cid:durableId="23BC8103"/>
  <w16cid:commentId w16cid:paraId="4F9613A7" w16cid:durableId="23BEDD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56622"/>
    <w:multiLevelType w:val="hybridMultilevel"/>
    <w:tmpl w:val="CF905248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>
      <w:start w:val="1"/>
      <w:numFmt w:val="lowerLetter"/>
      <w:lvlText w:val="%2."/>
      <w:lvlJc w:val="left"/>
      <w:pPr>
        <w:ind w:left="1490" w:hanging="360"/>
      </w:pPr>
    </w:lvl>
    <w:lvl w:ilvl="2" w:tplc="041B001B">
      <w:start w:val="1"/>
      <w:numFmt w:val="lowerRoman"/>
      <w:lvlText w:val="%3."/>
      <w:lvlJc w:val="right"/>
      <w:pPr>
        <w:ind w:left="2210" w:hanging="180"/>
      </w:pPr>
    </w:lvl>
    <w:lvl w:ilvl="3" w:tplc="041B000F">
      <w:start w:val="1"/>
      <w:numFmt w:val="decimal"/>
      <w:lvlText w:val="%4."/>
      <w:lvlJc w:val="left"/>
      <w:pPr>
        <w:ind w:left="2930" w:hanging="360"/>
      </w:pPr>
    </w:lvl>
    <w:lvl w:ilvl="4" w:tplc="041B0019">
      <w:start w:val="1"/>
      <w:numFmt w:val="lowerLetter"/>
      <w:lvlText w:val="%5."/>
      <w:lvlJc w:val="left"/>
      <w:pPr>
        <w:ind w:left="3650" w:hanging="360"/>
      </w:pPr>
    </w:lvl>
    <w:lvl w:ilvl="5" w:tplc="041B001B">
      <w:start w:val="1"/>
      <w:numFmt w:val="lowerRoman"/>
      <w:lvlText w:val="%6."/>
      <w:lvlJc w:val="right"/>
      <w:pPr>
        <w:ind w:left="4370" w:hanging="180"/>
      </w:pPr>
    </w:lvl>
    <w:lvl w:ilvl="6" w:tplc="041B000F">
      <w:start w:val="1"/>
      <w:numFmt w:val="decimal"/>
      <w:lvlText w:val="%7."/>
      <w:lvlJc w:val="left"/>
      <w:pPr>
        <w:ind w:left="5090" w:hanging="360"/>
      </w:pPr>
    </w:lvl>
    <w:lvl w:ilvl="7" w:tplc="041B0019">
      <w:start w:val="1"/>
      <w:numFmt w:val="lowerLetter"/>
      <w:lvlText w:val="%8."/>
      <w:lvlJc w:val="left"/>
      <w:pPr>
        <w:ind w:left="5810" w:hanging="360"/>
      </w:pPr>
    </w:lvl>
    <w:lvl w:ilvl="8" w:tplc="041B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68E23C2"/>
    <w:multiLevelType w:val="hybridMultilevel"/>
    <w:tmpl w:val="E0FCA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j Beňo">
    <w15:presenceInfo w15:providerId="Windows Live" w15:userId="363b4bb59af1cf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6A"/>
    <w:rsid w:val="000B78E2"/>
    <w:rsid w:val="001E66C8"/>
    <w:rsid w:val="00232241"/>
    <w:rsid w:val="0024039A"/>
    <w:rsid w:val="00256192"/>
    <w:rsid w:val="00256E98"/>
    <w:rsid w:val="002A086A"/>
    <w:rsid w:val="00323589"/>
    <w:rsid w:val="0063307B"/>
    <w:rsid w:val="007A7CCE"/>
    <w:rsid w:val="007B5CB7"/>
    <w:rsid w:val="0081773A"/>
    <w:rsid w:val="00841286"/>
    <w:rsid w:val="008C5C27"/>
    <w:rsid w:val="00957FF4"/>
    <w:rsid w:val="00B4129F"/>
    <w:rsid w:val="00BA121C"/>
    <w:rsid w:val="00CB6006"/>
    <w:rsid w:val="00D63B98"/>
    <w:rsid w:val="00D87CE4"/>
    <w:rsid w:val="00DC58E2"/>
    <w:rsid w:val="00F2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8A78"/>
  <w15:chartTrackingRefBased/>
  <w15:docId w15:val="{75EFF384-EB1C-466F-BDF6-C24EB7B3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589"/>
    <w:pPr>
      <w:widowControl w:val="0"/>
      <w:adjustRightInd w:val="0"/>
      <w:spacing w:after="0" w:line="240" w:lineRule="auto"/>
    </w:pPr>
    <w:rPr>
      <w:rFonts w:ascii="Arial Narrow" w:hAnsi="Arial Narrow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A0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8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86A"/>
    <w:rPr>
      <w:rFonts w:ascii="Arial Narrow" w:hAnsi="Arial Narrow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86A"/>
    <w:rPr>
      <w:rFonts w:ascii="Arial Narrow" w:hAnsi="Arial Narrow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8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86A"/>
    <w:rPr>
      <w:rFonts w:ascii="Segoe UI" w:hAnsi="Segoe UI" w:cs="Segoe UI"/>
      <w:sz w:val="18"/>
      <w:szCs w:val="18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5C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Andrej Beňo</cp:lastModifiedBy>
  <cp:revision>8</cp:revision>
  <dcterms:created xsi:type="dcterms:W3CDTF">2021-01-27T22:58:00Z</dcterms:created>
  <dcterms:modified xsi:type="dcterms:W3CDTF">2021-01-29T18:18:00Z</dcterms:modified>
</cp:coreProperties>
</file>