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0192A" w14:textId="77777777" w:rsidR="0075545A" w:rsidRPr="00F1417A" w:rsidRDefault="000211A5" w:rsidP="00F1417A">
      <w:pPr>
        <w:pStyle w:val="Standard"/>
        <w:spacing w:after="0"/>
        <w:jc w:val="center"/>
        <w:rPr>
          <w:rFonts w:ascii="Times New Roman" w:hAnsi="Times New Roman" w:cs="Times New Roman"/>
          <w:b/>
          <w:sz w:val="24"/>
          <w:szCs w:val="24"/>
        </w:rPr>
      </w:pPr>
      <w:r>
        <w:rPr>
          <w:rFonts w:ascii="Times New Roman" w:hAnsi="Times New Roman" w:cs="Times New Roman"/>
          <w:b/>
          <w:sz w:val="24"/>
          <w:szCs w:val="24"/>
        </w:rPr>
        <w:t>Návrhy na zmeny</w:t>
      </w:r>
      <w:r w:rsidR="0052305B" w:rsidRPr="0052305B">
        <w:rPr>
          <w:rFonts w:ascii="Times New Roman" w:hAnsi="Times New Roman" w:cs="Times New Roman"/>
          <w:b/>
          <w:sz w:val="24"/>
          <w:szCs w:val="24"/>
        </w:rPr>
        <w:t xml:space="preserve"> zákon</w:t>
      </w:r>
      <w:r>
        <w:rPr>
          <w:rFonts w:ascii="Times New Roman" w:hAnsi="Times New Roman" w:cs="Times New Roman"/>
          <w:b/>
          <w:sz w:val="24"/>
          <w:szCs w:val="24"/>
        </w:rPr>
        <w:t>a</w:t>
      </w:r>
      <w:r w:rsidR="0052305B" w:rsidRPr="0052305B">
        <w:rPr>
          <w:rFonts w:ascii="Times New Roman" w:hAnsi="Times New Roman" w:cs="Times New Roman"/>
          <w:b/>
          <w:sz w:val="24"/>
          <w:szCs w:val="24"/>
        </w:rPr>
        <w:t xml:space="preserve"> č. 39/2015 Z. z. o poisťovníctve a o zmene a doplnení niektorých zákonov</w:t>
      </w:r>
      <w:r w:rsidR="00581400" w:rsidRPr="00F1417A">
        <w:rPr>
          <w:rFonts w:ascii="Times New Roman" w:hAnsi="Times New Roman" w:cs="Times New Roman"/>
          <w:b/>
          <w:sz w:val="24"/>
          <w:szCs w:val="24"/>
        </w:rPr>
        <w:t xml:space="preserve"> </w:t>
      </w:r>
    </w:p>
    <w:p w14:paraId="7F222D5B" w14:textId="77777777" w:rsidR="009F55FD" w:rsidRDefault="009F55FD" w:rsidP="003F41DA">
      <w:pPr>
        <w:jc w:val="both"/>
        <w:rPr>
          <w:rFonts w:ascii="Times New Roman" w:hAnsi="Times New Roman" w:cs="Times New Roman"/>
          <w:sz w:val="24"/>
          <w:szCs w:val="24"/>
        </w:rPr>
      </w:pPr>
    </w:p>
    <w:p w14:paraId="1A4C9BD3" w14:textId="20449DF5" w:rsidR="003F66A0" w:rsidRPr="003F66A0" w:rsidRDefault="003F66A0" w:rsidP="003F59F2">
      <w:pPr>
        <w:pStyle w:val="Odsekzoznamu"/>
        <w:widowControl w:val="0"/>
        <w:numPr>
          <w:ilvl w:val="0"/>
          <w:numId w:val="14"/>
        </w:numPr>
        <w:suppressAutoHyphens w:val="0"/>
        <w:autoSpaceDE w:val="0"/>
        <w:adjustRightInd w:val="0"/>
        <w:spacing w:before="120" w:after="0" w:line="240" w:lineRule="auto"/>
        <w:jc w:val="both"/>
        <w:textAlignment w:val="auto"/>
        <w:rPr>
          <w:rFonts w:cs="TimesNewRomanPSMT"/>
        </w:rPr>
      </w:pPr>
      <w:r w:rsidRPr="003F66A0">
        <w:rPr>
          <w:rFonts w:cs="TimesNewRomanPSMT"/>
        </w:rPr>
        <w:t>V § 4 odsek 4 sa veta „;za pobočku sa považuje aj zriadenie kancelárie vedenej zamestnancom poisťovne z iného členského štátu alebo inou osobou, ktorá má oprá</w:t>
      </w:r>
      <w:r w:rsidR="00D05583">
        <w:rPr>
          <w:rFonts w:cs="TimesNewRomanPSMT"/>
        </w:rPr>
        <w:t>vnenie časovo neobmedzene vykon</w:t>
      </w:r>
      <w:r w:rsidRPr="003F66A0">
        <w:rPr>
          <w:rFonts w:cs="TimesNewRomanPSMT"/>
        </w:rPr>
        <w:t xml:space="preserve">ávať poisťovaciu činnosť v mene poisťovne z iného členského štátu.“ nahradí vetou: </w:t>
      </w:r>
      <w:r>
        <w:rPr>
          <w:rFonts w:cs="TimesNewRomanPSMT"/>
        </w:rPr>
        <w:t>„; k</w:t>
      </w:r>
      <w:r w:rsidRPr="003F66A0">
        <w:rPr>
          <w:rFonts w:cs="TimesNewRomanPSMT"/>
        </w:rPr>
        <w:t>aždá trvalá prítomnosť poisťovne na území členského štátu má rovnaké postavenie ako pobočka, dokonca aj keď táto prítomnosť nemá formu pobočky, ale pozostáva len z kancelárie riadenej vlastnými zamestnancami alebo osobou, ktorá je nezávislá, ale má oprávnenie konať v mene poisťovne.</w:t>
      </w:r>
    </w:p>
    <w:p w14:paraId="0802A434" w14:textId="0D54A52B" w:rsidR="003F66A0" w:rsidRDefault="003F66A0" w:rsidP="003F66A0">
      <w:pPr>
        <w:pStyle w:val="Odsekzoznamu"/>
        <w:widowControl w:val="0"/>
        <w:suppressAutoHyphens w:val="0"/>
        <w:autoSpaceDE w:val="0"/>
        <w:adjustRightInd w:val="0"/>
        <w:spacing w:before="120" w:after="0" w:line="240" w:lineRule="auto"/>
        <w:jc w:val="both"/>
        <w:textAlignment w:val="auto"/>
        <w:rPr>
          <w:rFonts w:cs="TimesNewRomanPSMT"/>
        </w:rPr>
      </w:pPr>
      <w:r w:rsidRPr="003841BC">
        <w:rPr>
          <w:rFonts w:cs="TimesNewRomanPSMT"/>
          <w:b/>
        </w:rPr>
        <w:t xml:space="preserve">Odôvodnenie: </w:t>
      </w:r>
      <w:r>
        <w:rPr>
          <w:rFonts w:cs="TimesNewRomanPSMT"/>
        </w:rPr>
        <w:t xml:space="preserve">Dôsledná transpozícia smernice čl. 145 ods. 1 (druhý </w:t>
      </w:r>
      <w:proofErr w:type="spellStart"/>
      <w:r>
        <w:rPr>
          <w:rFonts w:cs="TimesNewRomanPSMT"/>
        </w:rPr>
        <w:t>pododsek</w:t>
      </w:r>
      <w:proofErr w:type="spellEnd"/>
      <w:r>
        <w:rPr>
          <w:rFonts w:cs="TimesNewRomanPSMT"/>
        </w:rPr>
        <w:t>) a zosúladenie s novým navrhovaným odsekom v § 15.</w:t>
      </w:r>
    </w:p>
    <w:p w14:paraId="5428BA11" w14:textId="77777777" w:rsidR="003F66A0" w:rsidRDefault="003F66A0" w:rsidP="003F66A0">
      <w:pPr>
        <w:pStyle w:val="Odsekzoznamu"/>
        <w:widowControl w:val="0"/>
        <w:numPr>
          <w:ilvl w:val="0"/>
          <w:numId w:val="14"/>
        </w:numPr>
        <w:suppressAutoHyphens w:val="0"/>
        <w:autoSpaceDE w:val="0"/>
        <w:adjustRightInd w:val="0"/>
        <w:spacing w:before="120" w:after="0" w:line="240" w:lineRule="auto"/>
        <w:jc w:val="both"/>
        <w:textAlignment w:val="auto"/>
        <w:rPr>
          <w:rFonts w:cs="TimesNewRomanPSMT"/>
        </w:rPr>
      </w:pPr>
      <w:r>
        <w:rPr>
          <w:rFonts w:cs="TimesNewRomanPSMT"/>
        </w:rPr>
        <w:t>Doplniť do § 15 nový odsek, ktorý stanoví definíciu postavenia pobočky, a to v nasledovnom znení:</w:t>
      </w:r>
    </w:p>
    <w:p w14:paraId="39770534" w14:textId="77777777" w:rsidR="003F66A0" w:rsidRDefault="003F66A0" w:rsidP="003F66A0">
      <w:pPr>
        <w:pStyle w:val="Odsekzoznamu"/>
        <w:widowControl w:val="0"/>
        <w:suppressAutoHyphens w:val="0"/>
        <w:autoSpaceDE w:val="0"/>
        <w:adjustRightInd w:val="0"/>
        <w:spacing w:before="120" w:after="0" w:line="240" w:lineRule="auto"/>
        <w:jc w:val="both"/>
        <w:textAlignment w:val="auto"/>
        <w:rPr>
          <w:rFonts w:cs="TimesNewRomanPSMT"/>
        </w:rPr>
      </w:pPr>
      <w:r>
        <w:rPr>
          <w:rFonts w:cs="TimesNewRomanPSMT"/>
        </w:rPr>
        <w:t>(...) Každá trvalá prítomnosť poisťovne na území členského štátu má rovnaké postavenie ako pobočka, dokonca aj keď táto prítomnosť nemá formu pobočky, ale pozostáva len z kancelárie riadenej vlastnými zamestnancami alebo osobou, ktorá je nezávislá, ale má oprávnenie konať v mene poisťovne.</w:t>
      </w:r>
    </w:p>
    <w:p w14:paraId="260F6C5E" w14:textId="77777777" w:rsidR="003F66A0" w:rsidRDefault="003F66A0" w:rsidP="003F66A0">
      <w:pPr>
        <w:pStyle w:val="Odsekzoznamu"/>
        <w:widowControl w:val="0"/>
        <w:suppressAutoHyphens w:val="0"/>
        <w:autoSpaceDE w:val="0"/>
        <w:adjustRightInd w:val="0"/>
        <w:spacing w:before="120" w:after="0" w:line="240" w:lineRule="auto"/>
        <w:jc w:val="both"/>
        <w:textAlignment w:val="auto"/>
        <w:rPr>
          <w:rFonts w:cs="TimesNewRomanPSMT"/>
        </w:rPr>
      </w:pPr>
      <w:r w:rsidRPr="003841BC">
        <w:rPr>
          <w:rFonts w:cs="TimesNewRomanPSMT"/>
          <w:b/>
        </w:rPr>
        <w:t xml:space="preserve">Odôvodnenie: </w:t>
      </w:r>
      <w:r>
        <w:rPr>
          <w:rFonts w:cs="TimesNewRomanPSMT"/>
        </w:rPr>
        <w:t xml:space="preserve">Transpozícia smernice čl. 145 ods. 1 (druhý </w:t>
      </w:r>
      <w:proofErr w:type="spellStart"/>
      <w:r>
        <w:rPr>
          <w:rFonts w:cs="TimesNewRomanPSMT"/>
        </w:rPr>
        <w:t>pododsek</w:t>
      </w:r>
      <w:proofErr w:type="spellEnd"/>
      <w:r>
        <w:rPr>
          <w:rFonts w:cs="TimesNewRomanPSMT"/>
        </w:rPr>
        <w:t>).</w:t>
      </w:r>
    </w:p>
    <w:p w14:paraId="5D32F8BD" w14:textId="7CB57475" w:rsidR="00AF7C70" w:rsidRDefault="00AF7C70" w:rsidP="00AF7C70">
      <w:pPr>
        <w:pStyle w:val="Odsekzoznamu"/>
        <w:numPr>
          <w:ilvl w:val="0"/>
          <w:numId w:val="14"/>
        </w:numPr>
        <w:suppressAutoHyphens w:val="0"/>
        <w:autoSpaceDE w:val="0"/>
        <w:adjustRightInd w:val="0"/>
        <w:spacing w:before="120" w:after="0" w:line="240" w:lineRule="auto"/>
        <w:jc w:val="both"/>
        <w:textAlignment w:val="auto"/>
        <w:rPr>
          <w:rFonts w:cs="TimesNewRomanPSMT"/>
        </w:rPr>
      </w:pPr>
      <w:r>
        <w:rPr>
          <w:rFonts w:cs="TimesNewRomanPSMT"/>
        </w:rPr>
        <w:t xml:space="preserve">V § 16 ods. 3 sa </w:t>
      </w:r>
      <w:r w:rsidR="0075308C">
        <w:rPr>
          <w:rFonts w:cs="TimesNewRomanPSMT"/>
        </w:rPr>
        <w:t xml:space="preserve">posledná veta nahradí nasledovným znením: </w:t>
      </w:r>
    </w:p>
    <w:p w14:paraId="6AFB8888" w14:textId="5DD09F1A" w:rsidR="0075308C" w:rsidRDefault="0075308C" w:rsidP="005C76F5">
      <w:pPr>
        <w:pStyle w:val="Odsekzoznamu"/>
        <w:suppressAutoHyphens w:val="0"/>
        <w:autoSpaceDE w:val="0"/>
        <w:adjustRightInd w:val="0"/>
        <w:spacing w:before="120" w:after="0" w:line="240" w:lineRule="auto"/>
        <w:jc w:val="both"/>
        <w:textAlignment w:val="auto"/>
        <w:rPr>
          <w:rFonts w:cs="TimesNewRomanPSMT"/>
        </w:rPr>
      </w:pPr>
      <w:r>
        <w:rPr>
          <w:rFonts w:cs="TimesNewRomanPSMT"/>
        </w:rPr>
        <w:t>„V takom prípade</w:t>
      </w:r>
      <w:r w:rsidRPr="0075308C">
        <w:rPr>
          <w:rFonts w:cs="TimesNewRomanPSMT"/>
        </w:rPr>
        <w:t xml:space="preserve"> </w:t>
      </w:r>
      <w:r>
        <w:rPr>
          <w:rFonts w:cs="TimesNewRomanPSMT"/>
        </w:rPr>
        <w:t xml:space="preserve">Národná banka Slovenska oznámi dôvody na zamietnutie </w:t>
      </w:r>
      <w:r w:rsidR="005C76F5" w:rsidRPr="005C76F5">
        <w:rPr>
          <w:rFonts w:cs="TimesNewRomanPSMT"/>
        </w:rPr>
        <w:t>do troch mesiacov od doručenia všetkých údajov v</w:t>
      </w:r>
      <w:r w:rsidR="005C76F5">
        <w:rPr>
          <w:rFonts w:cs="TimesNewRomanPSMT"/>
        </w:rPr>
        <w:t> </w:t>
      </w:r>
      <w:r w:rsidR="005C76F5" w:rsidRPr="005C76F5">
        <w:rPr>
          <w:rFonts w:cs="TimesNewRomanPSMT"/>
        </w:rPr>
        <w:t>zmysle</w:t>
      </w:r>
      <w:r w:rsidR="005C76F5">
        <w:rPr>
          <w:rFonts w:cs="TimesNewRomanPSMT"/>
        </w:rPr>
        <w:t xml:space="preserve"> </w:t>
      </w:r>
      <w:r w:rsidR="005C76F5" w:rsidRPr="005C76F5">
        <w:rPr>
          <w:rFonts w:cs="TimesNewRomanPSMT"/>
        </w:rPr>
        <w:t>§ 15 ods. 1</w:t>
      </w:r>
      <w:r>
        <w:rPr>
          <w:rFonts w:cs="TimesNewRomanPSMT"/>
        </w:rPr>
        <w:t xml:space="preserve">, a tým začne </w:t>
      </w:r>
      <w:r w:rsidRPr="0075308C">
        <w:rPr>
          <w:rFonts w:cs="TimesNewRomanPSMT"/>
        </w:rPr>
        <w:t>kona</w:t>
      </w:r>
      <w:r>
        <w:rPr>
          <w:rFonts w:cs="TimesNewRomanPSMT"/>
        </w:rPr>
        <w:t>nie</w:t>
      </w:r>
      <w:r w:rsidRPr="0075308C">
        <w:rPr>
          <w:rFonts w:cs="TimesNewRomanPSMT"/>
        </w:rPr>
        <w:t xml:space="preserve"> podľa</w:t>
      </w:r>
      <w:r>
        <w:rPr>
          <w:rFonts w:cs="TimesNewRomanPSMT"/>
        </w:rPr>
        <w:t xml:space="preserve"> </w:t>
      </w:r>
      <w:r w:rsidRPr="0075308C">
        <w:rPr>
          <w:rFonts w:cs="TimesNewRomanPSMT"/>
        </w:rPr>
        <w:t>osobitného predpisu</w:t>
      </w:r>
      <w:r w:rsidRPr="0075308C">
        <w:rPr>
          <w:rFonts w:cs="TimesNewRomanPSMT"/>
          <w:vertAlign w:val="superscript"/>
        </w:rPr>
        <w:t>3)</w:t>
      </w:r>
      <w:r>
        <w:rPr>
          <w:rFonts w:cs="TimesNewRomanPSMT"/>
        </w:rPr>
        <w:t>. Podanie rozkladu nemá odkladný účinok. “.</w:t>
      </w:r>
    </w:p>
    <w:p w14:paraId="077D4E18" w14:textId="20E2E0B5" w:rsidR="00AF7C70" w:rsidRDefault="00AF7C70" w:rsidP="00AF7C70">
      <w:pPr>
        <w:pStyle w:val="Odsekzoznamu"/>
        <w:suppressAutoHyphens w:val="0"/>
        <w:autoSpaceDE w:val="0"/>
        <w:adjustRightInd w:val="0"/>
        <w:spacing w:before="120" w:after="0" w:line="240" w:lineRule="auto"/>
        <w:jc w:val="both"/>
        <w:textAlignment w:val="auto"/>
        <w:rPr>
          <w:rFonts w:cs="TimesNewRomanPSMT"/>
        </w:rPr>
      </w:pPr>
      <w:r w:rsidRPr="0075308C">
        <w:rPr>
          <w:rFonts w:cs="TimesNewRomanPSMT"/>
          <w:b/>
        </w:rPr>
        <w:t>Odôvodnenie:</w:t>
      </w:r>
      <w:r>
        <w:rPr>
          <w:rFonts w:cs="TimesNewRomanPSMT"/>
        </w:rPr>
        <w:t xml:space="preserve"> </w:t>
      </w:r>
      <w:r w:rsidR="005C76F5">
        <w:rPr>
          <w:rFonts w:cs="TimesNewRomanPSMT"/>
        </w:rPr>
        <w:t xml:space="preserve">Zosúladenie s novým navrhovaným znením v § 17. </w:t>
      </w:r>
      <w:r>
        <w:rPr>
          <w:rFonts w:cs="TimesNewRomanPSMT"/>
        </w:rPr>
        <w:t>Rozklad nemá mať odkladný účinok, inak by nebol splnený účel rozhodnutia.</w:t>
      </w:r>
    </w:p>
    <w:p w14:paraId="2EB7E8A8" w14:textId="418DD2E2" w:rsidR="0075308C" w:rsidRDefault="00AF7C70" w:rsidP="00AF7C70">
      <w:pPr>
        <w:pStyle w:val="Odsekzoznamu"/>
        <w:numPr>
          <w:ilvl w:val="0"/>
          <w:numId w:val="14"/>
        </w:numPr>
        <w:suppressAutoHyphens w:val="0"/>
        <w:autoSpaceDE w:val="0"/>
        <w:adjustRightInd w:val="0"/>
        <w:spacing w:before="120" w:after="0" w:line="240" w:lineRule="auto"/>
        <w:jc w:val="both"/>
        <w:textAlignment w:val="auto"/>
        <w:rPr>
          <w:rFonts w:cs="TimesNewRomanPSMT"/>
        </w:rPr>
      </w:pPr>
      <w:r>
        <w:rPr>
          <w:rFonts w:cs="TimesNewRomanPSMT"/>
        </w:rPr>
        <w:t xml:space="preserve">V § 17 </w:t>
      </w:r>
      <w:r w:rsidR="0075308C">
        <w:rPr>
          <w:rFonts w:cs="TimesNewRomanPSMT"/>
        </w:rPr>
        <w:t xml:space="preserve">sa </w:t>
      </w:r>
      <w:r>
        <w:rPr>
          <w:rFonts w:cs="TimesNewRomanPSMT"/>
        </w:rPr>
        <w:t xml:space="preserve">ods. 5 </w:t>
      </w:r>
      <w:r w:rsidR="0075308C">
        <w:rPr>
          <w:rFonts w:cs="TimesNewRomanPSMT"/>
        </w:rPr>
        <w:t>nahrádza novým znením</w:t>
      </w:r>
      <w:r>
        <w:rPr>
          <w:rFonts w:cs="TimesNewRomanPSMT"/>
        </w:rPr>
        <w:t xml:space="preserve"> </w:t>
      </w:r>
    </w:p>
    <w:p w14:paraId="6D29A39E" w14:textId="181194F5" w:rsidR="00AF7C70" w:rsidRDefault="00AF7C70" w:rsidP="0075308C">
      <w:pPr>
        <w:pStyle w:val="Odsekzoznamu"/>
        <w:suppressAutoHyphens w:val="0"/>
        <w:autoSpaceDE w:val="0"/>
        <w:adjustRightInd w:val="0"/>
        <w:spacing w:before="120" w:after="0" w:line="240" w:lineRule="auto"/>
        <w:jc w:val="both"/>
        <w:textAlignment w:val="auto"/>
        <w:rPr>
          <w:rFonts w:cs="TimesNewRomanPSMT"/>
        </w:rPr>
      </w:pPr>
      <w:r>
        <w:rPr>
          <w:rFonts w:cs="TimesNewRomanPSMT"/>
        </w:rPr>
        <w:t>„</w:t>
      </w:r>
      <w:r w:rsidR="0075308C" w:rsidRPr="0075308C">
        <w:rPr>
          <w:rFonts w:cs="TimesNewRomanPSMT"/>
        </w:rPr>
        <w:t>Ak Národná banka Slovenska nezašle doklady podľa odseku 3 príslušnému orgánu</w:t>
      </w:r>
      <w:r w:rsidR="0075308C">
        <w:rPr>
          <w:rFonts w:cs="TimesNewRomanPSMT"/>
        </w:rPr>
        <w:t xml:space="preserve"> </w:t>
      </w:r>
      <w:r w:rsidR="0075308C" w:rsidRPr="0075308C">
        <w:rPr>
          <w:rFonts w:cs="TimesNewRomanPSMT"/>
        </w:rPr>
        <w:t xml:space="preserve">dohľadu členského štátu podľa odseku 2 písm. a), </w:t>
      </w:r>
      <w:r w:rsidR="0075308C">
        <w:rPr>
          <w:rFonts w:cs="TimesNewRomanPSMT"/>
        </w:rPr>
        <w:t xml:space="preserve">Národná banka Slovenska oznámi dôvody na zamietnutie v lehote podľa odseku 3, a tým začne </w:t>
      </w:r>
      <w:r w:rsidR="0075308C" w:rsidRPr="0075308C">
        <w:rPr>
          <w:rFonts w:cs="TimesNewRomanPSMT"/>
        </w:rPr>
        <w:t>kona</w:t>
      </w:r>
      <w:r w:rsidR="0075308C">
        <w:rPr>
          <w:rFonts w:cs="TimesNewRomanPSMT"/>
        </w:rPr>
        <w:t>nie</w:t>
      </w:r>
      <w:r w:rsidR="0075308C" w:rsidRPr="0075308C">
        <w:rPr>
          <w:rFonts w:cs="TimesNewRomanPSMT"/>
        </w:rPr>
        <w:t xml:space="preserve"> podľa</w:t>
      </w:r>
      <w:r w:rsidR="0075308C">
        <w:rPr>
          <w:rFonts w:cs="TimesNewRomanPSMT"/>
        </w:rPr>
        <w:t xml:space="preserve"> </w:t>
      </w:r>
      <w:r w:rsidR="0075308C" w:rsidRPr="0075308C">
        <w:rPr>
          <w:rFonts w:cs="TimesNewRomanPSMT"/>
        </w:rPr>
        <w:t>osobitného predpisu</w:t>
      </w:r>
      <w:r w:rsidR="0075308C" w:rsidRPr="0075308C">
        <w:rPr>
          <w:rFonts w:cs="TimesNewRomanPSMT"/>
          <w:vertAlign w:val="superscript"/>
        </w:rPr>
        <w:t>3)</w:t>
      </w:r>
      <w:r w:rsidR="0075308C">
        <w:rPr>
          <w:rFonts w:cs="TimesNewRomanPSMT"/>
        </w:rPr>
        <w:t xml:space="preserve">. </w:t>
      </w:r>
      <w:r>
        <w:rPr>
          <w:rFonts w:cs="TimesNewRomanPSMT"/>
        </w:rPr>
        <w:t>Podanie rozkladu nemá odkladný účinok. “.</w:t>
      </w:r>
    </w:p>
    <w:p w14:paraId="7176C760" w14:textId="7B6F8FB5" w:rsidR="00AF7C70" w:rsidRDefault="00AF7C70" w:rsidP="00AF7C70">
      <w:pPr>
        <w:pStyle w:val="Odsekzoznamu"/>
        <w:suppressAutoHyphens w:val="0"/>
        <w:autoSpaceDE w:val="0"/>
        <w:adjustRightInd w:val="0"/>
        <w:spacing w:before="120" w:after="0" w:line="240" w:lineRule="auto"/>
        <w:jc w:val="both"/>
        <w:textAlignment w:val="auto"/>
        <w:rPr>
          <w:rFonts w:cs="TimesNewRomanPSMT"/>
        </w:rPr>
      </w:pPr>
      <w:r>
        <w:rPr>
          <w:rFonts w:cs="TimesNewRomanPSMT"/>
        </w:rPr>
        <w:t>Odôvodnenie: Zosúladenie s</w:t>
      </w:r>
      <w:r w:rsidR="0075308C">
        <w:rPr>
          <w:rFonts w:cs="TimesNewRomanPSMT"/>
        </w:rPr>
        <w:t> lehotou podľa článku 148 ods. 3 smernice</w:t>
      </w:r>
      <w:r>
        <w:rPr>
          <w:rFonts w:cs="TimesNewRomanPSMT"/>
        </w:rPr>
        <w:t>.</w:t>
      </w:r>
    </w:p>
    <w:p w14:paraId="66DC437D" w14:textId="111BD457" w:rsidR="00B23A68" w:rsidRDefault="00B23A68" w:rsidP="00B23A68">
      <w:pPr>
        <w:pStyle w:val="Odsekzoznamu"/>
        <w:numPr>
          <w:ilvl w:val="0"/>
          <w:numId w:val="14"/>
        </w:numPr>
        <w:suppressAutoHyphens w:val="0"/>
        <w:autoSpaceDE w:val="0"/>
        <w:adjustRightInd w:val="0"/>
        <w:spacing w:before="120" w:after="0" w:line="240" w:lineRule="auto"/>
        <w:jc w:val="both"/>
        <w:textAlignment w:val="auto"/>
        <w:rPr>
          <w:rFonts w:cs="TimesNewRomanPSMT"/>
        </w:rPr>
      </w:pPr>
      <w:r>
        <w:rPr>
          <w:rFonts w:cs="TimesNewRomanPSMT"/>
        </w:rPr>
        <w:t>V § 29 ods. 1 a) až c), a e) sa za slová „technických rezerv“ dopĺňajú slová „vrátane technických rezerv pre účely účtovníctva“.</w:t>
      </w:r>
    </w:p>
    <w:p w14:paraId="05EC7B36" w14:textId="366B28BC" w:rsidR="00B23A68" w:rsidRDefault="00B23A68" w:rsidP="00B23A68">
      <w:pPr>
        <w:pStyle w:val="Odsekzoznamu"/>
        <w:suppressAutoHyphens w:val="0"/>
        <w:autoSpaceDE w:val="0"/>
        <w:adjustRightInd w:val="0"/>
        <w:spacing w:before="120" w:after="0" w:line="240" w:lineRule="auto"/>
        <w:jc w:val="both"/>
        <w:textAlignment w:val="auto"/>
        <w:rPr>
          <w:rFonts w:cs="TimesNewRomanPSMT"/>
        </w:rPr>
      </w:pPr>
      <w:r>
        <w:rPr>
          <w:rFonts w:cs="TimesNewRomanPSMT"/>
        </w:rPr>
        <w:t xml:space="preserve">Odôvodnenie: Vzhľadom na významnú úlohu aktuára pri určovaní technických rezerv tak pre účely dohľadu ako i účtovníctva a nejasnosť pri určení osoby zodpovednej za správnosť účtovných rezerv je potrebné doplniť úlohy </w:t>
      </w:r>
      <w:proofErr w:type="spellStart"/>
      <w:r>
        <w:rPr>
          <w:rFonts w:cs="TimesNewRomanPSMT"/>
        </w:rPr>
        <w:t>aktuárkej</w:t>
      </w:r>
      <w:proofErr w:type="spellEnd"/>
      <w:r>
        <w:rPr>
          <w:rFonts w:cs="TimesNewRomanPSMT"/>
        </w:rPr>
        <w:t xml:space="preserve"> funkcie a pre túto oblasť.</w:t>
      </w:r>
    </w:p>
    <w:p w14:paraId="01E91BCD" w14:textId="77777777" w:rsidR="00B23A68" w:rsidRPr="00F80CCD" w:rsidRDefault="00B23A68" w:rsidP="00AF7C70">
      <w:pPr>
        <w:pStyle w:val="Odsekzoznamu"/>
        <w:suppressAutoHyphens w:val="0"/>
        <w:autoSpaceDE w:val="0"/>
        <w:adjustRightInd w:val="0"/>
        <w:spacing w:before="120" w:after="0" w:line="240" w:lineRule="auto"/>
        <w:jc w:val="both"/>
        <w:textAlignment w:val="auto"/>
        <w:rPr>
          <w:rFonts w:cs="TimesNewRomanPSMT"/>
        </w:rPr>
      </w:pPr>
      <w:bookmarkStart w:id="0" w:name="_GoBack"/>
      <w:bookmarkEnd w:id="0"/>
    </w:p>
    <w:p w14:paraId="26E52987" w14:textId="77777777" w:rsidR="00463BC9" w:rsidRPr="00F80CCD" w:rsidRDefault="00463BC9" w:rsidP="00463BC9">
      <w:pPr>
        <w:pStyle w:val="Odsekzoznamu"/>
        <w:numPr>
          <w:ilvl w:val="0"/>
          <w:numId w:val="14"/>
        </w:numPr>
        <w:suppressAutoHyphens w:val="0"/>
        <w:autoSpaceDE w:val="0"/>
        <w:adjustRightInd w:val="0"/>
        <w:spacing w:before="120" w:after="0" w:line="240" w:lineRule="auto"/>
        <w:jc w:val="both"/>
        <w:textAlignment w:val="auto"/>
        <w:rPr>
          <w:rFonts w:cs="TimesNewRomanPSMT"/>
          <w:highlight w:val="cyan"/>
        </w:rPr>
      </w:pPr>
      <w:r w:rsidRPr="00F80CCD">
        <w:rPr>
          <w:rFonts w:cs="TimesNewRomanPSMT"/>
          <w:highlight w:val="cyan"/>
        </w:rPr>
        <w:t xml:space="preserve">V § 70 ods. 1 </w:t>
      </w:r>
      <w:r w:rsidR="00F57CBC" w:rsidRPr="00F80CCD">
        <w:rPr>
          <w:rFonts w:cs="TimesNewRomanPSMT"/>
          <w:highlight w:val="cyan"/>
        </w:rPr>
        <w:t>písm. h) doplniť na koniec vety „; to sa nevzťahuje na poistenie veľkých rizík“</w:t>
      </w:r>
      <w:r w:rsidRPr="00F80CCD">
        <w:rPr>
          <w:rFonts w:cs="TimesNewRomanPSMT"/>
          <w:highlight w:val="cyan"/>
        </w:rPr>
        <w:t>.</w:t>
      </w:r>
    </w:p>
    <w:p w14:paraId="4076DE75" w14:textId="77777777" w:rsidR="00463BC9" w:rsidRPr="00F80CCD" w:rsidRDefault="00463BC9" w:rsidP="00463BC9">
      <w:pPr>
        <w:pStyle w:val="Odsekzoznamu"/>
        <w:suppressAutoHyphens w:val="0"/>
        <w:autoSpaceDE w:val="0"/>
        <w:adjustRightInd w:val="0"/>
        <w:spacing w:before="120" w:after="0" w:line="240" w:lineRule="auto"/>
        <w:jc w:val="both"/>
        <w:textAlignment w:val="auto"/>
        <w:rPr>
          <w:rFonts w:cs="TimesNewRomanPSMT"/>
        </w:rPr>
      </w:pPr>
      <w:r w:rsidRPr="00F80CCD">
        <w:rPr>
          <w:rFonts w:cs="TimesNewRomanPSMT"/>
          <w:highlight w:val="cyan"/>
        </w:rPr>
        <w:t xml:space="preserve">Odôvodnenie: </w:t>
      </w:r>
      <w:r w:rsidR="00F57CBC" w:rsidRPr="00F80CCD">
        <w:rPr>
          <w:rFonts w:cs="TimesNewRomanPSMT"/>
          <w:highlight w:val="cyan"/>
        </w:rPr>
        <w:t>Zosúladenie s článkom 22 bod 1 smernice Európskeho parlamentu a Rady č. 2016/97/ES o distribúcii poistenia</w:t>
      </w:r>
      <w:r w:rsidRPr="00F80CCD">
        <w:rPr>
          <w:rFonts w:cs="TimesNewRomanPSMT"/>
          <w:highlight w:val="cyan"/>
        </w:rPr>
        <w:t>.</w:t>
      </w:r>
    </w:p>
    <w:p w14:paraId="61E402CD" w14:textId="77777777" w:rsidR="00F57CBC" w:rsidRDefault="00F57CBC" w:rsidP="00F57CBC">
      <w:pPr>
        <w:pStyle w:val="Odsekzoznamu"/>
        <w:widowControl w:val="0"/>
        <w:numPr>
          <w:ilvl w:val="0"/>
          <w:numId w:val="14"/>
        </w:numPr>
        <w:suppressAutoHyphens w:val="0"/>
        <w:autoSpaceDE w:val="0"/>
        <w:adjustRightInd w:val="0"/>
        <w:spacing w:before="120" w:after="0" w:line="240" w:lineRule="auto"/>
        <w:jc w:val="both"/>
        <w:textAlignment w:val="auto"/>
        <w:rPr>
          <w:rFonts w:cs="TimesNewRomanPSMT"/>
        </w:rPr>
      </w:pPr>
      <w:r>
        <w:rPr>
          <w:rFonts w:cs="TimesNewRomanPSMT"/>
        </w:rPr>
        <w:t>Doplniť do § 74 nový odsek, ktorý ustanoví požiadavky na odbornosť audítora alebo audítorskej spoločnosti, a to:</w:t>
      </w:r>
    </w:p>
    <w:p w14:paraId="034C554F" w14:textId="77777777" w:rsidR="00F57CBC" w:rsidRDefault="00F57CBC" w:rsidP="00F57CBC">
      <w:pPr>
        <w:pStyle w:val="Odsekzoznamu"/>
        <w:widowControl w:val="0"/>
        <w:suppressAutoHyphens w:val="0"/>
        <w:autoSpaceDE w:val="0"/>
        <w:adjustRightInd w:val="0"/>
        <w:spacing w:before="120" w:after="0" w:line="240" w:lineRule="auto"/>
        <w:jc w:val="both"/>
        <w:textAlignment w:val="auto"/>
        <w:rPr>
          <w:rFonts w:cs="TimesNewRomanPSMT"/>
        </w:rPr>
      </w:pPr>
      <w:r w:rsidRPr="00331517">
        <w:rPr>
          <w:rFonts w:cs="TimesNewRomanPSMT"/>
        </w:rPr>
        <w:t>(</w:t>
      </w:r>
      <w:r>
        <w:rPr>
          <w:rFonts w:cs="TimesNewRomanPSMT"/>
        </w:rPr>
        <w:t>1</w:t>
      </w:r>
      <w:r w:rsidR="007F2004">
        <w:rPr>
          <w:rFonts w:cs="TimesNewRomanPSMT"/>
        </w:rPr>
        <w:t>1</w:t>
      </w:r>
      <w:r w:rsidRPr="00331517">
        <w:rPr>
          <w:rFonts w:cs="TimesNewRomanPSMT"/>
        </w:rPr>
        <w:t xml:space="preserve">) Za audítora nemožno vybrať osobu, ktorá </w:t>
      </w:r>
      <w:r>
        <w:rPr>
          <w:rFonts w:cs="TimesNewRomanPSMT"/>
        </w:rPr>
        <w:t xml:space="preserve">nemá primeranú odbornú spôsobilosť, a to </w:t>
      </w:r>
      <w:r>
        <w:rPr>
          <w:rFonts w:cs="TimesNewRomanPSMT"/>
        </w:rPr>
        <w:lastRenderedPageBreak/>
        <w:t xml:space="preserve">vedomosti a skúsenosti súvisiace s oceňovaním aktív a záväzkov súvisiacich s poisťovacou alebo zaisťovacou činnosťou vrátane znalostí týkajúcich sa </w:t>
      </w:r>
      <w:proofErr w:type="spellStart"/>
      <w:r>
        <w:rPr>
          <w:rFonts w:cs="TimesNewRomanPSMT"/>
        </w:rPr>
        <w:t>aktuárskych</w:t>
      </w:r>
      <w:proofErr w:type="spellEnd"/>
      <w:r>
        <w:rPr>
          <w:rFonts w:cs="TimesNewRomanPSMT"/>
        </w:rPr>
        <w:t xml:space="preserve"> modelov pre oceňovanie týchto záväzkov .</w:t>
      </w:r>
    </w:p>
    <w:p w14:paraId="22715B38" w14:textId="34BFF670" w:rsidR="00F57CBC" w:rsidRDefault="00F57CBC" w:rsidP="00F57CBC">
      <w:pPr>
        <w:pStyle w:val="Odsekzoznamu"/>
        <w:widowControl w:val="0"/>
        <w:suppressAutoHyphens w:val="0"/>
        <w:autoSpaceDE w:val="0"/>
        <w:adjustRightInd w:val="0"/>
        <w:spacing w:before="120" w:after="0" w:line="240" w:lineRule="auto"/>
        <w:jc w:val="both"/>
      </w:pPr>
      <w:r>
        <w:rPr>
          <w:rFonts w:cs="TimesNewRomanPSMT"/>
          <w:b/>
        </w:rPr>
        <w:t xml:space="preserve">Odôvodnenie: </w:t>
      </w:r>
      <w:r>
        <w:t xml:space="preserve">Keďže audítor alebo audítorská spoločnosť bez znalostí poistnej matematiky nie je schopná overiť správnosť ocenenia poistných záväzkov </w:t>
      </w:r>
      <w:proofErr w:type="spellStart"/>
      <w:r>
        <w:t>t.j</w:t>
      </w:r>
      <w:proofErr w:type="spellEnd"/>
      <w:r>
        <w:t>. technických rezerv je potrebné aby do procesu externého auditu bol zapojený aktuár</w:t>
      </w:r>
      <w:r w:rsidR="005C76F5">
        <w:t xml:space="preserve"> s primeranou kvalifikáciou</w:t>
      </w:r>
      <w:r>
        <w:t xml:space="preserve">. </w:t>
      </w:r>
    </w:p>
    <w:p w14:paraId="71C52A91" w14:textId="77777777" w:rsidR="00F57CBC" w:rsidRPr="00F80CCD" w:rsidRDefault="00F57CBC" w:rsidP="00F57CBC">
      <w:pPr>
        <w:pStyle w:val="Odsekzoznamu"/>
        <w:widowControl w:val="0"/>
        <w:numPr>
          <w:ilvl w:val="0"/>
          <w:numId w:val="14"/>
        </w:numPr>
        <w:suppressAutoHyphens w:val="0"/>
        <w:autoSpaceDE w:val="0"/>
        <w:adjustRightInd w:val="0"/>
        <w:spacing w:before="120" w:after="0" w:line="240" w:lineRule="auto"/>
        <w:jc w:val="both"/>
        <w:textAlignment w:val="auto"/>
        <w:rPr>
          <w:rFonts w:cs="TimesNewRomanPSMT"/>
          <w:highlight w:val="yellow"/>
        </w:rPr>
      </w:pPr>
      <w:r w:rsidRPr="00F80CCD">
        <w:rPr>
          <w:rFonts w:cs="TimesNewRomanPSMT"/>
          <w:highlight w:val="yellow"/>
        </w:rPr>
        <w:t>Doplniť do § 74 nové odseky, ktoré ustanovia právomoc NBS v prípade pochybností o správnosti výsledkov resp. v prípade podstatnej zmene v údajoch počas 12 mesiacov od vykonaného pravidelného auditu, a to v nasledovnom znení:</w:t>
      </w:r>
    </w:p>
    <w:p w14:paraId="676500A6" w14:textId="2188FB68" w:rsidR="008606E5" w:rsidRPr="00F80CCD" w:rsidRDefault="007F2004" w:rsidP="00F57CBC">
      <w:pPr>
        <w:pStyle w:val="Odsekzoznamu"/>
        <w:widowControl w:val="0"/>
        <w:suppressAutoHyphens w:val="0"/>
        <w:autoSpaceDE w:val="0"/>
        <w:adjustRightInd w:val="0"/>
        <w:spacing w:before="120" w:after="0" w:line="240" w:lineRule="auto"/>
        <w:jc w:val="both"/>
        <w:textAlignment w:val="auto"/>
        <w:rPr>
          <w:rFonts w:cs="TimesNewRomanPSMT"/>
          <w:highlight w:val="yellow"/>
        </w:rPr>
      </w:pPr>
      <w:r w:rsidRPr="00F80CCD">
        <w:rPr>
          <w:rFonts w:cs="TimesNewRomanPSMT"/>
          <w:highlight w:val="yellow"/>
        </w:rPr>
        <w:t>„</w:t>
      </w:r>
      <w:r w:rsidR="00F57CBC" w:rsidRPr="00F80CCD">
        <w:rPr>
          <w:rFonts w:cs="TimesNewRomanPSMT"/>
          <w:highlight w:val="yellow"/>
        </w:rPr>
        <w:t>(1</w:t>
      </w:r>
      <w:r w:rsidRPr="00F80CCD">
        <w:rPr>
          <w:rFonts w:cs="TimesNewRomanPSMT"/>
          <w:highlight w:val="yellow"/>
        </w:rPr>
        <w:t>2</w:t>
      </w:r>
      <w:r w:rsidR="00F57CBC" w:rsidRPr="00F80CCD">
        <w:rPr>
          <w:rFonts w:cs="TimesNewRomanPSMT"/>
          <w:highlight w:val="yellow"/>
        </w:rPr>
        <w:t>)</w:t>
      </w:r>
      <w:r w:rsidR="008606E5" w:rsidRPr="00F80CCD">
        <w:rPr>
          <w:rFonts w:cs="TimesNewRomanPSMT"/>
          <w:highlight w:val="yellow"/>
        </w:rPr>
        <w:tab/>
        <w:t xml:space="preserve">Národná banka Slovenska je oprávnená nariadiť vykonanie mimoriadneho auditu </w:t>
      </w:r>
      <w:r w:rsidR="002A312F" w:rsidRPr="00F80CCD">
        <w:rPr>
          <w:rFonts w:cs="TimesNewRomanPSMT"/>
          <w:highlight w:val="yellow"/>
        </w:rPr>
        <w:t>ak nadobudne pochybnosti o správnosti alebo úplnosti výsledkov pôvodného auditu alebo ak došlo k podstatnej zmene v hospodárení poisťovne, pobočky zahraničnej poisťovne, zaisťovne alebo pobočky zahraničnej zaisťovne v nasledujúcich 12 mesiacoch odo dňa, ku ktorému sa pôvodný audit vykonal (ďalej len "mimoriadny audit").</w:t>
      </w:r>
      <w:r w:rsidR="008606E5" w:rsidRPr="00F80CCD">
        <w:rPr>
          <w:rFonts w:cs="TimesNewRomanPSMT"/>
          <w:highlight w:val="yellow"/>
        </w:rPr>
        <w:t xml:space="preserve"> Poisťovňa, pobočka zahraničnej poisťovne, zaisťovňa alebo pobočka zahraničnej zaisťovne sú povinné písomne oznámiť Národnej banke Slovenska do 30 dní odo dňa nariadenia vykonania mimoriadneho auditu, ktorý audítor alebo audítorská spoločnosť mimoriadny audit vykoná. Tento audítor alebo audítorská spoločnosť musí byť iná osoba ako audítor alebo audítorská spoločnosť, ktorá overovala účtovnú závierku podľa odseku 1</w:t>
      </w:r>
      <w:r w:rsidR="00B05770" w:rsidRPr="00F80CCD">
        <w:rPr>
          <w:rFonts w:cs="TimesNewRomanPSMT"/>
          <w:highlight w:val="yellow"/>
        </w:rPr>
        <w:t xml:space="preserve"> v posledných 5 rokov</w:t>
      </w:r>
      <w:r w:rsidR="008606E5" w:rsidRPr="00F80CCD">
        <w:rPr>
          <w:rFonts w:cs="TimesNewRomanPSMT"/>
          <w:highlight w:val="yellow"/>
        </w:rPr>
        <w:t>.</w:t>
      </w:r>
    </w:p>
    <w:p w14:paraId="552A38A9" w14:textId="3147501F" w:rsidR="00F57CBC" w:rsidRPr="00F80CCD" w:rsidRDefault="002A312F" w:rsidP="00F57CBC">
      <w:pPr>
        <w:pStyle w:val="Odsekzoznamu"/>
        <w:widowControl w:val="0"/>
        <w:suppressAutoHyphens w:val="0"/>
        <w:autoSpaceDE w:val="0"/>
        <w:adjustRightInd w:val="0"/>
        <w:spacing w:before="120" w:after="0" w:line="240" w:lineRule="auto"/>
        <w:jc w:val="both"/>
        <w:textAlignment w:val="auto"/>
        <w:rPr>
          <w:rFonts w:cs="TimesNewRomanPSMT"/>
          <w:highlight w:val="yellow"/>
        </w:rPr>
      </w:pPr>
      <w:r w:rsidRPr="00F80CCD">
        <w:rPr>
          <w:rFonts w:cs="TimesNewRomanPSMT"/>
          <w:highlight w:val="yellow"/>
        </w:rPr>
        <w:t xml:space="preserve"> </w:t>
      </w:r>
      <w:r w:rsidR="00F57CBC" w:rsidRPr="00F80CCD">
        <w:rPr>
          <w:rFonts w:cs="TimesNewRomanPSMT"/>
          <w:highlight w:val="yellow"/>
        </w:rPr>
        <w:t>(1</w:t>
      </w:r>
      <w:r w:rsidR="007F2004" w:rsidRPr="00F80CCD">
        <w:rPr>
          <w:rFonts w:cs="TimesNewRomanPSMT"/>
          <w:highlight w:val="yellow"/>
        </w:rPr>
        <w:t>3</w:t>
      </w:r>
      <w:r w:rsidR="00F57CBC" w:rsidRPr="00F80CCD">
        <w:rPr>
          <w:rFonts w:cs="TimesNewRomanPSMT"/>
          <w:highlight w:val="yellow"/>
        </w:rPr>
        <w:t xml:space="preserve">) </w:t>
      </w:r>
      <w:r w:rsidRPr="00F80CCD">
        <w:rPr>
          <w:rFonts w:cs="TimesNewRomanPSMT"/>
          <w:highlight w:val="yellow"/>
        </w:rPr>
        <w:t xml:space="preserve">Poisťovňa, pobočka zahraničnej poisťovne, zaisťovňa alebo pobočka zahraničnej zaisťovne s povinné oznámiť Národnej banke Slovenska, ktorý audítor alebo audítorská spoločnosť pol poverený vykonaním mimoriadneho auditu, a to do 30 kalendárnych dní od nariadenia mimoriadneho auditu podľa odseku 12. Národná banka Slovenska je oprávnená do 30 dní po doručení oznámenia výber audítora alebo audítorskej spoločnosti odmietnuť , ak sa Národná banka Slovenska zistila nedostatky v činnosti audítora alebo audítorskej spoločnosti alebo zistila konflikt záujmov alebo </w:t>
      </w:r>
      <w:r w:rsidR="00B05770" w:rsidRPr="00F80CCD">
        <w:rPr>
          <w:rFonts w:cs="TimesNewRomanPSMT"/>
          <w:highlight w:val="yellow"/>
        </w:rPr>
        <w:t>audítor alebo audítorská spoločnosť nespĺňa požiadavky podľa odseku 11.</w:t>
      </w:r>
      <w:r w:rsidR="007F2004" w:rsidRPr="00F80CCD">
        <w:rPr>
          <w:rFonts w:cs="TimesNewRomanPSMT"/>
          <w:highlight w:val="yellow"/>
        </w:rPr>
        <w:t>“</w:t>
      </w:r>
    </w:p>
    <w:p w14:paraId="4FCC9425" w14:textId="77777777" w:rsidR="00F57CBC" w:rsidRDefault="00F57CBC" w:rsidP="00F57CBC">
      <w:pPr>
        <w:pStyle w:val="Odsekzoznamu"/>
        <w:widowControl w:val="0"/>
        <w:suppressAutoHyphens w:val="0"/>
        <w:autoSpaceDE w:val="0"/>
        <w:adjustRightInd w:val="0"/>
        <w:spacing w:before="120" w:after="0" w:line="240" w:lineRule="auto"/>
        <w:jc w:val="both"/>
      </w:pPr>
      <w:r w:rsidRPr="00F80CCD">
        <w:rPr>
          <w:rFonts w:cs="TimesNewRomanPSMT"/>
          <w:b/>
          <w:highlight w:val="yellow"/>
        </w:rPr>
        <w:t xml:space="preserve">Odôvodnenie: </w:t>
      </w:r>
      <w:r w:rsidRPr="00F80CCD">
        <w:rPr>
          <w:highlight w:val="yellow"/>
        </w:rPr>
        <w:t>Mimoriadny audit je zavedený aj v ostatných sektoroch finančného trhu a zo skúseností sa preukázala potreba takejto právomoci NBS.</w:t>
      </w:r>
      <w:r>
        <w:t xml:space="preserve"> </w:t>
      </w:r>
    </w:p>
    <w:p w14:paraId="7D5D76E5" w14:textId="77777777" w:rsidR="00B758C2" w:rsidRDefault="00B758C2" w:rsidP="00B758C2">
      <w:pPr>
        <w:pStyle w:val="Odsekzoznamu"/>
        <w:numPr>
          <w:ilvl w:val="0"/>
          <w:numId w:val="14"/>
        </w:numPr>
        <w:suppressAutoHyphens w:val="0"/>
        <w:autoSpaceDE w:val="0"/>
        <w:adjustRightInd w:val="0"/>
        <w:spacing w:before="120" w:after="0" w:line="240" w:lineRule="auto"/>
        <w:jc w:val="both"/>
        <w:textAlignment w:val="auto"/>
        <w:rPr>
          <w:rFonts w:cs="TimesNewRomanPSMT"/>
        </w:rPr>
      </w:pPr>
      <w:r>
        <w:rPr>
          <w:rFonts w:cs="TimesNewRomanPSMT"/>
        </w:rPr>
        <w:t>Doplniť</w:t>
      </w:r>
      <w:r w:rsidRPr="00D54F03">
        <w:rPr>
          <w:rFonts w:cs="TimesNewRomanPSMT"/>
        </w:rPr>
        <w:t xml:space="preserve"> definíciu konania v zhode pre účely udelenia predchádzajúceho súhlasu podľa §77 ods. 1 písm. a), a to </w:t>
      </w:r>
      <w:r>
        <w:rPr>
          <w:rFonts w:cs="TimesNewRomanPSMT"/>
        </w:rPr>
        <w:t>odstránením odkazu č. 45 na § 66b Obchodného zákonníka a doplnením nasledovného odseku do § 77:</w:t>
      </w:r>
    </w:p>
    <w:p w14:paraId="05A73504" w14:textId="77777777" w:rsidR="00B758C2" w:rsidRPr="006266E4" w:rsidRDefault="00B758C2" w:rsidP="00B758C2">
      <w:pPr>
        <w:pStyle w:val="Odsekzoznamu"/>
        <w:suppressAutoHyphens w:val="0"/>
        <w:autoSpaceDE w:val="0"/>
        <w:adjustRightInd w:val="0"/>
        <w:spacing w:before="120" w:after="0" w:line="240" w:lineRule="auto"/>
        <w:jc w:val="both"/>
        <w:textAlignment w:val="auto"/>
        <w:rPr>
          <w:rFonts w:cs="TimesNewRomanPSMT"/>
        </w:rPr>
      </w:pPr>
      <w:r>
        <w:rPr>
          <w:rFonts w:cs="TimesNewRomanPSMT"/>
        </w:rPr>
        <w:t>„(...)</w:t>
      </w:r>
      <w:r w:rsidRPr="006266E4">
        <w:rPr>
          <w:rFonts w:cs="TimesNewRomanPSMT"/>
        </w:rPr>
        <w:t>Konaním v zhode sa na účely tohto zákona rozumie</w:t>
      </w:r>
    </w:p>
    <w:p w14:paraId="7AA99DCF" w14:textId="77777777" w:rsidR="00B758C2" w:rsidRDefault="00B758C2" w:rsidP="00B758C2">
      <w:pPr>
        <w:pStyle w:val="Odsekzoznamu"/>
        <w:suppressAutoHyphens w:val="0"/>
        <w:autoSpaceDE w:val="0"/>
        <w:adjustRightInd w:val="0"/>
        <w:spacing w:before="120" w:after="0" w:line="240" w:lineRule="auto"/>
        <w:jc w:val="both"/>
        <w:textAlignment w:val="auto"/>
        <w:rPr>
          <w:rFonts w:cs="TimesNewRomanPSMT"/>
        </w:rPr>
      </w:pPr>
      <w:r w:rsidRPr="006266E4">
        <w:rPr>
          <w:rFonts w:cs="TimesNewRomanPSMT"/>
        </w:rPr>
        <w:t>a)</w:t>
      </w:r>
      <w:r>
        <w:rPr>
          <w:rFonts w:cs="TimesNewRomanPSMT"/>
        </w:rPr>
        <w:t xml:space="preserve"> </w:t>
      </w:r>
      <w:r w:rsidRPr="006266E4">
        <w:rPr>
          <w:rFonts w:cs="TimesNewRomanPSMT"/>
        </w:rPr>
        <w:t xml:space="preserve">konanie smerujúce k dosiahnutiu podielu na základnom imaní </w:t>
      </w:r>
      <w:r>
        <w:rPr>
          <w:rFonts w:cs="TimesNewRomanPSMT"/>
        </w:rPr>
        <w:t>poisťovne alebo zaisťovne</w:t>
      </w:r>
      <w:r w:rsidRPr="006266E4">
        <w:rPr>
          <w:rFonts w:cs="TimesNewRomanPSMT"/>
        </w:rPr>
        <w:t xml:space="preserve"> </w:t>
      </w:r>
      <w:r>
        <w:rPr>
          <w:rFonts w:cs="TimesNewRomanPSMT"/>
        </w:rPr>
        <w:t xml:space="preserve"> </w:t>
      </w:r>
      <w:r w:rsidRPr="006266E4">
        <w:rPr>
          <w:rFonts w:cs="TimesNewRomanPSMT"/>
        </w:rPr>
        <w:t>alebo na hlasovacích právach, uskutočnené medzi</w:t>
      </w:r>
      <w:r>
        <w:rPr>
          <w:rFonts w:cs="TimesNewRomanPSMT"/>
        </w:rPr>
        <w:t xml:space="preserve"> </w:t>
      </w:r>
    </w:p>
    <w:p w14:paraId="581819B7" w14:textId="237CE4CC" w:rsidR="00B758C2" w:rsidRPr="006266E4" w:rsidRDefault="00B758C2" w:rsidP="00B758C2">
      <w:pPr>
        <w:pStyle w:val="Odsekzoznamu"/>
        <w:suppressAutoHyphens w:val="0"/>
        <w:autoSpaceDE w:val="0"/>
        <w:adjustRightInd w:val="0"/>
        <w:spacing w:before="120" w:after="0" w:line="240" w:lineRule="auto"/>
        <w:jc w:val="both"/>
        <w:textAlignment w:val="auto"/>
        <w:rPr>
          <w:rFonts w:cs="TimesNewRomanPSMT"/>
        </w:rPr>
      </w:pPr>
      <w:r w:rsidRPr="006266E4">
        <w:rPr>
          <w:rFonts w:cs="TimesNewRomanPSMT"/>
        </w:rPr>
        <w:t>1.</w:t>
      </w:r>
      <w:r>
        <w:rPr>
          <w:rFonts w:cs="TimesNewRomanPSMT"/>
        </w:rPr>
        <w:t xml:space="preserve"> </w:t>
      </w:r>
      <w:r w:rsidRPr="006266E4">
        <w:rPr>
          <w:rFonts w:cs="TimesNewRomanPSMT"/>
        </w:rPr>
        <w:t>právnickou osobou a jej spoločníkmi alebo členmi, štatutárnymi orgánmi, členmi štatutárnych orgánov alebo dozorných orgánov, zamestnancami právnickej osoby, ktorí sú v priamej riadiacej pôsobnosti štatutárneho orgánu alebo jeho člena, vedúcimi organizačnej zložky, ktorí sú zapísaní v obchodnom registri, prokuristami, likvidátormi, správcami konkurznej podstaty či vyrovnacími správcami tejto právnickej osoby a osobami im blízkymi</w:t>
      </w:r>
      <w:r w:rsidRPr="00B758C2">
        <w:rPr>
          <w:rFonts w:cs="TimesNewRomanPSMT"/>
          <w:vertAlign w:val="superscript"/>
        </w:rPr>
        <w:t>*)</w:t>
      </w:r>
      <w:r w:rsidRPr="006266E4">
        <w:rPr>
          <w:rFonts w:cs="TimesNewRomanPSMT"/>
        </w:rPr>
        <w:t xml:space="preserve"> alebo medzi ktorýmikoľvek týmito osobami,</w:t>
      </w:r>
    </w:p>
    <w:p w14:paraId="2F9F63B6" w14:textId="77777777" w:rsidR="00B758C2" w:rsidRPr="006266E4" w:rsidRDefault="00B758C2" w:rsidP="00B758C2">
      <w:pPr>
        <w:pStyle w:val="Odsekzoznamu"/>
        <w:suppressAutoHyphens w:val="0"/>
        <w:autoSpaceDE w:val="0"/>
        <w:adjustRightInd w:val="0"/>
        <w:spacing w:before="120" w:after="0" w:line="240" w:lineRule="auto"/>
        <w:jc w:val="both"/>
        <w:textAlignment w:val="auto"/>
        <w:rPr>
          <w:rFonts w:cs="TimesNewRomanPSMT"/>
        </w:rPr>
      </w:pPr>
      <w:r w:rsidRPr="006266E4">
        <w:rPr>
          <w:rFonts w:cs="TimesNewRomanPSMT"/>
        </w:rPr>
        <w:t>2.</w:t>
      </w:r>
      <w:r>
        <w:rPr>
          <w:rFonts w:cs="TimesNewRomanPSMT"/>
        </w:rPr>
        <w:t xml:space="preserve"> </w:t>
      </w:r>
      <w:r w:rsidRPr="006266E4">
        <w:rPr>
          <w:rFonts w:cs="TimesNewRomanPSMT"/>
        </w:rPr>
        <w:t xml:space="preserve">osobami, ktoré uzavreli dohodu o zhodnom výkone hlasovacích práv v jednej </w:t>
      </w:r>
      <w:r>
        <w:rPr>
          <w:rFonts w:cs="TimesNewRomanPSMT"/>
        </w:rPr>
        <w:t>poisťovni alebo zaisťovni</w:t>
      </w:r>
      <w:r w:rsidRPr="006266E4">
        <w:rPr>
          <w:rFonts w:cs="TimesNewRomanPSMT"/>
        </w:rPr>
        <w:t xml:space="preserve"> v záležitostiach týkajúcich sa jej riadenia bez ohľadu na formu dohody alebo na to, či je platná alebo neplatná,</w:t>
      </w:r>
    </w:p>
    <w:p w14:paraId="10C11BFB" w14:textId="77777777" w:rsidR="00B758C2" w:rsidRPr="006266E4" w:rsidRDefault="00B758C2" w:rsidP="00B758C2">
      <w:pPr>
        <w:pStyle w:val="Odsekzoznamu"/>
        <w:suppressAutoHyphens w:val="0"/>
        <w:autoSpaceDE w:val="0"/>
        <w:adjustRightInd w:val="0"/>
        <w:spacing w:before="120" w:after="0" w:line="240" w:lineRule="auto"/>
        <w:jc w:val="both"/>
        <w:textAlignment w:val="auto"/>
        <w:rPr>
          <w:rFonts w:cs="TimesNewRomanPSMT"/>
        </w:rPr>
      </w:pPr>
      <w:r w:rsidRPr="006266E4">
        <w:rPr>
          <w:rFonts w:cs="TimesNewRomanPSMT"/>
        </w:rPr>
        <w:t>3.</w:t>
      </w:r>
      <w:r>
        <w:rPr>
          <w:rFonts w:cs="TimesNewRomanPSMT"/>
        </w:rPr>
        <w:t xml:space="preserve"> </w:t>
      </w:r>
      <w:r w:rsidRPr="006266E4">
        <w:rPr>
          <w:rFonts w:cs="TimesNewRomanPSMT"/>
        </w:rPr>
        <w:t>ovládajúcou a ovládanou osobou alebo medzi ovládanými osobami priamo alebo sprostredkovane tou istou ovládajúcou osobou,</w:t>
      </w:r>
    </w:p>
    <w:p w14:paraId="5B5B1E02" w14:textId="18C36462" w:rsidR="00B758C2" w:rsidRPr="006266E4" w:rsidRDefault="00B758C2" w:rsidP="00B758C2">
      <w:pPr>
        <w:pStyle w:val="Odsekzoznamu"/>
        <w:suppressAutoHyphens w:val="0"/>
        <w:autoSpaceDE w:val="0"/>
        <w:adjustRightInd w:val="0"/>
        <w:spacing w:before="120" w:after="0" w:line="240" w:lineRule="auto"/>
        <w:jc w:val="both"/>
        <w:textAlignment w:val="auto"/>
        <w:rPr>
          <w:rFonts w:cs="TimesNewRomanPSMT"/>
        </w:rPr>
      </w:pPr>
      <w:r w:rsidRPr="006266E4">
        <w:rPr>
          <w:rFonts w:cs="TimesNewRomanPSMT"/>
        </w:rPr>
        <w:lastRenderedPageBreak/>
        <w:t>4.</w:t>
      </w:r>
      <w:r>
        <w:rPr>
          <w:rFonts w:cs="TimesNewRomanPSMT"/>
        </w:rPr>
        <w:t xml:space="preserve"> </w:t>
      </w:r>
      <w:r w:rsidRPr="006266E4">
        <w:rPr>
          <w:rFonts w:cs="TimesNewRomanPSMT"/>
        </w:rPr>
        <w:t>blízkymi osobami</w:t>
      </w:r>
      <w:r w:rsidRPr="00B758C2">
        <w:rPr>
          <w:rFonts w:cs="TimesNewRomanPSMT"/>
          <w:vertAlign w:val="superscript"/>
        </w:rPr>
        <w:t>*)</w:t>
      </w:r>
    </w:p>
    <w:p w14:paraId="519B2AE9" w14:textId="77777777" w:rsidR="00B758C2" w:rsidRPr="006266E4" w:rsidRDefault="00B758C2" w:rsidP="00B758C2">
      <w:pPr>
        <w:pStyle w:val="Odsekzoznamu"/>
        <w:suppressAutoHyphens w:val="0"/>
        <w:autoSpaceDE w:val="0"/>
        <w:adjustRightInd w:val="0"/>
        <w:spacing w:before="120" w:after="0" w:line="240" w:lineRule="auto"/>
        <w:jc w:val="both"/>
        <w:textAlignment w:val="auto"/>
        <w:rPr>
          <w:rFonts w:cs="TimesNewRomanPSMT"/>
        </w:rPr>
      </w:pPr>
      <w:r w:rsidRPr="006266E4">
        <w:rPr>
          <w:rFonts w:cs="TimesNewRomanPSMT"/>
        </w:rPr>
        <w:t>b)</w:t>
      </w:r>
      <w:r>
        <w:rPr>
          <w:rFonts w:cs="TimesNewRomanPSMT"/>
        </w:rPr>
        <w:t xml:space="preserve"> </w:t>
      </w:r>
      <w:r w:rsidRPr="006266E4">
        <w:rPr>
          <w:rFonts w:cs="TimesNewRomanPSMT"/>
        </w:rPr>
        <w:t xml:space="preserve">konanie dvoch alebo viacerých právnických osôb smerujúce k dosiahnutiu podielu na základnom imaní </w:t>
      </w:r>
      <w:r>
        <w:rPr>
          <w:rFonts w:cs="TimesNewRomanPSMT"/>
        </w:rPr>
        <w:t xml:space="preserve">poisťovne alebo zaisťovne </w:t>
      </w:r>
      <w:r w:rsidRPr="006266E4">
        <w:rPr>
          <w:rFonts w:cs="TimesNewRomanPSMT"/>
        </w:rPr>
        <w:t>alebo na hlasovacích právach, v ktorých tá istá fyzická osoba je štatutárnym orgánom, členom štatutárneho orgánu, členom dozorného orgánu, prokuristom alebo má podiel na základnom imaní právnickej osoby alebo na hlasovacích právach v rozsahu najmenej 5 %, alebo má možnosť uplatňovať z iných dôvodov vplyv na riadenie týchto právnických osôb, ktorý je porovnateľný s vplyvom pri takomto podiele,</w:t>
      </w:r>
    </w:p>
    <w:p w14:paraId="48CA13F8" w14:textId="77777777" w:rsidR="00B758C2" w:rsidRPr="006266E4" w:rsidRDefault="00B758C2" w:rsidP="00B758C2">
      <w:pPr>
        <w:pStyle w:val="Odsekzoznamu"/>
        <w:suppressAutoHyphens w:val="0"/>
        <w:autoSpaceDE w:val="0"/>
        <w:adjustRightInd w:val="0"/>
        <w:spacing w:before="120" w:after="0" w:line="240" w:lineRule="auto"/>
        <w:jc w:val="both"/>
        <w:textAlignment w:val="auto"/>
        <w:rPr>
          <w:rFonts w:cs="TimesNewRomanPSMT"/>
        </w:rPr>
      </w:pPr>
      <w:r w:rsidRPr="006266E4">
        <w:rPr>
          <w:rFonts w:cs="TimesNewRomanPSMT"/>
        </w:rPr>
        <w:t>c)</w:t>
      </w:r>
      <w:r>
        <w:rPr>
          <w:rFonts w:cs="TimesNewRomanPSMT"/>
        </w:rPr>
        <w:t xml:space="preserve"> </w:t>
      </w:r>
      <w:r w:rsidRPr="006266E4">
        <w:rPr>
          <w:rFonts w:cs="TimesNewRomanPSMT"/>
        </w:rPr>
        <w:t>konanie vzájomne personálne prepojených právnických osôb,</w:t>
      </w:r>
    </w:p>
    <w:p w14:paraId="55D22AD4" w14:textId="77777777" w:rsidR="00B758C2" w:rsidRDefault="00B758C2" w:rsidP="00B758C2">
      <w:pPr>
        <w:pStyle w:val="Odsekzoznamu"/>
        <w:suppressAutoHyphens w:val="0"/>
        <w:autoSpaceDE w:val="0"/>
        <w:adjustRightInd w:val="0"/>
        <w:spacing w:before="120" w:after="0" w:line="240" w:lineRule="auto"/>
        <w:jc w:val="both"/>
        <w:textAlignment w:val="auto"/>
        <w:rPr>
          <w:rFonts w:cs="TimesNewRomanPSMT"/>
        </w:rPr>
      </w:pPr>
      <w:r w:rsidRPr="006266E4">
        <w:rPr>
          <w:rFonts w:cs="TimesNewRomanPSMT"/>
        </w:rPr>
        <w:t>d)</w:t>
      </w:r>
      <w:r>
        <w:rPr>
          <w:rFonts w:cs="TimesNewRomanPSMT"/>
        </w:rPr>
        <w:t xml:space="preserve"> </w:t>
      </w:r>
      <w:r w:rsidRPr="006266E4">
        <w:rPr>
          <w:rFonts w:cs="TimesNewRomanPSMT"/>
        </w:rPr>
        <w:t>iné obdobné konanie ako v písmenách a) až c).</w:t>
      </w:r>
    </w:p>
    <w:p w14:paraId="0B6CFD72" w14:textId="7913CF0A" w:rsidR="00B758C2" w:rsidRDefault="00B758C2" w:rsidP="00B758C2">
      <w:pPr>
        <w:pStyle w:val="Odsekzoznamu"/>
        <w:suppressAutoHyphens w:val="0"/>
        <w:autoSpaceDE w:val="0"/>
        <w:adjustRightInd w:val="0"/>
        <w:spacing w:before="120" w:after="0" w:line="240" w:lineRule="auto"/>
        <w:jc w:val="both"/>
        <w:textAlignment w:val="auto"/>
        <w:rPr>
          <w:rFonts w:cs="TimesNewRomanPSMT"/>
        </w:rPr>
      </w:pPr>
      <w:r w:rsidRPr="00B758C2">
        <w:rPr>
          <w:rFonts w:cs="TimesNewRomanPSMT"/>
          <w:vertAlign w:val="superscript"/>
        </w:rPr>
        <w:t>*)</w:t>
      </w:r>
      <w:r>
        <w:rPr>
          <w:rFonts w:cs="TimesNewRomanPSMT"/>
          <w:vertAlign w:val="superscript"/>
        </w:rPr>
        <w:t xml:space="preserve"> </w:t>
      </w:r>
      <w:r>
        <w:rPr>
          <w:rFonts w:cs="TimesNewRomanPSMT"/>
        </w:rPr>
        <w:t>§ 116 Občianskeho zákonníka“</w:t>
      </w:r>
    </w:p>
    <w:p w14:paraId="6F43A48D" w14:textId="77777777" w:rsidR="00B758C2" w:rsidRPr="00D93565" w:rsidRDefault="00B758C2" w:rsidP="00B758C2">
      <w:pPr>
        <w:pStyle w:val="Odsekzoznamu"/>
        <w:widowControl w:val="0"/>
        <w:suppressAutoHyphens w:val="0"/>
        <w:autoSpaceDE w:val="0"/>
        <w:adjustRightInd w:val="0"/>
        <w:spacing w:before="120" w:after="0" w:line="240" w:lineRule="auto"/>
        <w:jc w:val="both"/>
        <w:textAlignment w:val="auto"/>
        <w:rPr>
          <w:rFonts w:cs="TimesNewRomanPSMT"/>
        </w:rPr>
      </w:pPr>
      <w:r>
        <w:rPr>
          <w:rFonts w:cs="TimesNewRomanPSMT"/>
          <w:b/>
        </w:rPr>
        <w:t xml:space="preserve">Odôvodnenie: </w:t>
      </w:r>
      <w:r>
        <w:rPr>
          <w:rFonts w:cs="TimesNewRomanPSMT"/>
        </w:rPr>
        <w:t>Súčasná definícia konania v zhode nie je postačujúca vzhľadom na cieľ smernice v spojení s usmernením európskych orgánov dohľadu a znemožňuje Národnej banke Slovenska posudzovať nadobúdanie účastí napríklad v prípade, že nadobúdateľ zároveň riadi spoločnosť prostredníctvom pozície v predstavenstve alebo existuje dôkaz o dlhodobom jednotnom hlasovaní niektorých akcionárov.</w:t>
      </w:r>
    </w:p>
    <w:p w14:paraId="1E11ED7C" w14:textId="77777777" w:rsidR="00AF7C70" w:rsidRPr="001C71E1" w:rsidRDefault="00AF7C70" w:rsidP="00AF7C70">
      <w:pPr>
        <w:pStyle w:val="Odsekzoznamu"/>
        <w:numPr>
          <w:ilvl w:val="0"/>
          <w:numId w:val="14"/>
        </w:numPr>
        <w:suppressAutoHyphens w:val="0"/>
        <w:autoSpaceDE w:val="0"/>
        <w:adjustRightInd w:val="0"/>
        <w:spacing w:before="120" w:after="0" w:line="240" w:lineRule="auto"/>
        <w:jc w:val="both"/>
        <w:textAlignment w:val="auto"/>
        <w:rPr>
          <w:rFonts w:cs="TimesNewRomanPSMT"/>
          <w:highlight w:val="lightGray"/>
        </w:rPr>
      </w:pPr>
      <w:r w:rsidRPr="001C71E1">
        <w:rPr>
          <w:rFonts w:cs="TimesNewRomanPSMT"/>
          <w:highlight w:val="lightGray"/>
        </w:rPr>
        <w:t>V § 77 ods. 1 doplniť nové písmen o c) a doterajšie písmená c) až u) sa označujú ako d) až v). Nové písmeno c) znie: „c) prevod poistného kmeňa alebo jeho časti alebo zaistného kmeňa alebo jeho časti,“.</w:t>
      </w:r>
    </w:p>
    <w:p w14:paraId="1C929183" w14:textId="483642B8" w:rsidR="00F76BB0" w:rsidRPr="001C71E1" w:rsidRDefault="00AF7C70" w:rsidP="00F76BB0">
      <w:pPr>
        <w:pStyle w:val="Odsekzoznamu"/>
        <w:suppressAutoHyphens w:val="0"/>
        <w:autoSpaceDE w:val="0"/>
        <w:adjustRightInd w:val="0"/>
        <w:spacing w:before="120" w:after="0" w:line="240" w:lineRule="auto"/>
        <w:jc w:val="both"/>
        <w:textAlignment w:val="auto"/>
        <w:rPr>
          <w:rFonts w:cs="TimesNewRomanPSMT"/>
          <w:highlight w:val="lightGray"/>
        </w:rPr>
      </w:pPr>
      <w:r w:rsidRPr="001C71E1">
        <w:rPr>
          <w:rFonts w:cs="TimesNewRomanPSMT"/>
          <w:b/>
          <w:highlight w:val="lightGray"/>
        </w:rPr>
        <w:t>Odôvodnenie:</w:t>
      </w:r>
      <w:r w:rsidRPr="001C71E1">
        <w:rPr>
          <w:rFonts w:cs="TimesNewRomanPSMT"/>
          <w:highlight w:val="lightGray"/>
        </w:rPr>
        <w:t xml:space="preserve"> Podľa súčasného znenia zákona o poisťovníctve nie je možné previesť poistný kmeň samostatne na základe predchádzajúceho súhlasu NBS, a to bez prevodu podniku alebo časti podniku, v zmysle § 156 zákona o poisťovníctve. </w:t>
      </w:r>
      <w:r w:rsidR="00F76BB0" w:rsidRPr="001C71E1">
        <w:rPr>
          <w:rFonts w:cs="TimesNewRomanPSMT"/>
          <w:highlight w:val="lightGray"/>
        </w:rPr>
        <w:t>Zmluva o p</w:t>
      </w:r>
      <w:r w:rsidRPr="001C71E1">
        <w:rPr>
          <w:rFonts w:cs="TimesNewRomanPSMT"/>
          <w:highlight w:val="lightGray"/>
        </w:rPr>
        <w:t>redaj</w:t>
      </w:r>
      <w:r w:rsidR="00F76BB0" w:rsidRPr="001C71E1">
        <w:rPr>
          <w:rFonts w:cs="TimesNewRomanPSMT"/>
          <w:highlight w:val="lightGray"/>
        </w:rPr>
        <w:t>i</w:t>
      </w:r>
      <w:r w:rsidRPr="001C71E1">
        <w:rPr>
          <w:rFonts w:cs="TimesNewRomanPSMT"/>
          <w:highlight w:val="lightGray"/>
        </w:rPr>
        <w:t xml:space="preserve"> časti podniku v zmysle § 487 Obchodného zákonníka</w:t>
      </w:r>
      <w:r w:rsidR="00F76BB0" w:rsidRPr="001C71E1">
        <w:rPr>
          <w:rFonts w:cs="TimesNewRomanPSMT"/>
          <w:highlight w:val="lightGray"/>
        </w:rPr>
        <w:t xml:space="preserve"> musí mať písomnú formu, aj pri tejto zmluve musí ísť o takú zložku podniku, ktorá je komplexným súborom hmotných, osobných a nehmotných zložiek podnikania, a na kupujúceho musí prejsť vlastnícke právo ku všetkým veciam, iným právam a iným majetkovým hodnotám, ktoré slúžia na prevádzkovanie danej časti podniku.</w:t>
      </w:r>
    </w:p>
    <w:p w14:paraId="1A4181AA" w14:textId="112EDBBD" w:rsidR="00F76BB0" w:rsidRPr="001C71E1" w:rsidRDefault="00F76BB0" w:rsidP="00F76BB0">
      <w:pPr>
        <w:pStyle w:val="Odsekzoznamu"/>
        <w:suppressAutoHyphens w:val="0"/>
        <w:autoSpaceDE w:val="0"/>
        <w:adjustRightInd w:val="0"/>
        <w:spacing w:before="120" w:after="0" w:line="240" w:lineRule="auto"/>
        <w:jc w:val="both"/>
        <w:textAlignment w:val="auto"/>
        <w:rPr>
          <w:rFonts w:cs="TimesNewRomanPSMT"/>
          <w:highlight w:val="lightGray"/>
        </w:rPr>
      </w:pPr>
      <w:r w:rsidRPr="001C71E1">
        <w:rPr>
          <w:rFonts w:cs="TimesNewRomanPSMT"/>
          <w:highlight w:val="lightGray"/>
        </w:rPr>
        <w:t>Ak by predmetom prevodu nebola samostatná organizačná zložka podniku, ak by táto zložka podniku nebola predávaná ako celok, prípadne ak by boli z predaja vylúčené napríklad niektoré alebo všetky záväzky týkajúce sa tejto zložky, uzavretá zmluva by nemala účinky zmluvy o predaji časti podniku. V takom prípade možno len samostatne predať jednotlivé veci alebo ich úhrn (hnuteľné veci kúpnou zmluvou podľa Obchodného zákonníka, nehnuteľné veci kúpnou zmluvou podľa Občianskeho zákonníka), postúpiť pohľadávky ( § 524 OZ) a so súhlasom veriteľa previesť záväzky ( § 531 OZ) atď.</w:t>
      </w:r>
    </w:p>
    <w:p w14:paraId="606C5B59" w14:textId="77777777" w:rsidR="00F76BB0" w:rsidRPr="001C71E1" w:rsidRDefault="00F76BB0" w:rsidP="00F76BB0">
      <w:pPr>
        <w:pStyle w:val="Odsekzoznamu"/>
        <w:suppressAutoHyphens w:val="0"/>
        <w:autoSpaceDE w:val="0"/>
        <w:adjustRightInd w:val="0"/>
        <w:spacing w:before="120" w:after="0" w:line="240" w:lineRule="auto"/>
        <w:jc w:val="both"/>
        <w:textAlignment w:val="auto"/>
        <w:rPr>
          <w:rFonts w:cs="TimesNewRomanPSMT"/>
          <w:highlight w:val="lightGray"/>
        </w:rPr>
      </w:pPr>
      <w:r w:rsidRPr="001C71E1">
        <w:rPr>
          <w:rFonts w:cs="TimesNewRomanPSMT"/>
          <w:highlight w:val="lightGray"/>
        </w:rPr>
        <w:t>Za predaj časti podniku nemožno považovať ani prevod podielu v obchodnej spoločnosti (napr. obchodného podielu v spoločnosti s ručením obmedzeným alebo akcií v akciovej spoločnosti).</w:t>
      </w:r>
      <w:r w:rsidR="00AF7C70" w:rsidRPr="001C71E1">
        <w:rPr>
          <w:rFonts w:cs="TimesNewRomanPSMT"/>
          <w:highlight w:val="lightGray"/>
        </w:rPr>
        <w:t xml:space="preserve">. </w:t>
      </w:r>
    </w:p>
    <w:p w14:paraId="30D07C33" w14:textId="7E60BE2A" w:rsidR="00AF7C70" w:rsidRDefault="00AF7C70" w:rsidP="00F76BB0">
      <w:pPr>
        <w:pStyle w:val="Odsekzoznamu"/>
        <w:suppressAutoHyphens w:val="0"/>
        <w:autoSpaceDE w:val="0"/>
        <w:adjustRightInd w:val="0"/>
        <w:spacing w:before="120" w:after="0" w:line="240" w:lineRule="auto"/>
        <w:jc w:val="both"/>
        <w:textAlignment w:val="auto"/>
        <w:rPr>
          <w:rFonts w:cs="TimesNewRomanPSMT"/>
        </w:rPr>
      </w:pPr>
      <w:r w:rsidRPr="001C71E1">
        <w:rPr>
          <w:rFonts w:cs="TimesNewRomanPSMT"/>
          <w:highlight w:val="lightGray"/>
        </w:rPr>
        <w:t>Je potrebné zároveň upraviť vnútorné odkazy na doterajšie písmená c) až u).</w:t>
      </w:r>
    </w:p>
    <w:p w14:paraId="49397550" w14:textId="77777777" w:rsidR="00AF7C70" w:rsidRDefault="00AF7C70" w:rsidP="00AF7C70">
      <w:pPr>
        <w:pStyle w:val="Odsekzoznamu"/>
        <w:numPr>
          <w:ilvl w:val="0"/>
          <w:numId w:val="14"/>
        </w:numPr>
        <w:suppressAutoHyphens w:val="0"/>
        <w:autoSpaceDE w:val="0"/>
        <w:adjustRightInd w:val="0"/>
        <w:spacing w:before="120" w:after="0" w:line="240" w:lineRule="auto"/>
        <w:jc w:val="both"/>
        <w:textAlignment w:val="auto"/>
        <w:rPr>
          <w:rFonts w:cs="TimesNewRomanPSMT"/>
        </w:rPr>
      </w:pPr>
      <w:r>
        <w:rPr>
          <w:rFonts w:cs="TimesNewRomanPSMT"/>
        </w:rPr>
        <w:t>V § 77 ods. 1 doplniť k novému písmenu f) (pôvodné e)) doplniť odkaz na poznámku pod čiarou číslo 18.</w:t>
      </w:r>
    </w:p>
    <w:p w14:paraId="3C564E29" w14:textId="77777777" w:rsidR="00AF7C70" w:rsidRDefault="00AF7C70" w:rsidP="00AF7C70">
      <w:pPr>
        <w:pStyle w:val="Odsekzoznamu"/>
        <w:suppressAutoHyphens w:val="0"/>
        <w:autoSpaceDE w:val="0"/>
        <w:adjustRightInd w:val="0"/>
        <w:spacing w:before="120" w:after="0" w:line="240" w:lineRule="auto"/>
        <w:jc w:val="both"/>
        <w:textAlignment w:val="auto"/>
        <w:rPr>
          <w:rFonts w:cs="TimesNewRomanPSMT"/>
        </w:rPr>
      </w:pPr>
      <w:r>
        <w:rPr>
          <w:rFonts w:cs="TimesNewRomanPSMT"/>
        </w:rPr>
        <w:t xml:space="preserve">Odôvodnenie: Doplnenie chýbajúceho odkazu na osobitný predpis. </w:t>
      </w:r>
    </w:p>
    <w:p w14:paraId="56015B67" w14:textId="77777777" w:rsidR="00AF7C70" w:rsidRDefault="00AF7C70" w:rsidP="00AF7C70">
      <w:pPr>
        <w:pStyle w:val="Odsekzoznamu"/>
        <w:numPr>
          <w:ilvl w:val="0"/>
          <w:numId w:val="14"/>
        </w:numPr>
        <w:suppressAutoHyphens w:val="0"/>
        <w:autoSpaceDE w:val="0"/>
        <w:adjustRightInd w:val="0"/>
        <w:spacing w:before="120" w:after="0" w:line="240" w:lineRule="auto"/>
        <w:jc w:val="both"/>
        <w:textAlignment w:val="auto"/>
        <w:rPr>
          <w:rFonts w:cs="TimesNewRomanPSMT"/>
        </w:rPr>
      </w:pPr>
      <w:r>
        <w:rPr>
          <w:rFonts w:cs="TimesNewRomanPSMT"/>
        </w:rPr>
        <w:t>V § 77 ods. 2 doplniť nové písmen o c) a doterajšie písmená c) až o) sa označujú ako d) až p). Nové písmeno c) znie: „c) odseku 1 písm. c) platia podmienky uvedené v § 7 ods. 2 písm. i) až l), v § 9 ods. 2 písm. i) až k) alebo § 10 ods. 2 písm. e) až g).“</w:t>
      </w:r>
    </w:p>
    <w:p w14:paraId="0D1C5676" w14:textId="77777777" w:rsidR="00AF7C70" w:rsidRPr="003D7E22" w:rsidRDefault="00AF7C70" w:rsidP="00AF7C70">
      <w:pPr>
        <w:suppressAutoHyphens w:val="0"/>
        <w:autoSpaceDE w:val="0"/>
        <w:adjustRightInd w:val="0"/>
        <w:spacing w:before="120" w:after="0" w:line="240" w:lineRule="auto"/>
        <w:ind w:left="708"/>
        <w:jc w:val="both"/>
        <w:textAlignment w:val="auto"/>
        <w:rPr>
          <w:rFonts w:cs="TimesNewRomanPSMT"/>
        </w:rPr>
      </w:pPr>
      <w:r>
        <w:rPr>
          <w:rFonts w:cs="TimesNewRomanPSMT"/>
        </w:rPr>
        <w:t>Odôvodnenie: Doplnenie podmienok k navrhovanému novému predchádzajúcemu súhlasu.</w:t>
      </w:r>
    </w:p>
    <w:p w14:paraId="132DB0C1" w14:textId="77777777" w:rsidR="00AF7C70" w:rsidRDefault="00AF7C70" w:rsidP="00AF7C70">
      <w:pPr>
        <w:pStyle w:val="Odsekzoznamu"/>
        <w:numPr>
          <w:ilvl w:val="0"/>
          <w:numId w:val="14"/>
        </w:numPr>
        <w:suppressAutoHyphens w:val="0"/>
        <w:autoSpaceDE w:val="0"/>
        <w:adjustRightInd w:val="0"/>
        <w:spacing w:before="120" w:after="0" w:line="240" w:lineRule="auto"/>
        <w:jc w:val="both"/>
        <w:textAlignment w:val="auto"/>
        <w:rPr>
          <w:rFonts w:cs="TimesNewRomanPSMT"/>
        </w:rPr>
      </w:pPr>
      <w:r>
        <w:rPr>
          <w:rFonts w:cs="TimesNewRomanPSMT"/>
        </w:rPr>
        <w:t>V § 77 zmeniť znenie odseku 3 na nasledovné znenie: „Na vydanie predchádzajúceho súhlasu podľa odseku 1 písm. b) až d) sa primerane vzťahuje § 156 alebo § 157.“</w:t>
      </w:r>
    </w:p>
    <w:p w14:paraId="5AE2A551" w14:textId="77777777" w:rsidR="00AF7C70" w:rsidRDefault="00AF7C70" w:rsidP="00AF7C70">
      <w:pPr>
        <w:pStyle w:val="Odsekzoznamu"/>
        <w:suppressAutoHyphens w:val="0"/>
        <w:autoSpaceDE w:val="0"/>
        <w:adjustRightInd w:val="0"/>
        <w:spacing w:before="120" w:after="0" w:line="240" w:lineRule="auto"/>
        <w:jc w:val="both"/>
        <w:textAlignment w:val="auto"/>
        <w:rPr>
          <w:rFonts w:cs="TimesNewRomanPSMT"/>
        </w:rPr>
      </w:pPr>
      <w:r>
        <w:rPr>
          <w:rFonts w:cs="TimesNewRomanPSMT"/>
        </w:rPr>
        <w:lastRenderedPageBreak/>
        <w:t>Odôvodnenie:</w:t>
      </w:r>
    </w:p>
    <w:p w14:paraId="43ED0006" w14:textId="77777777" w:rsidR="00AF7C70" w:rsidRDefault="00AF7C70" w:rsidP="00AF7C70">
      <w:pPr>
        <w:pStyle w:val="Odsekzoznamu"/>
        <w:suppressAutoHyphens w:val="0"/>
        <w:autoSpaceDE w:val="0"/>
        <w:adjustRightInd w:val="0"/>
        <w:spacing w:before="120" w:after="0" w:line="240" w:lineRule="auto"/>
        <w:jc w:val="both"/>
        <w:textAlignment w:val="auto"/>
        <w:rPr>
          <w:rFonts w:cs="TimesNewRomanPSMT"/>
        </w:rPr>
      </w:pPr>
      <w:r>
        <w:rPr>
          <w:rFonts w:cs="TimesNewRomanPSMT"/>
        </w:rPr>
        <w:t>V prípade predaja podniku alebo jeho časti, zlúčenia, splynutia alebo rozdelenia vždy dochádza k prevodu buď celého poistného kmeňa alebo jeho časti a preto je potrebné posúdiť aj informácie a doklady súvisiace s týmto prevodom. Ak by nedochádzalo k prevodu kmeňa predchádzajúci súhlas Národnej banky Slovenska by bol zbytočný.</w:t>
      </w:r>
    </w:p>
    <w:p w14:paraId="7626B9B9" w14:textId="77777777" w:rsidR="00AF7C70" w:rsidRDefault="00AF7C70" w:rsidP="00AF7C70">
      <w:pPr>
        <w:pStyle w:val="Odsekzoznamu"/>
        <w:numPr>
          <w:ilvl w:val="0"/>
          <w:numId w:val="14"/>
        </w:numPr>
        <w:suppressAutoHyphens w:val="0"/>
        <w:autoSpaceDE w:val="0"/>
        <w:adjustRightInd w:val="0"/>
        <w:spacing w:before="120" w:after="0" w:line="240" w:lineRule="auto"/>
        <w:jc w:val="both"/>
        <w:textAlignment w:val="auto"/>
        <w:rPr>
          <w:rFonts w:cs="TimesNewRomanPSMT"/>
        </w:rPr>
      </w:pPr>
      <w:r>
        <w:rPr>
          <w:rFonts w:cs="TimesNewRomanPSMT"/>
        </w:rPr>
        <w:t>V § 77 ods. 9 doplniť nové písmen o c) a doterajšie písmená c) a d) sa označujú ako d) a e). Nové písmeno c) znie: „c) odseku 1 písm. c) podáva odovzdávajúca poisťovňa alebo zaisťovňa, zahraničná poisťovňa alebo zahraničná zaisťovňa,“</w:t>
      </w:r>
    </w:p>
    <w:p w14:paraId="46AFDC5A" w14:textId="77777777" w:rsidR="00AF7C70" w:rsidRDefault="00AF7C70" w:rsidP="00AF7C70">
      <w:pPr>
        <w:pStyle w:val="Odsekzoznamu"/>
        <w:suppressAutoHyphens w:val="0"/>
        <w:autoSpaceDE w:val="0"/>
        <w:adjustRightInd w:val="0"/>
        <w:spacing w:before="120" w:after="0" w:line="240" w:lineRule="auto"/>
        <w:jc w:val="both"/>
        <w:textAlignment w:val="auto"/>
        <w:rPr>
          <w:rFonts w:cs="TimesNewRomanPSMT"/>
        </w:rPr>
      </w:pPr>
      <w:r>
        <w:rPr>
          <w:rFonts w:cs="TimesNewRomanPSMT"/>
        </w:rPr>
        <w:t>Odôvodnenie: Nové písmeno stanovuje osoba, ktorá má podať žiadosť na nový predchádzajúci súhlas, tak aby bola použitá rovnaká terminológia ako v § 156.</w:t>
      </w:r>
    </w:p>
    <w:p w14:paraId="74F75E1C" w14:textId="77777777" w:rsidR="00B758C2" w:rsidRPr="00B758C2" w:rsidRDefault="00B758C2" w:rsidP="00B758C2">
      <w:pPr>
        <w:pStyle w:val="Odsekzoznamu"/>
        <w:numPr>
          <w:ilvl w:val="0"/>
          <w:numId w:val="14"/>
        </w:numPr>
        <w:suppressAutoHyphens w:val="0"/>
        <w:autoSpaceDE w:val="0"/>
        <w:adjustRightInd w:val="0"/>
        <w:spacing w:before="120" w:after="0" w:line="240" w:lineRule="auto"/>
        <w:jc w:val="both"/>
        <w:textAlignment w:val="auto"/>
        <w:rPr>
          <w:rFonts w:cs="TimesNewRomanPSMT"/>
        </w:rPr>
      </w:pPr>
      <w:r w:rsidRPr="00B758C2">
        <w:rPr>
          <w:rFonts w:cs="TimesNewRomanPSMT"/>
        </w:rPr>
        <w:t xml:space="preserve">V § 77 ods. 15 doplniť nové písmeno d), ktoré znie:  „d) banka, poisťovňa, zaisťovňa, obchodník s cennými papiermi alebo správcovská spoločnosť, nad ktorou vykonáva kontrolu osoba podľa písmena a).“ Slovo „alebo“ na konci písmena b) sa nahrádza čiarkou a bodka na konci písmena c) sa nahrádza slovom „alebo“. </w:t>
      </w:r>
    </w:p>
    <w:p w14:paraId="63A54322" w14:textId="13D5CA1C" w:rsidR="00AF7C70" w:rsidRDefault="00B758C2" w:rsidP="00B758C2">
      <w:pPr>
        <w:pStyle w:val="Odsekzoznamu"/>
        <w:suppressAutoHyphens w:val="0"/>
        <w:autoSpaceDE w:val="0"/>
        <w:adjustRightInd w:val="0"/>
        <w:spacing w:before="120" w:after="0" w:line="240" w:lineRule="auto"/>
        <w:jc w:val="both"/>
        <w:textAlignment w:val="auto"/>
        <w:rPr>
          <w:rFonts w:cs="TimesNewRomanPSMT"/>
        </w:rPr>
      </w:pPr>
      <w:r w:rsidRPr="00B758C2">
        <w:rPr>
          <w:rFonts w:cs="TimesNewRomanPSMT"/>
          <w:b/>
        </w:rPr>
        <w:t>Odôvodnenie:</w:t>
      </w:r>
      <w:r w:rsidRPr="00B758C2">
        <w:rPr>
          <w:rFonts w:cs="TimesNewRomanPSMT"/>
        </w:rPr>
        <w:t xml:space="preserve"> Z aplikačnej praxe vyplýva potreba výmeny informácií s orgánmi dohľadu iných členských štátov aj v navrhovanom prípade.</w:t>
      </w:r>
    </w:p>
    <w:p w14:paraId="581F3E90" w14:textId="77777777" w:rsidR="007F2004" w:rsidRDefault="007F2004" w:rsidP="007F2004">
      <w:pPr>
        <w:pStyle w:val="Odsekzoznamu"/>
        <w:numPr>
          <w:ilvl w:val="0"/>
          <w:numId w:val="14"/>
        </w:numPr>
        <w:suppressAutoHyphens w:val="0"/>
        <w:autoSpaceDE w:val="0"/>
        <w:adjustRightInd w:val="0"/>
        <w:spacing w:before="120" w:after="0" w:line="240" w:lineRule="auto"/>
        <w:jc w:val="both"/>
        <w:textAlignment w:val="auto"/>
        <w:rPr>
          <w:rFonts w:cs="TimesNewRomanPSMT"/>
        </w:rPr>
      </w:pPr>
      <w:r>
        <w:rPr>
          <w:rFonts w:cs="TimesNewRomanPSMT"/>
        </w:rPr>
        <w:t>V § 78 nahradiť pobočku z iného členského štátu poisťovňou z iného členského štátu.</w:t>
      </w:r>
    </w:p>
    <w:p w14:paraId="41B011E6" w14:textId="77777777" w:rsidR="007F2004" w:rsidRDefault="007F2004" w:rsidP="007F2004">
      <w:pPr>
        <w:pStyle w:val="Odsekzoznamu"/>
        <w:suppressAutoHyphens w:val="0"/>
        <w:autoSpaceDE w:val="0"/>
        <w:adjustRightInd w:val="0"/>
        <w:spacing w:before="120" w:after="0" w:line="240" w:lineRule="auto"/>
        <w:jc w:val="both"/>
        <w:textAlignment w:val="auto"/>
        <w:rPr>
          <w:rFonts w:cs="TimesNewRomanPSMT"/>
        </w:rPr>
      </w:pPr>
      <w:r>
        <w:rPr>
          <w:rFonts w:cs="TimesNewRomanPSMT"/>
        </w:rPr>
        <w:t>Odôvodnenie: Ustanovenia § 78 sa týkajú len pobočky poisťovne z iného členského štátu. Obdobné práva a povinnosti by mali platiť aj v prípade vykonávania činnosti poisťovne z iného členského štátu bez zriadenia pobočky.</w:t>
      </w:r>
    </w:p>
    <w:p w14:paraId="1AAB7A80" w14:textId="31511B77" w:rsidR="001024FB" w:rsidRPr="00F80CCD" w:rsidRDefault="001024FB" w:rsidP="001024FB">
      <w:pPr>
        <w:pStyle w:val="Odsekzoznamu"/>
        <w:widowControl w:val="0"/>
        <w:numPr>
          <w:ilvl w:val="0"/>
          <w:numId w:val="14"/>
        </w:numPr>
        <w:suppressAutoHyphens w:val="0"/>
        <w:autoSpaceDE w:val="0"/>
        <w:adjustRightInd w:val="0"/>
        <w:spacing w:before="120" w:after="0" w:line="240" w:lineRule="auto"/>
        <w:jc w:val="both"/>
        <w:textAlignment w:val="auto"/>
        <w:rPr>
          <w:rFonts w:cs="TimesNewRomanPSMT"/>
          <w:highlight w:val="yellow"/>
        </w:rPr>
      </w:pPr>
      <w:r w:rsidRPr="00F80CCD">
        <w:rPr>
          <w:rFonts w:cs="TimesNewRomanPSMT"/>
          <w:highlight w:val="yellow"/>
        </w:rPr>
        <w:t xml:space="preserve">Doplniť do § 79 nový odsek </w:t>
      </w:r>
      <w:r w:rsidR="005C76F5" w:rsidRPr="00F80CCD">
        <w:rPr>
          <w:rFonts w:cs="TimesNewRomanPSMT"/>
          <w:highlight w:val="yellow"/>
        </w:rPr>
        <w:t>20</w:t>
      </w:r>
      <w:r w:rsidRPr="00F80CCD">
        <w:rPr>
          <w:rFonts w:cs="TimesNewRomanPSMT"/>
          <w:highlight w:val="yellow"/>
        </w:rPr>
        <w:t xml:space="preserve"> a doterajšie odseky </w:t>
      </w:r>
      <w:r w:rsidR="005C76F5" w:rsidRPr="00F80CCD">
        <w:rPr>
          <w:rFonts w:cs="TimesNewRomanPSMT"/>
          <w:highlight w:val="yellow"/>
        </w:rPr>
        <w:t>20</w:t>
      </w:r>
      <w:r w:rsidRPr="00F80CCD">
        <w:rPr>
          <w:rFonts w:cs="TimesNewRomanPSMT"/>
          <w:highlight w:val="yellow"/>
        </w:rPr>
        <w:t xml:space="preserve"> až 28 sa označujú ako </w:t>
      </w:r>
      <w:r w:rsidR="005C76F5" w:rsidRPr="00F80CCD">
        <w:rPr>
          <w:rFonts w:cs="TimesNewRomanPSMT"/>
          <w:highlight w:val="yellow"/>
        </w:rPr>
        <w:t>21</w:t>
      </w:r>
      <w:r w:rsidRPr="00F80CCD">
        <w:rPr>
          <w:rFonts w:cs="TimesNewRomanPSMT"/>
          <w:highlight w:val="yellow"/>
        </w:rPr>
        <w:t xml:space="preserve"> až 29. Nový odsek 8 znie: </w:t>
      </w:r>
    </w:p>
    <w:p w14:paraId="3F874117" w14:textId="68606AEC" w:rsidR="001024FB" w:rsidRPr="00F80CCD" w:rsidRDefault="006B17A2" w:rsidP="001024FB">
      <w:pPr>
        <w:pStyle w:val="Odsekzoznamu"/>
        <w:widowControl w:val="0"/>
        <w:suppressAutoHyphens w:val="0"/>
        <w:autoSpaceDE w:val="0"/>
        <w:adjustRightInd w:val="0"/>
        <w:spacing w:before="120" w:after="0" w:line="240" w:lineRule="auto"/>
        <w:jc w:val="both"/>
        <w:textAlignment w:val="auto"/>
        <w:rPr>
          <w:rFonts w:cs="TimesNewRomanPSMT"/>
          <w:highlight w:val="yellow"/>
        </w:rPr>
      </w:pPr>
      <w:r w:rsidRPr="00F80CCD">
        <w:rPr>
          <w:rFonts w:cs="TimesNewRomanPSMT"/>
          <w:highlight w:val="yellow"/>
        </w:rPr>
        <w:t>„</w:t>
      </w:r>
      <w:r w:rsidR="001024FB" w:rsidRPr="00F80CCD">
        <w:rPr>
          <w:rFonts w:cs="TimesNewRomanPSMT"/>
          <w:highlight w:val="yellow"/>
        </w:rPr>
        <w:t>(</w:t>
      </w:r>
      <w:r w:rsidR="005C76F5" w:rsidRPr="00F80CCD">
        <w:rPr>
          <w:rFonts w:cs="TimesNewRomanPSMT"/>
          <w:highlight w:val="yellow"/>
        </w:rPr>
        <w:t>20</w:t>
      </w:r>
      <w:r w:rsidR="001024FB" w:rsidRPr="00F80CCD">
        <w:rPr>
          <w:rFonts w:cs="TimesNewRomanPSMT"/>
          <w:highlight w:val="yellow"/>
        </w:rPr>
        <w:t xml:space="preserve">) </w:t>
      </w:r>
      <w:r w:rsidR="005C76F5" w:rsidRPr="00F80CCD">
        <w:rPr>
          <w:rFonts w:cs="TimesNewRomanPSMT"/>
          <w:highlight w:val="yellow"/>
        </w:rPr>
        <w:t>P</w:t>
      </w:r>
      <w:r w:rsidR="001024FB" w:rsidRPr="00F80CCD">
        <w:rPr>
          <w:rFonts w:cs="TimesNewRomanPSMT"/>
          <w:highlight w:val="yellow"/>
        </w:rPr>
        <w:t>oisťov</w:t>
      </w:r>
      <w:r w:rsidR="005C76F5" w:rsidRPr="00F80CCD">
        <w:rPr>
          <w:rFonts w:cs="TimesNewRomanPSMT"/>
          <w:highlight w:val="yellow"/>
        </w:rPr>
        <w:t>ňa</w:t>
      </w:r>
      <w:r w:rsidR="001024FB" w:rsidRPr="00F80CCD">
        <w:rPr>
          <w:rFonts w:cs="TimesNewRomanPSMT"/>
          <w:highlight w:val="yellow"/>
        </w:rPr>
        <w:t>, zaisťov</w:t>
      </w:r>
      <w:r w:rsidR="005C76F5" w:rsidRPr="00F80CCD">
        <w:rPr>
          <w:rFonts w:cs="TimesNewRomanPSMT"/>
          <w:highlight w:val="yellow"/>
        </w:rPr>
        <w:t>ňa</w:t>
      </w:r>
      <w:r w:rsidR="001024FB" w:rsidRPr="00F80CCD">
        <w:rPr>
          <w:rFonts w:cs="TimesNewRomanPSMT"/>
          <w:highlight w:val="yellow"/>
        </w:rPr>
        <w:t>, pobočk</w:t>
      </w:r>
      <w:r w:rsidR="005C76F5" w:rsidRPr="00F80CCD">
        <w:rPr>
          <w:rFonts w:cs="TimesNewRomanPSMT"/>
          <w:highlight w:val="yellow"/>
        </w:rPr>
        <w:t>a</w:t>
      </w:r>
      <w:r w:rsidR="001024FB" w:rsidRPr="00F80CCD">
        <w:rPr>
          <w:rFonts w:cs="TimesNewRomanPSMT"/>
          <w:highlight w:val="yellow"/>
        </w:rPr>
        <w:t xml:space="preserve"> zahraničnej poisťovne alebo pobočk</w:t>
      </w:r>
      <w:r w:rsidR="005C76F5" w:rsidRPr="00F80CCD">
        <w:rPr>
          <w:rFonts w:cs="TimesNewRomanPSMT"/>
          <w:highlight w:val="yellow"/>
        </w:rPr>
        <w:t>a</w:t>
      </w:r>
      <w:r w:rsidR="001024FB" w:rsidRPr="00F80CCD">
        <w:rPr>
          <w:rFonts w:cs="TimesNewRomanPSMT"/>
          <w:highlight w:val="yellow"/>
        </w:rPr>
        <w:t xml:space="preserve"> zahraničnej zaisťovne </w:t>
      </w:r>
      <w:r w:rsidR="005C76F5" w:rsidRPr="00F80CCD">
        <w:rPr>
          <w:rFonts w:cs="TimesNewRomanPSMT"/>
          <w:highlight w:val="yellow"/>
        </w:rPr>
        <w:t xml:space="preserve">je povinná </w:t>
      </w:r>
      <w:r w:rsidR="001024FB" w:rsidRPr="00F80CCD">
        <w:rPr>
          <w:rFonts w:cs="TimesNewRomanPSMT"/>
          <w:highlight w:val="yellow"/>
        </w:rPr>
        <w:t xml:space="preserve">vykonať nezávislé overenie </w:t>
      </w:r>
      <w:r w:rsidRPr="00F80CCD">
        <w:rPr>
          <w:rFonts w:cs="TimesNewRomanPSMT"/>
          <w:highlight w:val="yellow"/>
        </w:rPr>
        <w:t xml:space="preserve">určenia </w:t>
      </w:r>
      <w:r w:rsidR="001024FB" w:rsidRPr="00F80CCD">
        <w:rPr>
          <w:rFonts w:cs="TimesNewRomanPSMT"/>
          <w:highlight w:val="yellow"/>
        </w:rPr>
        <w:t>hodnoty aktív a</w:t>
      </w:r>
      <w:r w:rsidR="005C76F5" w:rsidRPr="00F80CCD">
        <w:rPr>
          <w:rFonts w:cs="TimesNewRomanPSMT"/>
          <w:highlight w:val="yellow"/>
        </w:rPr>
        <w:t> </w:t>
      </w:r>
      <w:r w:rsidR="001024FB" w:rsidRPr="00F80CCD">
        <w:rPr>
          <w:rFonts w:cs="TimesNewRomanPSMT"/>
          <w:highlight w:val="yellow"/>
        </w:rPr>
        <w:t>záväzkov</w:t>
      </w:r>
      <w:r w:rsidR="005C76F5" w:rsidRPr="00F80CCD">
        <w:rPr>
          <w:rFonts w:cs="TimesNewRomanPSMT"/>
          <w:highlight w:val="yellow"/>
        </w:rPr>
        <w:t>,</w:t>
      </w:r>
      <w:r w:rsidR="00AF7C70" w:rsidRPr="00F80CCD">
        <w:rPr>
          <w:highlight w:val="yellow"/>
        </w:rPr>
        <w:t xml:space="preserve"> vlastn</w:t>
      </w:r>
      <w:r w:rsidR="005C76F5" w:rsidRPr="00F80CCD">
        <w:rPr>
          <w:highlight w:val="yellow"/>
        </w:rPr>
        <w:t>ých</w:t>
      </w:r>
      <w:r w:rsidR="00AF7C70" w:rsidRPr="00F80CCD">
        <w:rPr>
          <w:highlight w:val="yellow"/>
        </w:rPr>
        <w:t xml:space="preserve"> zdroj</w:t>
      </w:r>
      <w:r w:rsidR="005C76F5" w:rsidRPr="00F80CCD">
        <w:rPr>
          <w:highlight w:val="yellow"/>
        </w:rPr>
        <w:t>ov</w:t>
      </w:r>
      <w:r w:rsidR="00AF7C70" w:rsidRPr="00F80CCD">
        <w:rPr>
          <w:highlight w:val="yellow"/>
        </w:rPr>
        <w:t>,  kapitálov</w:t>
      </w:r>
      <w:r w:rsidR="005C76F5" w:rsidRPr="00F80CCD">
        <w:rPr>
          <w:highlight w:val="yellow"/>
        </w:rPr>
        <w:t>ej</w:t>
      </w:r>
      <w:r w:rsidR="00AF7C70" w:rsidRPr="00F80CCD">
        <w:rPr>
          <w:highlight w:val="yellow"/>
        </w:rPr>
        <w:t xml:space="preserve"> požiadavk</w:t>
      </w:r>
      <w:r w:rsidR="005C76F5" w:rsidRPr="00F80CCD">
        <w:rPr>
          <w:highlight w:val="yellow"/>
        </w:rPr>
        <w:t>y</w:t>
      </w:r>
      <w:r w:rsidR="00AF7C70" w:rsidRPr="00F80CCD">
        <w:rPr>
          <w:highlight w:val="yellow"/>
        </w:rPr>
        <w:t xml:space="preserve"> na solventnosť a minimáln</w:t>
      </w:r>
      <w:r w:rsidR="005C76F5" w:rsidRPr="00F80CCD">
        <w:rPr>
          <w:highlight w:val="yellow"/>
        </w:rPr>
        <w:t>ej</w:t>
      </w:r>
      <w:r w:rsidR="00AF7C70" w:rsidRPr="00F80CCD">
        <w:rPr>
          <w:highlight w:val="yellow"/>
        </w:rPr>
        <w:t xml:space="preserve"> kapitálov</w:t>
      </w:r>
      <w:r w:rsidR="005C76F5" w:rsidRPr="00F80CCD">
        <w:rPr>
          <w:highlight w:val="yellow"/>
        </w:rPr>
        <w:t>ej</w:t>
      </w:r>
      <w:r w:rsidR="00AF7C70" w:rsidRPr="00F80CCD">
        <w:rPr>
          <w:highlight w:val="yellow"/>
        </w:rPr>
        <w:t xml:space="preserve"> požiadavk</w:t>
      </w:r>
      <w:r w:rsidR="005C76F5" w:rsidRPr="00F80CCD">
        <w:rPr>
          <w:highlight w:val="yellow"/>
        </w:rPr>
        <w:t>y, a to</w:t>
      </w:r>
      <w:r w:rsidR="001024FB" w:rsidRPr="00F80CCD">
        <w:rPr>
          <w:rFonts w:cs="TimesNewRomanPSMT"/>
          <w:highlight w:val="yellow"/>
        </w:rPr>
        <w:t xml:space="preserve"> </w:t>
      </w:r>
      <w:r w:rsidRPr="00F80CCD">
        <w:rPr>
          <w:rFonts w:cs="TimesNewRomanPSMT"/>
          <w:highlight w:val="yellow"/>
        </w:rPr>
        <w:t xml:space="preserve">audítorom alebo audítorskou spoločnosťou </w:t>
      </w:r>
      <w:r w:rsidR="005C76F5" w:rsidRPr="00F80CCD">
        <w:rPr>
          <w:rFonts w:cs="TimesNewRomanPSMT"/>
          <w:highlight w:val="yellow"/>
        </w:rPr>
        <w:t>na žiadosť Národnej banky Slovenska</w:t>
      </w:r>
      <w:r w:rsidR="001024FB" w:rsidRPr="00F80CCD">
        <w:rPr>
          <w:rFonts w:cs="TimesNewRomanPSMT"/>
          <w:highlight w:val="yellow"/>
        </w:rPr>
        <w:t>.</w:t>
      </w:r>
      <w:r w:rsidRPr="00F80CCD">
        <w:rPr>
          <w:rFonts w:cs="TimesNewRomanPSMT"/>
          <w:highlight w:val="yellow"/>
        </w:rPr>
        <w:t>“</w:t>
      </w:r>
    </w:p>
    <w:p w14:paraId="42D8D8DC" w14:textId="69B1414B" w:rsidR="007F2004" w:rsidRPr="007F2004" w:rsidRDefault="001024FB" w:rsidP="00AF7C70">
      <w:pPr>
        <w:pStyle w:val="Odsekzoznamu"/>
        <w:suppressAutoHyphens w:val="0"/>
        <w:autoSpaceDE w:val="0"/>
        <w:adjustRightInd w:val="0"/>
        <w:spacing w:before="120" w:after="0" w:line="240" w:lineRule="auto"/>
        <w:jc w:val="both"/>
        <w:rPr>
          <w:rFonts w:cs="TimesNewRomanPSMT"/>
        </w:rPr>
      </w:pPr>
      <w:r w:rsidRPr="00F80CCD">
        <w:rPr>
          <w:rFonts w:cs="TimesNewRomanPSMT"/>
          <w:b/>
          <w:highlight w:val="yellow"/>
        </w:rPr>
        <w:t xml:space="preserve">Odôvodnenie: </w:t>
      </w:r>
      <w:r w:rsidR="006B17A2" w:rsidRPr="00F80CCD">
        <w:rPr>
          <w:rFonts w:cs="TimesNewRomanPSMT"/>
          <w:highlight w:val="yellow"/>
        </w:rPr>
        <w:t>Dopĺňa sa nové oprávnenie Národnej banky Slovenska vychádzajúce z odseku 3 článku 267 delegovaného nariadenia Komisie (EÚ) 2015/35, ktorým sa dopĺňa smernica Európskeho parlamentu a Rady 2009/138/ES o začatí a vykonávaní poistenia a zaistenia (Solventnosť II)</w:t>
      </w:r>
      <w:r w:rsidR="00D01C83" w:rsidRPr="00F80CCD">
        <w:rPr>
          <w:rFonts w:cs="TimesNewRomanPSMT"/>
          <w:highlight w:val="yellow"/>
        </w:rPr>
        <w:t xml:space="preserve">. </w:t>
      </w:r>
      <w:r w:rsidR="00AF7C70" w:rsidRPr="00F80CCD">
        <w:rPr>
          <w:rFonts w:cs="TimesNewRomanPSMT"/>
          <w:highlight w:val="yellow"/>
        </w:rPr>
        <w:t xml:space="preserve">Pre zvýšenie dôveryhodnosti zverejnených údajov v Správe o solventnosti a finančnom stave však je potrebné aj overenie ich hodnoty, preto aj v súlade s odporúčaním EIOPA (dokument: </w:t>
      </w:r>
      <w:proofErr w:type="spellStart"/>
      <w:r w:rsidR="00AF7C70" w:rsidRPr="00F80CCD">
        <w:rPr>
          <w:highlight w:val="yellow"/>
        </w:rPr>
        <w:t>Need</w:t>
      </w:r>
      <w:proofErr w:type="spellEnd"/>
      <w:r w:rsidR="00AF7C70" w:rsidRPr="00F80CCD">
        <w:rPr>
          <w:highlight w:val="yellow"/>
        </w:rPr>
        <w:t xml:space="preserve"> </w:t>
      </w:r>
      <w:proofErr w:type="spellStart"/>
      <w:r w:rsidR="00AF7C70" w:rsidRPr="00F80CCD">
        <w:rPr>
          <w:highlight w:val="yellow"/>
        </w:rPr>
        <w:t>for</w:t>
      </w:r>
      <w:proofErr w:type="spellEnd"/>
      <w:r w:rsidR="00AF7C70" w:rsidRPr="00F80CCD">
        <w:rPr>
          <w:highlight w:val="yellow"/>
        </w:rPr>
        <w:t xml:space="preserve"> </w:t>
      </w:r>
      <w:proofErr w:type="spellStart"/>
      <w:r w:rsidR="00AF7C70" w:rsidRPr="00F80CCD">
        <w:rPr>
          <w:highlight w:val="yellow"/>
        </w:rPr>
        <w:t>high</w:t>
      </w:r>
      <w:proofErr w:type="spellEnd"/>
      <w:r w:rsidR="00AF7C70" w:rsidRPr="00F80CCD">
        <w:rPr>
          <w:highlight w:val="yellow"/>
        </w:rPr>
        <w:t xml:space="preserve"> </w:t>
      </w:r>
      <w:proofErr w:type="spellStart"/>
      <w:r w:rsidR="00AF7C70" w:rsidRPr="00F80CCD">
        <w:rPr>
          <w:highlight w:val="yellow"/>
        </w:rPr>
        <w:t>quality</w:t>
      </w:r>
      <w:proofErr w:type="spellEnd"/>
      <w:r w:rsidR="00AF7C70" w:rsidRPr="00F80CCD">
        <w:rPr>
          <w:highlight w:val="yellow"/>
        </w:rPr>
        <w:t xml:space="preserve"> </w:t>
      </w:r>
      <w:proofErr w:type="spellStart"/>
      <w:r w:rsidR="00AF7C70" w:rsidRPr="00F80CCD">
        <w:rPr>
          <w:highlight w:val="yellow"/>
        </w:rPr>
        <w:t>public</w:t>
      </w:r>
      <w:proofErr w:type="spellEnd"/>
      <w:r w:rsidR="00AF7C70" w:rsidRPr="00F80CCD">
        <w:rPr>
          <w:highlight w:val="yellow"/>
        </w:rPr>
        <w:t xml:space="preserve"> </w:t>
      </w:r>
      <w:proofErr w:type="spellStart"/>
      <w:r w:rsidR="00AF7C70" w:rsidRPr="00F80CCD">
        <w:rPr>
          <w:highlight w:val="yellow"/>
        </w:rPr>
        <w:t>disclosure</w:t>
      </w:r>
      <w:proofErr w:type="spellEnd"/>
      <w:r w:rsidR="00AF7C70" w:rsidRPr="00F80CCD">
        <w:rPr>
          <w:highlight w:val="yellow"/>
        </w:rPr>
        <w:t xml:space="preserve">: </w:t>
      </w:r>
      <w:proofErr w:type="spellStart"/>
      <w:r w:rsidR="00AF7C70" w:rsidRPr="00F80CCD">
        <w:rPr>
          <w:highlight w:val="yellow"/>
        </w:rPr>
        <w:t>Solvency</w:t>
      </w:r>
      <w:proofErr w:type="spellEnd"/>
      <w:r w:rsidR="00AF7C70" w:rsidRPr="00F80CCD">
        <w:rPr>
          <w:highlight w:val="yellow"/>
        </w:rPr>
        <w:t xml:space="preserve"> </w:t>
      </w:r>
      <w:proofErr w:type="spellStart"/>
      <w:r w:rsidR="00AF7C70" w:rsidRPr="00F80CCD">
        <w:rPr>
          <w:highlight w:val="yellow"/>
        </w:rPr>
        <w:t>II's</w:t>
      </w:r>
      <w:proofErr w:type="spellEnd"/>
      <w:r w:rsidR="00AF7C70" w:rsidRPr="00F80CCD">
        <w:rPr>
          <w:highlight w:val="yellow"/>
        </w:rPr>
        <w:t xml:space="preserve"> report on </w:t>
      </w:r>
      <w:proofErr w:type="spellStart"/>
      <w:r w:rsidR="00AF7C70" w:rsidRPr="00F80CCD">
        <w:rPr>
          <w:highlight w:val="yellow"/>
        </w:rPr>
        <w:t>solvency</w:t>
      </w:r>
      <w:proofErr w:type="spellEnd"/>
      <w:r w:rsidR="00AF7C70" w:rsidRPr="00F80CCD">
        <w:rPr>
          <w:highlight w:val="yellow"/>
        </w:rPr>
        <w:t xml:space="preserve"> and </w:t>
      </w:r>
      <w:proofErr w:type="spellStart"/>
      <w:r w:rsidR="00AF7C70" w:rsidRPr="00F80CCD">
        <w:rPr>
          <w:highlight w:val="yellow"/>
        </w:rPr>
        <w:t>financial</w:t>
      </w:r>
      <w:proofErr w:type="spellEnd"/>
      <w:r w:rsidR="00AF7C70" w:rsidRPr="00F80CCD">
        <w:rPr>
          <w:highlight w:val="yellow"/>
        </w:rPr>
        <w:t xml:space="preserve"> </w:t>
      </w:r>
      <w:proofErr w:type="spellStart"/>
      <w:r w:rsidR="00AF7C70" w:rsidRPr="00F80CCD">
        <w:rPr>
          <w:highlight w:val="yellow"/>
        </w:rPr>
        <w:t>condition</w:t>
      </w:r>
      <w:proofErr w:type="spellEnd"/>
      <w:r w:rsidR="00AF7C70" w:rsidRPr="00F80CCD">
        <w:rPr>
          <w:highlight w:val="yellow"/>
        </w:rPr>
        <w:t xml:space="preserve"> and </w:t>
      </w:r>
      <w:proofErr w:type="spellStart"/>
      <w:r w:rsidR="00AF7C70" w:rsidRPr="00F80CCD">
        <w:rPr>
          <w:highlight w:val="yellow"/>
        </w:rPr>
        <w:t>the</w:t>
      </w:r>
      <w:proofErr w:type="spellEnd"/>
      <w:r w:rsidR="00AF7C70" w:rsidRPr="00F80CCD">
        <w:rPr>
          <w:highlight w:val="yellow"/>
        </w:rPr>
        <w:t xml:space="preserve"> </w:t>
      </w:r>
      <w:proofErr w:type="spellStart"/>
      <w:r w:rsidR="00AF7C70" w:rsidRPr="00F80CCD">
        <w:rPr>
          <w:highlight w:val="yellow"/>
        </w:rPr>
        <w:t>potential</w:t>
      </w:r>
      <w:proofErr w:type="spellEnd"/>
      <w:r w:rsidR="00AF7C70" w:rsidRPr="00F80CCD">
        <w:rPr>
          <w:highlight w:val="yellow"/>
        </w:rPr>
        <w:t xml:space="preserve"> role of </w:t>
      </w:r>
      <w:proofErr w:type="spellStart"/>
      <w:r w:rsidR="00AF7C70" w:rsidRPr="00F80CCD">
        <w:rPr>
          <w:highlight w:val="yellow"/>
        </w:rPr>
        <w:t>external</w:t>
      </w:r>
      <w:proofErr w:type="spellEnd"/>
      <w:r w:rsidR="00AF7C70" w:rsidRPr="00F80CCD">
        <w:rPr>
          <w:highlight w:val="yellow"/>
        </w:rPr>
        <w:t xml:space="preserve"> audit ) je potrebné aby bol vyžadovaný externý audit minimálne v rozsahu týchto údajov: aktíva a záväzky, vlastné zdroje,  kapitálová požiadavka na </w:t>
      </w:r>
      <w:proofErr w:type="spellStart"/>
      <w:r w:rsidR="00AF7C70" w:rsidRPr="00F80CCD">
        <w:rPr>
          <w:highlight w:val="yellow"/>
        </w:rPr>
        <w:t>solvenstnosť</w:t>
      </w:r>
      <w:proofErr w:type="spellEnd"/>
      <w:r w:rsidR="00AF7C70" w:rsidRPr="00F80CCD">
        <w:rPr>
          <w:highlight w:val="yellow"/>
        </w:rPr>
        <w:t xml:space="preserve"> a minimálna kapitálová požiadavka.</w:t>
      </w:r>
    </w:p>
    <w:p w14:paraId="14045108" w14:textId="77777777" w:rsidR="00AF7C70" w:rsidRDefault="00AF7C70" w:rsidP="00AF7C70">
      <w:pPr>
        <w:pStyle w:val="Odsekzoznamu"/>
        <w:numPr>
          <w:ilvl w:val="0"/>
          <w:numId w:val="14"/>
        </w:numPr>
        <w:suppressAutoHyphens w:val="0"/>
        <w:autoSpaceDE w:val="0"/>
        <w:adjustRightInd w:val="0"/>
        <w:spacing w:before="120" w:after="0" w:line="240" w:lineRule="auto"/>
        <w:jc w:val="both"/>
        <w:textAlignment w:val="auto"/>
        <w:rPr>
          <w:rFonts w:cs="TimesNewRomanPSMT"/>
        </w:rPr>
      </w:pPr>
      <w:r>
        <w:rPr>
          <w:rFonts w:cs="TimesNewRomanPSMT"/>
        </w:rPr>
        <w:t>V § 156 ods. 1 nahradiť slová „písm. c) predávajúcej poisťovne alebo predávajúcej pobočky zahraničnej poisťovne“ slovami „písm. c) alebo písm. d)“.</w:t>
      </w:r>
    </w:p>
    <w:p w14:paraId="04A562F9" w14:textId="77777777" w:rsidR="00AF7C70" w:rsidRDefault="00AF7C70" w:rsidP="00AF7C70">
      <w:pPr>
        <w:pStyle w:val="Odsekzoznamu"/>
        <w:suppressAutoHyphens w:val="0"/>
        <w:autoSpaceDE w:val="0"/>
        <w:adjustRightInd w:val="0"/>
        <w:spacing w:before="120" w:after="0" w:line="240" w:lineRule="auto"/>
        <w:jc w:val="both"/>
        <w:textAlignment w:val="auto"/>
        <w:rPr>
          <w:rFonts w:cs="TimesNewRomanPSMT"/>
        </w:rPr>
      </w:pPr>
      <w:r>
        <w:rPr>
          <w:rFonts w:cs="TimesNewRomanPSMT"/>
        </w:rPr>
        <w:t>Odôvodnenie: Prepojenie ustanovení o prevode poistného a zaistného kmeňa na nový predchádzajúci súhlas.</w:t>
      </w:r>
    </w:p>
    <w:p w14:paraId="57D28D5F" w14:textId="77777777" w:rsidR="00AF7C70" w:rsidRDefault="00AF7C70" w:rsidP="00AF7C70">
      <w:pPr>
        <w:pStyle w:val="Odsekzoznamu"/>
        <w:numPr>
          <w:ilvl w:val="0"/>
          <w:numId w:val="14"/>
        </w:numPr>
        <w:suppressAutoHyphens w:val="0"/>
        <w:autoSpaceDE w:val="0"/>
        <w:adjustRightInd w:val="0"/>
        <w:spacing w:before="120" w:after="0" w:line="240" w:lineRule="auto"/>
        <w:jc w:val="both"/>
        <w:textAlignment w:val="auto"/>
        <w:rPr>
          <w:rFonts w:cs="TimesNewRomanPSMT"/>
        </w:rPr>
      </w:pPr>
      <w:r>
        <w:rPr>
          <w:rFonts w:cs="TimesNewRomanPSMT"/>
        </w:rPr>
        <w:t>V § 157 ods. 1 nahradiť slová „písm. c)“ slovami „písm. c) alebo písm. d)“.</w:t>
      </w:r>
    </w:p>
    <w:p w14:paraId="43866814" w14:textId="77777777" w:rsidR="00AF7C70" w:rsidRDefault="00AF7C70" w:rsidP="00AF7C70">
      <w:pPr>
        <w:pStyle w:val="Odsekzoznamu"/>
        <w:suppressAutoHyphens w:val="0"/>
        <w:autoSpaceDE w:val="0"/>
        <w:adjustRightInd w:val="0"/>
        <w:spacing w:before="120" w:after="0" w:line="240" w:lineRule="auto"/>
        <w:jc w:val="both"/>
        <w:textAlignment w:val="auto"/>
        <w:rPr>
          <w:rFonts w:cs="TimesNewRomanPSMT"/>
        </w:rPr>
      </w:pPr>
      <w:r>
        <w:rPr>
          <w:rFonts w:cs="TimesNewRomanPSMT"/>
        </w:rPr>
        <w:t>Odôvodnenie: Prepojenie ustanovení o prevode poistného a zaistného kmeňa v rámci členských štátov na nový predchádzajúci súhlas.</w:t>
      </w:r>
    </w:p>
    <w:p w14:paraId="165396B1" w14:textId="77777777" w:rsidR="001024FB" w:rsidRPr="006B17A2" w:rsidRDefault="001024FB" w:rsidP="00D01C83">
      <w:pPr>
        <w:pStyle w:val="Odsekzoznamu"/>
        <w:widowControl w:val="0"/>
        <w:suppressAutoHyphens w:val="0"/>
        <w:autoSpaceDE w:val="0"/>
        <w:adjustRightInd w:val="0"/>
        <w:spacing w:before="120" w:after="0" w:line="240" w:lineRule="auto"/>
        <w:jc w:val="both"/>
      </w:pPr>
    </w:p>
    <w:p w14:paraId="1FC8CC76" w14:textId="77777777" w:rsidR="00616575" w:rsidRDefault="00616575" w:rsidP="00616575">
      <w:pPr>
        <w:pStyle w:val="Odsekzoznamu"/>
        <w:widowControl w:val="0"/>
        <w:suppressAutoHyphens w:val="0"/>
        <w:autoSpaceDE w:val="0"/>
        <w:adjustRightInd w:val="0"/>
        <w:spacing w:before="120" w:after="0" w:line="240" w:lineRule="auto"/>
        <w:jc w:val="both"/>
        <w:rPr>
          <w:i/>
        </w:rPr>
      </w:pPr>
    </w:p>
    <w:p w14:paraId="75587B45" w14:textId="77777777" w:rsidR="000211A5" w:rsidRDefault="000211A5" w:rsidP="000211A5">
      <w:pPr>
        <w:pStyle w:val="Odsekzoznamu"/>
        <w:widowControl w:val="0"/>
        <w:suppressAutoHyphens w:val="0"/>
        <w:autoSpaceDE w:val="0"/>
        <w:adjustRightInd w:val="0"/>
        <w:spacing w:before="120" w:after="0" w:line="240" w:lineRule="auto"/>
        <w:jc w:val="both"/>
        <w:rPr>
          <w:i/>
        </w:rPr>
      </w:pPr>
    </w:p>
    <w:p w14:paraId="5E7DECF1" w14:textId="77777777" w:rsidR="000211A5" w:rsidRDefault="000211A5" w:rsidP="000211A5">
      <w:pPr>
        <w:suppressAutoHyphens w:val="0"/>
        <w:autoSpaceDE w:val="0"/>
        <w:adjustRightInd w:val="0"/>
        <w:spacing w:before="120" w:after="0" w:line="240" w:lineRule="auto"/>
        <w:jc w:val="both"/>
        <w:rPr>
          <w:i/>
        </w:rPr>
      </w:pPr>
    </w:p>
    <w:p w14:paraId="1FF7C287" w14:textId="77777777" w:rsidR="000211A5" w:rsidRPr="004341E4" w:rsidRDefault="000211A5" w:rsidP="000211A5">
      <w:pPr>
        <w:suppressAutoHyphens w:val="0"/>
        <w:spacing w:before="120" w:after="0" w:line="240" w:lineRule="auto"/>
        <w:jc w:val="both"/>
        <w:rPr>
          <w:rFonts w:ascii="Times New Roman" w:hAnsi="Times New Roman" w:cs="Times New Roman"/>
          <w:b/>
          <w:i/>
          <w:sz w:val="24"/>
          <w:szCs w:val="24"/>
        </w:rPr>
      </w:pPr>
    </w:p>
    <w:p w14:paraId="7EEE7ADF" w14:textId="77777777" w:rsidR="000211A5" w:rsidRDefault="000211A5" w:rsidP="003F41DA">
      <w:pPr>
        <w:jc w:val="both"/>
        <w:rPr>
          <w:rFonts w:ascii="Times New Roman" w:hAnsi="Times New Roman" w:cs="Times New Roman"/>
          <w:sz w:val="24"/>
          <w:szCs w:val="24"/>
        </w:rPr>
      </w:pPr>
    </w:p>
    <w:sectPr w:rsidR="000211A5">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2981D" w14:textId="77777777" w:rsidR="00132F25" w:rsidRDefault="00132F25">
      <w:pPr>
        <w:spacing w:after="0" w:line="240" w:lineRule="auto"/>
      </w:pPr>
      <w:r>
        <w:separator/>
      </w:r>
    </w:p>
  </w:endnote>
  <w:endnote w:type="continuationSeparator" w:id="0">
    <w:p w14:paraId="77E92BAE" w14:textId="77777777" w:rsidR="00132F25" w:rsidRDefault="00132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
    <w:altName w:val="Times New Roman"/>
    <w:charset w:val="00"/>
    <w:family w:val="auto"/>
    <w:pitch w:val="variable"/>
  </w:font>
  <w:font w:name="StarSymbol">
    <w:charset w:val="02"/>
    <w:family w:val="auto"/>
    <w:pitch w:val="default"/>
  </w:font>
  <w:font w:name="OpenSymbol">
    <w:charset w:val="00"/>
    <w:family w:val="auto"/>
    <w:pitch w:val="default"/>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CD571" w14:textId="77777777" w:rsidR="00132F25" w:rsidRDefault="00132F25">
      <w:pPr>
        <w:spacing w:after="0" w:line="240" w:lineRule="auto"/>
      </w:pPr>
      <w:r>
        <w:rPr>
          <w:color w:val="000000"/>
        </w:rPr>
        <w:separator/>
      </w:r>
    </w:p>
  </w:footnote>
  <w:footnote w:type="continuationSeparator" w:id="0">
    <w:p w14:paraId="38329D37" w14:textId="77777777" w:rsidR="00132F25" w:rsidRDefault="00132F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2536F"/>
    <w:multiLevelType w:val="hybridMultilevel"/>
    <w:tmpl w:val="12E421BA"/>
    <w:lvl w:ilvl="0" w:tplc="041B0001">
      <w:start w:val="1"/>
      <w:numFmt w:val="bullet"/>
      <w:lvlText w:val=""/>
      <w:lvlJc w:val="left"/>
      <w:pPr>
        <w:ind w:left="2520" w:hanging="360"/>
      </w:pPr>
      <w:rPr>
        <w:rFonts w:ascii="Symbol" w:hAnsi="Symbol" w:hint="default"/>
      </w:rPr>
    </w:lvl>
    <w:lvl w:ilvl="1" w:tplc="041B0003" w:tentative="1">
      <w:start w:val="1"/>
      <w:numFmt w:val="bullet"/>
      <w:lvlText w:val="o"/>
      <w:lvlJc w:val="left"/>
      <w:pPr>
        <w:ind w:left="3240" w:hanging="360"/>
      </w:pPr>
      <w:rPr>
        <w:rFonts w:ascii="Courier New" w:hAnsi="Courier New" w:cs="Courier New" w:hint="default"/>
      </w:rPr>
    </w:lvl>
    <w:lvl w:ilvl="2" w:tplc="041B0005" w:tentative="1">
      <w:start w:val="1"/>
      <w:numFmt w:val="bullet"/>
      <w:lvlText w:val=""/>
      <w:lvlJc w:val="left"/>
      <w:pPr>
        <w:ind w:left="3960" w:hanging="360"/>
      </w:pPr>
      <w:rPr>
        <w:rFonts w:ascii="Wingdings" w:hAnsi="Wingdings" w:hint="default"/>
      </w:rPr>
    </w:lvl>
    <w:lvl w:ilvl="3" w:tplc="041B0001" w:tentative="1">
      <w:start w:val="1"/>
      <w:numFmt w:val="bullet"/>
      <w:lvlText w:val=""/>
      <w:lvlJc w:val="left"/>
      <w:pPr>
        <w:ind w:left="4680" w:hanging="360"/>
      </w:pPr>
      <w:rPr>
        <w:rFonts w:ascii="Symbol" w:hAnsi="Symbol" w:hint="default"/>
      </w:rPr>
    </w:lvl>
    <w:lvl w:ilvl="4" w:tplc="041B0003" w:tentative="1">
      <w:start w:val="1"/>
      <w:numFmt w:val="bullet"/>
      <w:lvlText w:val="o"/>
      <w:lvlJc w:val="left"/>
      <w:pPr>
        <w:ind w:left="5400" w:hanging="360"/>
      </w:pPr>
      <w:rPr>
        <w:rFonts w:ascii="Courier New" w:hAnsi="Courier New" w:cs="Courier New" w:hint="default"/>
      </w:rPr>
    </w:lvl>
    <w:lvl w:ilvl="5" w:tplc="041B0005" w:tentative="1">
      <w:start w:val="1"/>
      <w:numFmt w:val="bullet"/>
      <w:lvlText w:val=""/>
      <w:lvlJc w:val="left"/>
      <w:pPr>
        <w:ind w:left="6120" w:hanging="360"/>
      </w:pPr>
      <w:rPr>
        <w:rFonts w:ascii="Wingdings" w:hAnsi="Wingdings" w:hint="default"/>
      </w:rPr>
    </w:lvl>
    <w:lvl w:ilvl="6" w:tplc="041B0001" w:tentative="1">
      <w:start w:val="1"/>
      <w:numFmt w:val="bullet"/>
      <w:lvlText w:val=""/>
      <w:lvlJc w:val="left"/>
      <w:pPr>
        <w:ind w:left="6840" w:hanging="360"/>
      </w:pPr>
      <w:rPr>
        <w:rFonts w:ascii="Symbol" w:hAnsi="Symbol" w:hint="default"/>
      </w:rPr>
    </w:lvl>
    <w:lvl w:ilvl="7" w:tplc="041B0003" w:tentative="1">
      <w:start w:val="1"/>
      <w:numFmt w:val="bullet"/>
      <w:lvlText w:val="o"/>
      <w:lvlJc w:val="left"/>
      <w:pPr>
        <w:ind w:left="7560" w:hanging="360"/>
      </w:pPr>
      <w:rPr>
        <w:rFonts w:ascii="Courier New" w:hAnsi="Courier New" w:cs="Courier New" w:hint="default"/>
      </w:rPr>
    </w:lvl>
    <w:lvl w:ilvl="8" w:tplc="041B0005" w:tentative="1">
      <w:start w:val="1"/>
      <w:numFmt w:val="bullet"/>
      <w:lvlText w:val=""/>
      <w:lvlJc w:val="left"/>
      <w:pPr>
        <w:ind w:left="8280" w:hanging="360"/>
      </w:pPr>
      <w:rPr>
        <w:rFonts w:ascii="Wingdings" w:hAnsi="Wingdings" w:hint="default"/>
      </w:rPr>
    </w:lvl>
  </w:abstractNum>
  <w:abstractNum w:abstractNumId="1" w15:restartNumberingAfterBreak="0">
    <w:nsid w:val="1E671891"/>
    <w:multiLevelType w:val="multilevel"/>
    <w:tmpl w:val="4258A4CE"/>
    <w:styleLink w:val="WWNum6"/>
    <w:lvl w:ilvl="0">
      <w:numFmt w:val="bullet"/>
      <w:lvlText w:val="-"/>
      <w:lvlJc w:val="left"/>
      <w:rPr>
        <w:rFonts w:cs="F"/>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2" w15:restartNumberingAfterBreak="0">
    <w:nsid w:val="208372B8"/>
    <w:multiLevelType w:val="multilevel"/>
    <w:tmpl w:val="8738E462"/>
    <w:styleLink w:val="WWNum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15:restartNumberingAfterBreak="0">
    <w:nsid w:val="2D472DCA"/>
    <w:multiLevelType w:val="hybridMultilevel"/>
    <w:tmpl w:val="6BB8FA78"/>
    <w:lvl w:ilvl="0" w:tplc="A6C097E2">
      <w:start w:val="1"/>
      <w:numFmt w:val="decimal"/>
      <w:lvlText w:val="%1."/>
      <w:lvlJc w:val="left"/>
      <w:pPr>
        <w:ind w:left="360" w:hanging="360"/>
      </w:pPr>
      <w:rPr>
        <w:rFonts w:hint="default"/>
      </w:rPr>
    </w:lvl>
    <w:lvl w:ilvl="1" w:tplc="041B0017">
      <w:start w:val="1"/>
      <w:numFmt w:val="lowerLetter"/>
      <w:lvlText w:val="%2)"/>
      <w:lvlJc w:val="left"/>
      <w:pPr>
        <w:ind w:left="1080" w:hanging="360"/>
      </w:pPr>
      <w:rPr>
        <w:rFonts w:hint="default"/>
      </w:r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312D4FFB"/>
    <w:multiLevelType w:val="multilevel"/>
    <w:tmpl w:val="318C3EB2"/>
    <w:styleLink w:val="WWNum1"/>
    <w:lvl w:ilvl="0">
      <w:numFmt w:val="bullet"/>
      <w:lvlText w:val="-"/>
      <w:lvlJc w:val="left"/>
      <w:rPr>
        <w:rFonts w:cs="F"/>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5" w15:restartNumberingAfterBreak="0">
    <w:nsid w:val="33FA2D40"/>
    <w:multiLevelType w:val="hybridMultilevel"/>
    <w:tmpl w:val="C076FF2A"/>
    <w:lvl w:ilvl="0" w:tplc="2514EE9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2271E3E"/>
    <w:multiLevelType w:val="hybridMultilevel"/>
    <w:tmpl w:val="F58EDE6A"/>
    <w:lvl w:ilvl="0" w:tplc="BBF2DC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74F662C"/>
    <w:multiLevelType w:val="multilevel"/>
    <w:tmpl w:val="C31C9AFA"/>
    <w:styleLink w:val="WWNum3"/>
    <w:lvl w:ilvl="0">
      <w:numFmt w:val="bullet"/>
      <w:lvlText w:val="-"/>
      <w:lvlJc w:val="left"/>
      <w:rPr>
        <w:rFonts w:cs="F"/>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8" w15:restartNumberingAfterBreak="0">
    <w:nsid w:val="4C7A2CB2"/>
    <w:multiLevelType w:val="multilevel"/>
    <w:tmpl w:val="AE848186"/>
    <w:styleLink w:val="WWNum2"/>
    <w:lvl w:ilvl="0">
      <w:start w:val="1"/>
      <w:numFmt w:val="decimal"/>
      <w:lvlText w:val=" %1."/>
      <w:lvlJc w:val="left"/>
    </w:lvl>
    <w:lvl w:ilvl="1">
      <w:start w:val="1"/>
      <w:numFmt w:val="lowerLetter"/>
      <w:lvlText w:val=" %2)"/>
      <w:lvlJc w:val="left"/>
    </w:lvl>
    <w:lvl w:ilvl="2">
      <w:numFmt w:val="bullet"/>
      <w:lvlText w:val="•"/>
      <w:lvlJc w:val="right"/>
      <w:rPr>
        <w:rFonts w:ascii="StarSymbol" w:eastAsia="OpenSymbol" w:hAnsi="StarSymbol" w:cs="OpenSymbol"/>
      </w:rPr>
    </w:lvl>
    <w:lvl w:ilvl="3">
      <w:numFmt w:val="bullet"/>
      <w:lvlText w:val="•"/>
      <w:lvlJc w:val="left"/>
      <w:rPr>
        <w:rFonts w:ascii="StarSymbol" w:eastAsia="OpenSymbol" w:hAnsi="StarSymbol" w:cs="OpenSymbol"/>
      </w:rPr>
    </w:lvl>
    <w:lvl w:ilvl="4">
      <w:numFmt w:val="bullet"/>
      <w:lvlText w:val="•"/>
      <w:lvlJc w:val="left"/>
      <w:rPr>
        <w:rFonts w:ascii="StarSymbol" w:eastAsia="OpenSymbol" w:hAnsi="StarSymbol" w:cs="OpenSymbol"/>
      </w:rPr>
    </w:lvl>
    <w:lvl w:ilvl="5">
      <w:numFmt w:val="bullet"/>
      <w:lvlText w:val="•"/>
      <w:lvlJc w:val="right"/>
      <w:rPr>
        <w:rFonts w:ascii="StarSymbol" w:eastAsia="OpenSymbol" w:hAnsi="StarSymbol" w:cs="OpenSymbol"/>
      </w:rPr>
    </w:lvl>
    <w:lvl w:ilvl="6">
      <w:numFmt w:val="bullet"/>
      <w:lvlText w:val="•"/>
      <w:lvlJc w:val="left"/>
      <w:rPr>
        <w:rFonts w:ascii="StarSymbol" w:eastAsia="OpenSymbol" w:hAnsi="StarSymbol" w:cs="OpenSymbol"/>
      </w:rPr>
    </w:lvl>
    <w:lvl w:ilvl="7">
      <w:numFmt w:val="bullet"/>
      <w:lvlText w:val="•"/>
      <w:lvlJc w:val="left"/>
      <w:rPr>
        <w:rFonts w:ascii="StarSymbol" w:eastAsia="OpenSymbol" w:hAnsi="StarSymbol" w:cs="OpenSymbol"/>
      </w:rPr>
    </w:lvl>
    <w:lvl w:ilvl="8">
      <w:numFmt w:val="bullet"/>
      <w:lvlText w:val="•"/>
      <w:lvlJc w:val="right"/>
      <w:rPr>
        <w:rFonts w:ascii="StarSymbol" w:eastAsia="OpenSymbol" w:hAnsi="StarSymbol" w:cs="OpenSymbol"/>
      </w:rPr>
    </w:lvl>
  </w:abstractNum>
  <w:abstractNum w:abstractNumId="9" w15:restartNumberingAfterBreak="0">
    <w:nsid w:val="5525415D"/>
    <w:multiLevelType w:val="hybridMultilevel"/>
    <w:tmpl w:val="83DCF7DE"/>
    <w:lvl w:ilvl="0" w:tplc="11B00D52">
      <w:start w:val="1"/>
      <w:numFmt w:val="decimal"/>
      <w:lvlText w:val="%1."/>
      <w:lvlJc w:val="left"/>
      <w:pPr>
        <w:ind w:left="720" w:hanging="360"/>
      </w:pPr>
      <w:rPr>
        <w:rFonts w:asciiTheme="minorHAnsi" w:hAnsiTheme="minorHAnsi" w:cstheme="minorBidi"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3B01FD8"/>
    <w:multiLevelType w:val="hybridMultilevel"/>
    <w:tmpl w:val="D28022EC"/>
    <w:lvl w:ilvl="0" w:tplc="20FCC1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CC22F05"/>
    <w:multiLevelType w:val="multilevel"/>
    <w:tmpl w:val="FA24DE22"/>
    <w:styleLink w:val="WWNum4"/>
    <w:lvl w:ilvl="0">
      <w:numFmt w:val="bullet"/>
      <w:lvlText w:val="-"/>
      <w:lvlJc w:val="left"/>
      <w:rPr>
        <w:rFonts w:cs="F"/>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2" w15:restartNumberingAfterBreak="0">
    <w:nsid w:val="7B7D33E5"/>
    <w:multiLevelType w:val="hybridMultilevel"/>
    <w:tmpl w:val="F4669BC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8"/>
  </w:num>
  <w:num w:numId="3">
    <w:abstractNumId w:val="7"/>
  </w:num>
  <w:num w:numId="4">
    <w:abstractNumId w:val="11"/>
  </w:num>
  <w:num w:numId="5">
    <w:abstractNumId w:val="2"/>
  </w:num>
  <w:num w:numId="6">
    <w:abstractNumId w:val="1"/>
  </w:num>
  <w:num w:numId="7">
    <w:abstractNumId w:val="8"/>
    <w:lvlOverride w:ilvl="0">
      <w:startOverride w:val="1"/>
    </w:lvlOverride>
  </w:num>
  <w:num w:numId="8">
    <w:abstractNumId w:val="0"/>
  </w:num>
  <w:num w:numId="9">
    <w:abstractNumId w:val="12"/>
  </w:num>
  <w:num w:numId="10">
    <w:abstractNumId w:val="5"/>
  </w:num>
  <w:num w:numId="11">
    <w:abstractNumId w:val="6"/>
  </w:num>
  <w:num w:numId="12">
    <w:abstractNumId w:val="10"/>
  </w:num>
  <w:num w:numId="13">
    <w:abstractNumId w:val="3"/>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45A"/>
    <w:rsid w:val="000211A5"/>
    <w:rsid w:val="00096A4C"/>
    <w:rsid w:val="001024FB"/>
    <w:rsid w:val="00132F25"/>
    <w:rsid w:val="001C71E1"/>
    <w:rsid w:val="001D4EBC"/>
    <w:rsid w:val="002302E1"/>
    <w:rsid w:val="00263F53"/>
    <w:rsid w:val="002A312F"/>
    <w:rsid w:val="002F3FA6"/>
    <w:rsid w:val="00331517"/>
    <w:rsid w:val="00370754"/>
    <w:rsid w:val="003841BC"/>
    <w:rsid w:val="003D7E22"/>
    <w:rsid w:val="003F41DA"/>
    <w:rsid w:val="003F66A0"/>
    <w:rsid w:val="00417646"/>
    <w:rsid w:val="004341E4"/>
    <w:rsid w:val="00452C37"/>
    <w:rsid w:val="00463BC9"/>
    <w:rsid w:val="00483131"/>
    <w:rsid w:val="004940AC"/>
    <w:rsid w:val="004D5F7D"/>
    <w:rsid w:val="0052305B"/>
    <w:rsid w:val="00581400"/>
    <w:rsid w:val="00581D5D"/>
    <w:rsid w:val="00592C07"/>
    <w:rsid w:val="005C76F5"/>
    <w:rsid w:val="005D5543"/>
    <w:rsid w:val="005E4E15"/>
    <w:rsid w:val="005F2CBF"/>
    <w:rsid w:val="005F6953"/>
    <w:rsid w:val="00616575"/>
    <w:rsid w:val="00621A27"/>
    <w:rsid w:val="006B17A2"/>
    <w:rsid w:val="0075308C"/>
    <w:rsid w:val="0075545A"/>
    <w:rsid w:val="00795A7B"/>
    <w:rsid w:val="007A1C7B"/>
    <w:rsid w:val="007E6257"/>
    <w:rsid w:val="007F2004"/>
    <w:rsid w:val="00843A13"/>
    <w:rsid w:val="008606E5"/>
    <w:rsid w:val="00897855"/>
    <w:rsid w:val="008A4E46"/>
    <w:rsid w:val="008F3012"/>
    <w:rsid w:val="00937B57"/>
    <w:rsid w:val="0098111D"/>
    <w:rsid w:val="009948A0"/>
    <w:rsid w:val="009F55FD"/>
    <w:rsid w:val="00A87EFA"/>
    <w:rsid w:val="00A9258F"/>
    <w:rsid w:val="00AF7C70"/>
    <w:rsid w:val="00B05770"/>
    <w:rsid w:val="00B23A68"/>
    <w:rsid w:val="00B24D22"/>
    <w:rsid w:val="00B713B5"/>
    <w:rsid w:val="00B758C2"/>
    <w:rsid w:val="00BA1DAB"/>
    <w:rsid w:val="00BD55F1"/>
    <w:rsid w:val="00CD51D3"/>
    <w:rsid w:val="00CE0EA5"/>
    <w:rsid w:val="00D01C83"/>
    <w:rsid w:val="00D05583"/>
    <w:rsid w:val="00D54F03"/>
    <w:rsid w:val="00D93565"/>
    <w:rsid w:val="00DB61E7"/>
    <w:rsid w:val="00DC6E46"/>
    <w:rsid w:val="00EA0629"/>
    <w:rsid w:val="00EA108C"/>
    <w:rsid w:val="00F1417A"/>
    <w:rsid w:val="00F257C7"/>
    <w:rsid w:val="00F47BD1"/>
    <w:rsid w:val="00F57CBC"/>
    <w:rsid w:val="00F76BB0"/>
    <w:rsid w:val="00F80CCD"/>
    <w:rsid w:val="00F91B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DD714"/>
  <w15:docId w15:val="{94AD942C-8C6E-4121-95C0-5401439DA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F"/>
        <w:kern w:val="3"/>
        <w:sz w:val="22"/>
        <w:szCs w:val="22"/>
        <w:lang w:val="sk-SK"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pPr>
      <w:widowControl/>
    </w:pPr>
  </w:style>
  <w:style w:type="paragraph" w:styleId="Nzov">
    <w:name w:val="Title"/>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Zoznam">
    <w:name w:val="List"/>
    <w:basedOn w:val="Textbody"/>
    <w:rPr>
      <w:rFonts w:cs="Arial"/>
    </w:rPr>
  </w:style>
  <w:style w:type="paragraph" w:styleId="Popis">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Odsekzoznamu">
    <w:name w:val="List Paragraph"/>
    <w:basedOn w:val="Standard"/>
    <w:uiPriority w:val="34"/>
    <w:qFormat/>
    <w:pPr>
      <w:ind w:left="720"/>
    </w:pPr>
  </w:style>
  <w:style w:type="paragraph" w:styleId="Bezriadkovania">
    <w:name w:val="No Spacing"/>
    <w:pPr>
      <w:widowControl/>
      <w:spacing w:after="0" w:line="240" w:lineRule="auto"/>
    </w:pPr>
    <w:rPr>
      <w:lang w:eastAsia="zh-CN"/>
    </w:rPr>
  </w:style>
  <w:style w:type="character" w:customStyle="1" w:styleId="ListLabel1">
    <w:name w:val="ListLabel 1"/>
    <w:rPr>
      <w:rFonts w:cs="F"/>
    </w:rPr>
  </w:style>
  <w:style w:type="character" w:customStyle="1" w:styleId="ListLabel2">
    <w:name w:val="ListLabel 2"/>
    <w:rPr>
      <w:rFonts w:cs="Courier New"/>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WWNum1">
    <w:name w:val="WWNum1"/>
    <w:basedOn w:val="Bezzoznamu"/>
    <w:pPr>
      <w:numPr>
        <w:numId w:val="1"/>
      </w:numPr>
    </w:pPr>
  </w:style>
  <w:style w:type="numbering" w:customStyle="1" w:styleId="WWNum2">
    <w:name w:val="WWNum2"/>
    <w:basedOn w:val="Bezzoznamu"/>
    <w:pPr>
      <w:numPr>
        <w:numId w:val="2"/>
      </w:numPr>
    </w:pPr>
  </w:style>
  <w:style w:type="numbering" w:customStyle="1" w:styleId="WWNum3">
    <w:name w:val="WWNum3"/>
    <w:basedOn w:val="Bezzoznamu"/>
    <w:pPr>
      <w:numPr>
        <w:numId w:val="3"/>
      </w:numPr>
    </w:pPr>
  </w:style>
  <w:style w:type="numbering" w:customStyle="1" w:styleId="WWNum4">
    <w:name w:val="WWNum4"/>
    <w:basedOn w:val="Bezzoznamu"/>
    <w:pPr>
      <w:numPr>
        <w:numId w:val="4"/>
      </w:numPr>
    </w:pPr>
  </w:style>
  <w:style w:type="numbering" w:customStyle="1" w:styleId="WWNum5">
    <w:name w:val="WWNum5"/>
    <w:basedOn w:val="Bezzoznamu"/>
    <w:pPr>
      <w:numPr>
        <w:numId w:val="5"/>
      </w:numPr>
    </w:pPr>
  </w:style>
  <w:style w:type="numbering" w:customStyle="1" w:styleId="WWNum6">
    <w:name w:val="WWNum6"/>
    <w:basedOn w:val="Bezzoznamu"/>
    <w:pPr>
      <w:numPr>
        <w:numId w:val="6"/>
      </w:numPr>
    </w:pPr>
  </w:style>
  <w:style w:type="paragraph" w:styleId="Textbubliny">
    <w:name w:val="Balloon Text"/>
    <w:basedOn w:val="Normlny"/>
    <w:link w:val="TextbublinyChar"/>
    <w:uiPriority w:val="99"/>
    <w:semiHidden/>
    <w:unhideWhenUsed/>
    <w:rsid w:val="000211A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211A5"/>
    <w:rPr>
      <w:rFonts w:ascii="Segoe UI" w:hAnsi="Segoe UI" w:cs="Segoe UI"/>
      <w:sz w:val="18"/>
      <w:szCs w:val="18"/>
    </w:rPr>
  </w:style>
  <w:style w:type="character" w:styleId="Odkaznakomentr">
    <w:name w:val="annotation reference"/>
    <w:basedOn w:val="Predvolenpsmoodseku"/>
    <w:uiPriority w:val="99"/>
    <w:semiHidden/>
    <w:unhideWhenUsed/>
    <w:rsid w:val="006B17A2"/>
    <w:rPr>
      <w:sz w:val="16"/>
      <w:szCs w:val="16"/>
    </w:rPr>
  </w:style>
  <w:style w:type="paragraph" w:styleId="Textkomentra">
    <w:name w:val="annotation text"/>
    <w:basedOn w:val="Normlny"/>
    <w:link w:val="TextkomentraChar"/>
    <w:uiPriority w:val="99"/>
    <w:semiHidden/>
    <w:unhideWhenUsed/>
    <w:rsid w:val="006B17A2"/>
    <w:pPr>
      <w:spacing w:line="240" w:lineRule="auto"/>
    </w:pPr>
    <w:rPr>
      <w:sz w:val="20"/>
      <w:szCs w:val="20"/>
    </w:rPr>
  </w:style>
  <w:style w:type="character" w:customStyle="1" w:styleId="TextkomentraChar">
    <w:name w:val="Text komentára Char"/>
    <w:basedOn w:val="Predvolenpsmoodseku"/>
    <w:link w:val="Textkomentra"/>
    <w:uiPriority w:val="99"/>
    <w:semiHidden/>
    <w:rsid w:val="006B17A2"/>
    <w:rPr>
      <w:sz w:val="20"/>
      <w:szCs w:val="20"/>
    </w:rPr>
  </w:style>
  <w:style w:type="paragraph" w:styleId="Predmetkomentra">
    <w:name w:val="annotation subject"/>
    <w:basedOn w:val="Textkomentra"/>
    <w:next w:val="Textkomentra"/>
    <w:link w:val="PredmetkomentraChar"/>
    <w:uiPriority w:val="99"/>
    <w:semiHidden/>
    <w:unhideWhenUsed/>
    <w:rsid w:val="006B17A2"/>
    <w:rPr>
      <w:b/>
      <w:bCs/>
    </w:rPr>
  </w:style>
  <w:style w:type="character" w:customStyle="1" w:styleId="PredmetkomentraChar">
    <w:name w:val="Predmet komentára Char"/>
    <w:basedOn w:val="TextkomentraChar"/>
    <w:link w:val="Predmetkomentra"/>
    <w:uiPriority w:val="99"/>
    <w:semiHidden/>
    <w:rsid w:val="006B17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53597">
      <w:bodyDiv w:val="1"/>
      <w:marLeft w:val="0"/>
      <w:marRight w:val="0"/>
      <w:marTop w:val="0"/>
      <w:marBottom w:val="0"/>
      <w:divBdr>
        <w:top w:val="none" w:sz="0" w:space="0" w:color="auto"/>
        <w:left w:val="none" w:sz="0" w:space="0" w:color="auto"/>
        <w:bottom w:val="none" w:sz="0" w:space="0" w:color="auto"/>
        <w:right w:val="none" w:sz="0" w:space="0" w:color="auto"/>
      </w:divBdr>
    </w:div>
    <w:div w:id="1885604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75FDDED0FB4E5C43ADF8274E69C311EF" ma:contentTypeVersion="1" ma:contentTypeDescription="Umožňuje vytvoriť nový dokument." ma:contentTypeScope="" ma:versionID="a7b6607eea25f260e78b48c44b86855b">
  <xsd:schema xmlns:xsd="http://www.w3.org/2001/XMLSchema" xmlns:xs="http://www.w3.org/2001/XMLSchema" xmlns:p="http://schemas.microsoft.com/office/2006/metadata/properties" xmlns:ns2="ecc158d1-ca48-4b7e-8862-db6a1898e2f7" targetNamespace="http://schemas.microsoft.com/office/2006/metadata/properties" ma:root="true" ma:fieldsID="950b3f41542311d6d6dc7fbf62de4bf5" ns2:_="">
    <xsd:import namespace="ecc158d1-ca48-4b7e-8862-db6a1898e2f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c158d1-ca48-4b7e-8862-db6a1898e2f7"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ecc158d1-ca48-4b7e-8862-db6a1898e2f7">U4CKVZMFSU7J-1555360654-78</_dlc_DocId>
    <_dlc_DocIdUrl xmlns="ecc158d1-ca48-4b7e-8862-db6a1898e2f7">
      <Url>https://is.nbs.sk/teams/ore/orp/_layouts/15/DocIdRedir.aspx?ID=U4CKVZMFSU7J-1555360654-78</Url>
      <Description>U4CKVZMFSU7J-1555360654-78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7C4D6-A571-40D2-9689-303537A99431}">
  <ds:schemaRefs>
    <ds:schemaRef ds:uri="http://schemas.microsoft.com/sharepoint/v3/contenttype/forms"/>
  </ds:schemaRefs>
</ds:datastoreItem>
</file>

<file path=customXml/itemProps2.xml><?xml version="1.0" encoding="utf-8"?>
<ds:datastoreItem xmlns:ds="http://schemas.openxmlformats.org/officeDocument/2006/customXml" ds:itemID="{54CDC655-40A0-43B5-B264-1496937FAB62}">
  <ds:schemaRefs>
    <ds:schemaRef ds:uri="http://schemas.microsoft.com/sharepoint/events"/>
  </ds:schemaRefs>
</ds:datastoreItem>
</file>

<file path=customXml/itemProps3.xml><?xml version="1.0" encoding="utf-8"?>
<ds:datastoreItem xmlns:ds="http://schemas.openxmlformats.org/officeDocument/2006/customXml" ds:itemID="{D79D3BC6-6A77-48DC-BC9F-62DA245CC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c158d1-ca48-4b7e-8862-db6a1898e2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9663FC-D3A0-4642-91FE-B1694D354223}">
  <ds:schemaRefs>
    <ds:schemaRef ds:uri="http://schemas.microsoft.com/office/2006/metadata/properties"/>
    <ds:schemaRef ds:uri="http://schemas.microsoft.com/office/infopath/2007/PartnerControls"/>
    <ds:schemaRef ds:uri="ecc158d1-ca48-4b7e-8862-db6a1898e2f7"/>
  </ds:schemaRefs>
</ds:datastoreItem>
</file>

<file path=customXml/itemProps5.xml><?xml version="1.0" encoding="utf-8"?>
<ds:datastoreItem xmlns:ds="http://schemas.openxmlformats.org/officeDocument/2006/customXml" ds:itemID="{D8FC9395-896E-46C5-954C-AD580A7F6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1935</Words>
  <Characters>11032</Characters>
  <Application>Microsoft Office Word</Application>
  <DocSecurity>0</DocSecurity>
  <Lines>91</Lines>
  <Paragraphs>25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NARODNA BANKA SLOVENSKA</Company>
  <LinksUpToDate>false</LinksUpToDate>
  <CharactersWithSpaces>12942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stefunkova</dc:creator>
  <cp:lastModifiedBy>Lehotská Mária</cp:lastModifiedBy>
  <cp:revision>3</cp:revision>
  <cp:lastPrinted>2019-01-25T09:01:00Z</cp:lastPrinted>
  <dcterms:created xsi:type="dcterms:W3CDTF">2019-03-25T13:23:00Z</dcterms:created>
  <dcterms:modified xsi:type="dcterms:W3CDTF">2019-03-25T13:30:00Z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NARODNA BANKA SLOVENSKA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0x01010075FDDED0FB4E5C43ADF8274E69C311EF</vt:lpwstr>
  </property>
  <property fmtid="{D5CDD505-2E9C-101B-9397-08002B2CF9AE}" pid="10" name="_dlc_DocIdItemGuid">
    <vt:lpwstr>efe5a107-5652-44ee-bb62-208a4b115f61</vt:lpwstr>
  </property>
</Properties>
</file>