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DF0E3" w14:textId="59E9ABF2" w:rsidR="00E13894" w:rsidRPr="00E13894" w:rsidRDefault="00E13894" w:rsidP="00E13894">
      <w:pPr>
        <w:pageBreakBefore/>
        <w:tabs>
          <w:tab w:val="left" w:pos="284"/>
        </w:tabs>
        <w:spacing w:after="0" w:line="240" w:lineRule="auto"/>
        <w:ind w:left="2126" w:hanging="2126"/>
        <w:jc w:val="both"/>
        <w:rPr>
          <w:rFonts w:ascii="Cambria" w:hAnsi="Cambria" w:cs="Times New Roman"/>
          <w:b/>
          <w:bCs/>
        </w:rPr>
      </w:pPr>
      <w:r w:rsidRPr="00E13894">
        <w:rPr>
          <w:rFonts w:ascii="Cambria" w:hAnsi="Cambria" w:cs="Times New Roman"/>
          <w:b/>
          <w:bCs/>
          <w:color w:val="000000"/>
        </w:rPr>
        <w:t xml:space="preserve">Metodika na vypracúvanie výkazu o predpokladoch výpočtu najlepšieho odhadu technických </w:t>
      </w:r>
      <w:r w:rsidRPr="002A2A0E">
        <w:rPr>
          <w:rFonts w:ascii="Cambria" w:hAnsi="Cambria" w:cs="Times New Roman"/>
          <w:b/>
          <w:bCs/>
          <w:color w:val="000000"/>
        </w:rPr>
        <w:t xml:space="preserve">rezerv </w:t>
      </w:r>
      <w:proofErr w:type="spellStart"/>
      <w:r w:rsidRPr="002A2A0E">
        <w:rPr>
          <w:rFonts w:ascii="Cambria" w:hAnsi="Cambria" w:cs="Times New Roman"/>
          <w:b/>
          <w:bCs/>
          <w:color w:val="000000"/>
        </w:rPr>
        <w:t>Sii</w:t>
      </w:r>
      <w:proofErr w:type="spellEnd"/>
      <w:r w:rsidRPr="002A2A0E">
        <w:rPr>
          <w:rFonts w:ascii="Cambria" w:hAnsi="Cambria" w:cs="Times New Roman"/>
          <w:b/>
          <w:bCs/>
          <w:color w:val="000000"/>
        </w:rPr>
        <w:t xml:space="preserve"> (</w:t>
      </w:r>
      <w:r w:rsidR="00515EE3" w:rsidRPr="002A2A0E">
        <w:rPr>
          <w:rFonts w:ascii="Cambria" w:hAnsi="Cambria" w:cs="Times New Roman"/>
          <w:b/>
          <w:bCs/>
          <w:color w:val="000000"/>
        </w:rPr>
        <w:t>TAP</w:t>
      </w:r>
      <w:r w:rsidRPr="002A2A0E">
        <w:rPr>
          <w:rFonts w:ascii="Cambria" w:hAnsi="Cambria" w:cs="Times New Roman"/>
          <w:b/>
          <w:bCs/>
          <w:color w:val="000000"/>
        </w:rPr>
        <w:t>) 2</w:t>
      </w:r>
      <w:r w:rsidR="00515EE3" w:rsidRPr="002A2A0E">
        <w:rPr>
          <w:rFonts w:ascii="Cambria" w:hAnsi="Cambria" w:cs="Times New Roman"/>
          <w:b/>
          <w:bCs/>
          <w:color w:val="000000"/>
        </w:rPr>
        <w:t>9</w:t>
      </w:r>
      <w:r w:rsidRPr="002A2A0E">
        <w:rPr>
          <w:rFonts w:ascii="Cambria" w:hAnsi="Cambria" w:cs="Times New Roman"/>
          <w:b/>
          <w:bCs/>
          <w:color w:val="000000"/>
        </w:rPr>
        <w:t>-01</w:t>
      </w:r>
    </w:p>
    <w:p w14:paraId="276F2396" w14:textId="77777777" w:rsidR="00E13894" w:rsidRPr="00E13894" w:rsidRDefault="00E13894" w:rsidP="00E1389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DB4F347" w14:textId="04D43E15" w:rsidR="00E13894" w:rsidRPr="00E13894" w:rsidRDefault="00E13894" w:rsidP="00E1389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Výkaz sa predkladá za oblasť životného poistenia. Cieľom je zobraziť aktuálne predpoklady použité v oceňovaní k  dátumu vykazovania.</w:t>
      </w:r>
    </w:p>
    <w:p w14:paraId="51E5D710" w14:textId="008A8BB2" w:rsidR="00E13894" w:rsidRPr="002A2A0E" w:rsidRDefault="00E13894" w:rsidP="00E1389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 xml:space="preserve">Ak je údaj vyjadrený v percentách, uvedie sa jeho číselná hodnota s dvomi desatinnými </w:t>
      </w:r>
      <w:r w:rsidRPr="002A2A0E">
        <w:rPr>
          <w:rFonts w:ascii="Cambria" w:hAnsi="Cambria"/>
          <w:sz w:val="22"/>
          <w:szCs w:val="22"/>
        </w:rPr>
        <w:t xml:space="preserve">miestami, napríklad ak je hodnota 63,05% uvedie sa ako 63,05. </w:t>
      </w:r>
    </w:p>
    <w:p w14:paraId="79786CC8" w14:textId="6A99D931" w:rsidR="00E13894" w:rsidRPr="002A2A0E" w:rsidRDefault="00E13894" w:rsidP="00E1389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2A2A0E">
        <w:rPr>
          <w:rFonts w:ascii="Cambria" w:hAnsi="Cambria"/>
          <w:sz w:val="22"/>
          <w:szCs w:val="22"/>
        </w:rPr>
        <w:t>V kolónke „</w:t>
      </w:r>
      <w:r w:rsidRPr="002A2A0E">
        <w:rPr>
          <w:rFonts w:ascii="Cambria" w:hAnsi="Cambria"/>
          <w:b/>
          <w:sz w:val="22"/>
          <w:szCs w:val="22"/>
        </w:rPr>
        <w:t>Identifikačný kód produktu“</w:t>
      </w:r>
      <w:r w:rsidRPr="002A2A0E">
        <w:rPr>
          <w:rFonts w:ascii="Cambria" w:hAnsi="Cambria"/>
          <w:sz w:val="22"/>
          <w:szCs w:val="22"/>
        </w:rPr>
        <w:t xml:space="preserve"> sa uvádza </w:t>
      </w:r>
      <w:r w:rsidR="00AE784A" w:rsidRPr="002A2A0E">
        <w:rPr>
          <w:rFonts w:ascii="Cambria" w:hAnsi="Cambria"/>
          <w:sz w:val="22"/>
          <w:szCs w:val="22"/>
        </w:rPr>
        <w:t xml:space="preserve">jedinečný </w:t>
      </w:r>
      <w:r w:rsidRPr="002A2A0E">
        <w:rPr>
          <w:rFonts w:ascii="Cambria" w:hAnsi="Cambria"/>
          <w:sz w:val="22"/>
          <w:szCs w:val="22"/>
        </w:rPr>
        <w:t>identifikačný kód, ktorý poisťovňa pridelila produktu</w:t>
      </w:r>
      <w:r w:rsidR="00AE784A" w:rsidRPr="002A2A0E">
        <w:rPr>
          <w:rFonts w:ascii="Cambria" w:hAnsi="Cambria"/>
          <w:sz w:val="22"/>
          <w:szCs w:val="22"/>
        </w:rPr>
        <w:t xml:space="preserve">. Pričom sa zohľadnia rôzne variácie predpokladov produktu, ktoré sú použité pri výpočte technických rezerv, napríklad ak má produkt rôzne predpoklady pre </w:t>
      </w:r>
      <w:proofErr w:type="spellStart"/>
      <w:r w:rsidR="00AE784A" w:rsidRPr="002A2A0E">
        <w:rPr>
          <w:rFonts w:ascii="Cambria" w:hAnsi="Cambria"/>
          <w:sz w:val="22"/>
          <w:szCs w:val="22"/>
        </w:rPr>
        <w:t>stornovanosť</w:t>
      </w:r>
      <w:proofErr w:type="spellEnd"/>
      <w:r w:rsidR="00AE784A" w:rsidRPr="002A2A0E">
        <w:rPr>
          <w:rFonts w:ascii="Cambria" w:hAnsi="Cambria"/>
          <w:sz w:val="22"/>
          <w:szCs w:val="22"/>
        </w:rPr>
        <w:t xml:space="preserve"> poistných zmlúv v závislosti od distribučnej siete, uvedie sa na viacerých riadkoch pod rôznymi kódmi pre každú variáciu predpokladu. </w:t>
      </w:r>
    </w:p>
    <w:p w14:paraId="1BF22B0C" w14:textId="3DAF6F5F" w:rsidR="00E13894" w:rsidRPr="002A2A0E" w:rsidRDefault="00E13894" w:rsidP="00E1389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2A2A0E">
        <w:rPr>
          <w:rFonts w:ascii="Cambria" w:hAnsi="Cambria"/>
          <w:sz w:val="22"/>
          <w:szCs w:val="22"/>
        </w:rPr>
        <w:t>V kolónke „</w:t>
      </w:r>
      <w:r w:rsidRPr="002A2A0E">
        <w:rPr>
          <w:rFonts w:ascii="Cambria" w:hAnsi="Cambria"/>
          <w:b/>
          <w:sz w:val="22"/>
          <w:szCs w:val="22"/>
        </w:rPr>
        <w:t>Pohlavie“</w:t>
      </w:r>
      <w:r w:rsidRPr="002A2A0E">
        <w:rPr>
          <w:rFonts w:ascii="Cambria" w:hAnsi="Cambria"/>
          <w:sz w:val="22"/>
          <w:szCs w:val="22"/>
        </w:rPr>
        <w:t xml:space="preserve"> sa uvádza „M“</w:t>
      </w:r>
      <w:r w:rsidR="003D776D" w:rsidRPr="002A2A0E">
        <w:rPr>
          <w:rFonts w:ascii="Cambria" w:hAnsi="Cambria"/>
          <w:sz w:val="22"/>
          <w:szCs w:val="22"/>
        </w:rPr>
        <w:t xml:space="preserve"> pre mužské</w:t>
      </w:r>
      <w:r w:rsidRPr="002A2A0E">
        <w:rPr>
          <w:rFonts w:ascii="Cambria" w:hAnsi="Cambria"/>
          <w:sz w:val="22"/>
          <w:szCs w:val="22"/>
        </w:rPr>
        <w:t xml:space="preserve"> alebo „Z“ </w:t>
      </w:r>
      <w:r w:rsidR="003D776D" w:rsidRPr="002A2A0E">
        <w:rPr>
          <w:rFonts w:ascii="Cambria" w:hAnsi="Cambria"/>
          <w:sz w:val="22"/>
          <w:szCs w:val="22"/>
        </w:rPr>
        <w:t xml:space="preserve">pre ženské. </w:t>
      </w:r>
      <w:r w:rsidR="004E3CAB" w:rsidRPr="002A2A0E">
        <w:rPr>
          <w:rFonts w:ascii="Cambria" w:hAnsi="Cambria"/>
          <w:sz w:val="22"/>
          <w:szCs w:val="22"/>
        </w:rPr>
        <w:t>Uvádza sa hodnota pre vek osoby v čase vykazovania.</w:t>
      </w:r>
      <w:r w:rsidR="003D776D" w:rsidRPr="002A2A0E">
        <w:rPr>
          <w:rFonts w:ascii="Cambria" w:hAnsi="Cambria"/>
          <w:sz w:val="22"/>
          <w:szCs w:val="22"/>
        </w:rPr>
        <w:t xml:space="preserve"> </w:t>
      </w:r>
    </w:p>
    <w:p w14:paraId="346A1E89" w14:textId="0164BCD1" w:rsidR="00E13894" w:rsidRPr="002A2A0E" w:rsidRDefault="00E13894" w:rsidP="00E13894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2A2A0E">
        <w:rPr>
          <w:rFonts w:ascii="Cambria" w:hAnsi="Cambria"/>
          <w:sz w:val="22"/>
          <w:szCs w:val="22"/>
        </w:rPr>
        <w:t>V kolónke „</w:t>
      </w:r>
      <w:r w:rsidRPr="002A2A0E">
        <w:rPr>
          <w:rFonts w:ascii="Cambria" w:hAnsi="Cambria"/>
          <w:b/>
          <w:sz w:val="22"/>
          <w:szCs w:val="22"/>
        </w:rPr>
        <w:t>Vek“</w:t>
      </w:r>
      <w:r w:rsidRPr="002A2A0E">
        <w:rPr>
          <w:rFonts w:ascii="Cambria" w:hAnsi="Cambria"/>
          <w:sz w:val="22"/>
          <w:szCs w:val="22"/>
        </w:rPr>
        <w:t xml:space="preserve"> sa uvádza kód zo zoznamu prípustných kódov číselníka IS ŠZP</w:t>
      </w:r>
      <w:r w:rsidR="00807FD9" w:rsidRPr="002A2A0E">
        <w:rPr>
          <w:rFonts w:ascii="Cambria" w:hAnsi="Cambria"/>
          <w:sz w:val="22"/>
          <w:szCs w:val="22"/>
        </w:rPr>
        <w:t>, pre</w:t>
      </w:r>
      <w:r w:rsidR="00460249" w:rsidRPr="002A2A0E">
        <w:rPr>
          <w:rFonts w:ascii="Cambria" w:hAnsi="Cambria"/>
          <w:sz w:val="22"/>
          <w:szCs w:val="22"/>
        </w:rPr>
        <w:t xml:space="preserve"> 18, 65 a 80 rokov.  </w:t>
      </w:r>
    </w:p>
    <w:p w14:paraId="206B497B" w14:textId="70EC19AB" w:rsidR="001F27E7" w:rsidRPr="00537775" w:rsidRDefault="00E13894" w:rsidP="00E15023">
      <w:pPr>
        <w:pStyle w:val="ListParagraph"/>
        <w:tabs>
          <w:tab w:val="left" w:pos="426"/>
        </w:tabs>
        <w:ind w:left="426"/>
        <w:jc w:val="both"/>
        <w:rPr>
          <w:rFonts w:ascii="Cambria" w:hAnsi="Cambria"/>
        </w:rPr>
      </w:pPr>
      <w:r w:rsidRPr="002A2A0E">
        <w:rPr>
          <w:rFonts w:ascii="Cambria" w:hAnsi="Cambria"/>
          <w:sz w:val="22"/>
          <w:szCs w:val="22"/>
        </w:rPr>
        <w:t>V kolónke „</w:t>
      </w:r>
      <w:r w:rsidRPr="002A2A0E">
        <w:rPr>
          <w:rFonts w:ascii="Cambria" w:hAnsi="Cambria"/>
          <w:b/>
          <w:bCs/>
          <w:sz w:val="22"/>
          <w:szCs w:val="22"/>
        </w:rPr>
        <w:t>Stredná</w:t>
      </w:r>
      <w:r w:rsidRPr="00E13894">
        <w:rPr>
          <w:rFonts w:ascii="Cambria" w:hAnsi="Cambria"/>
          <w:b/>
          <w:bCs/>
          <w:sz w:val="22"/>
          <w:szCs w:val="22"/>
        </w:rPr>
        <w:t xml:space="preserve"> dĺžka života“</w:t>
      </w:r>
      <w:r w:rsidRPr="00E13894">
        <w:rPr>
          <w:rFonts w:ascii="Cambria" w:hAnsi="Cambria"/>
          <w:b/>
          <w:sz w:val="22"/>
          <w:szCs w:val="22"/>
        </w:rPr>
        <w:t xml:space="preserve"> </w:t>
      </w:r>
      <w:r w:rsidR="003D776D">
        <w:rPr>
          <w:rFonts w:ascii="Cambria" w:hAnsi="Cambria"/>
          <w:b/>
          <w:sz w:val="22"/>
          <w:szCs w:val="22"/>
        </w:rPr>
        <w:t xml:space="preserve">je </w:t>
      </w:r>
      <w:r w:rsidR="003D776D" w:rsidRPr="003D776D">
        <w:rPr>
          <w:rFonts w:ascii="Cambria" w:hAnsi="Cambria"/>
          <w:b/>
          <w:sz w:val="22"/>
          <w:szCs w:val="22"/>
        </w:rPr>
        <w:t>priemerný počet rokov, ktorý pravdepodobne prežije osoba vo veku x za predpokladu, že sa úmrtnostné pomery nezmenia</w:t>
      </w:r>
      <w:r w:rsidR="003D776D">
        <w:rPr>
          <w:rFonts w:ascii="Cambria" w:hAnsi="Cambria"/>
          <w:b/>
          <w:sz w:val="22"/>
          <w:szCs w:val="22"/>
        </w:rPr>
        <w:t xml:space="preserve">. </w:t>
      </w:r>
      <w:r w:rsidRPr="00E13894">
        <w:rPr>
          <w:rFonts w:ascii="Cambria" w:hAnsi="Cambria"/>
          <w:sz w:val="22"/>
          <w:szCs w:val="22"/>
        </w:rPr>
        <w:t xml:space="preserve"> </w:t>
      </w:r>
      <w:r w:rsidRPr="00E15023">
        <w:rPr>
          <w:rFonts w:ascii="Cambria" w:hAnsi="Cambria"/>
        </w:rPr>
        <w:t xml:space="preserve">Stredná dĺžka </w:t>
      </w:r>
      <w:r w:rsidRPr="00537775">
        <w:rPr>
          <w:rFonts w:ascii="Cambria" w:hAnsi="Cambria"/>
        </w:rPr>
        <w:t>života sa uvedie pre</w:t>
      </w:r>
      <w:r w:rsidR="003D776D" w:rsidRPr="00537775">
        <w:rPr>
          <w:rFonts w:ascii="Cambria" w:hAnsi="Cambria"/>
        </w:rPr>
        <w:t xml:space="preserve"> vybrané</w:t>
      </w:r>
      <w:r w:rsidRPr="00537775">
        <w:rPr>
          <w:rFonts w:ascii="Cambria" w:hAnsi="Cambria"/>
        </w:rPr>
        <w:t xml:space="preserve"> veky podľa prípustných kódov číselníka IS ŠZP.</w:t>
      </w:r>
    </w:p>
    <w:p w14:paraId="2A0960BD" w14:textId="1441EBF5" w:rsidR="001F27E7" w:rsidRPr="00537775" w:rsidRDefault="006B386F" w:rsidP="00E15023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7775">
        <w:rPr>
          <w:rFonts w:ascii="Cambria" w:hAnsi="Cambria"/>
          <w:sz w:val="22"/>
          <w:szCs w:val="22"/>
        </w:rPr>
        <w:t>V kolónke „</w:t>
      </w:r>
      <w:r w:rsidRPr="00537775">
        <w:rPr>
          <w:rFonts w:ascii="Cambria" w:hAnsi="Cambria"/>
          <w:b/>
          <w:sz w:val="22"/>
          <w:szCs w:val="22"/>
        </w:rPr>
        <w:t xml:space="preserve">Typ poistenia“ </w:t>
      </w:r>
      <w:r w:rsidRPr="00537775">
        <w:rPr>
          <w:rFonts w:ascii="Cambria" w:hAnsi="Cambria"/>
          <w:sz w:val="22"/>
          <w:szCs w:val="22"/>
        </w:rPr>
        <w:t xml:space="preserve">sa uvedie hodnota zo zoznamu prípustných hodnôt číselníka IS ŠZP. </w:t>
      </w:r>
    </w:p>
    <w:p w14:paraId="5329BEF2" w14:textId="0FA2BC8E" w:rsidR="001F27E7" w:rsidRPr="00537775" w:rsidRDefault="00E13894" w:rsidP="001F27E7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7775">
        <w:rPr>
          <w:rFonts w:ascii="Cambria" w:hAnsi="Cambria"/>
          <w:sz w:val="22"/>
          <w:szCs w:val="22"/>
        </w:rPr>
        <w:t>V kolónke „</w:t>
      </w:r>
      <w:r w:rsidRPr="00537775">
        <w:rPr>
          <w:rFonts w:ascii="Cambria" w:hAnsi="Cambria"/>
          <w:b/>
          <w:sz w:val="22"/>
          <w:szCs w:val="22"/>
        </w:rPr>
        <w:t xml:space="preserve">Rok poistenia“ </w:t>
      </w:r>
      <w:r w:rsidRPr="00537775">
        <w:rPr>
          <w:rFonts w:ascii="Cambria" w:hAnsi="Cambria"/>
          <w:sz w:val="22"/>
          <w:szCs w:val="22"/>
        </w:rPr>
        <w:t>sa uvádza kód zo zoznamu prípustných kódov číselníka IS ŠZP</w:t>
      </w:r>
      <w:r w:rsidR="002A2A0E" w:rsidRPr="00537775">
        <w:rPr>
          <w:rFonts w:ascii="Cambria" w:hAnsi="Cambria"/>
          <w:sz w:val="22"/>
          <w:szCs w:val="22"/>
        </w:rPr>
        <w:t>, a to pre hodnoty „aktuálny rok (1.rok poistenia)“, „aktuálny rok – 1 (2.rok poistenia)“, ... „aktuálny rok – 5 až aktuálny rok – 9 (6.až 10. rok poistenia)“, „aktuálny rok – 10 a viac (11. rok poistenia a viac)“. Pre poistné zmluvy, ku ktorým poisťovňa nevie určiť rok trvania poistenia sa uvedie „nešpecifikované“.</w:t>
      </w:r>
    </w:p>
    <w:p w14:paraId="40C7AB28" w14:textId="363491C1" w:rsidR="00E13894" w:rsidRPr="00537775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7775">
        <w:rPr>
          <w:rFonts w:ascii="Cambria" w:hAnsi="Cambria"/>
          <w:sz w:val="22"/>
          <w:szCs w:val="22"/>
        </w:rPr>
        <w:t>V kolónke</w:t>
      </w:r>
      <w:r w:rsidRPr="00537775">
        <w:rPr>
          <w:rFonts w:ascii="Cambria" w:hAnsi="Cambria"/>
          <w:b/>
          <w:sz w:val="22"/>
          <w:szCs w:val="22"/>
        </w:rPr>
        <w:t xml:space="preserve"> „</w:t>
      </w:r>
      <w:r w:rsidR="00B432EA" w:rsidRPr="00537775">
        <w:rPr>
          <w:rFonts w:ascii="Cambria" w:hAnsi="Cambria"/>
          <w:b/>
          <w:sz w:val="22"/>
          <w:szCs w:val="22"/>
        </w:rPr>
        <w:t>Predpokladaná m</w:t>
      </w:r>
      <w:r w:rsidRPr="00537775">
        <w:rPr>
          <w:rFonts w:ascii="Cambria" w:hAnsi="Cambria"/>
          <w:b/>
          <w:sz w:val="22"/>
          <w:szCs w:val="22"/>
        </w:rPr>
        <w:t xml:space="preserve">iera zrušenia zmlúv </w:t>
      </w:r>
      <w:r w:rsidRPr="00537775">
        <w:rPr>
          <w:rFonts w:ascii="Cambria" w:hAnsi="Cambria"/>
          <w:sz w:val="22"/>
          <w:szCs w:val="22"/>
        </w:rPr>
        <w:t xml:space="preserve">sa uvádza </w:t>
      </w:r>
      <w:r w:rsidR="00D0000A" w:rsidRPr="00537775">
        <w:rPr>
          <w:rFonts w:ascii="Cambria" w:hAnsi="Cambria"/>
          <w:sz w:val="22"/>
          <w:szCs w:val="22"/>
        </w:rPr>
        <w:t xml:space="preserve">hodnota, ktorú poisťovňa používa vo výpočte technických rezerv. </w:t>
      </w:r>
    </w:p>
    <w:p w14:paraId="7C80BEEA" w14:textId="186385CA" w:rsidR="00B432EA" w:rsidRPr="00537775" w:rsidRDefault="00012FCC" w:rsidP="007E6FF1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7775">
        <w:rPr>
          <w:rFonts w:ascii="Cambria" w:hAnsi="Cambria"/>
          <w:sz w:val="22"/>
          <w:szCs w:val="22"/>
        </w:rPr>
        <w:t>V kolónke „</w:t>
      </w:r>
      <w:r w:rsidR="00666CFE" w:rsidRPr="00537775">
        <w:rPr>
          <w:rFonts w:ascii="Cambria" w:hAnsi="Cambria"/>
          <w:b/>
          <w:sz w:val="22"/>
          <w:szCs w:val="22"/>
        </w:rPr>
        <w:t>Expozícia voči riziku</w:t>
      </w:r>
      <w:r w:rsidRPr="00537775">
        <w:rPr>
          <w:rFonts w:ascii="Cambria" w:hAnsi="Cambria"/>
          <w:b/>
          <w:sz w:val="22"/>
          <w:szCs w:val="22"/>
        </w:rPr>
        <w:t xml:space="preserve">“ </w:t>
      </w:r>
      <w:r w:rsidRPr="00537775">
        <w:rPr>
          <w:rFonts w:ascii="Cambria" w:hAnsi="Cambria"/>
          <w:sz w:val="22"/>
          <w:szCs w:val="22"/>
        </w:rPr>
        <w:t xml:space="preserve">sa uvedie hodnota poistných zmlúv </w:t>
      </w:r>
      <w:r w:rsidR="00184080" w:rsidRPr="00537775">
        <w:rPr>
          <w:rFonts w:ascii="Cambria" w:hAnsi="Cambria"/>
          <w:sz w:val="22"/>
          <w:szCs w:val="22"/>
        </w:rPr>
        <w:t>zarátaný podľa dĺžky ich trvania pre vybraný rok poistenia a</w:t>
      </w:r>
      <w:r w:rsidRPr="00537775">
        <w:rPr>
          <w:rFonts w:ascii="Cambria" w:hAnsi="Cambria"/>
          <w:sz w:val="22"/>
          <w:szCs w:val="22"/>
        </w:rPr>
        <w:t xml:space="preserve"> typ poistenia</w:t>
      </w:r>
      <w:r w:rsidR="00460249" w:rsidRPr="00537775">
        <w:rPr>
          <w:rFonts w:ascii="Cambria" w:hAnsi="Cambria"/>
          <w:sz w:val="22"/>
          <w:szCs w:val="22"/>
        </w:rPr>
        <w:t xml:space="preserve">. </w:t>
      </w:r>
    </w:p>
    <w:p w14:paraId="71C2B92A" w14:textId="7A33A14C" w:rsidR="00184080" w:rsidRPr="00537775" w:rsidRDefault="00184080" w:rsidP="00302954">
      <w:pPr>
        <w:spacing w:before="120" w:after="0" w:line="240" w:lineRule="auto"/>
        <w:ind w:left="426"/>
        <w:jc w:val="lowKashida"/>
        <w:rPr>
          <w:rFonts w:ascii="Cambria" w:eastAsia="Times New Roman" w:hAnsi="Cambria" w:cs="Times New Roman"/>
          <w:lang w:eastAsia="sk-SK"/>
        </w:rPr>
      </w:pPr>
      <w:r w:rsidRPr="00537775">
        <w:rPr>
          <w:rFonts w:ascii="Cambria" w:eastAsia="Times New Roman" w:hAnsi="Cambria" w:cs="Times New Roman"/>
          <w:lang w:eastAsia="sk-SK"/>
        </w:rPr>
        <w:t>Expozíciou voči riziku sa rozumie počet osôb poistených na príslušné riziko v členení podľa pohlavia a</w:t>
      </w:r>
      <w:r w:rsidR="00666CFE" w:rsidRPr="00537775">
        <w:rPr>
          <w:rFonts w:ascii="Cambria" w:eastAsia="Times New Roman" w:hAnsi="Cambria" w:cs="Times New Roman"/>
          <w:lang w:eastAsia="sk-SK"/>
        </w:rPr>
        <w:t> </w:t>
      </w:r>
      <w:r w:rsidRPr="00537775">
        <w:rPr>
          <w:rFonts w:ascii="Cambria" w:eastAsia="Times New Roman" w:hAnsi="Cambria" w:cs="Times New Roman"/>
          <w:lang w:eastAsia="sk-SK"/>
        </w:rPr>
        <w:t>veku</w:t>
      </w:r>
      <w:r w:rsidR="00666CFE" w:rsidRPr="00537775">
        <w:rPr>
          <w:rFonts w:ascii="Cambria" w:eastAsia="Times New Roman" w:hAnsi="Cambria" w:cs="Times New Roman"/>
          <w:lang w:eastAsia="sk-SK"/>
        </w:rPr>
        <w:t>, ak poisťovňa tieto údaje v taktom členené sleduje,</w:t>
      </w:r>
      <w:r w:rsidRPr="00537775">
        <w:rPr>
          <w:rFonts w:ascii="Cambria" w:eastAsia="Times New Roman" w:hAnsi="Cambria" w:cs="Times New Roman"/>
          <w:lang w:eastAsia="sk-SK"/>
        </w:rPr>
        <w:t xml:space="preserve"> upravený podľa dĺžky trvania zmluvy. Expozícia voči riziku sa vypočíta </w:t>
      </w:r>
      <w:r w:rsidR="00302954" w:rsidRPr="00537775">
        <w:rPr>
          <w:rFonts w:ascii="Cambria" w:eastAsia="Times New Roman" w:hAnsi="Cambria" w:cs="Times New Roman"/>
          <w:lang w:eastAsia="sk-SK"/>
        </w:rPr>
        <w:t xml:space="preserve">ako súčet </w:t>
      </w:r>
      <w:r w:rsidRPr="00537775">
        <w:rPr>
          <w:rFonts w:ascii="Cambria" w:eastAsia="Times New Roman" w:hAnsi="Cambria" w:cs="Times New Roman"/>
          <w:lang w:eastAsia="sk-SK"/>
        </w:rPr>
        <w:t>podľa vzorca</w:t>
      </w:r>
      <w:r w:rsidR="00302954" w:rsidRPr="00537775">
        <w:rPr>
          <w:rFonts w:ascii="Cambria" w:eastAsia="Times New Roman" w:hAnsi="Cambria" w:cs="Times New Roman"/>
          <w:lang w:eastAsia="sk-SK"/>
        </w:rPr>
        <w:t>:</w:t>
      </w:r>
      <w:r w:rsidRPr="00537775">
        <w:rPr>
          <w:rFonts w:ascii="Cambria" w:eastAsia="Times New Roman" w:hAnsi="Cambria" w:cs="Times New Roman"/>
          <w:lang w:eastAsia="sk-SK"/>
        </w:rPr>
        <w:t xml:space="preserve"> </w:t>
      </w:r>
    </w:p>
    <w:p w14:paraId="56466BA1" w14:textId="07B8D8FF" w:rsidR="00184080" w:rsidRPr="00537775" w:rsidRDefault="004B35C3" w:rsidP="00302954">
      <w:pPr>
        <w:spacing w:before="240"/>
        <w:ind w:left="426"/>
        <w:jc w:val="both"/>
        <w:rPr>
          <w:rFonts w:ascii="Cambria" w:eastAsia="Times New Roman" w:hAnsi="Cambria" w:cs="Times New Roman"/>
          <w:lang w:eastAsia="sk-SK"/>
        </w:rPr>
      </w:pPr>
      <m:oMath>
        <m:nary>
          <m:naryPr>
            <m:chr m:val="∑"/>
            <m:ctrlPr>
              <w:rPr>
                <w:rFonts w:ascii="Cambria Math" w:eastAsia="Times New Roman" w:hAnsi="Cambria" w:cs="Times New Roman"/>
                <w:i/>
                <w:lang w:eastAsia="sk-SK"/>
              </w:rPr>
            </m:ctrlPr>
          </m:naryPr>
          <m:sub>
            <m:r>
              <w:rPr>
                <w:rFonts w:ascii="Cambria Math" w:eastAsia="Times New Roman" w:hAnsi="Cambria" w:cs="Times New Roman"/>
                <w:lang w:eastAsia="sk-SK"/>
              </w:rPr>
              <m:t>i=1</m:t>
            </m:r>
          </m:sub>
          <m:sup>
            <m:r>
              <w:rPr>
                <w:rFonts w:ascii="Cambria Math" w:eastAsia="Times New Roman" w:hAnsi="Cambria" w:cs="Times New Roman"/>
                <w:lang w:eastAsia="sk-SK"/>
              </w:rPr>
              <m:t>N</m:t>
            </m:r>
          </m:sup>
          <m:e>
            <m:r>
              <w:rPr>
                <w:rFonts w:ascii="Cambria Math" w:eastAsia="Times New Roman" w:hAnsi="Cambria" w:cs="Times New Roman"/>
                <w:lang w:eastAsia="sk-SK"/>
              </w:rPr>
              <m:t xml:space="preserve"> i/365</m:t>
            </m:r>
          </m:e>
        </m:nary>
      </m:oMath>
      <w:r w:rsidR="00184080" w:rsidRPr="00537775">
        <w:rPr>
          <w:rFonts w:ascii="Cambria" w:eastAsia="Times New Roman" w:hAnsi="Cambria" w:cs="Times New Roman"/>
          <w:lang w:eastAsia="sk-SK"/>
        </w:rPr>
        <w:t xml:space="preserve"> ,</w:t>
      </w:r>
    </w:p>
    <w:p w14:paraId="669BE491" w14:textId="51856E06" w:rsidR="00184080" w:rsidRPr="00537775" w:rsidRDefault="00184080" w:rsidP="00302954">
      <w:pPr>
        <w:spacing w:before="240"/>
        <w:ind w:left="426"/>
        <w:jc w:val="both"/>
        <w:rPr>
          <w:rFonts w:ascii="Cambria" w:eastAsia="Times New Roman" w:hAnsi="Cambria" w:cs="Times New Roman"/>
          <w:lang w:eastAsia="sk-SK"/>
        </w:rPr>
      </w:pPr>
      <w:r w:rsidRPr="00537775">
        <w:rPr>
          <w:rFonts w:ascii="Cambria" w:eastAsia="Times New Roman" w:hAnsi="Cambria" w:cs="Times New Roman"/>
          <w:lang w:eastAsia="sk-SK"/>
        </w:rPr>
        <w:t xml:space="preserve">kde </w:t>
      </w:r>
      <w:r w:rsidR="00302954" w:rsidRPr="00537775">
        <w:rPr>
          <w:rFonts w:ascii="Cambria" w:eastAsia="Times New Roman" w:hAnsi="Cambria" w:cs="Times New Roman"/>
          <w:lang w:eastAsia="sk-SK"/>
        </w:rPr>
        <w:t>premenná i vyjadruje počet dní poistného krytia osoby i v danom roku a premenná N</w:t>
      </w:r>
      <w:r w:rsidRPr="00537775">
        <w:rPr>
          <w:rFonts w:ascii="Cambria" w:eastAsia="Times New Roman" w:hAnsi="Cambria" w:cs="Times New Roman"/>
          <w:lang w:eastAsia="sk-SK"/>
        </w:rPr>
        <w:t xml:space="preserve"> </w:t>
      </w:r>
      <w:r w:rsidR="00302954" w:rsidRPr="00537775">
        <w:rPr>
          <w:rFonts w:ascii="Cambria" w:eastAsia="Times New Roman" w:hAnsi="Cambria" w:cs="Times New Roman"/>
          <w:lang w:eastAsia="sk-SK"/>
        </w:rPr>
        <w:t>vyjadruje</w:t>
      </w:r>
      <w:r w:rsidRPr="00537775">
        <w:rPr>
          <w:rFonts w:ascii="Cambria" w:eastAsia="Times New Roman" w:hAnsi="Cambria" w:cs="Times New Roman"/>
          <w:lang w:eastAsia="sk-SK"/>
        </w:rPr>
        <w:t xml:space="preserve"> počet osôb poistených na dané riziko v sledovanom roku.</w:t>
      </w:r>
    </w:p>
    <w:p w14:paraId="22E7D999" w14:textId="61B5BF68" w:rsidR="00012FCC" w:rsidRDefault="00012FCC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7775">
        <w:rPr>
          <w:rFonts w:ascii="Cambria" w:hAnsi="Cambria"/>
          <w:sz w:val="22"/>
          <w:szCs w:val="22"/>
        </w:rPr>
        <w:t>V kolónke „</w:t>
      </w:r>
      <w:r w:rsidRPr="00537775">
        <w:rPr>
          <w:rFonts w:ascii="Cambria" w:hAnsi="Cambria"/>
          <w:b/>
          <w:sz w:val="22"/>
          <w:szCs w:val="22"/>
        </w:rPr>
        <w:t>Počet zmlúv</w:t>
      </w:r>
      <w:r w:rsidRPr="00012FCC">
        <w:rPr>
          <w:rFonts w:ascii="Cambria" w:hAnsi="Cambria"/>
          <w:b/>
          <w:sz w:val="22"/>
          <w:szCs w:val="22"/>
        </w:rPr>
        <w:t>, ktoré ukončili poistenie v roku poistenia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počet zrušených zmlúv z vybraného obdobia roku poistenia, ktoré boli </w:t>
      </w:r>
      <w:r w:rsidR="003F74B7">
        <w:rPr>
          <w:rFonts w:ascii="Cambria" w:hAnsi="Cambria"/>
          <w:sz w:val="22"/>
          <w:szCs w:val="22"/>
        </w:rPr>
        <w:t xml:space="preserve">klientom </w:t>
      </w:r>
      <w:r>
        <w:rPr>
          <w:rFonts w:ascii="Cambria" w:hAnsi="Cambria"/>
          <w:sz w:val="22"/>
          <w:szCs w:val="22"/>
        </w:rPr>
        <w:t xml:space="preserve">k dátumu vykazovania zrušené. </w:t>
      </w:r>
    </w:p>
    <w:p w14:paraId="689C0DCD" w14:textId="3E219938" w:rsidR="00E72EA8" w:rsidRDefault="00E72EA8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1F27E7">
        <w:rPr>
          <w:rFonts w:ascii="Cambria" w:hAnsi="Cambria"/>
          <w:sz w:val="22"/>
          <w:szCs w:val="22"/>
        </w:rPr>
        <w:t>V kolónke „</w:t>
      </w:r>
      <w:r w:rsidR="00414970" w:rsidRPr="00414970">
        <w:rPr>
          <w:rFonts w:ascii="Cambria" w:hAnsi="Cambria"/>
          <w:b/>
          <w:sz w:val="22"/>
          <w:szCs w:val="22"/>
        </w:rPr>
        <w:t>Technická úroková miera v kalkulácii poistného (v %)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</w:t>
      </w:r>
      <w:r w:rsidR="00414970">
        <w:rPr>
          <w:rFonts w:ascii="Cambria" w:hAnsi="Cambria"/>
          <w:sz w:val="22"/>
          <w:szCs w:val="22"/>
        </w:rPr>
        <w:t xml:space="preserve">percentuálna hodnota, ktorú poisťovňa garantuje klientom v poistnej zmluve. </w:t>
      </w:r>
    </w:p>
    <w:p w14:paraId="29FFBD9B" w14:textId="508746FF" w:rsidR="00020CFF" w:rsidRDefault="00020CFF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r w:rsidRPr="001F27E7">
        <w:rPr>
          <w:rFonts w:ascii="Cambria" w:hAnsi="Cambria"/>
          <w:sz w:val="22"/>
          <w:szCs w:val="22"/>
        </w:rPr>
        <w:t>kolónke „</w:t>
      </w:r>
      <w:r>
        <w:rPr>
          <w:rFonts w:ascii="Cambria" w:hAnsi="Cambria"/>
          <w:b/>
          <w:sz w:val="22"/>
          <w:szCs w:val="22"/>
        </w:rPr>
        <w:t>Počet zmlúv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počet zmlúv platných k dátumu vykazovania. </w:t>
      </w:r>
    </w:p>
    <w:p w14:paraId="4BC2A915" w14:textId="2693D895" w:rsidR="00020CFF" w:rsidRDefault="00020CFF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r w:rsidRPr="001F27E7">
        <w:rPr>
          <w:rFonts w:ascii="Cambria" w:hAnsi="Cambria"/>
          <w:sz w:val="22"/>
          <w:szCs w:val="22"/>
        </w:rPr>
        <w:t>kolónke „</w:t>
      </w:r>
      <w:r w:rsidR="007045FD" w:rsidRPr="007045FD">
        <w:rPr>
          <w:rFonts w:ascii="Cambria" w:hAnsi="Cambria"/>
          <w:b/>
          <w:sz w:val="22"/>
          <w:szCs w:val="22"/>
        </w:rPr>
        <w:t>Predpísané poistné prislúchajúce technickej úrokovej miere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>ie</w:t>
      </w:r>
      <w:r w:rsidR="007045FD">
        <w:rPr>
          <w:rFonts w:ascii="Cambria" w:hAnsi="Cambria"/>
          <w:sz w:val="22"/>
          <w:szCs w:val="22"/>
        </w:rPr>
        <w:t xml:space="preserve"> celkové predpísané poistné prislúchajúce k danej technickej úrokovej miere. </w:t>
      </w:r>
    </w:p>
    <w:p w14:paraId="10E8A359" w14:textId="77748B4E" w:rsidR="007045FD" w:rsidRDefault="007045FD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 </w:t>
      </w:r>
      <w:r w:rsidRPr="001F27E7">
        <w:rPr>
          <w:rFonts w:ascii="Cambria" w:hAnsi="Cambria"/>
          <w:sz w:val="22"/>
          <w:szCs w:val="22"/>
        </w:rPr>
        <w:t>kolónke „</w:t>
      </w:r>
      <w:r w:rsidRPr="007045FD">
        <w:rPr>
          <w:rFonts w:ascii="Cambria" w:hAnsi="Cambria"/>
          <w:b/>
          <w:sz w:val="22"/>
          <w:szCs w:val="22"/>
        </w:rPr>
        <w:t>Technická úroková miera použitá v kalkulácii rezerv (v %)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technická úroková miera, ktorú poisťovňa používa vo výpočte technických rezerv. </w:t>
      </w:r>
    </w:p>
    <w:p w14:paraId="4D112AAB" w14:textId="771B5BFD" w:rsidR="007045FD" w:rsidRDefault="007045FD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 ko</w:t>
      </w:r>
      <w:r w:rsidRPr="001F27E7">
        <w:rPr>
          <w:rFonts w:ascii="Cambria" w:hAnsi="Cambria"/>
          <w:sz w:val="22"/>
          <w:szCs w:val="22"/>
        </w:rPr>
        <w:t>lónke „</w:t>
      </w:r>
      <w:r w:rsidRPr="007045FD">
        <w:rPr>
          <w:rFonts w:ascii="Cambria" w:hAnsi="Cambria"/>
          <w:b/>
          <w:sz w:val="22"/>
          <w:szCs w:val="22"/>
        </w:rPr>
        <w:t>Poistná suma (suma v riziku)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celková hodnota za všetky platné zmluvy k príslušnej úrokovej miere, ktorú sa poisťovňa zaviazala klientom vyplatiť v rámci poistného plnenia. </w:t>
      </w:r>
    </w:p>
    <w:p w14:paraId="2319F6BA" w14:textId="145F5F78" w:rsidR="007045FD" w:rsidRPr="00E13894" w:rsidRDefault="007045FD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V ko</w:t>
      </w:r>
      <w:r w:rsidRPr="001F27E7">
        <w:rPr>
          <w:rFonts w:ascii="Cambria" w:hAnsi="Cambria"/>
          <w:sz w:val="22"/>
          <w:szCs w:val="22"/>
        </w:rPr>
        <w:t>lónke „</w:t>
      </w:r>
      <w:r w:rsidRPr="007045FD">
        <w:rPr>
          <w:rFonts w:ascii="Cambria" w:hAnsi="Cambria"/>
          <w:b/>
          <w:sz w:val="22"/>
          <w:szCs w:val="22"/>
        </w:rPr>
        <w:t>Technická rezerva na životné poistenie</w:t>
      </w:r>
      <w:r w:rsidRPr="001F27E7">
        <w:rPr>
          <w:rFonts w:ascii="Cambria" w:hAnsi="Cambria"/>
          <w:b/>
          <w:sz w:val="22"/>
          <w:szCs w:val="22"/>
        </w:rPr>
        <w:t xml:space="preserve">“ </w:t>
      </w:r>
      <w:r w:rsidRPr="001F27E7">
        <w:rPr>
          <w:rFonts w:ascii="Cambria" w:hAnsi="Cambria"/>
          <w:sz w:val="22"/>
          <w:szCs w:val="22"/>
        </w:rPr>
        <w:t>sa uved</w:t>
      </w:r>
      <w:r>
        <w:rPr>
          <w:rFonts w:ascii="Cambria" w:hAnsi="Cambria"/>
          <w:sz w:val="22"/>
          <w:szCs w:val="22"/>
        </w:rPr>
        <w:t xml:space="preserve">ie celková hodnota vytvorenej technickej rezervy na životné poistenie prislúchajúca k danej úrokovej miere za všetky platné zmluvy k dátumu vykazovania. </w:t>
      </w:r>
    </w:p>
    <w:p w14:paraId="46FDFECA" w14:textId="77777777" w:rsidR="00E13894" w:rsidRPr="00E13894" w:rsidRDefault="00E13894" w:rsidP="00E13894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Fixné náklady na zmluvu“ </w:t>
      </w:r>
      <w:r w:rsidRPr="00E13894">
        <w:rPr>
          <w:rFonts w:ascii="Cambria" w:hAnsi="Cambria"/>
          <w:sz w:val="22"/>
          <w:szCs w:val="22"/>
        </w:rPr>
        <w:t xml:space="preserve">sa uvádza hodnota fixných nákladov k danému produktu na jednu zmluvu použitá v kalkulácii technických rezerv. </w:t>
      </w:r>
    </w:p>
    <w:p w14:paraId="19245C62" w14:textId="3D1066A2" w:rsidR="00E13894" w:rsidRDefault="00E13894" w:rsidP="00E13894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 xml:space="preserve">V kolónke </w:t>
      </w:r>
      <w:r w:rsidRPr="00E13894">
        <w:rPr>
          <w:rFonts w:ascii="Cambria" w:hAnsi="Cambria"/>
          <w:b/>
          <w:sz w:val="22"/>
          <w:szCs w:val="22"/>
        </w:rPr>
        <w:t>„Sadzba ročných nákladov z poistného v %“</w:t>
      </w:r>
      <w:r w:rsidRPr="00E13894">
        <w:rPr>
          <w:rFonts w:ascii="Cambria" w:hAnsi="Cambria"/>
          <w:sz w:val="22"/>
          <w:szCs w:val="22"/>
        </w:rPr>
        <w:t xml:space="preserve"> sa uvádza percentuálna  hodnota ročných nákladov prislúchajúcich k danému produktu na 1 zmluvu. </w:t>
      </w:r>
    </w:p>
    <w:p w14:paraId="393E1CEF" w14:textId="2F136FD1" w:rsidR="00537775" w:rsidRPr="00E13894" w:rsidRDefault="00537775" w:rsidP="00E13894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537775">
        <w:rPr>
          <w:rFonts w:ascii="Cambria" w:hAnsi="Cambria"/>
          <w:b/>
          <w:sz w:val="22"/>
          <w:szCs w:val="22"/>
        </w:rPr>
        <w:t>Sadzba ročných nákladov z rezervy, resp. fondu v %</w:t>
      </w:r>
      <w:r w:rsidRPr="00E13894">
        <w:rPr>
          <w:rFonts w:ascii="Cambria" w:hAnsi="Cambria"/>
          <w:b/>
          <w:sz w:val="22"/>
          <w:szCs w:val="22"/>
        </w:rPr>
        <w:t xml:space="preserve">“ </w:t>
      </w:r>
      <w:r w:rsidRPr="00E13894">
        <w:rPr>
          <w:rFonts w:ascii="Cambria" w:hAnsi="Cambria"/>
          <w:sz w:val="22"/>
          <w:szCs w:val="22"/>
        </w:rPr>
        <w:t xml:space="preserve">sa uvádza miera ročných nákladov prislúchajúcich k poistnej </w:t>
      </w:r>
      <w:r>
        <w:rPr>
          <w:rFonts w:ascii="Cambria" w:hAnsi="Cambria"/>
          <w:sz w:val="22"/>
          <w:szCs w:val="22"/>
        </w:rPr>
        <w:t>zmluve, ktorú poisťovňa používa pri výpočte technických rezerv</w:t>
      </w:r>
      <w:r w:rsidRPr="00E13894">
        <w:rPr>
          <w:rFonts w:ascii="Cambria" w:hAnsi="Cambria"/>
          <w:sz w:val="22"/>
          <w:szCs w:val="22"/>
        </w:rPr>
        <w:t xml:space="preserve"> prislúchajúcich k danému produktu na jednu zmluvu.</w:t>
      </w:r>
    </w:p>
    <w:p w14:paraId="22F8DCA4" w14:textId="77777777" w:rsidR="00E13894" w:rsidRPr="00E13894" w:rsidRDefault="00E13894" w:rsidP="00E13894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Sadzba ročných nákladov z poistnej sumy (dôchodku alebo jednorazovej sumy) v %“ </w:t>
      </w:r>
      <w:r w:rsidRPr="00E13894">
        <w:rPr>
          <w:rFonts w:ascii="Cambria" w:hAnsi="Cambria"/>
          <w:sz w:val="22"/>
          <w:szCs w:val="22"/>
        </w:rPr>
        <w:t xml:space="preserve">sa uvádza miera ročných nákladov prislúchajúcich k poistnej sume, alebo dôchodku prislúchajúcich k danému produktu na jednu zmluvu. </w:t>
      </w:r>
    </w:p>
    <w:p w14:paraId="40354C88" w14:textId="77777777" w:rsidR="00E13894" w:rsidRPr="00E13894" w:rsidRDefault="00E13894" w:rsidP="00E13894">
      <w:pPr>
        <w:pStyle w:val="ListParagraph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Nákladová inflácia </w:t>
      </w:r>
      <w:proofErr w:type="spellStart"/>
      <w:r w:rsidRPr="00E13894">
        <w:rPr>
          <w:rFonts w:ascii="Cambria" w:hAnsi="Cambria"/>
          <w:b/>
          <w:sz w:val="22"/>
          <w:szCs w:val="22"/>
        </w:rPr>
        <w:t>p.a</w:t>
      </w:r>
      <w:proofErr w:type="spellEnd"/>
      <w:r w:rsidRPr="00E13894">
        <w:rPr>
          <w:rFonts w:ascii="Cambria" w:hAnsi="Cambria"/>
          <w:b/>
          <w:sz w:val="22"/>
          <w:szCs w:val="22"/>
        </w:rPr>
        <w:t xml:space="preserve">.“ </w:t>
      </w:r>
      <w:r w:rsidRPr="00E13894">
        <w:rPr>
          <w:rFonts w:ascii="Cambria" w:hAnsi="Cambria"/>
          <w:sz w:val="22"/>
          <w:szCs w:val="22"/>
        </w:rPr>
        <w:t xml:space="preserve">sa uvádza miera inflácie vstupujúca do výpočtu pri oceňovaní technických rezerv. </w:t>
      </w:r>
    </w:p>
    <w:p w14:paraId="57C5C5C9" w14:textId="77777777" w:rsidR="00E13894" w:rsidRPr="00E13894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Pravdepodobnosť nastátia úrazu (ak peňažný tok je kalkulovaný prostredníctvom tejto pravdepodobnosti)“ </w:t>
      </w:r>
      <w:r w:rsidRPr="00E13894">
        <w:rPr>
          <w:rFonts w:ascii="Cambria" w:hAnsi="Cambria"/>
          <w:sz w:val="22"/>
          <w:szCs w:val="22"/>
        </w:rPr>
        <w:t xml:space="preserve">sa uvádza hodnota pravdepodobnosti vstupujúca do výpočtu pri oceňovaní technických rezerv. </w:t>
      </w:r>
    </w:p>
    <w:p w14:paraId="59419BB1" w14:textId="77777777" w:rsidR="00E13894" w:rsidRPr="00E13894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proofErr w:type="spellStart"/>
      <w:r w:rsidRPr="00E13894">
        <w:rPr>
          <w:rFonts w:ascii="Cambria" w:hAnsi="Cambria"/>
          <w:b/>
          <w:sz w:val="22"/>
          <w:szCs w:val="22"/>
        </w:rPr>
        <w:t>Škodovosť</w:t>
      </w:r>
      <w:proofErr w:type="spellEnd"/>
      <w:r w:rsidRPr="00E13894">
        <w:rPr>
          <w:rFonts w:ascii="Cambria" w:hAnsi="Cambria"/>
          <w:b/>
          <w:sz w:val="22"/>
          <w:szCs w:val="22"/>
        </w:rPr>
        <w:t xml:space="preserve"> pripoistenia úrazu (pre pripoistenia kalkulované prostredníctvom </w:t>
      </w:r>
      <w:proofErr w:type="spellStart"/>
      <w:r w:rsidRPr="00E13894">
        <w:rPr>
          <w:rFonts w:ascii="Cambria" w:hAnsi="Cambria"/>
          <w:b/>
          <w:sz w:val="22"/>
          <w:szCs w:val="22"/>
        </w:rPr>
        <w:t>škodovosti</w:t>
      </w:r>
      <w:proofErr w:type="spellEnd"/>
      <w:r w:rsidRPr="00E13894">
        <w:rPr>
          <w:rFonts w:ascii="Cambria" w:hAnsi="Cambria"/>
          <w:b/>
          <w:sz w:val="22"/>
          <w:szCs w:val="22"/>
        </w:rPr>
        <w:t xml:space="preserve">)“ </w:t>
      </w:r>
      <w:r w:rsidRPr="00E13894">
        <w:rPr>
          <w:rFonts w:ascii="Cambria" w:hAnsi="Cambria"/>
          <w:sz w:val="22"/>
          <w:szCs w:val="22"/>
        </w:rPr>
        <w:t xml:space="preserve">sa uvádza hodnota </w:t>
      </w:r>
      <w:proofErr w:type="spellStart"/>
      <w:r w:rsidRPr="00E13894">
        <w:rPr>
          <w:rFonts w:ascii="Cambria" w:hAnsi="Cambria"/>
          <w:sz w:val="22"/>
          <w:szCs w:val="22"/>
        </w:rPr>
        <w:t>škodovosti</w:t>
      </w:r>
      <w:proofErr w:type="spellEnd"/>
      <w:r w:rsidRPr="00E13894">
        <w:rPr>
          <w:rFonts w:ascii="Cambria" w:hAnsi="Cambria"/>
          <w:sz w:val="22"/>
          <w:szCs w:val="22"/>
        </w:rPr>
        <w:t xml:space="preserve"> pripoistenia úrazov vstupujúca do výpočtu pri oceňovaní technických rezerv. </w:t>
      </w:r>
    </w:p>
    <w:p w14:paraId="44FEAFD0" w14:textId="6CE1E2C0" w:rsidR="00E13894" w:rsidRPr="006E7610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Skupina činnosti“ </w:t>
      </w:r>
      <w:r w:rsidRPr="00E13894">
        <w:rPr>
          <w:rFonts w:ascii="Cambria" w:hAnsi="Cambria"/>
          <w:color w:val="000000"/>
          <w:sz w:val="22"/>
          <w:szCs w:val="22"/>
        </w:rPr>
        <w:t>sa uvádza činnosť poisťovne podľa Prílohy I delegovaného nariadenia Európskej komisie (EÚ) č. 2015/35 z 10. októbra 2014, ktorým sa dopĺňa smernica Európskeho parlamentu a Rady 2009/138/ES o začatí a vykonávaní poistenia a zaistenia (Solventnosť II), ktorej sa sťažnosť týka.</w:t>
      </w:r>
    </w:p>
    <w:p w14:paraId="79ABA895" w14:textId="77777777" w:rsidR="00E13894" w:rsidRPr="00E13894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 xml:space="preserve">Predávaný/nepredávaný“ </w:t>
      </w:r>
      <w:r w:rsidRPr="00E13894">
        <w:rPr>
          <w:rFonts w:ascii="Cambria" w:hAnsi="Cambria"/>
          <w:sz w:val="22"/>
          <w:szCs w:val="22"/>
        </w:rPr>
        <w:t>uvádza sa „A“, ak je produkt predávaný alebo „N“, ak sa produkt nepredáva. Údaj sa týka celého vykazovacieho obdobia.</w:t>
      </w:r>
    </w:p>
    <w:p w14:paraId="496F5D28" w14:textId="77777777" w:rsidR="00E13894" w:rsidRPr="00E13894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V kolónke „</w:t>
      </w:r>
      <w:r w:rsidRPr="00E13894">
        <w:rPr>
          <w:rFonts w:ascii="Cambria" w:hAnsi="Cambria"/>
          <w:b/>
          <w:sz w:val="22"/>
          <w:szCs w:val="22"/>
        </w:rPr>
        <w:t>Popis produktu“</w:t>
      </w:r>
      <w:r w:rsidRPr="00E13894">
        <w:rPr>
          <w:rFonts w:ascii="Cambria" w:hAnsi="Cambria"/>
          <w:sz w:val="22"/>
          <w:szCs w:val="22"/>
        </w:rPr>
        <w:t xml:space="preserve"> sa uvádza stručný popis produktu, napr. či ide o tradičné životné poistenie, alebo poistenie viazané na jednotky fondu, či sa oddeľuje fond, alebo sa ráta finančný tok ako celok, stručný popis hlavného krytia a pripoistení, prípadne výluky z poistenia.</w:t>
      </w:r>
    </w:p>
    <w:p w14:paraId="50559947" w14:textId="77777777" w:rsidR="00E13894" w:rsidRPr="00E13894" w:rsidRDefault="00E13894" w:rsidP="00E13894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sz w:val="22"/>
          <w:szCs w:val="22"/>
        </w:rPr>
        <w:t>Použité skratky:</w:t>
      </w:r>
    </w:p>
    <w:p w14:paraId="7EE61926" w14:textId="77777777" w:rsidR="00E13894" w:rsidRPr="00E13894" w:rsidRDefault="00E13894" w:rsidP="00E13894">
      <w:pPr>
        <w:pStyle w:val="ListParagraph"/>
        <w:tabs>
          <w:tab w:val="left" w:pos="284"/>
        </w:tabs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E13894">
        <w:rPr>
          <w:rFonts w:ascii="Cambria" w:hAnsi="Cambria"/>
          <w:b/>
          <w:sz w:val="22"/>
          <w:szCs w:val="22"/>
        </w:rPr>
        <w:t>č.r</w:t>
      </w:r>
      <w:proofErr w:type="spellEnd"/>
      <w:r w:rsidRPr="00E13894">
        <w:rPr>
          <w:rFonts w:ascii="Cambria" w:hAnsi="Cambria"/>
          <w:b/>
          <w:sz w:val="22"/>
          <w:szCs w:val="22"/>
        </w:rPr>
        <w:t>.</w:t>
      </w:r>
      <w:r w:rsidRPr="00E13894">
        <w:rPr>
          <w:rFonts w:ascii="Cambria" w:hAnsi="Cambria"/>
          <w:sz w:val="22"/>
          <w:szCs w:val="22"/>
        </w:rPr>
        <w:tab/>
        <w:t>číslo riadku,</w:t>
      </w:r>
    </w:p>
    <w:p w14:paraId="5C5FB745" w14:textId="4308ABD8" w:rsidR="00E13894" w:rsidRPr="00E13894" w:rsidRDefault="00E13894" w:rsidP="00666CFE">
      <w:pPr>
        <w:pStyle w:val="ListParagraph"/>
        <w:tabs>
          <w:tab w:val="left" w:pos="284"/>
        </w:tabs>
        <w:ind w:left="1418" w:hanging="992"/>
        <w:jc w:val="both"/>
        <w:rPr>
          <w:rFonts w:ascii="Cambria" w:hAnsi="Cambria"/>
          <w:sz w:val="22"/>
          <w:szCs w:val="22"/>
        </w:rPr>
      </w:pPr>
      <w:r w:rsidRPr="00E13894">
        <w:rPr>
          <w:rFonts w:ascii="Cambria" w:hAnsi="Cambria"/>
          <w:b/>
          <w:sz w:val="22"/>
          <w:szCs w:val="22"/>
        </w:rPr>
        <w:t>IS ŠZP</w:t>
      </w:r>
      <w:r w:rsidRPr="00E13894">
        <w:rPr>
          <w:rFonts w:ascii="Cambria" w:hAnsi="Cambria"/>
          <w:sz w:val="22"/>
          <w:szCs w:val="22"/>
        </w:rPr>
        <w:tab/>
        <w:t xml:space="preserve">informačný systém </w:t>
      </w:r>
      <w:r w:rsidR="001F27E7">
        <w:rPr>
          <w:rFonts w:ascii="Cambria" w:hAnsi="Cambria"/>
          <w:sz w:val="22"/>
          <w:szCs w:val="22"/>
        </w:rPr>
        <w:t>Národnej banky Slovenska Š</w:t>
      </w:r>
      <w:r w:rsidRPr="00E13894">
        <w:rPr>
          <w:rFonts w:ascii="Cambria" w:hAnsi="Cambria"/>
          <w:sz w:val="22"/>
          <w:szCs w:val="22"/>
        </w:rPr>
        <w:t>tatistický zberový portál,</w:t>
      </w:r>
      <w:r w:rsidR="00666CFE">
        <w:rPr>
          <w:rFonts w:ascii="Cambria" w:hAnsi="Cambria"/>
          <w:sz w:val="22"/>
          <w:szCs w:val="22"/>
        </w:rPr>
        <w:t xml:space="preserve"> v ktorom sú </w:t>
      </w:r>
      <w:proofErr w:type="spellStart"/>
      <w:r w:rsidR="00666CFE">
        <w:rPr>
          <w:rFonts w:ascii="Cambria" w:hAnsi="Cambria"/>
          <w:sz w:val="22"/>
          <w:szCs w:val="22"/>
        </w:rPr>
        <w:t>zverejené</w:t>
      </w:r>
      <w:proofErr w:type="spellEnd"/>
      <w:r w:rsidR="00666CFE">
        <w:rPr>
          <w:rFonts w:ascii="Cambria" w:hAnsi="Cambria"/>
          <w:sz w:val="22"/>
          <w:szCs w:val="22"/>
        </w:rPr>
        <w:t xml:space="preserve"> všetky číselníky s prípustnými hodnotami</w:t>
      </w:r>
    </w:p>
    <w:p w14:paraId="5F06C4A1" w14:textId="77777777" w:rsidR="00E13894" w:rsidRPr="00E13894" w:rsidRDefault="00E13894" w:rsidP="00E13894">
      <w:pPr>
        <w:pStyle w:val="ListParagraph"/>
        <w:tabs>
          <w:tab w:val="left" w:pos="0"/>
        </w:tabs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E13894">
        <w:rPr>
          <w:rFonts w:ascii="Cambria" w:hAnsi="Cambria"/>
          <w:b/>
          <w:sz w:val="22"/>
          <w:szCs w:val="22"/>
        </w:rPr>
        <w:t>p.a</w:t>
      </w:r>
      <w:proofErr w:type="spellEnd"/>
      <w:r w:rsidRPr="00E13894">
        <w:rPr>
          <w:rFonts w:ascii="Cambria" w:hAnsi="Cambria"/>
          <w:b/>
          <w:sz w:val="22"/>
          <w:szCs w:val="22"/>
        </w:rPr>
        <w:t>.</w:t>
      </w:r>
      <w:r w:rsidRPr="00E13894">
        <w:rPr>
          <w:rFonts w:ascii="Cambria" w:hAnsi="Cambria"/>
          <w:sz w:val="22"/>
          <w:szCs w:val="22"/>
        </w:rPr>
        <w:tab/>
        <w:t xml:space="preserve">per </w:t>
      </w:r>
      <w:proofErr w:type="spellStart"/>
      <w:r w:rsidRPr="00E13894">
        <w:rPr>
          <w:rFonts w:ascii="Cambria" w:hAnsi="Cambria"/>
          <w:sz w:val="22"/>
          <w:szCs w:val="22"/>
        </w:rPr>
        <w:t>annum</w:t>
      </w:r>
      <w:proofErr w:type="spellEnd"/>
      <w:r w:rsidRPr="00E13894">
        <w:rPr>
          <w:rFonts w:ascii="Cambria" w:hAnsi="Cambria"/>
          <w:sz w:val="22"/>
          <w:szCs w:val="22"/>
        </w:rPr>
        <w:t>.</w:t>
      </w:r>
    </w:p>
    <w:p w14:paraId="50A406A4" w14:textId="77777777" w:rsidR="00FF04B5" w:rsidRPr="00E13894" w:rsidRDefault="00FF04B5" w:rsidP="00B42F36">
      <w:pPr>
        <w:spacing w:after="0"/>
        <w:rPr>
          <w:rFonts w:ascii="Cambria" w:hAnsi="Cambria"/>
        </w:rPr>
      </w:pPr>
    </w:p>
    <w:sectPr w:rsidR="00FF04B5" w:rsidRPr="00E138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F13A" w14:textId="77777777" w:rsidR="00F6343B" w:rsidRDefault="00F6343B" w:rsidP="0009480D">
      <w:pPr>
        <w:spacing w:after="0" w:line="240" w:lineRule="auto"/>
      </w:pPr>
      <w:r>
        <w:separator/>
      </w:r>
    </w:p>
  </w:endnote>
  <w:endnote w:type="continuationSeparator" w:id="0">
    <w:p w14:paraId="18BCCFD1" w14:textId="77777777" w:rsidR="00F6343B" w:rsidRDefault="00F6343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86B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6779" w14:textId="77777777" w:rsidR="00F6343B" w:rsidRDefault="00F6343B" w:rsidP="0009480D">
      <w:pPr>
        <w:spacing w:after="0" w:line="240" w:lineRule="auto"/>
      </w:pPr>
      <w:r>
        <w:separator/>
      </w:r>
    </w:p>
  </w:footnote>
  <w:footnote w:type="continuationSeparator" w:id="0">
    <w:p w14:paraId="18D419EB" w14:textId="77777777" w:rsidR="00F6343B" w:rsidRDefault="00F6343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F73D6"/>
    <w:multiLevelType w:val="hybridMultilevel"/>
    <w:tmpl w:val="78C23CB0"/>
    <w:lvl w:ilvl="0" w:tplc="B67A0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163B87"/>
    <w:multiLevelType w:val="hybridMultilevel"/>
    <w:tmpl w:val="FDCE7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94"/>
    <w:rsid w:val="00012FCC"/>
    <w:rsid w:val="00020CFF"/>
    <w:rsid w:val="0009480D"/>
    <w:rsid w:val="00130860"/>
    <w:rsid w:val="001663B6"/>
    <w:rsid w:val="00181B98"/>
    <w:rsid w:val="00184080"/>
    <w:rsid w:val="001A694C"/>
    <w:rsid w:val="001D01FE"/>
    <w:rsid w:val="001D5F9F"/>
    <w:rsid w:val="001F27E7"/>
    <w:rsid w:val="00225679"/>
    <w:rsid w:val="002A2A0E"/>
    <w:rsid w:val="002B4CD0"/>
    <w:rsid w:val="00302954"/>
    <w:rsid w:val="003636B5"/>
    <w:rsid w:val="00392F01"/>
    <w:rsid w:val="003D5BB6"/>
    <w:rsid w:val="003D776D"/>
    <w:rsid w:val="003F74B7"/>
    <w:rsid w:val="004100B0"/>
    <w:rsid w:val="00414970"/>
    <w:rsid w:val="00445B18"/>
    <w:rsid w:val="00460249"/>
    <w:rsid w:val="004B35C3"/>
    <w:rsid w:val="004D7E2D"/>
    <w:rsid w:val="004E3CAB"/>
    <w:rsid w:val="00515EE3"/>
    <w:rsid w:val="005316F2"/>
    <w:rsid w:val="00537775"/>
    <w:rsid w:val="00564381"/>
    <w:rsid w:val="005939CC"/>
    <w:rsid w:val="005A1CD3"/>
    <w:rsid w:val="006470E3"/>
    <w:rsid w:val="00666CFE"/>
    <w:rsid w:val="006B386F"/>
    <w:rsid w:val="006E7610"/>
    <w:rsid w:val="007045FD"/>
    <w:rsid w:val="007378D4"/>
    <w:rsid w:val="00782367"/>
    <w:rsid w:val="00787300"/>
    <w:rsid w:val="00807FD9"/>
    <w:rsid w:val="008F5F52"/>
    <w:rsid w:val="009841D6"/>
    <w:rsid w:val="00986D25"/>
    <w:rsid w:val="009A6FA0"/>
    <w:rsid w:val="00A719D6"/>
    <w:rsid w:val="00A91672"/>
    <w:rsid w:val="00AE784A"/>
    <w:rsid w:val="00B31C02"/>
    <w:rsid w:val="00B42F36"/>
    <w:rsid w:val="00B432EA"/>
    <w:rsid w:val="00BA4BE5"/>
    <w:rsid w:val="00C3197F"/>
    <w:rsid w:val="00C35E8A"/>
    <w:rsid w:val="00CB7C08"/>
    <w:rsid w:val="00CE37BA"/>
    <w:rsid w:val="00D0000A"/>
    <w:rsid w:val="00DA4ECC"/>
    <w:rsid w:val="00E13894"/>
    <w:rsid w:val="00E15023"/>
    <w:rsid w:val="00E72EA8"/>
    <w:rsid w:val="00ED76D7"/>
    <w:rsid w:val="00F10F3D"/>
    <w:rsid w:val="00F6343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C510"/>
  <w15:chartTrackingRefBased/>
  <w15:docId w15:val="{8BA5DB95-5FF2-4C06-AE7E-8CC4C470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94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13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E138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1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94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47EF-9C24-4D1A-98DB-2EFC524D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Kardošová Zuzana</dc:creator>
  <cp:keywords/>
  <dc:description/>
  <cp:lastModifiedBy>Kardošová Zuzana</cp:lastModifiedBy>
  <cp:revision>2</cp:revision>
  <dcterms:created xsi:type="dcterms:W3CDTF">2021-06-07T13:24:00Z</dcterms:created>
  <dcterms:modified xsi:type="dcterms:W3CDTF">2021-06-07T13:24:00Z</dcterms:modified>
</cp:coreProperties>
</file>