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2884B" w14:textId="79053AF5" w:rsidR="00452FEE" w:rsidRPr="00452FEE" w:rsidRDefault="00452FEE" w:rsidP="00452FEE">
      <w:pPr>
        <w:pageBreakBefore/>
        <w:spacing w:after="0" w:line="240" w:lineRule="auto"/>
        <w:ind w:left="425" w:hanging="425"/>
        <w:jc w:val="center"/>
        <w:rPr>
          <w:rFonts w:ascii="Cambria" w:eastAsia="Times New Roman" w:hAnsi="Cambria" w:cs="Times New Roman"/>
          <w:b/>
          <w:color w:val="000000"/>
        </w:rPr>
      </w:pPr>
      <w:r w:rsidRPr="00452FEE">
        <w:rPr>
          <w:rFonts w:ascii="Cambria" w:eastAsia="Times New Roman" w:hAnsi="Cambria" w:cs="Times New Roman"/>
          <w:b/>
          <w:color w:val="000000"/>
        </w:rPr>
        <w:t xml:space="preserve">Metodika na vypracúvanie hlásenia o </w:t>
      </w:r>
      <w:r w:rsidR="006F0F1D">
        <w:rPr>
          <w:rFonts w:ascii="Cambria" w:eastAsia="Times New Roman" w:hAnsi="Cambria" w:cs="Times New Roman"/>
          <w:b/>
          <w:color w:val="000000"/>
        </w:rPr>
        <w:t>osobách</w:t>
      </w:r>
      <w:r w:rsidRPr="00452FEE">
        <w:rPr>
          <w:rFonts w:ascii="Cambria" w:eastAsia="Times New Roman" w:hAnsi="Cambria" w:cs="Times New Roman"/>
          <w:b/>
          <w:color w:val="000000"/>
        </w:rPr>
        <w:t xml:space="preserve">, ktoré riadia poisťovňu alebo zaisťovňu, alebo sú zodpovedné za kľúčové funkcie </w:t>
      </w:r>
      <w:proofErr w:type="spellStart"/>
      <w:r w:rsidRPr="00452FEE">
        <w:rPr>
          <w:rFonts w:ascii="Cambria" w:eastAsia="Times New Roman" w:hAnsi="Cambria" w:cs="Times New Roman"/>
          <w:b/>
          <w:color w:val="000000"/>
        </w:rPr>
        <w:t>Sii</w:t>
      </w:r>
      <w:proofErr w:type="spellEnd"/>
      <w:r w:rsidRPr="00452FEE">
        <w:rPr>
          <w:rFonts w:ascii="Cambria" w:eastAsia="Times New Roman" w:hAnsi="Cambria" w:cs="Times New Roman"/>
          <w:b/>
          <w:color w:val="000000"/>
        </w:rPr>
        <w:t xml:space="preserve"> (ZME) 14-99</w:t>
      </w:r>
    </w:p>
    <w:p w14:paraId="62335653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66838704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V hlásení sa vykazujú všetky osoby, ktoré riadia poisťovňu alebo zaisťovňu, alebo sú zodpovedné za kľúčové funkcie podľa § 24 ods. 2 zákona. Osobitné informácie sa hlásia pri zmenách týchto osôb. </w:t>
      </w:r>
    </w:p>
    <w:p w14:paraId="5EDF8EA0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452FEE">
        <w:rPr>
          <w:rFonts w:ascii="Cambria" w:eastAsia="Times New Roman" w:hAnsi="Cambria" w:cs="Times New Roman"/>
          <w:color w:val="000000"/>
        </w:rPr>
        <w:t>A</w:t>
      </w:r>
      <w:r w:rsidRPr="00452FEE">
        <w:rPr>
          <w:rFonts w:ascii="Cambria" w:eastAsia="Times New Roman" w:hAnsi="Cambria" w:cs="Times New Roman"/>
        </w:rPr>
        <w:t>k sa mení pozícia alebo funkcia, pre ktorú sú totožné požiadavky na odbornú spôsobilosť a dôveryhodnosť ako bola doterajšia, priložia sa len:</w:t>
      </w:r>
    </w:p>
    <w:p w14:paraId="416F78BA" w14:textId="77777777" w:rsidR="00452FEE" w:rsidRPr="00452FEE" w:rsidRDefault="00452FEE" w:rsidP="00452FE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lang w:eastAsia="sk-SK"/>
        </w:rPr>
      </w:pPr>
      <w:r w:rsidRPr="00452FEE">
        <w:rPr>
          <w:rFonts w:ascii="Cambria" w:eastAsia="Times New Roman" w:hAnsi="Cambria" w:cs="Times New Roman"/>
          <w:lang w:eastAsia="sk-SK"/>
        </w:rPr>
        <w:t>prílohy vyžadované opatrením, v ktorých nastala zmena,</w:t>
      </w:r>
    </w:p>
    <w:p w14:paraId="6C7740EC" w14:textId="77777777" w:rsidR="00452FEE" w:rsidRPr="00452FEE" w:rsidRDefault="00452FEE" w:rsidP="00452FE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lang w:eastAsia="sk-SK"/>
        </w:rPr>
      </w:pPr>
      <w:r w:rsidRPr="00452FEE">
        <w:rPr>
          <w:rFonts w:ascii="Cambria" w:eastAsia="Times New Roman" w:hAnsi="Cambria" w:cs="Times New Roman"/>
          <w:lang w:eastAsia="sk-SK"/>
        </w:rPr>
        <w:t>vyhlásenie o tom, že v nepredložených prílohách nedošlo k zmene resp. nenastala taká zmena, ktorá by bola relevantná pre posúdenie odbornej spôsobilosti alebo dôveryhodnosti,</w:t>
      </w:r>
    </w:p>
    <w:p w14:paraId="36029745" w14:textId="77777777" w:rsidR="00452FEE" w:rsidRPr="00452FEE" w:rsidRDefault="00452FEE" w:rsidP="00452FE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lang w:eastAsia="sk-SK"/>
        </w:rPr>
      </w:pPr>
      <w:r w:rsidRPr="00452FEE">
        <w:rPr>
          <w:rFonts w:ascii="Cambria" w:eastAsia="Times New Roman" w:hAnsi="Cambria" w:cs="Times New Roman"/>
          <w:lang w:eastAsia="sk-SK"/>
        </w:rPr>
        <w:t>vyhlásenie, že poisťovňa alebo zaisťovňa uskutočnila hodnotenie odbornej spôsobilosti a dôveryhodnosti v súlade s právnymi predpismi, nariadeniami a koncepciou poisťovne alebo zaisťovne,</w:t>
      </w:r>
    </w:p>
    <w:p w14:paraId="1C71FD86" w14:textId="77777777" w:rsidR="00452FEE" w:rsidRPr="00452FEE" w:rsidRDefault="00452FEE" w:rsidP="00452FE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lang w:eastAsia="sk-SK"/>
        </w:rPr>
      </w:pPr>
      <w:r w:rsidRPr="00452FEE">
        <w:rPr>
          <w:rFonts w:ascii="Cambria" w:eastAsia="Times New Roman" w:hAnsi="Cambria" w:cs="Times New Roman"/>
          <w:lang w:eastAsia="sk-SK"/>
        </w:rPr>
        <w:t xml:space="preserve">vyhlásenie poisťovne alebo zaisťovne o splnení požiadaviek na odbornú spôsobilosť a dôveryhodnosť, </w:t>
      </w:r>
    </w:p>
    <w:p w14:paraId="5C17ADC8" w14:textId="77777777" w:rsidR="00452FEE" w:rsidRPr="00452FEE" w:rsidRDefault="00452FEE" w:rsidP="00452FE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lang w:eastAsia="sk-SK"/>
        </w:rPr>
      </w:pPr>
      <w:r w:rsidRPr="00452FEE">
        <w:rPr>
          <w:rFonts w:ascii="Cambria" w:eastAsia="Times New Roman" w:hAnsi="Cambria" w:cs="Times New Roman"/>
          <w:lang w:eastAsia="sk-SK"/>
        </w:rPr>
        <w:t>vyhlásenie, že informácie predložené v rámci hlásenia o zmene osôb, ktoré riadia poisťovňu alebo zaisťovňu, alebo sú zodpovedné za kľúčové funkcie sú správne, úplné, pravdivé, pravé a aktuálne.</w:t>
      </w:r>
    </w:p>
    <w:p w14:paraId="1372C307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34B09034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V kolónke „</w:t>
      </w:r>
      <w:r w:rsidRPr="00452FEE">
        <w:rPr>
          <w:rFonts w:ascii="Cambria" w:eastAsia="Times New Roman" w:hAnsi="Cambria" w:cs="Times New Roman"/>
          <w:b/>
          <w:color w:val="000000"/>
        </w:rPr>
        <w:t>Popis oznamovaných skutočností</w:t>
      </w:r>
      <w:r w:rsidRPr="00452FEE">
        <w:rPr>
          <w:rFonts w:ascii="Cambria" w:eastAsia="Times New Roman" w:hAnsi="Cambria" w:cs="Times New Roman"/>
          <w:color w:val="000000"/>
        </w:rPr>
        <w:t>“ sa uvádza</w:t>
      </w:r>
    </w:p>
    <w:p w14:paraId="7498D841" w14:textId="77777777" w:rsidR="00452FEE" w:rsidRPr="00452FEE" w:rsidRDefault="00452FEE" w:rsidP="00452FEE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„Prvé vymenovanie“, ak hlásenie obsahuje informácie o osobe, ktorá bola prvýkrát v poisťovni alebo zaisťovni vymenovaná do pozície s rozhodovacími právomocami alebo bude zodpovedná za kľúčovú funkciu, </w:t>
      </w:r>
    </w:p>
    <w:p w14:paraId="26AD2CC0" w14:textId="77777777" w:rsidR="00452FEE" w:rsidRPr="00452FEE" w:rsidRDefault="00452FEE" w:rsidP="00452FEE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„Zmena údajov“, ak hlásenie obsahuje zmenu už oznámených informácií o osobách, ktoré riadia poisťovňu alebo zaisťovňu, alebo sú zodpovedné za kľúčové funkcie, a ktoré môžu ovplyvniť schopnosť dodržiavať požiadavky na odbornú spôsobilosť a dôveryhodnosť, </w:t>
      </w:r>
    </w:p>
    <w:p w14:paraId="5C9A9465" w14:textId="77777777" w:rsidR="00452FEE" w:rsidRPr="00452FEE" w:rsidRDefault="00452FEE" w:rsidP="00452FEE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„Zmena pozície alebo funkcie“, ak hlásenie obsahuje zmenu rozhodovacích právomocí pozície alebo zmenu zodpovedností za kľúčové funkcie. </w:t>
      </w:r>
    </w:p>
    <w:p w14:paraId="313BCDF2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</w:p>
    <w:p w14:paraId="5E587BED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V kolónke „</w:t>
      </w:r>
      <w:r w:rsidRPr="00452FEE">
        <w:rPr>
          <w:rFonts w:ascii="Cambria" w:eastAsia="Times New Roman" w:hAnsi="Cambria" w:cs="Times New Roman"/>
          <w:b/>
          <w:color w:val="000000"/>
        </w:rPr>
        <w:t>Výkonná pozícia alebo funkcia (A/N)</w:t>
      </w:r>
      <w:r w:rsidRPr="00452FEE">
        <w:rPr>
          <w:rFonts w:ascii="Cambria" w:eastAsia="Times New Roman" w:hAnsi="Cambria" w:cs="Times New Roman"/>
          <w:color w:val="000000"/>
        </w:rPr>
        <w:t xml:space="preserve">“ sa uvádza „A“, ak oznamovaná osoba je vo výkonnej pozícii alebo funkcii alebo „N“, ak oznamovaná osoba nie je vo výkonnej pozícii alebo funkcii. </w:t>
      </w:r>
    </w:p>
    <w:p w14:paraId="03972A16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5936528D" w14:textId="77777777" w:rsidR="00452FEE" w:rsidRPr="00452FEE" w:rsidRDefault="00452FEE" w:rsidP="00452FEE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color w:val="000000"/>
        </w:rPr>
      </w:pPr>
      <w:r w:rsidRPr="00452FEE">
        <w:rPr>
          <w:rFonts w:ascii="Cambria" w:eastAsia="Calibri" w:hAnsi="Cambria" w:cs="Times New Roman"/>
          <w:color w:val="000000"/>
        </w:rPr>
        <w:t>V kolónke „</w:t>
      </w:r>
      <w:r w:rsidRPr="00452FEE">
        <w:rPr>
          <w:rFonts w:ascii="Cambria" w:eastAsia="Calibri" w:hAnsi="Cambria" w:cs="Times New Roman"/>
          <w:b/>
          <w:bCs/>
          <w:color w:val="000000"/>
        </w:rPr>
        <w:t>Nahradenie osoby, z dôvodu nespĺňania požiadavky na odbornú spôsobilosť a dôveryhodnosť A/N</w:t>
      </w:r>
      <w:r w:rsidRPr="00452FEE">
        <w:rPr>
          <w:rFonts w:ascii="Cambria" w:eastAsia="Calibri" w:hAnsi="Cambria" w:cs="Times New Roman"/>
          <w:color w:val="000000"/>
        </w:rPr>
        <w:t>“ sa uvádza „A“, ak nahradená osoba prestala spĺňať požiadavky na odbornú spôsobilosť a dôveryhodnosť alebo „N“ ak je oznamovaná osoba menovaná po prvý raz alebo ide o inú zmenu ohľadom menovanej osoby.</w:t>
      </w:r>
    </w:p>
    <w:p w14:paraId="1409CCC8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V kolónke „</w:t>
      </w:r>
      <w:r w:rsidRPr="00452FEE">
        <w:rPr>
          <w:rFonts w:ascii="Cambria" w:eastAsia="Times New Roman" w:hAnsi="Cambria" w:cs="Times New Roman"/>
          <w:b/>
          <w:bCs/>
          <w:color w:val="000000"/>
        </w:rPr>
        <w:t>Uvedenie dôvodu nesplnenia požiadavky na odbornú spôsobilosť a dôveryhodnosť</w:t>
      </w:r>
      <w:r w:rsidRPr="00452FEE">
        <w:rPr>
          <w:rFonts w:ascii="Cambria" w:eastAsia="Times New Roman" w:hAnsi="Cambria" w:cs="Times New Roman"/>
          <w:color w:val="000000"/>
        </w:rPr>
        <w:t>“ sa uvádza dôvod nesplnenia požiadavky na odbornú spôsobilosť a dôveryhodnosť menovanej osoby podľa § 24 zákona.</w:t>
      </w:r>
    </w:p>
    <w:p w14:paraId="5701DB2A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7D41B12C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Prílohou časti 1 hlásenia sú súbory vo formáte, ktorý je čitateľný (napríklad </w:t>
      </w:r>
      <w:proofErr w:type="spellStart"/>
      <w:r w:rsidRPr="00452FEE">
        <w:rPr>
          <w:rFonts w:ascii="Cambria" w:eastAsia="Times New Roman" w:hAnsi="Cambria" w:cs="Times New Roman"/>
          <w:color w:val="000000"/>
        </w:rPr>
        <w:t>doc</w:t>
      </w:r>
      <w:proofErr w:type="spellEnd"/>
      <w:r w:rsidRPr="00452FEE">
        <w:rPr>
          <w:rFonts w:ascii="Cambria" w:eastAsia="Times New Roman" w:hAnsi="Cambria" w:cs="Times New Roman"/>
          <w:color w:val="000000"/>
        </w:rPr>
        <w:t xml:space="preserve">, </w:t>
      </w:r>
      <w:proofErr w:type="spellStart"/>
      <w:r w:rsidRPr="00452FEE">
        <w:rPr>
          <w:rFonts w:ascii="Cambria" w:eastAsia="Times New Roman" w:hAnsi="Cambria" w:cs="Times New Roman"/>
          <w:color w:val="000000"/>
        </w:rPr>
        <w:t>xls</w:t>
      </w:r>
      <w:proofErr w:type="spellEnd"/>
      <w:r w:rsidRPr="00452FEE">
        <w:rPr>
          <w:rFonts w:ascii="Cambria" w:eastAsia="Times New Roman" w:hAnsi="Cambria" w:cs="Times New Roman"/>
          <w:color w:val="000000"/>
        </w:rPr>
        <w:t xml:space="preserve"> alebo </w:t>
      </w:r>
      <w:proofErr w:type="spellStart"/>
      <w:r w:rsidRPr="00452FEE">
        <w:rPr>
          <w:rFonts w:ascii="Cambria" w:eastAsia="Times New Roman" w:hAnsi="Cambria" w:cs="Times New Roman"/>
          <w:color w:val="000000"/>
        </w:rPr>
        <w:t>pdf</w:t>
      </w:r>
      <w:proofErr w:type="spellEnd"/>
      <w:r w:rsidRPr="00452FEE">
        <w:rPr>
          <w:rFonts w:ascii="Cambria" w:eastAsia="Times New Roman" w:hAnsi="Cambria" w:cs="Times New Roman"/>
          <w:color w:val="000000"/>
        </w:rPr>
        <w:t xml:space="preserve">), ktoré obsahujú ďalšie informácie potrebné na posúdenie, či nová fyzická osoba, ktorá bude riadiť poisťovňu alebo zaisťovňu alebo bude zodpovedať za kľúčové funkcie, spĺňa požiadavky na odbornú spôsobilosť a dôveryhodnosť. Prílohy obsahujú tieto informácie: </w:t>
      </w:r>
    </w:p>
    <w:p w14:paraId="5C36D9CC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3F4E47D8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a) informácie o predchádzajúcich vyhodnoteniach odbornej spôsobilosti a dôveryhodnosti, a to</w:t>
      </w:r>
    </w:p>
    <w:p w14:paraId="3926F00D" w14:textId="77777777" w:rsidR="00452FEE" w:rsidRPr="00452FEE" w:rsidRDefault="00452FEE" w:rsidP="00452FEE">
      <w:pPr>
        <w:spacing w:after="0" w:line="240" w:lineRule="auto"/>
        <w:ind w:left="426" w:firstLine="282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1. názov orgánu dohľadu, </w:t>
      </w:r>
    </w:p>
    <w:p w14:paraId="25D4009C" w14:textId="77777777" w:rsidR="00452FEE" w:rsidRPr="00452FEE" w:rsidRDefault="00452FEE" w:rsidP="00452FEE">
      <w:pPr>
        <w:spacing w:after="0" w:line="240" w:lineRule="auto"/>
        <w:ind w:left="426" w:firstLine="282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2. členský štát, </w:t>
      </w:r>
    </w:p>
    <w:p w14:paraId="51282B00" w14:textId="77777777" w:rsidR="00452FEE" w:rsidRPr="00452FEE" w:rsidRDefault="00452FEE" w:rsidP="00452FEE">
      <w:pPr>
        <w:spacing w:after="0" w:line="240" w:lineRule="auto"/>
        <w:ind w:left="426" w:firstLine="282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3. dátum vyhodnotenia alebo notifikácie, </w:t>
      </w:r>
    </w:p>
    <w:p w14:paraId="0D068009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lastRenderedPageBreak/>
        <w:t>b) odborný životopis obsahujúci aj</w:t>
      </w:r>
    </w:p>
    <w:p w14:paraId="4D6A955D" w14:textId="77777777" w:rsidR="00452FEE" w:rsidRPr="00452FEE" w:rsidRDefault="00452FEE" w:rsidP="00452FEE">
      <w:pPr>
        <w:spacing w:after="0" w:line="240" w:lineRule="auto"/>
        <w:ind w:left="993" w:hanging="285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1. informácie o predchádzajúcich zamestnaniach oznamovanej osoby, vrátane pozícií v predstavenstve alebo dozornej rade, pričom sa uvedú aj nasledujúce informácie:</w:t>
      </w:r>
    </w:p>
    <w:p w14:paraId="0CF0DE31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1a. názov a registračné číslo zamestnávateľa, </w:t>
      </w:r>
    </w:p>
    <w:p w14:paraId="0F88A345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1b. povaha a rozsah činností zamestnávateľa, </w:t>
      </w:r>
    </w:p>
    <w:p w14:paraId="07EC3AA7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1c. sídlo zamestnávateľa,  </w:t>
      </w:r>
    </w:p>
    <w:p w14:paraId="0C92CF12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1d. pozícia oznamovanej osoby u zamestnávateľa, </w:t>
      </w:r>
    </w:p>
    <w:p w14:paraId="771E9411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</w:p>
    <w:p w14:paraId="6B2348A8" w14:textId="77777777" w:rsidR="00452FEE" w:rsidRPr="00452FEE" w:rsidRDefault="00452FEE" w:rsidP="00452FEE">
      <w:pPr>
        <w:spacing w:after="0" w:line="240" w:lineRule="auto"/>
        <w:ind w:left="993" w:hanging="285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2. informácie o dosiahnutom vzdelaní a profesionálnych skúsenostiach oznamovanej osoby </w:t>
      </w:r>
    </w:p>
    <w:p w14:paraId="43A7583B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2a. vzdelanie a vedomosti (vysokoškolské vzdelanie, školenia), </w:t>
      </w:r>
    </w:p>
    <w:p w14:paraId="05F0AB60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2b. skúsenosti v príslušnej profesionálnej oblasti, </w:t>
      </w:r>
    </w:p>
    <w:p w14:paraId="7CEB307A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</w:p>
    <w:p w14:paraId="65AFB7C5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c) informácie o možnom konflikte záujmov, a to </w:t>
      </w:r>
    </w:p>
    <w:p w14:paraId="2129FFB9" w14:textId="77777777" w:rsidR="00452FEE" w:rsidRPr="00452FEE" w:rsidRDefault="00452FEE" w:rsidP="00452FEE">
      <w:pPr>
        <w:spacing w:after="0" w:line="240" w:lineRule="auto"/>
        <w:ind w:left="993" w:hanging="285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1. kvalifikovaná účasť alebo iná forma významného vplyvu v poisťovni alebo zaisťovni, </w:t>
      </w:r>
    </w:p>
    <w:p w14:paraId="6344190C" w14:textId="77777777" w:rsidR="00452FEE" w:rsidRPr="00452FEE" w:rsidRDefault="00452FEE" w:rsidP="00452FEE">
      <w:pPr>
        <w:spacing w:after="0" w:line="240" w:lineRule="auto"/>
        <w:ind w:left="993" w:hanging="285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2. informácie o iných obchodných spoločnostiach (ďalej len „spoločnosť“), v ktorých má oznamovaná osoba kvalifikovanú účasť, a to </w:t>
      </w:r>
    </w:p>
    <w:p w14:paraId="4681CE15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2a. názov a registračné číslo spoločnosti, </w:t>
      </w:r>
    </w:p>
    <w:p w14:paraId="7CCBC49B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2b. povaha a rozsah činností spoločnosti, </w:t>
      </w:r>
    </w:p>
    <w:p w14:paraId="30426B5D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2c. sídlo spoločnosti, </w:t>
      </w:r>
    </w:p>
    <w:p w14:paraId="7F1DAEC4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2d. výška základného imania spoločnosti, </w:t>
      </w:r>
    </w:p>
    <w:p w14:paraId="30C68932" w14:textId="77777777" w:rsidR="00452FEE" w:rsidRPr="00452FEE" w:rsidRDefault="00452FEE" w:rsidP="00452FEE">
      <w:pPr>
        <w:spacing w:after="0" w:line="240" w:lineRule="auto"/>
        <w:ind w:left="426" w:firstLine="567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2e. percentuálna výška podielu oznamovanej osoby na základnom imaní spoločnosti, </w:t>
      </w:r>
    </w:p>
    <w:p w14:paraId="4B89FD88" w14:textId="77777777" w:rsidR="00452FEE" w:rsidRPr="00452FEE" w:rsidRDefault="00452FEE" w:rsidP="00452FEE">
      <w:pPr>
        <w:spacing w:after="0" w:line="240" w:lineRule="auto"/>
        <w:ind w:left="1418" w:hanging="425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2f. percentuálna výška podielu oznamovanej osoby na hlasovacích právach spoločnosti, </w:t>
      </w:r>
    </w:p>
    <w:p w14:paraId="07D0375B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>3. informácie o iných spoločnostiach, v ktorých je oznamovaná osoba členom štatutárneho orgánu alebo kontrolného orgánu, a to</w:t>
      </w:r>
    </w:p>
    <w:p w14:paraId="59E85594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3a. názov a registračné číslo spoločnosti, </w:t>
      </w:r>
    </w:p>
    <w:p w14:paraId="4127FF75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3b. povaha a rozsah činností spoločnosti, </w:t>
      </w:r>
    </w:p>
    <w:p w14:paraId="36800C89" w14:textId="77777777" w:rsidR="00452FEE" w:rsidRPr="00452FEE" w:rsidRDefault="00452FEE" w:rsidP="00452FEE">
      <w:pPr>
        <w:spacing w:after="0" w:line="240" w:lineRule="auto"/>
        <w:ind w:left="99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3c. sídlo spoločnosti, </w:t>
      </w:r>
    </w:p>
    <w:p w14:paraId="696DC639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4. informácia o majetkovej účasti blízkej osoby v poisťovni alebo zaisťovni alebo v spoločnosti s účasťou na poisťovni alebo zaisťovni, </w:t>
      </w:r>
    </w:p>
    <w:p w14:paraId="335A6C79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5. informácia o iných finančných väzbách blízkych osôb na poisťovňu alebo zaisťovňu alebo na spoločnosti s účasťou na poisťovni alebo zaisťovni, </w:t>
      </w:r>
    </w:p>
    <w:p w14:paraId="2F0029C9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6. informácie o iných záväzkoch, ktoré môžu viesť ku konfliktu záujmov a vyhlásenie o spôsobe riešenia prípadného konfliktu záujmov,  </w:t>
      </w:r>
    </w:p>
    <w:p w14:paraId="344FD6F7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</w:p>
    <w:p w14:paraId="75F69E7D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d) informácie o skutočnostiach podľa § 24 ods. 4 zákona, </w:t>
      </w:r>
    </w:p>
    <w:p w14:paraId="112B1CAC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</w:p>
    <w:p w14:paraId="3DF79E51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e) informácie o iných skutočnostiach dôležitých pre posúdenie dôveryhodnosti, napríklad </w:t>
      </w:r>
    </w:p>
    <w:p w14:paraId="5F816D3B" w14:textId="30A6D5A5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1. </w:t>
      </w:r>
      <w:r w:rsidRPr="00452FEE">
        <w:rPr>
          <w:rFonts w:ascii="Cambria" w:eastAsia="Times New Roman" w:hAnsi="Cambria" w:cs="Times New Roman"/>
        </w:rPr>
        <w:t xml:space="preserve">údajov potrebných na vyžiadanie výpisu z registra trestov žiadateľa, </w:t>
      </w:r>
    </w:p>
    <w:p w14:paraId="0348482E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2. prebiehajúce trestné konanie, </w:t>
      </w:r>
    </w:p>
    <w:p w14:paraId="0705B4BA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3. prepustenie z pozície vedúceho zamestnanca alebo člena predstavenstva,  </w:t>
      </w:r>
    </w:p>
    <w:p w14:paraId="00F2F6E7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4. členstvo v rozhodcovskom súde,  </w:t>
      </w:r>
    </w:p>
    <w:p w14:paraId="03F6B04A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5. zamietnutie žiadosti alebo iným spôsobom obmedzené právo vykonávať činnosti alebo povolania, ktoré vyžaduje povolenie alebo registráciu, </w:t>
      </w:r>
    </w:p>
    <w:p w14:paraId="29D5A9D5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6. uloženie sankcie príslušným orgánom dohľadu spoločnosti, kde oznamovaná osoba mala kľúčovú funkciu alebo riadila túto spoločnosť, </w:t>
      </w:r>
    </w:p>
    <w:p w14:paraId="04E10921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7. zamietnutie udelenia povolenia alebo iného oprávnenia na výkon podnikateľskej činnosti, odobratie alebo zrušenie takéhoto povolenia alebo iného obdobného oprávnenia právoplatným a vykonateľným rozhodnutím v posledných troch rokoch,  </w:t>
      </w:r>
    </w:p>
    <w:p w14:paraId="4827D722" w14:textId="77777777" w:rsidR="00452FEE" w:rsidRPr="00452FEE" w:rsidRDefault="00452FEE" w:rsidP="00452FEE">
      <w:pPr>
        <w:spacing w:after="0" w:line="240" w:lineRule="auto"/>
        <w:ind w:left="993" w:hanging="284"/>
        <w:jc w:val="both"/>
        <w:rPr>
          <w:rFonts w:ascii="Cambria" w:eastAsia="Times New Roman" w:hAnsi="Cambria" w:cs="Times New Roman"/>
          <w:color w:val="000000"/>
        </w:rPr>
      </w:pPr>
    </w:p>
    <w:p w14:paraId="3B750A45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f) ďalšie informácie dôležité pre posúdenie orgánu dohľadu.  </w:t>
      </w:r>
    </w:p>
    <w:p w14:paraId="1417C785" w14:textId="77777777" w:rsidR="00452FEE" w:rsidRPr="00452FEE" w:rsidRDefault="00452FEE" w:rsidP="00452FEE">
      <w:p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</w:p>
    <w:p w14:paraId="6F4DF39C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Národnej banke Slovenska sa predkladajú v listinnej forme do troch pracovných dní odo dňa zaslania výkazu originály alebo úradne osvedčené kópie týchto dokumentov: </w:t>
      </w:r>
    </w:p>
    <w:p w14:paraId="1C878DA7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lastRenderedPageBreak/>
        <w:t xml:space="preserve">a) dokumenty preukazujúce odbornú spôsobilosť a dôveryhodnosť, </w:t>
      </w:r>
    </w:p>
    <w:p w14:paraId="1751FB63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b) vyhlásenie, že poisťovňa alebo zaisťovňa uskutočnila hodnotenie odbornej spôsobilosti a dôveryhodnosti v súlade s právnymi predpismi, nariadeniami a koncepciou poisťovne alebo zaisťovne, </w:t>
      </w:r>
    </w:p>
    <w:p w14:paraId="3F25D5E3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c) vyhlásenie poisťovne alebo zaisťovne o splnení požiadaviek na odbornú spôsobilosť a dôveryhodnosť, </w:t>
      </w:r>
    </w:p>
    <w:p w14:paraId="298B45E6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bCs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d) </w:t>
      </w:r>
      <w:r w:rsidRPr="00452FEE">
        <w:rPr>
          <w:rFonts w:ascii="Cambria" w:eastAsia="Times New Roman" w:hAnsi="Cambria" w:cs="Times New Roman"/>
        </w:rPr>
        <w:t xml:space="preserve">vyhlásenie, že informácie predložené v rámci hlásenia o zmene osôb, ktoré riadia poisťovňu alebo zaisťovňu, alebo sú zodpovedné za kľúčové funkcie sú úplné, správne, </w:t>
      </w:r>
      <w:r w:rsidRPr="00452FEE">
        <w:rPr>
          <w:rFonts w:ascii="Cambria" w:eastAsia="Times New Roman" w:hAnsi="Cambria" w:cs="Times New Roman"/>
          <w:bCs/>
        </w:rPr>
        <w:t>pravdivé, pravé a aktuálne.</w:t>
      </w:r>
    </w:p>
    <w:p w14:paraId="5F0559A0" w14:textId="77777777" w:rsidR="00452FEE" w:rsidRPr="00452FEE" w:rsidRDefault="00452FEE" w:rsidP="00452FEE">
      <w:p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color w:val="000000"/>
        </w:rPr>
      </w:pPr>
    </w:p>
    <w:p w14:paraId="6B4C3D7E" w14:textId="77777777" w:rsidR="00452FEE" w:rsidRPr="00452FEE" w:rsidRDefault="00452FEE" w:rsidP="00452F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color w:val="000000"/>
        </w:rPr>
        <w:t xml:space="preserve">6. Použité skratky: </w:t>
      </w:r>
    </w:p>
    <w:p w14:paraId="66DFF9F7" w14:textId="77777777" w:rsidR="00452FEE" w:rsidRPr="00452FEE" w:rsidRDefault="00452FEE" w:rsidP="00452FEE">
      <w:pPr>
        <w:tabs>
          <w:tab w:val="left" w:pos="1134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proofErr w:type="spellStart"/>
      <w:r w:rsidRPr="00452FEE">
        <w:rPr>
          <w:rFonts w:ascii="Cambria" w:eastAsia="Times New Roman" w:hAnsi="Cambria" w:cs="Times New Roman"/>
          <w:b/>
          <w:color w:val="000000"/>
        </w:rPr>
        <w:t>č.r</w:t>
      </w:r>
      <w:proofErr w:type="spellEnd"/>
      <w:r w:rsidRPr="00452FEE">
        <w:rPr>
          <w:rFonts w:ascii="Cambria" w:eastAsia="Times New Roman" w:hAnsi="Cambria" w:cs="Times New Roman"/>
          <w:b/>
          <w:color w:val="000000"/>
        </w:rPr>
        <w:t>.</w:t>
      </w:r>
      <w:r w:rsidRPr="00452FEE">
        <w:rPr>
          <w:rFonts w:ascii="Cambria" w:eastAsia="Times New Roman" w:hAnsi="Cambria" w:cs="Times New Roman"/>
          <w:color w:val="000000"/>
        </w:rPr>
        <w:t xml:space="preserve">  </w:t>
      </w:r>
      <w:r w:rsidRPr="00452FEE">
        <w:rPr>
          <w:rFonts w:ascii="Cambria" w:eastAsia="Times New Roman" w:hAnsi="Cambria" w:cs="Times New Roman"/>
          <w:color w:val="000000"/>
        </w:rPr>
        <w:tab/>
        <w:t xml:space="preserve">číslo riadku, </w:t>
      </w:r>
    </w:p>
    <w:p w14:paraId="398567DA" w14:textId="77777777" w:rsidR="00452FEE" w:rsidRPr="00452FEE" w:rsidRDefault="00452FEE" w:rsidP="00452FEE">
      <w:pPr>
        <w:tabs>
          <w:tab w:val="left" w:pos="1134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452FEE">
        <w:rPr>
          <w:rFonts w:ascii="Cambria" w:eastAsia="Times New Roman" w:hAnsi="Cambria" w:cs="Times New Roman"/>
          <w:b/>
          <w:color w:val="000000"/>
        </w:rPr>
        <w:t>PSČ</w:t>
      </w:r>
      <w:r w:rsidRPr="00452FEE">
        <w:rPr>
          <w:rFonts w:ascii="Cambria" w:eastAsia="Times New Roman" w:hAnsi="Cambria" w:cs="Times New Roman"/>
          <w:color w:val="000000"/>
        </w:rPr>
        <w:t xml:space="preserve"> </w:t>
      </w:r>
      <w:r w:rsidRPr="00452FEE">
        <w:rPr>
          <w:rFonts w:ascii="Cambria" w:eastAsia="Times New Roman" w:hAnsi="Cambria" w:cs="Times New Roman"/>
          <w:color w:val="000000"/>
        </w:rPr>
        <w:tab/>
        <w:t>poštové smerovacie číslo“.</w:t>
      </w:r>
    </w:p>
    <w:p w14:paraId="4DEDD7FB" w14:textId="77777777" w:rsidR="00452FEE" w:rsidRPr="00452FEE" w:rsidRDefault="00452FEE" w:rsidP="00452FE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</w:p>
    <w:p w14:paraId="45E0975C" w14:textId="77777777" w:rsidR="00FF04B5" w:rsidRPr="00452FEE" w:rsidRDefault="00FF04B5" w:rsidP="00452FEE">
      <w:pPr>
        <w:rPr>
          <w:rFonts w:ascii="Cambria" w:hAnsi="Cambria"/>
        </w:rPr>
      </w:pPr>
    </w:p>
    <w:sectPr w:rsidR="00FF04B5" w:rsidRPr="00452F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29465" w14:textId="77777777" w:rsidR="00ED5938" w:rsidRDefault="00ED5938" w:rsidP="0009480D">
      <w:pPr>
        <w:spacing w:after="0" w:line="240" w:lineRule="auto"/>
      </w:pPr>
      <w:r>
        <w:separator/>
      </w:r>
    </w:p>
  </w:endnote>
  <w:endnote w:type="continuationSeparator" w:id="0">
    <w:p w14:paraId="571BCBA6" w14:textId="77777777" w:rsidR="00ED5938" w:rsidRDefault="00ED593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E31EA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C20C8" w14:textId="77777777" w:rsidR="00ED5938" w:rsidRDefault="00ED5938" w:rsidP="0009480D">
      <w:pPr>
        <w:spacing w:after="0" w:line="240" w:lineRule="auto"/>
      </w:pPr>
      <w:r>
        <w:separator/>
      </w:r>
    </w:p>
  </w:footnote>
  <w:footnote w:type="continuationSeparator" w:id="0">
    <w:p w14:paraId="63D5D2B2" w14:textId="77777777" w:rsidR="00ED5938" w:rsidRDefault="00ED5938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B69BE"/>
    <w:multiLevelType w:val="hybridMultilevel"/>
    <w:tmpl w:val="DB84D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42850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92047"/>
    <w:multiLevelType w:val="hybridMultilevel"/>
    <w:tmpl w:val="797E48E4"/>
    <w:lvl w:ilvl="0" w:tplc="C83059E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05F1"/>
    <w:multiLevelType w:val="hybridMultilevel"/>
    <w:tmpl w:val="315A9A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DD"/>
    <w:rsid w:val="0009480D"/>
    <w:rsid w:val="000E38DD"/>
    <w:rsid w:val="00130860"/>
    <w:rsid w:val="001663B6"/>
    <w:rsid w:val="001A694C"/>
    <w:rsid w:val="001D01FE"/>
    <w:rsid w:val="001D5F9F"/>
    <w:rsid w:val="00225679"/>
    <w:rsid w:val="00246D41"/>
    <w:rsid w:val="002B4CD0"/>
    <w:rsid w:val="003636B5"/>
    <w:rsid w:val="00392F01"/>
    <w:rsid w:val="004100B0"/>
    <w:rsid w:val="00445B18"/>
    <w:rsid w:val="00452FEE"/>
    <w:rsid w:val="004D7E2D"/>
    <w:rsid w:val="005316F2"/>
    <w:rsid w:val="00564381"/>
    <w:rsid w:val="005939CC"/>
    <w:rsid w:val="005A1CD3"/>
    <w:rsid w:val="005A46AC"/>
    <w:rsid w:val="006470E3"/>
    <w:rsid w:val="006F0F1D"/>
    <w:rsid w:val="00782367"/>
    <w:rsid w:val="00787300"/>
    <w:rsid w:val="009841D6"/>
    <w:rsid w:val="009A6FA0"/>
    <w:rsid w:val="00A719D6"/>
    <w:rsid w:val="00B31C02"/>
    <w:rsid w:val="00B42F36"/>
    <w:rsid w:val="00BA4BE5"/>
    <w:rsid w:val="00BB6515"/>
    <w:rsid w:val="00C35E8A"/>
    <w:rsid w:val="00CB7C08"/>
    <w:rsid w:val="00ED5938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A2E5"/>
  <w15:chartTrackingRefBased/>
  <w15:docId w15:val="{6C745C0B-8567-4722-8774-BB31EE74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DD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link w:val="ListParagraphChar"/>
    <w:uiPriority w:val="34"/>
    <w:qFormat/>
    <w:rsid w:val="000E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0E38D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E3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8D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F4C0-0ED1-4F83-97C8-54990835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Kardošová Zuzana</dc:creator>
  <cp:keywords/>
  <dc:description/>
  <cp:lastModifiedBy>Kardošová Zuzana</cp:lastModifiedBy>
  <cp:revision>2</cp:revision>
  <dcterms:created xsi:type="dcterms:W3CDTF">2021-06-07T13:03:00Z</dcterms:created>
  <dcterms:modified xsi:type="dcterms:W3CDTF">2021-06-07T13:03:00Z</dcterms:modified>
</cp:coreProperties>
</file>