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A5" w:rsidRPr="005659C1" w:rsidRDefault="00D710A5" w:rsidP="00D710A5">
      <w:pPr>
        <w:widowControl/>
        <w:spacing w:after="0" w:line="240" w:lineRule="auto"/>
        <w:jc w:val="center"/>
        <w:rPr>
          <w:rFonts w:ascii="Times New Roman" w:hAnsi="Times New Roman"/>
          <w:b/>
          <w:caps/>
          <w:sz w:val="24"/>
          <w:szCs w:val="24"/>
        </w:rPr>
      </w:pPr>
      <w:r w:rsidRPr="005659C1">
        <w:rPr>
          <w:rFonts w:ascii="Times New Roman" w:hAnsi="Times New Roman"/>
          <w:b/>
          <w:caps/>
          <w:sz w:val="24"/>
          <w:szCs w:val="24"/>
        </w:rPr>
        <w:t>vznesené Pripomienky v rámci medzirezortného pripomienkového konania</w:t>
      </w:r>
    </w:p>
    <w:p w:rsidR="002F00DB" w:rsidRPr="005659C1" w:rsidRDefault="002F00DB" w:rsidP="00D710A5">
      <w:pPr>
        <w:widowControl/>
        <w:spacing w:after="0" w:line="240" w:lineRule="auto"/>
        <w:jc w:val="center"/>
        <w:rPr>
          <w:rFonts w:ascii="Times New Roman" w:hAnsi="Times New Roman"/>
          <w:b/>
          <w:caps/>
          <w:sz w:val="24"/>
          <w:szCs w:val="24"/>
        </w:rPr>
      </w:pPr>
    </w:p>
    <w:p w:rsidR="00BA14D6" w:rsidRPr="005659C1" w:rsidRDefault="00585DC9" w:rsidP="000A4CE9">
      <w:pPr>
        <w:jc w:val="center"/>
        <w:rPr>
          <w:rFonts w:ascii="Times New Roman" w:hAnsi="Times New Roman"/>
          <w:sz w:val="24"/>
          <w:szCs w:val="24"/>
        </w:rPr>
      </w:pPr>
      <w:r w:rsidRPr="005659C1">
        <w:rPr>
          <w:rFonts w:ascii="Times New Roman" w:hAnsi="Times New Roman"/>
          <w:sz w:val="24"/>
          <w:szCs w:val="24"/>
        </w:rPr>
        <w:t xml:space="preserve">Zákon, ktorým sa mení a dopĺňa zákon č. 563/2009 Z. z. o správe daní (daňový poriadok) a o zmene a doplnení niektorých zákonov v znení neskorších predpisov a ktorým sa menia a dopĺňajú niektoré zákony </w:t>
      </w:r>
    </w:p>
    <w:tbl>
      <w:tblPr>
        <w:tblW w:w="14322" w:type="dxa"/>
        <w:tblCellMar>
          <w:left w:w="0" w:type="dxa"/>
          <w:right w:w="0" w:type="dxa"/>
        </w:tblCellMar>
        <w:tblLook w:val="0000" w:firstRow="0" w:lastRow="0" w:firstColumn="0" w:lastColumn="0" w:noHBand="0" w:noVBand="0"/>
      </w:tblPr>
      <w:tblGrid>
        <w:gridCol w:w="6379"/>
        <w:gridCol w:w="7943"/>
      </w:tblGrid>
      <w:tr w:rsidR="00D710A5" w:rsidRPr="005659C1" w:rsidTr="00087ADB">
        <w:tc>
          <w:tcPr>
            <w:tcW w:w="6379" w:type="dxa"/>
            <w:tcBorders>
              <w:top w:val="nil"/>
              <w:left w:val="nil"/>
              <w:bottom w:val="nil"/>
              <w:right w:val="nil"/>
            </w:tcBorders>
          </w:tcPr>
          <w:p w:rsidR="00D710A5" w:rsidRPr="005659C1" w:rsidRDefault="00D710A5" w:rsidP="00F10D72">
            <w:pPr>
              <w:widowControl/>
              <w:spacing w:after="0" w:line="240" w:lineRule="auto"/>
              <w:rPr>
                <w:rFonts w:ascii="Times New Roman" w:hAnsi="Times New Roman"/>
                <w:sz w:val="24"/>
                <w:szCs w:val="24"/>
              </w:rPr>
            </w:pPr>
          </w:p>
        </w:tc>
        <w:tc>
          <w:tcPr>
            <w:tcW w:w="7943" w:type="dxa"/>
            <w:tcBorders>
              <w:top w:val="nil"/>
              <w:left w:val="nil"/>
              <w:bottom w:val="nil"/>
              <w:right w:val="nil"/>
            </w:tcBorders>
          </w:tcPr>
          <w:p w:rsidR="00D710A5" w:rsidRPr="005659C1" w:rsidRDefault="00D710A5" w:rsidP="005601B6">
            <w:pPr>
              <w:widowControl/>
              <w:spacing w:after="0" w:line="240" w:lineRule="auto"/>
              <w:rPr>
                <w:rFonts w:ascii="Times New Roman" w:hAnsi="Times New Roman"/>
                <w:sz w:val="24"/>
                <w:szCs w:val="24"/>
              </w:rPr>
            </w:pPr>
          </w:p>
        </w:tc>
      </w:tr>
    </w:tbl>
    <w:p w:rsidR="00585DC9" w:rsidRPr="005659C1" w:rsidRDefault="00585DC9" w:rsidP="00D710A5">
      <w:pPr>
        <w:widowControl/>
        <w:spacing w:after="0" w:line="240" w:lineRule="auto"/>
        <w:rPr>
          <w:rFonts w:ascii="Times New Roman" w:hAnsi="Times New Roman"/>
          <w:sz w:val="24"/>
          <w:szCs w:val="24"/>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49"/>
        <w:gridCol w:w="6468"/>
        <w:gridCol w:w="430"/>
        <w:gridCol w:w="6307"/>
      </w:tblGrid>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Subjekt</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Pripomienka</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Typ</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Vyhodnotenie</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SBA</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 III Zákon o DPH K bodu 20, §69 ods 14 písm. c) a § 69c</w:t>
            </w:r>
            <w:r w:rsidRPr="005659C1">
              <w:rPr>
                <w:rFonts w:ascii="Times New Roman" w:hAnsi="Times New Roman"/>
                <w:sz w:val="24"/>
                <w:szCs w:val="24"/>
              </w:rPr>
              <w:br/>
              <w:t xml:space="preserve">Rozšírenie ručenia za daň v prípade, ak platba za dodanie bude uhradená na iný účet, ako je účet, ktorý je nahlásený Finančnej správe SR, prinesie daňovníkom zvýšené náklady súvisiace so zabezpečením automatickej kontroly zverejneného zoznamu účtov. Zároveň aplikácia tejto kontroly do praxe môže priniesť množstvo komplikácií. Napríklad častým javom je, že úhrada faktúry nastáva v posledné dni jej splatnosti alebo až posledný deň, čo je spôsobené internými procesmi kontroly a schvaľovania úhrad faktúr a/alebo aj nepredvídateľnými externými faktormi. Pred zaplatením dochádza k porovnaniu a overenie so zoznamom bankových účtov. V prípade zistenia nezverejneného bankového účtu sa platiteľ dane dostáva do časového stresu, v ktorom musí rozhodovať o tom, či podstúpi riziko sankcií za neskorú úhradu alebo inú zmluvnú formu sankcie a či podstúpi riziko ručenia za DPH prípadne uhradí DPH za dodávateľa (§69). Praktický problém spočíva v tom, že overenie má byť v momente úhrady. Takýchto situácií alebo podobných rizikových situácií môže nastať mnoho. Platitelia DPH teda budú musieť zaviesť nové postupy ako znížiť riziko neuhradenia DPH na svojej strane, čím štát bude odbremenený presunutím rizík na vlastný úkor a na vlastné </w:t>
            </w:r>
            <w:r w:rsidRPr="005659C1">
              <w:rPr>
                <w:rFonts w:ascii="Times New Roman" w:hAnsi="Times New Roman"/>
                <w:sz w:val="24"/>
                <w:szCs w:val="24"/>
              </w:rPr>
              <w:lastRenderedPageBreak/>
              <w:t>náklady platiteľa. Z toho dôvodu navrhujeme, aby bol hľadaný najprv iný vhodnejší prístup a uvedené riešenie, t.j. doplnenie §69 ods. 14 písm. c) bolo uplatnené iba ako krajné.</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101289" w:rsidRPr="005659C1" w:rsidRDefault="00101289" w:rsidP="00101289">
            <w:pPr>
              <w:jc w:val="center"/>
              <w:rPr>
                <w:rFonts w:ascii="Times New Roman" w:hAnsi="Times New Roman"/>
                <w:b/>
                <w:bCs/>
                <w:sz w:val="24"/>
                <w:szCs w:val="24"/>
              </w:rPr>
            </w:pPr>
            <w:r w:rsidRPr="005659C1">
              <w:rPr>
                <w:rFonts w:ascii="Times New Roman" w:hAnsi="Times New Roman"/>
                <w:b/>
                <w:bCs/>
                <w:sz w:val="24"/>
                <w:szCs w:val="24"/>
              </w:rPr>
              <w:t>Neakceptovaná</w:t>
            </w:r>
          </w:p>
          <w:p w:rsidR="00101289" w:rsidRPr="005659C1" w:rsidRDefault="00101289" w:rsidP="00101289">
            <w:pPr>
              <w:pStyle w:val="Odsekzoznamu"/>
              <w:numPr>
                <w:ilvl w:val="0"/>
                <w:numId w:val="2"/>
              </w:numPr>
              <w:rPr>
                <w:rFonts w:ascii="Times New Roman" w:hAnsi="Times New Roman"/>
                <w:bCs/>
                <w:sz w:val="24"/>
                <w:szCs w:val="24"/>
                <w:u w:val="single"/>
              </w:rPr>
            </w:pPr>
            <w:r w:rsidRPr="005659C1">
              <w:rPr>
                <w:rFonts w:ascii="Times New Roman" w:hAnsi="Times New Roman"/>
                <w:bCs/>
                <w:sz w:val="24"/>
                <w:szCs w:val="24"/>
                <w:u w:val="single"/>
              </w:rPr>
              <w:t>preklasifikovaná zo zásadnej pripomienky na obyčajnú pripomienku</w:t>
            </w:r>
          </w:p>
          <w:p w:rsidR="00101289" w:rsidRPr="005659C1" w:rsidRDefault="00101289" w:rsidP="00101289">
            <w:pPr>
              <w:pStyle w:val="Odsekzoznamu"/>
              <w:numPr>
                <w:ilvl w:val="0"/>
                <w:numId w:val="2"/>
              </w:numPr>
              <w:rPr>
                <w:rFonts w:ascii="Times New Roman" w:hAnsi="Times New Roman"/>
                <w:sz w:val="24"/>
                <w:szCs w:val="24"/>
              </w:rPr>
            </w:pPr>
            <w:r w:rsidRPr="005659C1">
              <w:rPr>
                <w:rFonts w:ascii="Times New Roman" w:hAnsi="Times New Roman"/>
                <w:sz w:val="24"/>
                <w:szCs w:val="24"/>
              </w:rPr>
              <w:t>Zavedenia nového dôvodu (domnienky) ručenia za daň odberateľom, ktorú z dodania nezaplatí dodávateľ, predstavuje následok nesplnenia si povinnosti dodávateľa a ako také je potrebné túto povinnosť chápať ako jeden celok s povinnosťou uvedenou v § 6, ktorá by bez tohto následku bola fakticky „bezzubá“.</w:t>
            </w:r>
          </w:p>
          <w:p w:rsidR="00101289" w:rsidRPr="005659C1" w:rsidRDefault="00101289" w:rsidP="00101289">
            <w:pPr>
              <w:pStyle w:val="Odsekzoznamu"/>
              <w:numPr>
                <w:ilvl w:val="0"/>
                <w:numId w:val="2"/>
              </w:numPr>
              <w:rPr>
                <w:rFonts w:ascii="Times New Roman" w:hAnsi="Times New Roman"/>
                <w:sz w:val="24"/>
                <w:szCs w:val="24"/>
              </w:rPr>
            </w:pPr>
            <w:r w:rsidRPr="005659C1">
              <w:rPr>
                <w:rFonts w:ascii="Times New Roman" w:hAnsi="Times New Roman"/>
                <w:sz w:val="24"/>
                <w:szCs w:val="24"/>
              </w:rPr>
              <w:t>Máme za to, že zavedením ustanovenia § 6 do zákona o DPH získajú odberatelia informácie potrebné na vytvorenie komplexnejšieho obrazu o daňovej spoľahlivosti svojho dodávateľa.</w:t>
            </w:r>
          </w:p>
          <w:p w:rsidR="00101289" w:rsidRPr="005659C1" w:rsidRDefault="00101289" w:rsidP="00101289">
            <w:pPr>
              <w:pStyle w:val="Odsekzoznamu"/>
              <w:numPr>
                <w:ilvl w:val="0"/>
                <w:numId w:val="2"/>
              </w:numPr>
              <w:rPr>
                <w:rFonts w:ascii="Times New Roman" w:hAnsi="Times New Roman"/>
                <w:b/>
                <w:bCs/>
                <w:sz w:val="24"/>
                <w:szCs w:val="24"/>
              </w:rPr>
            </w:pPr>
            <w:r w:rsidRPr="005659C1">
              <w:rPr>
                <w:rFonts w:ascii="Times New Roman" w:hAnsi="Times New Roman"/>
                <w:sz w:val="24"/>
                <w:szCs w:val="24"/>
              </w:rPr>
              <w:t>Navyše, na tlačových besedách k pripravovanému návrhu zákona odznel viackrát verejný prísľub čelných predstaviteľov MF SR a prezidenta FS, že zoznam účtov bude vedený v takom formáte, aby boli čísla účtov automaticky verifikovateľné účtovnými systémami</w:t>
            </w:r>
          </w:p>
          <w:p w:rsidR="00101289" w:rsidRPr="005659C1" w:rsidRDefault="00101289" w:rsidP="00101289">
            <w:pPr>
              <w:pStyle w:val="Odsekzoznamu"/>
              <w:numPr>
                <w:ilvl w:val="0"/>
                <w:numId w:val="2"/>
              </w:numPr>
              <w:rPr>
                <w:rFonts w:ascii="Times New Roman" w:hAnsi="Times New Roman"/>
                <w:sz w:val="24"/>
                <w:szCs w:val="24"/>
              </w:rPr>
            </w:pPr>
            <w:r w:rsidRPr="005659C1">
              <w:rPr>
                <w:rFonts w:ascii="Times New Roman" w:hAnsi="Times New Roman"/>
                <w:sz w:val="24"/>
                <w:szCs w:val="24"/>
              </w:rPr>
              <w:t xml:space="preserve">v prípade zmeny momentu overovania nahlásenia účtu dodávateľa by bolo aj tak, za účelom efektívnej eliminácie podvodných konaní, potrebné osobitne upravovať moment </w:t>
            </w:r>
            <w:r w:rsidRPr="005659C1">
              <w:rPr>
                <w:rFonts w:ascii="Times New Roman" w:hAnsi="Times New Roman"/>
                <w:sz w:val="24"/>
                <w:szCs w:val="24"/>
              </w:rPr>
              <w:lastRenderedPageBreak/>
              <w:t>overovania v prípade preddavkových platieb</w:t>
            </w:r>
          </w:p>
          <w:p w:rsidR="00101289" w:rsidRPr="005659C1" w:rsidRDefault="00101289" w:rsidP="00101289">
            <w:pPr>
              <w:pStyle w:val="Odsekzoznamu"/>
              <w:numPr>
                <w:ilvl w:val="0"/>
                <w:numId w:val="2"/>
              </w:numPr>
              <w:rPr>
                <w:rFonts w:ascii="Times New Roman" w:hAnsi="Times New Roman"/>
                <w:sz w:val="24"/>
                <w:szCs w:val="24"/>
              </w:rPr>
            </w:pPr>
            <w:r w:rsidRPr="005659C1">
              <w:rPr>
                <w:rFonts w:ascii="Times New Roman" w:hAnsi="Times New Roman"/>
                <w:sz w:val="24"/>
                <w:szCs w:val="24"/>
              </w:rPr>
              <w:t>v zákone by sa tak vytvorili dva časové testy, v závislosti od situácie, čo je v konečnom dôsledku administratívne náročnejšie</w:t>
            </w:r>
          </w:p>
          <w:p w:rsidR="005601B6" w:rsidRPr="005659C1" w:rsidRDefault="005601B6">
            <w:pPr>
              <w:jc w:val="cente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SBA</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 III Zákon o DPH K bodu 8, §6 ods. 1 a ods. 2</w:t>
            </w:r>
            <w:r w:rsidRPr="005659C1">
              <w:rPr>
                <w:rFonts w:ascii="Times New Roman" w:hAnsi="Times New Roman"/>
                <w:sz w:val="24"/>
                <w:szCs w:val="24"/>
              </w:rPr>
              <w:br/>
              <w:t xml:space="preserve">Keďže rozumieme, že dôvodom pre ktorý sa takáto povinnosť zavádza je, aby sa DPH hradila len na účty, ktoré sú správcovi dane oznámené (kvôli následným previerkam), dávame do pozornosti, že banky ako poskytovatelia platobných služieb platby za vlastné zdaniteľné plnenia prevažne priamo od klientov inkasujú a inkasované sumy priamo rozúčtujú. Takýto postup má za následok, že sumy sú zaúčtované priamo do výnosov alebo v prospech rôznych produktových účtov, kde sú vedené pohľadávky voči jednotlivým klientom, pričom prijatá DPH je zaúčtovaná na interný/záväzkový účet. V týchto prípadoch, ktorých je drvivá väčšina, klient neuhrádza platbu na oznámený bankový účet. Účty, cez ktoré sa inkasované sumy rozúčtovávajú, sa často menia a dopĺňajú v závislosti na vzniku a zmenách rôznych produktov a systémov. Tento spôsob úhrady vyplýva zo skutočnosti, že bežné účty klientov sú vedené priamo v systéme banky a nie je vhodné požadovať od klienta úhradu na určené účty, čím by sa zaťažil klient a skomplikoval a predražil celý proces úhrady. Banka žiadne bankové číslo vlastného účtu na faktúre alebo inom účtovnom doklade ani neuvádza. Ďalej, vychádzajúc z dôvodovej správy, má ísť o vlastné bankové účty, ktoré sa využívajú na príjem a odosielanie platieb za dodanie tovarov a služieb, ktoré sú „predmetom dane“, resp. všeobecne o bankové účty používané na </w:t>
            </w:r>
            <w:r w:rsidRPr="005659C1">
              <w:rPr>
                <w:rFonts w:ascii="Times New Roman" w:hAnsi="Times New Roman"/>
                <w:sz w:val="24"/>
                <w:szCs w:val="24"/>
              </w:rPr>
              <w:lastRenderedPageBreak/>
              <w:t>podnikanie. Keďže banky poskytujú najmä služby oslobodené od dane, zastávame názor, že v prípade bank by sa uvedená povinnosť nemala vôbec vzťahovať na tie účty bánk, ktoré používajú na prijatie úhrad alebo inkaso súm a poplatkov priamo z účtov klientov za finančné služby, ktoré sú oslobodené od DPH - § 39 zákona o DPH. Navrhujeme ich explicitné vylúčenie z povinnosti oznamovania účtov.</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101289" w:rsidRPr="005659C1" w:rsidRDefault="00101289" w:rsidP="00101289">
            <w:pPr>
              <w:jc w:val="center"/>
              <w:rPr>
                <w:rFonts w:ascii="Times New Roman" w:hAnsi="Times New Roman"/>
                <w:b/>
                <w:bCs/>
                <w:sz w:val="24"/>
                <w:szCs w:val="24"/>
              </w:rPr>
            </w:pPr>
            <w:r w:rsidRPr="005659C1">
              <w:rPr>
                <w:rFonts w:ascii="Times New Roman" w:hAnsi="Times New Roman"/>
                <w:b/>
                <w:bCs/>
                <w:sz w:val="24"/>
                <w:szCs w:val="24"/>
              </w:rPr>
              <w:t>Čiastočne akceptovaná</w:t>
            </w:r>
          </w:p>
          <w:p w:rsidR="005601B6" w:rsidRPr="005659C1" w:rsidRDefault="00101289" w:rsidP="00101289">
            <w:pPr>
              <w:jc w:val="both"/>
              <w:rPr>
                <w:rFonts w:ascii="Times New Roman" w:hAnsi="Times New Roman"/>
                <w:b/>
                <w:bCs/>
                <w:sz w:val="24"/>
                <w:szCs w:val="24"/>
              </w:rPr>
            </w:pPr>
            <w:r w:rsidRPr="005659C1">
              <w:rPr>
                <w:rFonts w:ascii="Times New Roman" w:hAnsi="Times New Roman"/>
                <w:bCs/>
                <w:sz w:val="24"/>
                <w:szCs w:val="24"/>
              </w:rPr>
              <w:t xml:space="preserve">Návrh zákona o DPH nerozlišuje pri povinnosti oznamovať bankové účty skutočnosť, či platiteľ dane poskytuje zdaňované alebo oslobodené služby. Povinnosť zverejniť účty sa vzťahuje všeobecne na platiteľov dane, ktorí uskutočňujú dodania tovarov alebo služieb, ktoré sú predmetom dane v tuzemsku. Ministerstvo  financií si je vedomé, že niektoré transakcie bánk sa štandardne uhrádzajú inak ako platbou klienta na bankový účet banky, a to odpísaním peňažných prostriedkov z bankového účtu klienta. Z tohto dôvodu, pri týchto transakciách banka nebude mať povinnosť zverejňovať bankové účty klientov.   </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 I k bodu 19</w:t>
            </w:r>
            <w:r w:rsidRPr="005659C1">
              <w:rPr>
                <w:rFonts w:ascii="Times New Roman" w:hAnsi="Times New Roman"/>
                <w:sz w:val="24"/>
                <w:szCs w:val="24"/>
              </w:rPr>
              <w:br/>
              <w:t xml:space="preserve">V súvislosti so zavedením inštitútu indexu daňovej spoľahlivosti máme za to, že podrobnosti týkajúce sa zásad, podmienok a spôsobu určenia indexu daňovej spoľahlivosti by mali byť upravené priamo v zákone alebo aspoň vo všeobecne záväznom právnom predpise. Odporúčame detailne vymedziť a zverejniť jednotlivé kritériá, na základe ktorých bude daňovník pre účely indexu daňovej spoľahlivosti posudzovaný, vrátane stanovenia váh týchto kritérií a určenia spôsobu stanovenia konečného stupňa spoľahlivosti daňovníka. Z navrhovaného znenia tiež nie sú jasné všetky stupne spoľahlivosti daňovníka, nakoľko sa uvádza iba tzv. vysoko spoľahlivý a nespoľahlivý daňový subjekt. V nadväznosti na navrhované znenie § 53d ods. 3 a 4 zákona navrhujme časovo vymedziť platnosť zaradenia daňovníka do tej ktorej kategórie spoľahlivosti a prípadnú zmenu statusu daňovníka – napr. či táto bude platná spätne k prvému dňu, ktorý bude nasledovať po uplynutí hodnoteného obdobia, alebo k prvému dňu mesiaca nasledujúceho po mesiaci, v ktorom daňový subjekt obdrží vyrozumenie k podanej námietke, a pod.. Rozumieme, že pri súčasnom hodnotení v rámci osobitného daňového režimu mali spoľahlivé daňové subjekty možnosť získať takmer dvadsať </w:t>
            </w:r>
            <w:r w:rsidRPr="005659C1">
              <w:rPr>
                <w:rFonts w:ascii="Times New Roman" w:hAnsi="Times New Roman"/>
                <w:sz w:val="24"/>
                <w:szCs w:val="24"/>
              </w:rPr>
              <w:lastRenderedPageBreak/>
              <w:t xml:space="preserve">rôznych benefitov z rôznych oblastí daňového konania, zatiaľ čo v navrhovanom znení novely zákona o správe daní sú zákonom vymedzené iba dva a iba v súvislosti s výkonom daňovej kontroly alebo výkonom miestneho zisťovania. Rovnako tiež tzv. „malusy“ pre nespoľahlivých daňovníkov sú vymedzené len v navrhovanom znení ustanovenia § 53d ods. 8 zákona. Máme za to, že všetky nároky (bonusy), ako aj malusy by mali byť pokryté v rámci jedného legislatívneho ustanovenia. Ďalej odporúčame zvážiť možnosť rozšírenia hodnotenia daňového subjektu formou indexu daňovej spoľahlivosti aj na iných daňovníkov ako iba podnikateľov registrovaných pre daň z príjmov, napr. aj na zahraničné subjekty (osoby), ktoré sú v SR registrované na DPH a rovnako si plnia svoje daňové povinnosti voči slovenskej finančnej správe.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192FFA" w:rsidRPr="005659C1" w:rsidRDefault="00192FFA" w:rsidP="00192FFA">
            <w:pPr>
              <w:spacing w:after="0" w:line="240" w:lineRule="auto"/>
              <w:ind w:right="284"/>
              <w:rPr>
                <w:rFonts w:ascii="Times New Roman" w:hAnsi="Times New Roman"/>
                <w:b/>
                <w:bCs/>
                <w:sz w:val="24"/>
                <w:szCs w:val="24"/>
              </w:rPr>
            </w:pPr>
            <w:r w:rsidRPr="005659C1">
              <w:rPr>
                <w:rFonts w:ascii="Times New Roman" w:hAnsi="Times New Roman"/>
                <w:b/>
                <w:bCs/>
                <w:sz w:val="24"/>
                <w:szCs w:val="24"/>
              </w:rPr>
              <w:t>Čiastočne akceptovaná</w:t>
            </w:r>
          </w:p>
          <w:p w:rsidR="00101289" w:rsidRPr="005659C1" w:rsidRDefault="00101289" w:rsidP="00192FFA">
            <w:pPr>
              <w:spacing w:after="0" w:line="240" w:lineRule="auto"/>
              <w:ind w:right="284"/>
              <w:rPr>
                <w:rFonts w:ascii="Times New Roman" w:hAnsi="Times New Roman"/>
                <w:b/>
                <w:bCs/>
                <w:sz w:val="24"/>
                <w:szCs w:val="24"/>
              </w:rPr>
            </w:pPr>
          </w:p>
          <w:p w:rsidR="00192FFA" w:rsidRPr="005659C1" w:rsidRDefault="00192FFA" w:rsidP="00192FFA">
            <w:pPr>
              <w:pStyle w:val="Odsekzoznamu"/>
              <w:numPr>
                <w:ilvl w:val="0"/>
                <w:numId w:val="1"/>
              </w:numPr>
              <w:spacing w:after="0" w:line="240" w:lineRule="auto"/>
              <w:ind w:left="284" w:right="284" w:hanging="141"/>
              <w:rPr>
                <w:rFonts w:ascii="Times New Roman" w:hAnsi="Times New Roman"/>
                <w:b/>
                <w:bCs/>
                <w:sz w:val="24"/>
                <w:szCs w:val="24"/>
                <w:u w:val="single"/>
              </w:rPr>
            </w:pPr>
            <w:r w:rsidRPr="005659C1">
              <w:rPr>
                <w:rFonts w:ascii="Times New Roman" w:hAnsi="Times New Roman"/>
                <w:bCs/>
                <w:sz w:val="24"/>
                <w:szCs w:val="24"/>
                <w:u w:val="single"/>
              </w:rPr>
              <w:t>prekvalifikovaná zo zásadnej pripomienky na obyčajnú pripomienku</w:t>
            </w:r>
          </w:p>
          <w:p w:rsidR="005901AA" w:rsidRPr="005659C1" w:rsidRDefault="00192FFA" w:rsidP="005901AA">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kritéria určovania indexu daňovej spoľahlivosti budú zverejňované formou podzákonnej normy – vyhlášky, ktorej bude predchádzať predbežné pripomienkové konanie aj medzirezortné pripomienkové konanie</w:t>
            </w:r>
          </w:p>
          <w:p w:rsidR="00192FFA" w:rsidRPr="005659C1" w:rsidRDefault="00192FFA" w:rsidP="00192FFA">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oznámenie o daňovom indexe bude obsahovať odôvodnenie</w:t>
            </w:r>
            <w:r w:rsidR="00550643" w:rsidRPr="005659C1">
              <w:rPr>
                <w:rFonts w:ascii="Times New Roman" w:hAnsi="Times New Roman"/>
                <w:bCs/>
                <w:sz w:val="24"/>
                <w:szCs w:val="24"/>
              </w:rPr>
              <w:t xml:space="preserve"> vyhodnotenia indexu</w:t>
            </w:r>
          </w:p>
          <w:p w:rsidR="005901AA" w:rsidRPr="005659C1" w:rsidRDefault="005901AA" w:rsidP="00192FFA">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technické pozadie bude uvedené na stránke Finančného riaditeľstva (napr. určenie stupňov, hodnotiace obdobie)</w:t>
            </w:r>
          </w:p>
          <w:p w:rsidR="00192FFA" w:rsidRPr="005659C1" w:rsidRDefault="00192FFA" w:rsidP="00192FFA">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benefity sa voči daňovému subjektu neuplatnia iba ak opakovane nebude spolupracovať so správcom dane</w:t>
            </w:r>
          </w:p>
          <w:p w:rsidR="00192FFA" w:rsidRPr="005659C1" w:rsidRDefault="00192FFA" w:rsidP="00192FFA">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lehotu 8 dní dostane iba nespoľahlivý subjekt</w:t>
            </w:r>
          </w:p>
          <w:p w:rsidR="00192FFA" w:rsidRPr="005659C1" w:rsidRDefault="00192FFA" w:rsidP="00192FFA">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je to motivácia, aby sa stal spoľahlivým</w:t>
            </w:r>
          </w:p>
          <w:p w:rsidR="005601B6" w:rsidRPr="005659C1" w:rsidRDefault="00192FFA" w:rsidP="00192FFA">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MFSR zváži možnosť rozšírenia indexu aj na iných daňovníkov v rámci budúcich noviel</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18</w:t>
            </w:r>
            <w:r w:rsidRPr="005659C1">
              <w:rPr>
                <w:rFonts w:ascii="Times New Roman" w:hAnsi="Times New Roman"/>
                <w:sz w:val="24"/>
                <w:szCs w:val="24"/>
              </w:rPr>
              <w:br/>
              <w:t xml:space="preserve">Z navrhovaného znenia § 53c ods. 1 zákona o správe daní a znenia Dôvodovej správy k predmetnému ustanoveniu nie je jasné, či sa úhrada vo výške 1 000 eur za vydanie záväzného stanoviska vzťahuje na jeden obchodný prípad, alebo je možné žiadať za jeden poplatok (úhradu) o posúdenie viacerých obchodných prípadov, ak tieto budú spadať do rámca jedného daňového predpisu. Prípadne sa poplatok 1000 eur vzťahuje na posúdenie jednej transakcie z pohľadu viacerých daňových zákonov, napr. dane z príjmov aj DPH. Navrhujeme primerane upraviť/ doplniť predmetné ustanovenie. Zároveň navrhujeme zvážiť rozšírenie možnosti požiadať finančné riaditeľstvo o záväzné písomné stanovisko aj k skutočnostiam, ktoré nastali v zdaňovacom období, za ktoré už bolo podané daňové priznanie, ak pôjde o skutočnosti, </w:t>
            </w:r>
            <w:r w:rsidRPr="005659C1">
              <w:rPr>
                <w:rFonts w:ascii="Times New Roman" w:hAnsi="Times New Roman"/>
                <w:sz w:val="24"/>
                <w:szCs w:val="24"/>
              </w:rPr>
              <w:lastRenderedPageBreak/>
              <w:t xml:space="preserve">ktoré neboli predmetom daňovej kontroly.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5901AA">
            <w:pPr>
              <w:jc w:val="center"/>
              <w:rPr>
                <w:rFonts w:ascii="Times New Roman" w:hAnsi="Times New Roman"/>
                <w:b/>
                <w:bCs/>
                <w:sz w:val="24"/>
                <w:szCs w:val="24"/>
              </w:rPr>
            </w:pPr>
            <w:r w:rsidRPr="005659C1">
              <w:rPr>
                <w:rFonts w:ascii="Times New Roman" w:hAnsi="Times New Roman"/>
                <w:b/>
                <w:bCs/>
                <w:sz w:val="24"/>
                <w:szCs w:val="24"/>
              </w:rPr>
              <w:t>Akceptovaná</w:t>
            </w:r>
          </w:p>
          <w:p w:rsidR="005901AA" w:rsidRDefault="005901AA" w:rsidP="005901AA">
            <w:pPr>
              <w:pStyle w:val="Odsekzoznamu"/>
              <w:numPr>
                <w:ilvl w:val="0"/>
                <w:numId w:val="1"/>
              </w:numPr>
              <w:rPr>
                <w:rFonts w:ascii="Times New Roman" w:hAnsi="Times New Roman"/>
                <w:bCs/>
                <w:sz w:val="24"/>
                <w:szCs w:val="24"/>
              </w:rPr>
            </w:pPr>
            <w:r w:rsidRPr="005659C1">
              <w:rPr>
                <w:rFonts w:ascii="Times New Roman" w:hAnsi="Times New Roman"/>
                <w:bCs/>
                <w:sz w:val="24"/>
                <w:szCs w:val="24"/>
              </w:rPr>
              <w:t>spresníme do dôvodovej správy</w:t>
            </w:r>
          </w:p>
          <w:p w:rsidR="00347BCE" w:rsidRDefault="00347BCE" w:rsidP="005901AA">
            <w:pPr>
              <w:pStyle w:val="Odsekzoznamu"/>
              <w:numPr>
                <w:ilvl w:val="0"/>
                <w:numId w:val="1"/>
              </w:numPr>
              <w:rPr>
                <w:rFonts w:ascii="Times New Roman" w:hAnsi="Times New Roman"/>
                <w:bCs/>
                <w:sz w:val="24"/>
                <w:szCs w:val="24"/>
              </w:rPr>
            </w:pPr>
            <w:r>
              <w:rPr>
                <w:rFonts w:ascii="Times New Roman" w:hAnsi="Times New Roman"/>
                <w:bCs/>
                <w:sz w:val="24"/>
                <w:szCs w:val="24"/>
              </w:rPr>
              <w:t>cena za záväzné stanovisko bude za jeden obchodný prípad podľa jedného predpisu</w:t>
            </w:r>
          </w:p>
          <w:p w:rsidR="00347BCE" w:rsidRPr="005659C1" w:rsidRDefault="00347BCE" w:rsidP="005901AA">
            <w:pPr>
              <w:pStyle w:val="Odsekzoznamu"/>
              <w:numPr>
                <w:ilvl w:val="0"/>
                <w:numId w:val="1"/>
              </w:numPr>
              <w:rPr>
                <w:rFonts w:ascii="Times New Roman" w:hAnsi="Times New Roman"/>
                <w:bCs/>
                <w:sz w:val="24"/>
                <w:szCs w:val="24"/>
              </w:rPr>
            </w:pPr>
            <w:r>
              <w:rPr>
                <w:rFonts w:ascii="Times New Roman" w:hAnsi="Times New Roman"/>
                <w:bCs/>
                <w:sz w:val="24"/>
                <w:szCs w:val="24"/>
              </w:rPr>
              <w:t>v prípade potreby uplatnenia viacerých právnych predpisov bude suma dvojnásobná resp. viacnásobná podľa počtu predpisov, ktoré je potrebné uplatniť</w:t>
            </w:r>
          </w:p>
          <w:p w:rsidR="005901AA" w:rsidRPr="005659C1" w:rsidRDefault="005901AA" w:rsidP="005901AA">
            <w:pPr>
              <w:pStyle w:val="Odsekzoznamu"/>
              <w:numPr>
                <w:ilvl w:val="0"/>
                <w:numId w:val="1"/>
              </w:numPr>
              <w:rPr>
                <w:rFonts w:ascii="Times New Roman" w:hAnsi="Times New Roman"/>
                <w:bCs/>
                <w:sz w:val="24"/>
                <w:szCs w:val="24"/>
              </w:rPr>
            </w:pPr>
            <w:r w:rsidRPr="005659C1">
              <w:rPr>
                <w:rFonts w:ascii="Times New Roman" w:hAnsi="Times New Roman"/>
                <w:bCs/>
                <w:sz w:val="24"/>
                <w:szCs w:val="24"/>
              </w:rPr>
              <w:t xml:space="preserve">rozšírenie oblasti právnych predpisov, ku ktorým je možné vydávať záväzné stanovisko </w:t>
            </w:r>
            <w:r w:rsidR="00A70852" w:rsidRPr="005659C1">
              <w:rPr>
                <w:rFonts w:ascii="Times New Roman" w:hAnsi="Times New Roman"/>
                <w:bCs/>
                <w:sz w:val="24"/>
                <w:szCs w:val="24"/>
              </w:rPr>
              <w:t>bude predmetom prípravy vykonávacej vyhlášky</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19 ods. (5)</w:t>
            </w:r>
            <w:r w:rsidRPr="005659C1">
              <w:rPr>
                <w:rFonts w:ascii="Times New Roman" w:hAnsi="Times New Roman"/>
                <w:sz w:val="24"/>
                <w:szCs w:val="24"/>
              </w:rPr>
              <w:br/>
              <w:t xml:space="preserve">Odporúčame upraviť tak, aby kritériá indexu daňovej spoľahlivosti boli upravené príslušnou vyhláškou a nie jednoduchým rozhodnutím Finančného riaditeľstva SR a jeho zverejnením na jeho webovom sídle. V prípade vyhlášky budú pravidlá predmetom riadneho legislatívneho procesu a bude zverejnená v Zbierke zákonov. V prípade, ak bude správca dane poskytovať „benefity“ daňovníkom bez legislatívnej úpravy zverejnenej v Zbierke zákonov, bude tento postup v rozpore s legislatívou.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A70852">
            <w:pPr>
              <w:jc w:val="center"/>
              <w:rPr>
                <w:rFonts w:ascii="Times New Roman" w:hAnsi="Times New Roman"/>
                <w:b/>
                <w:bCs/>
                <w:sz w:val="24"/>
                <w:szCs w:val="24"/>
              </w:rPr>
            </w:pPr>
            <w:r w:rsidRPr="005659C1">
              <w:rPr>
                <w:rFonts w:ascii="Times New Roman" w:hAnsi="Times New Roman"/>
                <w:b/>
                <w:bCs/>
                <w:sz w:val="24"/>
                <w:szCs w:val="24"/>
              </w:rPr>
              <w:t>Akceptovaná</w:t>
            </w:r>
          </w:p>
          <w:p w:rsidR="00A70852" w:rsidRPr="005659C1" w:rsidRDefault="00A70852" w:rsidP="00A70852">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kritéria určovania indexu daňovej spoľahlivosti budú zverejňované formou podzákonnej normy – vyhlášky, ktorej bude predchádzať predbežné pripomienkové konanie aj medzirezortné pripomienkové konanie</w:t>
            </w:r>
          </w:p>
          <w:p w:rsidR="00A70852" w:rsidRPr="005659C1" w:rsidRDefault="00A70852">
            <w:pPr>
              <w:jc w:val="cente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19 ods. (6)</w:t>
            </w:r>
            <w:r w:rsidRPr="005659C1">
              <w:rPr>
                <w:rFonts w:ascii="Times New Roman" w:hAnsi="Times New Roman"/>
                <w:sz w:val="24"/>
                <w:szCs w:val="24"/>
              </w:rPr>
              <w:br/>
              <w:t xml:space="preserve">Odporúčame prehodnotiť, nakoľko vyhodnotenie čiastkového protokolu v súvislosti s ktorým bude vrátená časť nadmerného odpočtu výlučne pre spoľahlivých daňovníkov je v hrubom rozpore s úniovými pravidlami v oblasti DPH, Ústavou SR a ďalšími medzinárodnými a národnými predpismi.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D174C3">
            <w:pPr>
              <w:jc w:val="center"/>
              <w:rPr>
                <w:rFonts w:ascii="Times New Roman" w:hAnsi="Times New Roman"/>
                <w:b/>
                <w:bCs/>
                <w:sz w:val="24"/>
                <w:szCs w:val="24"/>
              </w:rPr>
            </w:pPr>
            <w:r w:rsidRPr="005659C1">
              <w:rPr>
                <w:rFonts w:ascii="Times New Roman" w:hAnsi="Times New Roman"/>
                <w:b/>
                <w:bCs/>
                <w:sz w:val="24"/>
                <w:szCs w:val="24"/>
              </w:rPr>
              <w:t>Akceptovaná</w:t>
            </w:r>
          </w:p>
          <w:p w:rsidR="00D174C3" w:rsidRPr="005659C1" w:rsidRDefault="00D174C3" w:rsidP="00D174C3">
            <w:pPr>
              <w:pStyle w:val="Odsekzoznamu"/>
              <w:numPr>
                <w:ilvl w:val="0"/>
                <w:numId w:val="1"/>
              </w:numPr>
              <w:rPr>
                <w:rFonts w:ascii="Times New Roman" w:hAnsi="Times New Roman"/>
                <w:bCs/>
                <w:sz w:val="24"/>
                <w:szCs w:val="24"/>
              </w:rPr>
            </w:pPr>
            <w:r w:rsidRPr="005659C1">
              <w:rPr>
                <w:rFonts w:ascii="Times New Roman" w:hAnsi="Times New Roman"/>
                <w:bCs/>
                <w:sz w:val="24"/>
                <w:szCs w:val="24"/>
              </w:rPr>
              <w:t>právo na čiastkový protokol ostáva zachované, pri vysokospoľahlivých subjektoch sa jedná o povinnosť</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19 ods. (7)</w:t>
            </w:r>
            <w:r w:rsidRPr="005659C1">
              <w:rPr>
                <w:rFonts w:ascii="Times New Roman" w:hAnsi="Times New Roman"/>
                <w:sz w:val="24"/>
                <w:szCs w:val="24"/>
              </w:rPr>
              <w:br/>
              <w:t xml:space="preserve">„Navrhujeme vypustiť slová: nebol zastihnuteľný na adrese sídla, miesta podnikania alebo na adrese prevádzkarne“. Odôvodnenie: Skutočnosť, či je daňový subjekt zastihnuteľný na adrese je veľmi subjektívna, správca dane si o takýchto úkonoch vykoná úradný záznam, o ktorom daňový subjekt nemá vedomosť do času, dokedy nahliadne do spisu daňového subjektu. Je obvyklé, že ak správca dane má záujem o vykonanie miestneho zisťovania bez ohlásenia, v pracovnom čase nie sú zastihnuteľní na adrese svojho miesta podnikania živnostníci alebo podnikatelia, ktorých predmet činnosti vylučuje neustále zdržiavanie sa v mieste podnikania, </w:t>
            </w:r>
            <w:r w:rsidRPr="005659C1">
              <w:rPr>
                <w:rFonts w:ascii="Times New Roman" w:hAnsi="Times New Roman"/>
                <w:sz w:val="24"/>
                <w:szCs w:val="24"/>
              </w:rPr>
              <w:lastRenderedPageBreak/>
              <w:t xml:space="preserve">preto je nevyhnutné vykonať nami navrhovanú úpravu.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D174C3">
            <w:pPr>
              <w:jc w:val="center"/>
              <w:rPr>
                <w:rFonts w:ascii="Times New Roman" w:hAnsi="Times New Roman"/>
                <w:b/>
                <w:bCs/>
                <w:sz w:val="24"/>
                <w:szCs w:val="24"/>
              </w:rPr>
            </w:pPr>
            <w:r w:rsidRPr="005659C1">
              <w:rPr>
                <w:rFonts w:ascii="Times New Roman" w:hAnsi="Times New Roman"/>
                <w:b/>
                <w:bCs/>
                <w:sz w:val="24"/>
                <w:szCs w:val="24"/>
              </w:rPr>
              <w:t xml:space="preserve">Čiastočne </w:t>
            </w:r>
            <w:r w:rsidR="00F97F54" w:rsidRPr="005659C1">
              <w:rPr>
                <w:rFonts w:ascii="Times New Roman" w:hAnsi="Times New Roman"/>
                <w:b/>
                <w:bCs/>
                <w:sz w:val="24"/>
                <w:szCs w:val="24"/>
              </w:rPr>
              <w:t>a</w:t>
            </w:r>
            <w:r w:rsidRPr="005659C1">
              <w:rPr>
                <w:rFonts w:ascii="Times New Roman" w:hAnsi="Times New Roman"/>
                <w:b/>
                <w:bCs/>
                <w:sz w:val="24"/>
                <w:szCs w:val="24"/>
              </w:rPr>
              <w:t>kceptovaná</w:t>
            </w:r>
          </w:p>
          <w:p w:rsidR="00D174C3" w:rsidRPr="005659C1" w:rsidRDefault="00D174C3" w:rsidP="00D174C3">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benefity sa voči daňovému subjektu neuplatnia iba ak opakovane nebude spolupracovať so správcom dane, teda aj zastihnuteľný</w:t>
            </w:r>
          </w:p>
          <w:p w:rsidR="00D174C3" w:rsidRPr="005659C1" w:rsidRDefault="00D174C3" w:rsidP="00D174C3">
            <w:pP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19 ods. (8)</w:t>
            </w:r>
            <w:r w:rsidRPr="005659C1">
              <w:rPr>
                <w:rFonts w:ascii="Times New Roman" w:hAnsi="Times New Roman"/>
                <w:sz w:val="24"/>
                <w:szCs w:val="24"/>
              </w:rPr>
              <w:br/>
              <w:t>Navrhujeme vypustiť. Odôvodnenie: Lehota, ktorú správca dane stanoví na vykonanie úkonu musí byť primeraná. Stanovenie lehoty 8 dní paušálne na akýkoľvek úkon v akomkoľvek rozsahu by bolo likvidačné pre daňové subjekty, ktoré sú považované za nespoľahlivé, a zároveň, výkon daňovej kontroly, resp. miestneho zisťovania, ku ktorému by tento úkon s 8 dňovou lehotou mal smerovať môžu práve stanovením neprimeranej lehoty niesť vady nezákonnosti.</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Default="00D174C3">
            <w:pPr>
              <w:jc w:val="center"/>
              <w:rPr>
                <w:rFonts w:ascii="Times New Roman" w:hAnsi="Times New Roman"/>
                <w:b/>
                <w:bCs/>
                <w:sz w:val="24"/>
                <w:szCs w:val="24"/>
              </w:rPr>
            </w:pPr>
            <w:r w:rsidRPr="005659C1">
              <w:rPr>
                <w:rFonts w:ascii="Times New Roman" w:hAnsi="Times New Roman"/>
                <w:b/>
                <w:bCs/>
                <w:sz w:val="24"/>
                <w:szCs w:val="24"/>
              </w:rPr>
              <w:t>Neakceptovaná</w:t>
            </w:r>
          </w:p>
          <w:p w:rsidR="00134674" w:rsidRPr="005659C1" w:rsidRDefault="00134674" w:rsidP="00134674">
            <w:pPr>
              <w:pStyle w:val="Odsekzoznamu"/>
              <w:numPr>
                <w:ilvl w:val="0"/>
                <w:numId w:val="1"/>
              </w:numPr>
              <w:spacing w:after="0" w:line="240" w:lineRule="auto"/>
              <w:ind w:left="284" w:right="284" w:hanging="141"/>
              <w:rPr>
                <w:rFonts w:ascii="Times New Roman" w:hAnsi="Times New Roman"/>
                <w:b/>
                <w:bCs/>
                <w:sz w:val="24"/>
                <w:szCs w:val="24"/>
                <w:u w:val="single"/>
              </w:rPr>
            </w:pPr>
            <w:r w:rsidRPr="005659C1">
              <w:rPr>
                <w:rFonts w:ascii="Times New Roman" w:hAnsi="Times New Roman"/>
                <w:bCs/>
                <w:sz w:val="24"/>
                <w:szCs w:val="24"/>
                <w:u w:val="single"/>
              </w:rPr>
              <w:t>prekvalifikovaná zo zásadnej pripomienky na obyčajnú pripomienku</w:t>
            </w:r>
          </w:p>
          <w:p w:rsidR="00D174C3" w:rsidRPr="005659C1" w:rsidRDefault="00D174C3" w:rsidP="00D174C3">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lehotu 8 dní dostane iba nespoľahlivý subjekt a zároveň v prípade podania žiadostí o predĺženie lehoty, ktoré budú subjektom riadne odôvodnené, môže správca dane lehotu primerane predĺžiť</w:t>
            </w:r>
          </w:p>
          <w:p w:rsidR="00D174C3" w:rsidRPr="005659C1" w:rsidRDefault="00D174C3" w:rsidP="00D174C3">
            <w:pPr>
              <w:pStyle w:val="Odsekzoznamu"/>
              <w:numPr>
                <w:ilvl w:val="0"/>
                <w:numId w:val="1"/>
              </w:numPr>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je to motivácia, aby sa stal spoľahlivým</w:t>
            </w:r>
          </w:p>
          <w:p w:rsidR="00D174C3" w:rsidRPr="005659C1" w:rsidRDefault="00D174C3">
            <w:pPr>
              <w:jc w:val="cente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36 ods. (2)</w:t>
            </w:r>
            <w:r w:rsidRPr="005659C1">
              <w:rPr>
                <w:rFonts w:ascii="Times New Roman" w:hAnsi="Times New Roman"/>
                <w:sz w:val="24"/>
                <w:szCs w:val="24"/>
              </w:rPr>
              <w:br/>
              <w:t xml:space="preserve">Navrhujeme úplne vypustiť, nakoľko takáto úprava bude zasahovať do práv fyzických osôb, ktoré riadne podnikali a následne sa zmenil konateľ spoločnosti – napríklad pôjde o zahraničného investora, ktorý prestal na území SR podnikať a právnickú osobu predal spolu s vykonanou zmenou štatutára inej osobe. Nesúčinnosť následného konateľa s následkom ukončenia daňovej kontroly v zmysle §46 ods. 9 písm. c) by mohla mať za následok vylúčenie fyzickej osoby, ku ktorej toto navrhované opatrenie nesmeruje.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357097" w:rsidRDefault="005601B6">
            <w:pPr>
              <w:jc w:val="center"/>
              <w:rPr>
                <w:rFonts w:ascii="Times New Roman" w:hAnsi="Times New Roman"/>
                <w:b/>
                <w:bCs/>
                <w:sz w:val="24"/>
                <w:szCs w:val="24"/>
              </w:rPr>
            </w:pPr>
            <w:r w:rsidRPr="00357097">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357097" w:rsidRDefault="00D174C3">
            <w:pPr>
              <w:jc w:val="center"/>
              <w:rPr>
                <w:rFonts w:ascii="Times New Roman" w:hAnsi="Times New Roman"/>
                <w:b/>
                <w:bCs/>
                <w:sz w:val="24"/>
                <w:szCs w:val="24"/>
              </w:rPr>
            </w:pPr>
            <w:r w:rsidRPr="00357097">
              <w:rPr>
                <w:rFonts w:ascii="Times New Roman" w:hAnsi="Times New Roman"/>
                <w:b/>
                <w:bCs/>
                <w:sz w:val="24"/>
                <w:szCs w:val="24"/>
              </w:rPr>
              <w:t>Neakceptovaná</w:t>
            </w:r>
          </w:p>
          <w:p w:rsidR="00134674" w:rsidRPr="00357097" w:rsidRDefault="00134674" w:rsidP="00134674">
            <w:pPr>
              <w:pStyle w:val="Odsekzoznamu"/>
              <w:numPr>
                <w:ilvl w:val="0"/>
                <w:numId w:val="1"/>
              </w:numPr>
              <w:spacing w:after="0" w:line="240" w:lineRule="auto"/>
              <w:ind w:left="284" w:right="284" w:hanging="141"/>
              <w:rPr>
                <w:rFonts w:ascii="Times New Roman" w:hAnsi="Times New Roman"/>
                <w:b/>
                <w:bCs/>
                <w:sz w:val="24"/>
                <w:szCs w:val="24"/>
                <w:u w:val="single"/>
              </w:rPr>
            </w:pPr>
            <w:r w:rsidRPr="00357097">
              <w:rPr>
                <w:rFonts w:ascii="Times New Roman" w:hAnsi="Times New Roman"/>
                <w:bCs/>
                <w:sz w:val="24"/>
                <w:szCs w:val="24"/>
                <w:u w:val="single"/>
              </w:rPr>
              <w:t>prekvalifikovaná zo zásadnej pripomienky na obyčajnú pripomienku</w:t>
            </w:r>
          </w:p>
          <w:p w:rsidR="00D174C3" w:rsidRPr="00357097" w:rsidRDefault="00D174C3" w:rsidP="00D174C3">
            <w:pPr>
              <w:pStyle w:val="Odsekzoznamu"/>
              <w:numPr>
                <w:ilvl w:val="0"/>
                <w:numId w:val="1"/>
              </w:numPr>
              <w:shd w:val="clear" w:color="auto" w:fill="FFFFFF" w:themeFill="background1"/>
              <w:spacing w:after="0" w:line="240" w:lineRule="auto"/>
              <w:ind w:left="284" w:right="284" w:hanging="140"/>
              <w:rPr>
                <w:rFonts w:ascii="Times New Roman" w:hAnsi="Times New Roman"/>
                <w:bCs/>
                <w:sz w:val="24"/>
                <w:szCs w:val="24"/>
              </w:rPr>
            </w:pPr>
            <w:r w:rsidRPr="00357097">
              <w:rPr>
                <w:rFonts w:ascii="Times New Roman" w:hAnsi="Times New Roman"/>
                <w:bCs/>
                <w:sz w:val="24"/>
                <w:szCs w:val="24"/>
              </w:rPr>
              <w:t>cieľom je zamedziť špekulatívnemu správaniu zneužívajúcemu systém DPH a biele kone</w:t>
            </w:r>
          </w:p>
          <w:p w:rsidR="00AB2419" w:rsidRPr="00357097" w:rsidRDefault="00AB2419" w:rsidP="00D174C3">
            <w:pPr>
              <w:pStyle w:val="Odsekzoznamu"/>
              <w:numPr>
                <w:ilvl w:val="0"/>
                <w:numId w:val="1"/>
              </w:numPr>
              <w:shd w:val="clear" w:color="auto" w:fill="FFFFFF" w:themeFill="background1"/>
              <w:spacing w:after="0" w:line="240" w:lineRule="auto"/>
              <w:ind w:left="284" w:right="284" w:hanging="140"/>
              <w:rPr>
                <w:rFonts w:ascii="Times New Roman" w:hAnsi="Times New Roman"/>
                <w:bCs/>
                <w:sz w:val="24"/>
                <w:szCs w:val="24"/>
              </w:rPr>
            </w:pPr>
            <w:r w:rsidRPr="00357097">
              <w:rPr>
                <w:rFonts w:ascii="Times New Roman" w:hAnsi="Times New Roman"/>
                <w:bCs/>
                <w:sz w:val="24"/>
                <w:szCs w:val="24"/>
              </w:rPr>
              <w:t>ide o špecifické situácie</w:t>
            </w:r>
          </w:p>
          <w:p w:rsidR="00D174C3" w:rsidRPr="00273C75" w:rsidRDefault="00D174C3" w:rsidP="00D174C3">
            <w:pPr>
              <w:pStyle w:val="Odsekzoznamu"/>
              <w:numPr>
                <w:ilvl w:val="0"/>
                <w:numId w:val="1"/>
              </w:numPr>
              <w:shd w:val="clear" w:color="auto" w:fill="FFFFFF" w:themeFill="background1"/>
              <w:spacing w:after="0" w:line="240" w:lineRule="auto"/>
              <w:ind w:left="284" w:right="284" w:hanging="141"/>
              <w:rPr>
                <w:rFonts w:ascii="Times New Roman" w:hAnsi="Times New Roman"/>
                <w:bCs/>
                <w:sz w:val="24"/>
                <w:szCs w:val="24"/>
              </w:rPr>
            </w:pPr>
            <w:r w:rsidRPr="00357097">
              <w:rPr>
                <w:rFonts w:ascii="Times New Roman" w:hAnsi="Times New Roman"/>
                <w:bCs/>
                <w:sz w:val="24"/>
                <w:szCs w:val="24"/>
              </w:rPr>
              <w:t xml:space="preserve">predmetné ustanovenie bude prepracované v spolupráci </w:t>
            </w:r>
            <w:r w:rsidRPr="00273C75">
              <w:rPr>
                <w:rFonts w:ascii="Times New Roman" w:hAnsi="Times New Roman"/>
                <w:bCs/>
                <w:sz w:val="24"/>
                <w:szCs w:val="24"/>
              </w:rPr>
              <w:t>s</w:t>
            </w:r>
            <w:r w:rsidR="00CD5AEE" w:rsidRPr="00273C75">
              <w:rPr>
                <w:rFonts w:ascii="Times New Roman" w:hAnsi="Times New Roman"/>
                <w:bCs/>
                <w:sz w:val="24"/>
                <w:szCs w:val="24"/>
              </w:rPr>
              <w:t> </w:t>
            </w:r>
            <w:r w:rsidRPr="00273C75">
              <w:rPr>
                <w:rFonts w:ascii="Times New Roman" w:hAnsi="Times New Roman"/>
                <w:bCs/>
                <w:sz w:val="24"/>
                <w:szCs w:val="24"/>
              </w:rPr>
              <w:t>MSSR</w:t>
            </w:r>
          </w:p>
          <w:p w:rsidR="00134674" w:rsidRPr="00273C75" w:rsidRDefault="00134674" w:rsidP="00134674">
            <w:pPr>
              <w:pStyle w:val="Odsekzoznamu"/>
              <w:numPr>
                <w:ilvl w:val="0"/>
                <w:numId w:val="1"/>
              </w:numPr>
              <w:shd w:val="clear" w:color="auto" w:fill="FFFFFF" w:themeFill="background1"/>
              <w:spacing w:after="0" w:line="240" w:lineRule="auto"/>
              <w:ind w:left="284" w:right="284" w:hanging="141"/>
              <w:rPr>
                <w:rFonts w:ascii="Times New Roman" w:hAnsi="Times New Roman"/>
                <w:bCs/>
                <w:sz w:val="24"/>
                <w:szCs w:val="24"/>
              </w:rPr>
            </w:pPr>
            <w:r w:rsidRPr="00273C75">
              <w:rPr>
                <w:rFonts w:ascii="Times New Roman" w:hAnsi="Times New Roman"/>
                <w:bCs/>
                <w:sz w:val="24"/>
                <w:szCs w:val="24"/>
              </w:rPr>
              <w:t>SKDP osobitne upozornila, že pôvodný štatutár nemá možnosť ovplyvniť alebo napraviť nesúčinnosť nového štatutára, avšak môže byť vylúčením i napriek tomu postihnutý</w:t>
            </w:r>
          </w:p>
          <w:p w:rsidR="00D174C3" w:rsidRPr="00357097" w:rsidRDefault="00357097" w:rsidP="00357097">
            <w:pPr>
              <w:pStyle w:val="Odsekzoznamu"/>
              <w:numPr>
                <w:ilvl w:val="0"/>
                <w:numId w:val="1"/>
              </w:numPr>
              <w:shd w:val="clear" w:color="auto" w:fill="FFFFFF" w:themeFill="background1"/>
              <w:spacing w:after="0" w:line="240" w:lineRule="auto"/>
              <w:ind w:left="284" w:right="284" w:hanging="141"/>
              <w:rPr>
                <w:rFonts w:ascii="Times New Roman" w:hAnsi="Times New Roman"/>
                <w:b/>
                <w:bCs/>
                <w:sz w:val="24"/>
                <w:szCs w:val="24"/>
              </w:rPr>
            </w:pPr>
            <w:r w:rsidRPr="00273C75">
              <w:rPr>
                <w:rFonts w:ascii="Times New Roman" w:hAnsi="Times New Roman"/>
                <w:bCs/>
                <w:sz w:val="24"/>
                <w:szCs w:val="24"/>
              </w:rPr>
              <w:t>rozhodnutie je preskúmateľné</w:t>
            </w:r>
            <w:r>
              <w:rPr>
                <w:rFonts w:ascii="Times New Roman" w:hAnsi="Times New Roman"/>
                <w:bCs/>
                <w:sz w:val="24"/>
                <w:szCs w:val="24"/>
              </w:rPr>
              <w:t xml:space="preserve"> súdom pričom môže mať aj odkladný účinok</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36 ods. (4)</w:t>
            </w:r>
            <w:r w:rsidRPr="005659C1">
              <w:rPr>
                <w:rFonts w:ascii="Times New Roman" w:hAnsi="Times New Roman"/>
                <w:sz w:val="24"/>
                <w:szCs w:val="24"/>
              </w:rPr>
              <w:br/>
              <w:t xml:space="preserve">Navrhujeme vypustiť z dôvodu, že nemožnosť využitia mimoriadnych opravných prostriedkov – napríklad obnovy konania by mohli mať za následok porušenie práv daňového </w:t>
            </w:r>
            <w:r w:rsidRPr="005659C1">
              <w:rPr>
                <w:rFonts w:ascii="Times New Roman" w:hAnsi="Times New Roman"/>
                <w:sz w:val="24"/>
                <w:szCs w:val="24"/>
              </w:rPr>
              <w:lastRenderedPageBreak/>
              <w:t xml:space="preserve">subjektu.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Default="008D442A" w:rsidP="008D442A">
            <w:pPr>
              <w:tabs>
                <w:tab w:val="left" w:pos="816"/>
                <w:tab w:val="center" w:pos="3167"/>
              </w:tabs>
              <w:rPr>
                <w:rFonts w:ascii="Times New Roman" w:hAnsi="Times New Roman"/>
                <w:b/>
                <w:bCs/>
                <w:sz w:val="24"/>
                <w:szCs w:val="24"/>
              </w:rPr>
            </w:pPr>
            <w:r w:rsidRPr="005659C1">
              <w:rPr>
                <w:rFonts w:ascii="Times New Roman" w:hAnsi="Times New Roman"/>
                <w:b/>
                <w:bCs/>
                <w:sz w:val="24"/>
                <w:szCs w:val="24"/>
              </w:rPr>
              <w:tab/>
            </w:r>
            <w:r w:rsidRPr="005659C1">
              <w:rPr>
                <w:rFonts w:ascii="Times New Roman" w:hAnsi="Times New Roman"/>
                <w:b/>
                <w:bCs/>
                <w:sz w:val="24"/>
                <w:szCs w:val="24"/>
              </w:rPr>
              <w:tab/>
              <w:t>Neakceptovaná</w:t>
            </w:r>
          </w:p>
          <w:p w:rsidR="00134674" w:rsidRPr="005659C1" w:rsidRDefault="00134674" w:rsidP="00134674">
            <w:pPr>
              <w:pStyle w:val="Odsekzoznamu"/>
              <w:numPr>
                <w:ilvl w:val="0"/>
                <w:numId w:val="1"/>
              </w:numPr>
              <w:spacing w:after="0" w:line="240" w:lineRule="auto"/>
              <w:ind w:left="284" w:right="284" w:hanging="141"/>
              <w:rPr>
                <w:rFonts w:ascii="Times New Roman" w:hAnsi="Times New Roman"/>
                <w:b/>
                <w:bCs/>
                <w:sz w:val="24"/>
                <w:szCs w:val="24"/>
                <w:u w:val="single"/>
              </w:rPr>
            </w:pPr>
            <w:r w:rsidRPr="005659C1">
              <w:rPr>
                <w:rFonts w:ascii="Times New Roman" w:hAnsi="Times New Roman"/>
                <w:bCs/>
                <w:sz w:val="24"/>
                <w:szCs w:val="24"/>
                <w:u w:val="single"/>
              </w:rPr>
              <w:t>prekvalifikovaná zo zásadnej pripomienky na obyčajnú pripomienku</w:t>
            </w:r>
          </w:p>
          <w:p w:rsidR="00357097" w:rsidRDefault="00357097" w:rsidP="00357097">
            <w:pPr>
              <w:pStyle w:val="Odsekzoznamu"/>
              <w:numPr>
                <w:ilvl w:val="0"/>
                <w:numId w:val="1"/>
              </w:numPr>
              <w:shd w:val="clear" w:color="auto" w:fill="FFFFFF" w:themeFill="background1"/>
              <w:spacing w:after="0" w:line="240" w:lineRule="auto"/>
              <w:ind w:left="284" w:right="284" w:hanging="140"/>
              <w:rPr>
                <w:rFonts w:ascii="Times New Roman" w:hAnsi="Times New Roman"/>
                <w:bCs/>
                <w:sz w:val="24"/>
                <w:szCs w:val="24"/>
              </w:rPr>
            </w:pPr>
            <w:r>
              <w:rPr>
                <w:rFonts w:ascii="Times New Roman" w:hAnsi="Times New Roman"/>
                <w:bCs/>
                <w:sz w:val="24"/>
                <w:szCs w:val="24"/>
              </w:rPr>
              <w:t>je tu možnosť využitia správnej žaloby a mohlo by dôjsť k duplicite konaní</w:t>
            </w:r>
          </w:p>
          <w:p w:rsidR="00134674" w:rsidRPr="005659C1" w:rsidRDefault="00134674" w:rsidP="00357097">
            <w:pPr>
              <w:pStyle w:val="Odsekzoznamu"/>
              <w:numPr>
                <w:ilvl w:val="0"/>
                <w:numId w:val="1"/>
              </w:numPr>
              <w:shd w:val="clear" w:color="auto" w:fill="FFFFFF" w:themeFill="background1"/>
              <w:spacing w:after="0" w:line="240" w:lineRule="auto"/>
              <w:ind w:left="284" w:right="284" w:hanging="140"/>
              <w:rPr>
                <w:rFonts w:ascii="Times New Roman" w:hAnsi="Times New Roman"/>
                <w:bCs/>
                <w:sz w:val="24"/>
                <w:szCs w:val="24"/>
              </w:rPr>
            </w:pPr>
            <w:bookmarkStart w:id="0" w:name="_GoBack"/>
            <w:bookmarkEnd w:id="0"/>
            <w:r w:rsidRPr="00273C75">
              <w:rPr>
                <w:rFonts w:ascii="Times New Roman" w:hAnsi="Times New Roman"/>
                <w:bCs/>
                <w:sz w:val="24"/>
                <w:szCs w:val="24"/>
              </w:rPr>
              <w:lastRenderedPageBreak/>
              <w:t>SKDP osobitne upozornila na nemožnosť nápravy využitím obnovy konania v prípade, ak k rozhodnutiu došlo v dôsledku trestného činu</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36 ods. (6)</w:t>
            </w:r>
            <w:r w:rsidRPr="005659C1">
              <w:rPr>
                <w:rFonts w:ascii="Times New Roman" w:hAnsi="Times New Roman"/>
                <w:sz w:val="24"/>
                <w:szCs w:val="24"/>
              </w:rPr>
              <w:br/>
              <w:t>Navrhujeme doplniť, že výnimky v tomto odseku sa vzťahujú nielen na odsek 1 ale aj na odsek 2. Predpokladáme, že odkaz aj na odsek 2 bol opomenutý a zákonodarca nemá dôvod na vylúčenie odseku 2. V prípade, ak sa zákonodarca stotožní s návrhom na vypustenie odseku 2, potom je táto legislatívna úprava nadbytočná.</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DA164F">
            <w:pPr>
              <w:jc w:val="center"/>
              <w:rPr>
                <w:rFonts w:ascii="Times New Roman" w:hAnsi="Times New Roman"/>
                <w:b/>
                <w:bCs/>
                <w:sz w:val="24"/>
                <w:szCs w:val="24"/>
              </w:rPr>
            </w:pPr>
            <w:r w:rsidRPr="005659C1">
              <w:rPr>
                <w:rFonts w:ascii="Times New Roman" w:hAnsi="Times New Roman"/>
                <w:b/>
                <w:bCs/>
                <w:sz w:val="24"/>
                <w:szCs w:val="24"/>
              </w:rPr>
              <w:t>Akceptovaná</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6</w:t>
            </w:r>
            <w:r w:rsidRPr="005659C1">
              <w:rPr>
                <w:rFonts w:ascii="Times New Roman" w:hAnsi="Times New Roman"/>
                <w:sz w:val="24"/>
                <w:szCs w:val="24"/>
              </w:rPr>
              <w:br/>
              <w:t xml:space="preserve">„Za slová požiadal o nazretie do spisu sa vkladajú slová: Odo dňa žiadosti o nazretie do spisu do dňa, v ktorom bolo nazretie do spisu umožnené, neplynú lehoty.“ Odôvodnenie: Nazeranie do spisu predstavuje základné ústavné právo daňového subjektu a je definované aj v medzinárodných dohovoroch, resp. priamo k problematike obmedzovania práv na nahliadanie do spisu vydal Európsky súd pre ľudské práva viaceré rozhodnutia. Odôvodnenie legislatívnej úpravy uvádzané v dôvodovej správe, že správca dane potrebuje dostatočný priestor na prípravu spisu je prekvapivé, nakoľko správca dane má v zmysle osobitného predpisu povinnosť viesť štrukturovaný ažurovaný spis počas celého daňového konania, pričom napríklad utajované skutočnosti má správca dane povinnosť uchovávať osobitne s ohľadom na stupeň ich utajenia. Súčasná úprava v zmysle ktorej má daňový subjekt právo na nahliadnutie do spisu kedykoľvek je v súlade so správnym poriadkom, Ústavou SR a je obvyklá aj v iných štátoch. Navrhovanou úpravou sa dosiahne stav, kedy správca dane nebude môcť brániť daňovému subjektu účinne sa brániť, nakoľko v prípade, ak daňovému subjektu uloží určitú povinnosť napríklad v </w:t>
            </w:r>
            <w:r w:rsidRPr="005659C1">
              <w:rPr>
                <w:rFonts w:ascii="Times New Roman" w:hAnsi="Times New Roman"/>
                <w:sz w:val="24"/>
                <w:szCs w:val="24"/>
              </w:rPr>
              <w:lastRenderedPageBreak/>
              <w:t xml:space="preserve">lehote 8 dní (dokonca táto lehota sa zavádza ako štandardná pri nespoľahlivých subjektoch) a správca dane má povinnosť v súlade s navrhovanou zmenou umožniť daňovému subjektu nahliadnuť do spisu do 10 pracovných dní (čo môže predstavovať aj 14 kalendárnych dní v prípade víkendov), mohol by správca dane umožniť prístup do spisu po lehote na vykonanie úkonu daňovým subjektom. Aby sa táto možná obštrukcia vylúčila a práva daňových subjektov boli zachované, navrhujeme, aby lehoty neplynuli. Možný argument, že by takýmto spôsobom mohli daňové subjekty predlžovať lehoty je nerelevantný, pretože bude v záujme správcu dane poskytnúť daňovému subjektu čo najskorší možný termín na nahliadnutie do spisu (aj napríklad v deň požiadania o nahliadnutie) a tým nebude možné účelovo predlžovať lehotu na vykonanie úkonu.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861716">
            <w:pPr>
              <w:jc w:val="center"/>
              <w:rPr>
                <w:rFonts w:ascii="Times New Roman" w:hAnsi="Times New Roman"/>
                <w:b/>
                <w:bCs/>
                <w:sz w:val="24"/>
                <w:szCs w:val="24"/>
              </w:rPr>
            </w:pPr>
            <w:r>
              <w:rPr>
                <w:rFonts w:ascii="Times New Roman" w:hAnsi="Times New Roman"/>
                <w:b/>
                <w:bCs/>
                <w:sz w:val="24"/>
                <w:szCs w:val="24"/>
              </w:rPr>
              <w:t>Čiastočne a</w:t>
            </w:r>
            <w:r w:rsidR="00AB2419" w:rsidRPr="005659C1">
              <w:rPr>
                <w:rFonts w:ascii="Times New Roman" w:hAnsi="Times New Roman"/>
                <w:b/>
                <w:bCs/>
                <w:sz w:val="24"/>
                <w:szCs w:val="24"/>
              </w:rPr>
              <w:t>kceptovaná</w:t>
            </w:r>
          </w:p>
          <w:p w:rsidR="00AB2419" w:rsidRPr="005659C1" w:rsidRDefault="00AB2419" w:rsidP="00AB2419">
            <w:pPr>
              <w:pStyle w:val="Odsekzoznamu"/>
              <w:numPr>
                <w:ilvl w:val="0"/>
                <w:numId w:val="1"/>
              </w:numPr>
              <w:rPr>
                <w:rFonts w:ascii="Times New Roman" w:hAnsi="Times New Roman"/>
                <w:b/>
                <w:bCs/>
                <w:sz w:val="24"/>
                <w:szCs w:val="24"/>
              </w:rPr>
            </w:pPr>
            <w:r w:rsidRPr="005659C1">
              <w:rPr>
                <w:rFonts w:ascii="Times New Roman" w:hAnsi="Times New Roman"/>
                <w:bCs/>
                <w:sz w:val="24"/>
                <w:szCs w:val="24"/>
              </w:rPr>
              <w:t>daňovému subjektu, resp. jeho zástupcovi bude umožnené nahliadnuť do spisu nasledujúci pracovný deň po prijatí žiadosti</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k bodu 9</w:t>
            </w:r>
            <w:r w:rsidRPr="005659C1">
              <w:rPr>
                <w:rFonts w:ascii="Times New Roman" w:hAnsi="Times New Roman"/>
                <w:sz w:val="24"/>
                <w:szCs w:val="24"/>
              </w:rPr>
              <w:br/>
              <w:t xml:space="preserve">Navrhujeme vypustiť. Zámer vykonávať obdobné úkony boli navrhované aj v minulosti – v čase, kedy bol zavádzaný Súhrnný protokol. Zákonodarca upustil od tohto návrhu vzhľadom na skutočnosť, že na spoločných úkonoch sa budú účastníci konaní oboznamovať s daňovým tajomstvom, ktoré neslúži pre ich daňové konanie. V tomto prípade pôjde o hrubé porušenie daňového tajomstva jednotlivého daňového subjektu. Zároveň uvádzame, že môže dôjsť aj k o oboznamovaniu sa s obchodným tajomstvom, resp. ďalšími skutočnosťami, ktoré majú byť ochraňované v zmysle osobitných predpisov.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Default="008D442A">
            <w:pPr>
              <w:jc w:val="center"/>
              <w:rPr>
                <w:rFonts w:ascii="Times New Roman" w:hAnsi="Times New Roman"/>
                <w:b/>
                <w:bCs/>
                <w:sz w:val="24"/>
                <w:szCs w:val="24"/>
              </w:rPr>
            </w:pPr>
            <w:r w:rsidRPr="005659C1">
              <w:rPr>
                <w:rFonts w:ascii="Times New Roman" w:hAnsi="Times New Roman"/>
                <w:b/>
                <w:bCs/>
                <w:sz w:val="24"/>
                <w:szCs w:val="24"/>
              </w:rPr>
              <w:t>Neakceptovaná</w:t>
            </w:r>
          </w:p>
          <w:p w:rsidR="00134674" w:rsidRPr="00134674" w:rsidRDefault="00134674" w:rsidP="00134674">
            <w:pPr>
              <w:pStyle w:val="Odsekzoznamu"/>
              <w:numPr>
                <w:ilvl w:val="0"/>
                <w:numId w:val="1"/>
              </w:numPr>
              <w:rPr>
                <w:rFonts w:ascii="Times New Roman" w:hAnsi="Times New Roman"/>
                <w:b/>
                <w:bCs/>
                <w:sz w:val="24"/>
                <w:szCs w:val="24"/>
              </w:rPr>
            </w:pPr>
            <w:r w:rsidRPr="00134674">
              <w:rPr>
                <w:rFonts w:ascii="Times New Roman" w:hAnsi="Times New Roman"/>
                <w:bCs/>
                <w:sz w:val="24"/>
                <w:szCs w:val="24"/>
                <w:u w:val="single"/>
              </w:rPr>
              <w:t>prekvalifikovaná zo zásadnej pripomienky na obyčajnú pripomienku</w:t>
            </w:r>
          </w:p>
          <w:p w:rsidR="007E33E9" w:rsidRPr="005659C1" w:rsidRDefault="007E33E9" w:rsidP="007E33E9">
            <w:pPr>
              <w:pStyle w:val="Odsekzoznamu"/>
              <w:numPr>
                <w:ilvl w:val="0"/>
                <w:numId w:val="1"/>
              </w:numPr>
              <w:rPr>
                <w:rFonts w:ascii="Times New Roman" w:hAnsi="Times New Roman"/>
                <w:bCs/>
                <w:sz w:val="24"/>
                <w:szCs w:val="24"/>
              </w:rPr>
            </w:pPr>
            <w:r w:rsidRPr="005659C1">
              <w:rPr>
                <w:rFonts w:ascii="Times New Roman" w:hAnsi="Times New Roman"/>
                <w:bCs/>
                <w:sz w:val="24"/>
                <w:szCs w:val="24"/>
              </w:rPr>
              <w:t>úkony majú smerovať aj na odbremenenie daňových subjektov, kedy sa museli zúčastňovať prakticky tých istých úkonov</w:t>
            </w:r>
          </w:p>
          <w:p w:rsidR="007E33E9" w:rsidRPr="005659C1" w:rsidRDefault="007E33E9" w:rsidP="007E33E9">
            <w:pPr>
              <w:pStyle w:val="Odsekzoznamu"/>
              <w:numPr>
                <w:ilvl w:val="0"/>
                <w:numId w:val="1"/>
              </w:numPr>
              <w:rPr>
                <w:rFonts w:ascii="Times New Roman" w:hAnsi="Times New Roman"/>
                <w:bCs/>
                <w:sz w:val="24"/>
                <w:szCs w:val="24"/>
              </w:rPr>
            </w:pPr>
            <w:r w:rsidRPr="005659C1">
              <w:rPr>
                <w:rFonts w:ascii="Times New Roman" w:hAnsi="Times New Roman"/>
                <w:bCs/>
                <w:sz w:val="24"/>
                <w:szCs w:val="24"/>
              </w:rPr>
              <w:t xml:space="preserve">v súvislosti s daňovým tajomstvom je potrebné uviesť, že ak sú v rámci „reťazcov“ relevantné informácie z jedného stupňa pre iný stupeň, nepovažuje sa to </w:t>
            </w:r>
            <w:r w:rsidR="003621F6" w:rsidRPr="005659C1">
              <w:rPr>
                <w:rFonts w:ascii="Times New Roman" w:hAnsi="Times New Roman"/>
                <w:bCs/>
                <w:sz w:val="24"/>
                <w:szCs w:val="24"/>
              </w:rPr>
              <w:t xml:space="preserve">už </w:t>
            </w:r>
            <w:r w:rsidRPr="005659C1">
              <w:rPr>
                <w:rFonts w:ascii="Times New Roman" w:hAnsi="Times New Roman"/>
                <w:bCs/>
                <w:sz w:val="24"/>
                <w:szCs w:val="24"/>
              </w:rPr>
              <w:t>za porušenie daňového tajomstva</w:t>
            </w:r>
          </w:p>
          <w:p w:rsidR="007E33E9" w:rsidRPr="005659C1" w:rsidRDefault="007E33E9" w:rsidP="007E33E9">
            <w:pPr>
              <w:pStyle w:val="Odsekzoznamu"/>
              <w:ind w:left="420"/>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shd w:val="clear" w:color="auto" w:fill="auto"/>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Čl. I ods. 36 ods. (5)</w:t>
            </w:r>
            <w:r w:rsidRPr="005659C1">
              <w:rPr>
                <w:rFonts w:ascii="Times New Roman" w:hAnsi="Times New Roman"/>
                <w:sz w:val="24"/>
                <w:szCs w:val="24"/>
              </w:rPr>
              <w:br/>
              <w:t xml:space="preserve">Navrhujeme upresniť a doplniť, že rozhodnutie krajského </w:t>
            </w:r>
            <w:r w:rsidRPr="005659C1">
              <w:rPr>
                <w:rFonts w:ascii="Times New Roman" w:hAnsi="Times New Roman"/>
                <w:sz w:val="24"/>
                <w:szCs w:val="24"/>
              </w:rPr>
              <w:lastRenderedPageBreak/>
              <w:t xml:space="preserve">správneho súdu musí byť 1) právoplatné podľa ustanovenia § 145 ods. 2 SSP v prípade, ak voči rozhodnutiu krajského správneho súdu nebola podaná kasačná sťažnosť ktorá má podľa ustanovenia 446 ods. 2 písm. a) SSP odkladný účinok, alebo 2) bolo o podanej kasačnej sťažnosti kasačným súdom rozhodnuté podľa ustanovenia § 459 SSP (odmietnutie kasačnej sťažnosti), podľa ustanovenia § 460 SSP (zastavenie konania v dôsledku spaťvzatia kasačnej sťažnosti) alebo podľa ustanovenia § 461 SSP (zamietnutie kasačnej sťažnosti).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8D442A">
            <w:pPr>
              <w:jc w:val="center"/>
              <w:rPr>
                <w:rFonts w:ascii="Times New Roman" w:hAnsi="Times New Roman"/>
                <w:b/>
                <w:bCs/>
                <w:sz w:val="24"/>
                <w:szCs w:val="24"/>
              </w:rPr>
            </w:pPr>
            <w:r w:rsidRPr="005659C1">
              <w:rPr>
                <w:rFonts w:ascii="Times New Roman" w:hAnsi="Times New Roman"/>
                <w:b/>
                <w:bCs/>
                <w:sz w:val="24"/>
                <w:szCs w:val="24"/>
              </w:rPr>
              <w:t>Akceptovaná</w:t>
            </w:r>
          </w:p>
          <w:p w:rsidR="008D442A" w:rsidRPr="005659C1" w:rsidRDefault="008D442A" w:rsidP="008D442A">
            <w:pPr>
              <w:pStyle w:val="Odsekzoznamu"/>
              <w:numPr>
                <w:ilvl w:val="0"/>
                <w:numId w:val="1"/>
              </w:numPr>
              <w:rPr>
                <w:rFonts w:ascii="Times New Roman" w:hAnsi="Times New Roman"/>
                <w:bCs/>
                <w:sz w:val="24"/>
                <w:szCs w:val="24"/>
              </w:rPr>
            </w:pPr>
            <w:r w:rsidRPr="005659C1">
              <w:rPr>
                <w:rFonts w:ascii="Times New Roman" w:hAnsi="Times New Roman"/>
                <w:bCs/>
                <w:sz w:val="24"/>
                <w:szCs w:val="24"/>
              </w:rPr>
              <w:lastRenderedPageBreak/>
              <w:t>diskvalifikačný list sa zašle v momente, keď bude rozhodnutie právoplatné</w:t>
            </w:r>
          </w:p>
          <w:p w:rsidR="008D442A" w:rsidRPr="005659C1" w:rsidRDefault="008D442A" w:rsidP="008D442A">
            <w:pPr>
              <w:pStyle w:val="Odsekzoznamu"/>
              <w:numPr>
                <w:ilvl w:val="0"/>
                <w:numId w:val="1"/>
              </w:numPr>
              <w:rPr>
                <w:rFonts w:ascii="Times New Roman" w:hAnsi="Times New Roman"/>
                <w:b/>
                <w:bCs/>
                <w:sz w:val="24"/>
                <w:szCs w:val="24"/>
              </w:rPr>
            </w:pPr>
            <w:r w:rsidRPr="005659C1">
              <w:rPr>
                <w:rFonts w:ascii="Times New Roman" w:hAnsi="Times New Roman"/>
                <w:bCs/>
                <w:sz w:val="24"/>
                <w:szCs w:val="24"/>
              </w:rPr>
              <w:t>spresnenie bude uvedené v dôvodovej správe</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 xml:space="preserve">K Čl. III k bodu 20 </w:t>
            </w:r>
            <w:r w:rsidRPr="005659C1">
              <w:rPr>
                <w:rFonts w:ascii="Times New Roman" w:hAnsi="Times New Roman"/>
                <w:sz w:val="24"/>
                <w:szCs w:val="24"/>
              </w:rPr>
              <w:br/>
              <w:t xml:space="preserve">Navrhujeme doplniť tak, aby podmienka zaplatenia na zverejnený bankový účet bola splnená aj v prípade platby na bankový účet cash poolingu alebo pri rôznych spôsoboch faktoringu pohľadávok. Zároveň uvádzame, že platba sa vzťahuje na protihodnotu, pri ktorej vzniká povinnosť platiť DPH podľa §69 ods. 1, nakoľko iba v tomto prípade je možné uplatniť ručenie za daň. S týmto ohľadom odporúčame zvážiť doplnenie navrhovaného znenia.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101289">
            <w:pPr>
              <w:jc w:val="center"/>
              <w:rPr>
                <w:rFonts w:ascii="Times New Roman" w:hAnsi="Times New Roman"/>
                <w:b/>
                <w:bCs/>
                <w:sz w:val="24"/>
                <w:szCs w:val="24"/>
              </w:rPr>
            </w:pPr>
            <w:r w:rsidRPr="005659C1">
              <w:rPr>
                <w:rFonts w:ascii="Times New Roman" w:hAnsi="Times New Roman"/>
                <w:b/>
                <w:bCs/>
                <w:sz w:val="24"/>
                <w:szCs w:val="24"/>
              </w:rPr>
              <w:t>Akceptovaná</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 xml:space="preserve">K Čl. III k bodu 27 ods. (1) </w:t>
            </w:r>
            <w:r w:rsidRPr="005659C1">
              <w:rPr>
                <w:rFonts w:ascii="Times New Roman" w:hAnsi="Times New Roman"/>
                <w:sz w:val="24"/>
                <w:szCs w:val="24"/>
              </w:rPr>
              <w:br/>
              <w:t>„Za slová na bankový účet dodávateľa sa vkladajú slová: Na požiadanie daňového subjektu správca dane vydá potvrdenie o zaplatení platby na osobný účet iného daňovníka.“</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101289" w:rsidRPr="005659C1" w:rsidRDefault="00101289" w:rsidP="00101289">
            <w:pPr>
              <w:jc w:val="center"/>
              <w:rPr>
                <w:rFonts w:ascii="Times New Roman" w:hAnsi="Times New Roman"/>
                <w:b/>
                <w:bCs/>
                <w:sz w:val="24"/>
                <w:szCs w:val="24"/>
              </w:rPr>
            </w:pPr>
            <w:r w:rsidRPr="005659C1">
              <w:rPr>
                <w:rFonts w:ascii="Times New Roman" w:hAnsi="Times New Roman"/>
                <w:b/>
                <w:bCs/>
                <w:sz w:val="24"/>
                <w:szCs w:val="24"/>
              </w:rPr>
              <w:t>Akceptovaná inak</w:t>
            </w:r>
          </w:p>
          <w:p w:rsidR="00101289" w:rsidRPr="005659C1" w:rsidRDefault="00101289" w:rsidP="00101289">
            <w:pPr>
              <w:jc w:val="both"/>
              <w:rPr>
                <w:rFonts w:ascii="Times New Roman" w:hAnsi="Times New Roman"/>
                <w:bCs/>
                <w:sz w:val="24"/>
                <w:szCs w:val="24"/>
              </w:rPr>
            </w:pPr>
            <w:r w:rsidRPr="005659C1">
              <w:rPr>
                <w:rFonts w:ascii="Times New Roman" w:hAnsi="Times New Roman"/>
                <w:bCs/>
                <w:sz w:val="24"/>
                <w:szCs w:val="24"/>
              </w:rPr>
              <w:t>Bude zmenená vyhláška o označovaní spôsobu platieb</w:t>
            </w:r>
          </w:p>
          <w:p w:rsidR="005601B6" w:rsidRPr="005659C1" w:rsidRDefault="005601B6">
            <w:pPr>
              <w:jc w:val="cente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 xml:space="preserve">K Čl. III k bodu 8 </w:t>
            </w:r>
            <w:r w:rsidRPr="005659C1">
              <w:rPr>
                <w:rFonts w:ascii="Times New Roman" w:hAnsi="Times New Roman"/>
                <w:sz w:val="24"/>
                <w:szCs w:val="24"/>
              </w:rPr>
              <w:br/>
              <w:t xml:space="preserve">Z navrhovaného znenia nie je jasné, či bude Finančné riaditeľstvo SR v rámci zoznamu bankových účtov zverejňovať aj históriu účtov oznámených subjektmi v minulosti. Navrhujeme túto históriu účtov do zoznamu zapracovať z dôvodu, aby daňové </w:t>
            </w:r>
            <w:r w:rsidRPr="005659C1">
              <w:rPr>
                <w:rFonts w:ascii="Times New Roman" w:hAnsi="Times New Roman"/>
                <w:sz w:val="24"/>
                <w:szCs w:val="24"/>
              </w:rPr>
              <w:lastRenderedPageBreak/>
              <w:t>subjekty neniesli dodatočnú administratívnu záťaž pri preukazovaní pri prípadnej daňovej kontrole/miestom zisťovaní, alebo inom preverovaní zo strany daňového úradu, že za dodanie tovaru alebo služby v minulosti, zaplatili dodávateľovi na zverejnený účet, ktorý dodávateľ medzičasom (t.j. od zaplatenia po preverenie zo strany daňového úradu) prestal používať na podnikanie/došlo k zrušeniu účtu a túto zmenu oznámil aj daňovému úradu.</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101289" w:rsidRDefault="00101289" w:rsidP="00101289">
            <w:pPr>
              <w:jc w:val="center"/>
              <w:rPr>
                <w:rFonts w:ascii="Times New Roman" w:hAnsi="Times New Roman"/>
                <w:b/>
                <w:bCs/>
                <w:sz w:val="24"/>
                <w:szCs w:val="24"/>
              </w:rPr>
            </w:pPr>
            <w:r w:rsidRPr="005659C1">
              <w:rPr>
                <w:rFonts w:ascii="Times New Roman" w:hAnsi="Times New Roman"/>
                <w:b/>
                <w:bCs/>
                <w:sz w:val="24"/>
                <w:szCs w:val="24"/>
              </w:rPr>
              <w:t>Neakceptované</w:t>
            </w:r>
          </w:p>
          <w:p w:rsidR="00134674" w:rsidRPr="005659C1" w:rsidRDefault="00134674" w:rsidP="00134674">
            <w:pPr>
              <w:pStyle w:val="Odsekzoznamu"/>
              <w:numPr>
                <w:ilvl w:val="0"/>
                <w:numId w:val="1"/>
              </w:numPr>
              <w:spacing w:after="0" w:line="240" w:lineRule="auto"/>
              <w:ind w:left="284" w:right="284" w:hanging="141"/>
              <w:rPr>
                <w:rFonts w:ascii="Times New Roman" w:hAnsi="Times New Roman"/>
                <w:b/>
                <w:bCs/>
                <w:sz w:val="24"/>
                <w:szCs w:val="24"/>
                <w:u w:val="single"/>
              </w:rPr>
            </w:pPr>
            <w:r w:rsidRPr="005659C1">
              <w:rPr>
                <w:rFonts w:ascii="Times New Roman" w:hAnsi="Times New Roman"/>
                <w:bCs/>
                <w:sz w:val="24"/>
                <w:szCs w:val="24"/>
                <w:u w:val="single"/>
              </w:rPr>
              <w:t>prekvalifikovaná zo zásadnej pripomienky na obyčajnú pripomienku</w:t>
            </w:r>
          </w:p>
          <w:p w:rsidR="00134674" w:rsidRPr="005659C1" w:rsidRDefault="00134674" w:rsidP="00101289">
            <w:pPr>
              <w:jc w:val="center"/>
              <w:rPr>
                <w:rFonts w:ascii="Times New Roman" w:hAnsi="Times New Roman"/>
                <w:b/>
                <w:bCs/>
                <w:sz w:val="24"/>
                <w:szCs w:val="24"/>
              </w:rPr>
            </w:pPr>
          </w:p>
          <w:p w:rsidR="00101289" w:rsidRPr="005659C1" w:rsidRDefault="00101289" w:rsidP="00101289">
            <w:pPr>
              <w:jc w:val="both"/>
              <w:rPr>
                <w:rFonts w:ascii="Times New Roman" w:hAnsi="Times New Roman"/>
                <w:bCs/>
                <w:sz w:val="24"/>
                <w:szCs w:val="24"/>
              </w:rPr>
            </w:pPr>
            <w:r w:rsidRPr="005659C1">
              <w:rPr>
                <w:rFonts w:ascii="Times New Roman" w:hAnsi="Times New Roman"/>
                <w:bCs/>
                <w:sz w:val="24"/>
                <w:szCs w:val="24"/>
              </w:rPr>
              <w:lastRenderedPageBreak/>
              <w:t>V systéme časová pečiatka bude zaznamenaná, ale udržiavať časové verzie zoznamu na stránke FRSR je nemožné z dôvodu technických limitov.</w:t>
            </w:r>
          </w:p>
          <w:p w:rsidR="005601B6" w:rsidRPr="005659C1" w:rsidRDefault="00101289" w:rsidP="00101289">
            <w:pPr>
              <w:jc w:val="both"/>
              <w:rPr>
                <w:rFonts w:ascii="Times New Roman" w:hAnsi="Times New Roman"/>
                <w:sz w:val="24"/>
                <w:szCs w:val="24"/>
              </w:rPr>
            </w:pPr>
            <w:r w:rsidRPr="005659C1">
              <w:rPr>
                <w:rFonts w:ascii="Times New Roman" w:hAnsi="Times New Roman"/>
                <w:sz w:val="24"/>
                <w:szCs w:val="24"/>
              </w:rPr>
              <w:t>Na tlačových besedách k pripravovanému návrhu zákona odznel viackrát verejný prísľub čelných predstaviteľov MF SR a prezidenta FS, že zoznam účtov bude vedený v takom formáte, aby boli čísla účtov automaticky verifikovateľné účtovnými systémami</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SKDP</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 xml:space="preserve">K Čl. III k bodu 8 ods. (2) </w:t>
            </w:r>
            <w:r w:rsidRPr="005659C1">
              <w:rPr>
                <w:rFonts w:ascii="Times New Roman" w:hAnsi="Times New Roman"/>
                <w:sz w:val="24"/>
                <w:szCs w:val="24"/>
              </w:rPr>
              <w:br/>
              <w:t xml:space="preserve">Navrhujeme vypustiť slovo „vlastný“. Zámerom zákonodarcu bolo nahlásenie bankových účtov platiteľa dane, ktoré sú využívané za účelom podnikania v SR. Platitelia dane však na svoje podnikanie môžu využívať aj iné bankové účty – napríklad pri cashpoolingu, ktoré nepredstavujú vlastný bankový účet platiteľa dane. Práve pre tento účel zákonodarca navrhuje odsek 2, v ktorom pravdepodobne omylom uviedol slovo „vlastný“.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101289">
            <w:pPr>
              <w:jc w:val="center"/>
              <w:rPr>
                <w:rFonts w:ascii="Times New Roman" w:hAnsi="Times New Roman"/>
                <w:b/>
                <w:bCs/>
                <w:sz w:val="24"/>
                <w:szCs w:val="24"/>
              </w:rPr>
            </w:pPr>
            <w:r w:rsidRPr="005659C1">
              <w:rPr>
                <w:rFonts w:ascii="Times New Roman" w:hAnsi="Times New Roman"/>
                <w:b/>
                <w:bCs/>
                <w:sz w:val="24"/>
                <w:szCs w:val="24"/>
              </w:rPr>
              <w:t>Akceptovaná</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SLASPO</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 I, Bod 36</w:t>
            </w:r>
            <w:r w:rsidRPr="005659C1">
              <w:rPr>
                <w:rFonts w:ascii="Times New Roman" w:hAnsi="Times New Roman"/>
                <w:sz w:val="24"/>
                <w:szCs w:val="24"/>
              </w:rPr>
              <w:br/>
              <w:t xml:space="preserve">Navrhujeme vypustiť § 157a v celom rozsahu bez náhrady. Odôvodnenie: MF SR neposkytlo odôvodnenie k určeniu výšky nedoplatku daňového subjektu, ktorý je jedným z dôvodov pre vydanie rozhodnutia o vylúčení. Máme za to, že suma daňového nedoplatku alebo nedoplatku na inom peňažnom plnení v minimálnej výške 170 EUR je extrémne neproporcionálna vo vzťahu k postihu (vylúčenie fyzickej osoby), ktorý daňovému subjektu hrozí v podobe ohrozenia jeho riadenia, v prípade vylúčenia jeho štatutárneho orgánu, ako aj nemalých finančných dopadov spočívajúcich vo vynaložení prostriedkov na právne </w:t>
            </w:r>
            <w:r w:rsidRPr="005659C1">
              <w:rPr>
                <w:rFonts w:ascii="Times New Roman" w:hAnsi="Times New Roman"/>
                <w:sz w:val="24"/>
                <w:szCs w:val="24"/>
              </w:rPr>
              <w:lastRenderedPageBreak/>
              <w:t xml:space="preserve">služby v prípade súdneho preskúmania. - Predmetné ustanovenie vôbec nereflektuje skutočnosť, že štatutárny orgán môže byť kolektívnym orgánom a jeho člen nemusí mať reálny dosah na výsledok jeho kolektívneho rozhodnutia (napr. bude prehlasovaný, resp. hlasovania sa ani nezúčastní). V návrhu absolútne absentuje reflektovanie takej skutočnosti a vo výsledku by mohol byť člen štatutárneho orgánu sankcionovaný za niečo, čo zo svojej pozície nedokázal ovplyvniť. V právnych predpisoch existujú príklady ustanovení, keď je takáto situácia zohľadnená, z prostredia poisťovníctva to je napr. ustanovenie § 24 ods. 4 písm. b) v spojení s ods. 5 Zákona o poisťovníctve. Podľa ods. 4 „sa za dôveryhodnú považuje fyzická osoba, ktorá nebola v posledných desiatich rokoch členom štatutárneho orgánu alebo dozorného orgánu finančnej inštitúcie, na majetok ktorej bol vyhlásený konkurz, viedlo sa reštrukturalizačné konanie, konanie o oddlžení, bola zavedená nútená správa alebo bolo povolené nútené vyrovnanie; tieto skutočnosti sa preukazujú potvrdením vydaným miestne príslušným súdom alebo orgánom s obdobnou právomocou z iného štátu“ a následne podľa ods. 5 „fyzickú osobu nespĺňajúcu podmienku podľa odseku 4 písm. b) možno uznať za dôveryhodnú, ak z povahy veci vyplýva, že táto fyzická osoba nemohla ovplyvniť skutočnosti podľa odseku 4 písm. b) a tieto skutočnosti nemajú žiadny vplyv na jej ďalšie pôsobenie vo funkcii člena štatutárneho orgánu alebo dozorného orgánu.“ - Podľa zákona č. 563/2009 Z.z. má každé rozhodnutie obsahovať odôvodnenie, ak zákon neuvádza inak (§ 63 ods. 5). „V odôvodnení sa uvedie, ktoré skutočnosti boli podkladom rozhodnutia, vysporiadanie sa s návrhmi a námietkami daňového subjektu, aké úvahy ovplyvnili hodnotenie dôkazov a použitie </w:t>
            </w:r>
            <w:r w:rsidRPr="005659C1">
              <w:rPr>
                <w:rFonts w:ascii="Times New Roman" w:hAnsi="Times New Roman"/>
                <w:sz w:val="24"/>
                <w:szCs w:val="24"/>
              </w:rPr>
              <w:lastRenderedPageBreak/>
              <w:t xml:space="preserve">právnych predpisov, podľa ktorých sa rozhodovalo.“ Návrh novely nereflektuje skutočnosť, že rozhodnutie o vylúčení smeruje voči inej osobe, ako je daňový subjekt a skutočnosti, ktoré má daňový správca brať pri rozhodovaní o vylúčení do úvahy. Bez detailnej úpravy konania daňového správcu o vylúčení existuje riziko neprimeraného zasahovania do individuálnych práv dotknutých osôb, resp. je možné, že zo strany štátneho orgánu bude konané mimo rozsahu a spôsobu, ktorý ustanovuje zákon, nakoľko zákon tak ako je navrhnutý, pre takéto účely žiadne detailné podmienky nestanovuje (išlo by o porušenie ústavného princípu zakotveného v čl. 2 ods. 2 Ústavy SR).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3621F6">
            <w:pPr>
              <w:jc w:val="center"/>
              <w:rPr>
                <w:rFonts w:ascii="Times New Roman" w:hAnsi="Times New Roman"/>
                <w:b/>
                <w:bCs/>
                <w:sz w:val="24"/>
                <w:szCs w:val="24"/>
              </w:rPr>
            </w:pPr>
            <w:r w:rsidRPr="005659C1">
              <w:rPr>
                <w:rFonts w:ascii="Times New Roman" w:hAnsi="Times New Roman"/>
                <w:b/>
                <w:bCs/>
                <w:sz w:val="24"/>
                <w:szCs w:val="24"/>
              </w:rPr>
              <w:t>Čiastočne akceptovaná</w:t>
            </w:r>
          </w:p>
          <w:p w:rsidR="003621F6" w:rsidRPr="005659C1" w:rsidRDefault="003621F6" w:rsidP="003621F6">
            <w:pPr>
              <w:pStyle w:val="Odsekzoznamu"/>
              <w:numPr>
                <w:ilvl w:val="0"/>
                <w:numId w:val="1"/>
              </w:numPr>
              <w:shd w:val="clear" w:color="auto" w:fill="FFFFFF" w:themeFill="background1"/>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suma nedoplatku sa zvýši zo 170 eur na 5 000 eur</w:t>
            </w:r>
          </w:p>
          <w:p w:rsidR="003621F6" w:rsidRPr="005659C1" w:rsidRDefault="003621F6" w:rsidP="003621F6">
            <w:pPr>
              <w:pStyle w:val="Odsekzoznamu"/>
              <w:numPr>
                <w:ilvl w:val="0"/>
                <w:numId w:val="1"/>
              </w:numPr>
              <w:shd w:val="clear" w:color="auto" w:fill="FFFFFF" w:themeFill="background1"/>
              <w:spacing w:after="0" w:line="240" w:lineRule="auto"/>
              <w:ind w:left="284" w:right="284" w:hanging="140"/>
              <w:rPr>
                <w:rFonts w:ascii="Times New Roman" w:hAnsi="Times New Roman"/>
                <w:bCs/>
                <w:sz w:val="24"/>
                <w:szCs w:val="24"/>
              </w:rPr>
            </w:pPr>
            <w:r w:rsidRPr="005659C1">
              <w:rPr>
                <w:rFonts w:ascii="Times New Roman" w:hAnsi="Times New Roman"/>
                <w:bCs/>
                <w:sz w:val="24"/>
                <w:szCs w:val="24"/>
              </w:rPr>
              <w:t>cieľom je zamedziť špekulatívnemu správaniu zneužívajúcemu systém DPH a biele kone</w:t>
            </w:r>
          </w:p>
          <w:p w:rsidR="003621F6" w:rsidRPr="005659C1" w:rsidRDefault="003621F6" w:rsidP="003621F6">
            <w:pPr>
              <w:pStyle w:val="Odsekzoznamu"/>
              <w:numPr>
                <w:ilvl w:val="0"/>
                <w:numId w:val="1"/>
              </w:numPr>
              <w:shd w:val="clear" w:color="auto" w:fill="FFFFFF" w:themeFill="background1"/>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predmetné ustanovenie bude prepracované v spolupráci s MSSR</w:t>
            </w:r>
          </w:p>
          <w:p w:rsidR="003621F6" w:rsidRPr="005659C1" w:rsidRDefault="003621F6" w:rsidP="003621F6">
            <w:pPr>
              <w:pStyle w:val="Odsekzoznamu"/>
              <w:numPr>
                <w:ilvl w:val="0"/>
                <w:numId w:val="1"/>
              </w:numPr>
              <w:shd w:val="clear" w:color="auto" w:fill="FFFFFF" w:themeFill="background1"/>
              <w:spacing w:after="0" w:line="240" w:lineRule="auto"/>
              <w:ind w:left="284" w:right="284" w:hanging="141"/>
              <w:rPr>
                <w:rFonts w:ascii="Times New Roman" w:hAnsi="Times New Roman"/>
                <w:sz w:val="24"/>
                <w:szCs w:val="24"/>
              </w:rPr>
            </w:pPr>
            <w:r w:rsidRPr="005659C1">
              <w:rPr>
                <w:rFonts w:ascii="Times New Roman" w:hAnsi="Times New Roman"/>
                <w:bCs/>
                <w:sz w:val="24"/>
                <w:szCs w:val="24"/>
              </w:rPr>
              <w:t xml:space="preserve">výnimky z aplikácie vylúčenia podľa ustanovenia odseku </w:t>
            </w:r>
            <w:r w:rsidRPr="005659C1">
              <w:rPr>
                <w:rFonts w:ascii="Times New Roman" w:hAnsi="Times New Roman"/>
                <w:sz w:val="24"/>
                <w:szCs w:val="24"/>
              </w:rPr>
              <w:t>6 sa budú vzťahovať aj na odsek 2 § 157a</w:t>
            </w:r>
          </w:p>
          <w:p w:rsidR="003621F6" w:rsidRPr="005659C1" w:rsidRDefault="003621F6">
            <w:pPr>
              <w:jc w:val="center"/>
              <w:rPr>
                <w:rFonts w:ascii="Times New Roman" w:hAnsi="Times New Roman"/>
                <w:b/>
                <w:bCs/>
                <w:sz w:val="24"/>
                <w:szCs w:val="24"/>
              </w:rPr>
            </w:pPr>
          </w:p>
        </w:tc>
      </w:tr>
      <w:tr w:rsidR="005601B6" w:rsidRPr="005659C1" w:rsidTr="005659C1">
        <w:trPr>
          <w:divId w:val="963270273"/>
          <w:trHeight w:val="5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SLASPO</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Čl.I, Bod 15, §53d ods. 5</w:t>
            </w:r>
            <w:r w:rsidRPr="005659C1">
              <w:rPr>
                <w:rFonts w:ascii="Times New Roman" w:hAnsi="Times New Roman"/>
                <w:sz w:val="24"/>
                <w:szCs w:val="24"/>
              </w:rPr>
              <w:br/>
              <w:t xml:space="preserve">Navrhujeme nové znenie odseku 5: (5) Podrobnosti týkajúce sa nárokov, zásad, podmienok a spôsobu určenia indexu daňovej spoľahlivosti daňového subjektu podľa odseku 1 sú uvedené v prílohe č. X Odôvodnenie" Kritéria pre spoľahlivosť by mali byť priamo v zákone a nie iba zverejnené niekde na webe.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37123A">
            <w:pPr>
              <w:jc w:val="center"/>
              <w:rPr>
                <w:rFonts w:ascii="Times New Roman" w:hAnsi="Times New Roman"/>
                <w:b/>
                <w:bCs/>
                <w:sz w:val="24"/>
                <w:szCs w:val="24"/>
              </w:rPr>
            </w:pPr>
            <w:r w:rsidRPr="005659C1">
              <w:rPr>
                <w:rFonts w:ascii="Times New Roman" w:hAnsi="Times New Roman"/>
                <w:b/>
                <w:bCs/>
                <w:sz w:val="24"/>
                <w:szCs w:val="24"/>
              </w:rPr>
              <w:t>Akceptovaná</w:t>
            </w:r>
          </w:p>
          <w:p w:rsidR="0037123A" w:rsidRPr="005659C1" w:rsidRDefault="0037123A" w:rsidP="0037123A">
            <w:pPr>
              <w:pStyle w:val="Odsekzoznamu"/>
              <w:numPr>
                <w:ilvl w:val="0"/>
                <w:numId w:val="1"/>
              </w:numPr>
              <w:shd w:val="clear" w:color="auto" w:fill="FFFFFF" w:themeFill="background1"/>
              <w:spacing w:after="0" w:line="240" w:lineRule="auto"/>
              <w:ind w:left="284" w:right="284" w:hanging="141"/>
              <w:rPr>
                <w:rFonts w:ascii="Times New Roman" w:hAnsi="Times New Roman"/>
                <w:b/>
                <w:bCs/>
                <w:sz w:val="24"/>
                <w:szCs w:val="24"/>
              </w:rPr>
            </w:pPr>
            <w:r w:rsidRPr="005659C1">
              <w:rPr>
                <w:rFonts w:ascii="Times New Roman" w:hAnsi="Times New Roman"/>
                <w:bCs/>
                <w:sz w:val="24"/>
                <w:szCs w:val="24"/>
              </w:rPr>
              <w:t>kritéria</w:t>
            </w:r>
            <w:r w:rsidRPr="005659C1">
              <w:rPr>
                <w:rFonts w:ascii="Times New Roman" w:hAnsi="Times New Roman"/>
                <w:sz w:val="24"/>
                <w:szCs w:val="24"/>
              </w:rPr>
              <w:t xml:space="preserve"> určovania indexu daňovej spoľahlivosti budú zverejňované formou podzákonnej normy – vyhlášky, ktorej bude predchádzať predbežné pripomienkové konanie aj medzirezortné pripomienkové konanie</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SLASPO</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Čl.I, Bod 15, §53d, ods. 3</w:t>
            </w:r>
            <w:r w:rsidRPr="005659C1">
              <w:rPr>
                <w:rFonts w:ascii="Times New Roman" w:hAnsi="Times New Roman"/>
                <w:sz w:val="24"/>
                <w:szCs w:val="24"/>
              </w:rPr>
              <w:br/>
              <w:t xml:space="preserve">V odseku 3 navrhujeme doplniť vetu: „Rozhodnutie Oznámenie obsahuje aj zdôvodnenie zmeny indexu daňovej spoľahlivosti vrátane uvedenia informácie, ktoré nároky, zásady a podmienky podľa odseku 5 sa zmenili.“ Odôvodnenie: Informáciu o dôvodoch zmeny daňovník potrebuje pre zvýšenie právnej istoty a aby mohol dodržať lehotu na podanie námietky v zmysle odseku 4: V súčasnosti rozhodnutia túto informáciu neobsahujú a daňovník neviem (môže sa len domnievať), ktoré podmienky neplní.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E25A02">
            <w:pPr>
              <w:jc w:val="center"/>
              <w:rPr>
                <w:rFonts w:ascii="Times New Roman" w:hAnsi="Times New Roman"/>
                <w:b/>
                <w:bCs/>
                <w:sz w:val="24"/>
                <w:szCs w:val="24"/>
              </w:rPr>
            </w:pPr>
            <w:r w:rsidRPr="005659C1">
              <w:rPr>
                <w:rFonts w:ascii="Times New Roman" w:hAnsi="Times New Roman"/>
                <w:b/>
                <w:bCs/>
                <w:sz w:val="24"/>
                <w:szCs w:val="24"/>
              </w:rPr>
              <w:t>Akceptovaná</w:t>
            </w:r>
          </w:p>
          <w:p w:rsidR="00E25A02" w:rsidRPr="005659C1" w:rsidRDefault="00E25A02" w:rsidP="00E25A02">
            <w:pPr>
              <w:pStyle w:val="Odsekzoznamu"/>
              <w:numPr>
                <w:ilvl w:val="0"/>
                <w:numId w:val="1"/>
              </w:numPr>
              <w:shd w:val="clear" w:color="auto" w:fill="FFFFFF" w:themeFill="background1"/>
              <w:spacing w:after="0" w:line="240" w:lineRule="auto"/>
              <w:ind w:left="284" w:right="284" w:hanging="141"/>
              <w:rPr>
                <w:rFonts w:ascii="Times New Roman" w:hAnsi="Times New Roman"/>
                <w:b/>
                <w:bCs/>
                <w:sz w:val="24"/>
                <w:szCs w:val="24"/>
              </w:rPr>
            </w:pPr>
            <w:r w:rsidRPr="005659C1">
              <w:rPr>
                <w:rFonts w:ascii="Times New Roman" w:hAnsi="Times New Roman"/>
                <w:bCs/>
                <w:sz w:val="24"/>
                <w:szCs w:val="24"/>
              </w:rPr>
              <w:t>oznámenie o daňovom indexe bude obsahovať odôvodnenie</w:t>
            </w:r>
          </w:p>
          <w:p w:rsidR="00E25A02" w:rsidRPr="005659C1" w:rsidRDefault="00E25A02" w:rsidP="000F7E52">
            <w:pP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SLASPO</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Čl.I, Bod 15, §53d, ods. 7</w:t>
            </w:r>
            <w:r w:rsidRPr="005659C1">
              <w:rPr>
                <w:rFonts w:ascii="Times New Roman" w:hAnsi="Times New Roman"/>
                <w:sz w:val="24"/>
                <w:szCs w:val="24"/>
              </w:rPr>
              <w:br/>
              <w:t xml:space="preserve">Navrhujeme nové znenie odseku 7: (7) Odsek 6 sa neuplatní, ak daňový subjekt opakovane nespolupracuje so správcom dane, a to najmä, ak porušuje povinnosti pri daňovej kontrole, porušuje povinnosť podať daňové priznanie alebo kontrolný výkaz alebo porušuje povinnosť platiť daňovú povinnosť a nebol zastihnuteľný na adrese sídla, miesta podnikania alebo na adrese prevádzkarne. Odôvodnenie: Súhlasíme, že nespolupracujúci daňovník by nemal mať benefit v zmysle odseku 6. Avšak navrhujeme definovať, že musí ísť o opakovanú nespoluprácu. Aj pri najlepšie nastavených interných procesoch môže prísť ku zlyhaniu (IT, ľudská, administratívna chyba), ktoré môže viesť napr. k tomu, že daňovník zabudne podať daňové priznanie alebo ho podá napr. o deň neskôr.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0246A8">
            <w:pPr>
              <w:jc w:val="center"/>
              <w:rPr>
                <w:rFonts w:ascii="Times New Roman" w:hAnsi="Times New Roman"/>
                <w:b/>
                <w:bCs/>
                <w:sz w:val="24"/>
                <w:szCs w:val="24"/>
              </w:rPr>
            </w:pPr>
            <w:r w:rsidRPr="005659C1">
              <w:rPr>
                <w:rFonts w:ascii="Times New Roman" w:hAnsi="Times New Roman"/>
                <w:b/>
                <w:bCs/>
                <w:sz w:val="24"/>
                <w:szCs w:val="24"/>
              </w:rPr>
              <w:t>Akceptovaná</w:t>
            </w:r>
          </w:p>
          <w:p w:rsidR="000246A8" w:rsidRPr="005659C1" w:rsidRDefault="000246A8" w:rsidP="000246A8">
            <w:pPr>
              <w:pStyle w:val="Odsekzoznamu"/>
              <w:numPr>
                <w:ilvl w:val="0"/>
                <w:numId w:val="1"/>
              </w:numPr>
              <w:shd w:val="clear" w:color="auto" w:fill="FFFFFF" w:themeFill="background1"/>
              <w:spacing w:after="0" w:line="240" w:lineRule="auto"/>
              <w:ind w:left="284" w:right="284" w:hanging="141"/>
              <w:rPr>
                <w:rFonts w:ascii="Times New Roman" w:hAnsi="Times New Roman"/>
                <w:b/>
                <w:bCs/>
                <w:sz w:val="24"/>
                <w:szCs w:val="24"/>
              </w:rPr>
            </w:pPr>
            <w:r w:rsidRPr="005659C1">
              <w:rPr>
                <w:rFonts w:ascii="Times New Roman" w:hAnsi="Times New Roman"/>
                <w:bCs/>
                <w:sz w:val="24"/>
                <w:szCs w:val="24"/>
              </w:rPr>
              <w:t>benefity sa voči daňovému subjektu neuplatnia iba ak opakovane nebude spolupracovať so správcom dane</w:t>
            </w:r>
          </w:p>
          <w:p w:rsidR="000246A8" w:rsidRPr="005659C1" w:rsidRDefault="000246A8">
            <w:pPr>
              <w:jc w:val="cente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SLASPO</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Čl.I, Bod 16, § 52, ods. 16</w:t>
            </w:r>
            <w:r w:rsidRPr="005659C1">
              <w:rPr>
                <w:rFonts w:ascii="Times New Roman" w:hAnsi="Times New Roman"/>
                <w:sz w:val="24"/>
                <w:szCs w:val="24"/>
              </w:rPr>
              <w:br/>
              <w:t>Navrhujeme nové znenie ods. 16: „(16) Finančné riaditeľstvo na svojom webovom sídle zverejňuje aktualizovaný zoznam platiteľov dane z pridanej hodnoty, v ktorom sa uvedie meno, priezvisko, adresa trvalého pobytu alebo obchodné meno alebo názov právnickej osoby, sídlo, identifikačné číslo organizácie, ak jej bolo pridelené, identifikačné číslo pre daň platiteľa dane z pridanej hodnoty a čísla účtov vedených u poskytovateľa platobných služieb alebo čísla účtov vedených u zahraničného poskytovateľa platobných služieb, podľa toho, ktoré má platiteľ dane z pridanej hodnoty zriadené. Odôvodnenie: Rozšírenie oznámenia na viaceré účty vedené u poskytovateľa platobných služieb alebo čísla účtov vedených u zahraničného poskytovateľa platobných služieb.</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C82C5A">
            <w:pPr>
              <w:jc w:val="center"/>
              <w:rPr>
                <w:rFonts w:ascii="Times New Roman" w:hAnsi="Times New Roman"/>
                <w:b/>
                <w:bCs/>
                <w:sz w:val="24"/>
                <w:szCs w:val="24"/>
              </w:rPr>
            </w:pPr>
            <w:r w:rsidRPr="005659C1">
              <w:rPr>
                <w:rFonts w:ascii="Times New Roman" w:hAnsi="Times New Roman"/>
                <w:b/>
                <w:bCs/>
                <w:sz w:val="24"/>
                <w:szCs w:val="24"/>
              </w:rPr>
              <w:t>Akceptovaná</w:t>
            </w:r>
          </w:p>
          <w:p w:rsidR="00C82C5A" w:rsidRPr="005659C1" w:rsidRDefault="00C82C5A" w:rsidP="00C82C5A">
            <w:pPr>
              <w:pStyle w:val="Odsekzoznamu"/>
              <w:numPr>
                <w:ilvl w:val="0"/>
                <w:numId w:val="1"/>
              </w:numPr>
              <w:shd w:val="clear" w:color="auto" w:fill="FFFFFF" w:themeFill="background1"/>
              <w:spacing w:after="0" w:line="240" w:lineRule="auto"/>
              <w:ind w:left="284" w:right="284" w:hanging="141"/>
              <w:rPr>
                <w:rFonts w:ascii="Times New Roman" w:hAnsi="Times New Roman"/>
                <w:bCs/>
                <w:sz w:val="24"/>
                <w:szCs w:val="24"/>
              </w:rPr>
            </w:pPr>
            <w:r w:rsidRPr="005659C1">
              <w:rPr>
                <w:rFonts w:ascii="Times New Roman" w:hAnsi="Times New Roman"/>
                <w:bCs/>
                <w:sz w:val="24"/>
                <w:szCs w:val="24"/>
              </w:rPr>
              <w:t>daňový subjekt si môže nahlásiť koľko účtov považuje za potrebné</w:t>
            </w:r>
          </w:p>
          <w:p w:rsidR="00C82C5A" w:rsidRPr="005659C1" w:rsidRDefault="00C82C5A" w:rsidP="00C82C5A">
            <w:pPr>
              <w:pStyle w:val="Odsekzoznamu"/>
              <w:numPr>
                <w:ilvl w:val="0"/>
                <w:numId w:val="1"/>
              </w:numPr>
              <w:shd w:val="clear" w:color="auto" w:fill="FFFFFF" w:themeFill="background1"/>
              <w:spacing w:after="0" w:line="240" w:lineRule="auto"/>
              <w:ind w:left="284" w:right="284" w:hanging="141"/>
              <w:rPr>
                <w:rFonts w:ascii="Times New Roman" w:hAnsi="Times New Roman"/>
                <w:b/>
                <w:bCs/>
                <w:sz w:val="24"/>
                <w:szCs w:val="24"/>
              </w:rPr>
            </w:pPr>
            <w:r w:rsidRPr="005659C1">
              <w:rPr>
                <w:rFonts w:ascii="Times New Roman" w:hAnsi="Times New Roman"/>
                <w:bCs/>
                <w:sz w:val="24"/>
                <w:szCs w:val="24"/>
              </w:rPr>
              <w:t>spresnenie v dôvodovej správe</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SLASPO</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Čl.III, Bod 20, §69 ods. 14 písm. c)</w:t>
            </w:r>
            <w:r w:rsidRPr="005659C1">
              <w:rPr>
                <w:rFonts w:ascii="Times New Roman" w:hAnsi="Times New Roman"/>
                <w:sz w:val="24"/>
                <w:szCs w:val="24"/>
              </w:rPr>
              <w:br/>
              <w:t xml:space="preserve">Navrhujeme nové znenie písmena c): c) protihodnota za plnenie alebo jej časť bola zaplatená na iný bankový účet, ako bankový účet dodávateľa, ktorý bol v deň vystavenia faktúry zverejnený v zozname bankových účtov platiteľa. Odôvodnenie: Kontrolu účtov na zoznam na webe v praxi je nereálne robiť v deň príkazu na úhradu. Vo väčších firmách každá faktúra prechádza schvaľovacím procesom a danú skutočnosť je možné odsúhlasiť počas schvaľovacieho procesu zodpovedným pracovníkom za danú dodávku. Doporučujeme tento časový test zmeniť napríklad na kontrolu ku dňu vystavenie faktúry (za predpokladu, že finančná správa bude zverejňovať zoznamy ku každému dňu). Alternatívou je kontrola ku prvému dňu daného mesiaca.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F97F54" w:rsidRPr="005659C1" w:rsidRDefault="00F97F54" w:rsidP="00F97F54">
            <w:pPr>
              <w:jc w:val="center"/>
              <w:rPr>
                <w:rFonts w:ascii="Times New Roman" w:hAnsi="Times New Roman"/>
                <w:b/>
                <w:bCs/>
                <w:sz w:val="24"/>
                <w:szCs w:val="24"/>
              </w:rPr>
            </w:pPr>
            <w:r w:rsidRPr="005659C1">
              <w:rPr>
                <w:rFonts w:ascii="Times New Roman" w:hAnsi="Times New Roman"/>
                <w:b/>
                <w:bCs/>
                <w:sz w:val="24"/>
                <w:szCs w:val="24"/>
              </w:rPr>
              <w:t>Neakceptovan</w:t>
            </w:r>
            <w:r w:rsidR="00BF4E94">
              <w:rPr>
                <w:rFonts w:ascii="Times New Roman" w:hAnsi="Times New Roman"/>
                <w:b/>
                <w:bCs/>
                <w:sz w:val="24"/>
                <w:szCs w:val="24"/>
              </w:rPr>
              <w:t>á</w:t>
            </w:r>
          </w:p>
          <w:p w:rsidR="00F97F54" w:rsidRPr="005659C1" w:rsidRDefault="00F97F54" w:rsidP="00F97F54">
            <w:pPr>
              <w:pStyle w:val="Odsekzoznamu"/>
              <w:numPr>
                <w:ilvl w:val="0"/>
                <w:numId w:val="2"/>
              </w:numPr>
              <w:spacing w:after="0" w:line="240" w:lineRule="auto"/>
              <w:ind w:right="284"/>
              <w:rPr>
                <w:rFonts w:ascii="Times New Roman" w:hAnsi="Times New Roman"/>
                <w:b/>
                <w:bCs/>
                <w:sz w:val="24"/>
                <w:szCs w:val="24"/>
                <w:u w:val="single"/>
              </w:rPr>
            </w:pPr>
            <w:r w:rsidRPr="005659C1">
              <w:rPr>
                <w:rFonts w:ascii="Times New Roman" w:hAnsi="Times New Roman"/>
                <w:bCs/>
                <w:sz w:val="24"/>
                <w:szCs w:val="24"/>
                <w:u w:val="single"/>
              </w:rPr>
              <w:t>prekvalifikovaná zo zásadnej pripomienky na obyčajnú pripomienku</w:t>
            </w:r>
          </w:p>
          <w:p w:rsidR="00F97F54" w:rsidRPr="005659C1" w:rsidRDefault="00F97F54" w:rsidP="00F97F54">
            <w:pPr>
              <w:pStyle w:val="Odsekzoznamu"/>
              <w:numPr>
                <w:ilvl w:val="0"/>
                <w:numId w:val="2"/>
              </w:numPr>
              <w:rPr>
                <w:rFonts w:ascii="Times New Roman" w:hAnsi="Times New Roman"/>
                <w:sz w:val="24"/>
                <w:szCs w:val="24"/>
              </w:rPr>
            </w:pPr>
            <w:r w:rsidRPr="005659C1">
              <w:rPr>
                <w:rFonts w:ascii="Times New Roman" w:hAnsi="Times New Roman"/>
                <w:sz w:val="24"/>
                <w:szCs w:val="24"/>
              </w:rPr>
              <w:t>v prípade zmeny momentu overovania nahlásenia účtu dodávateľa by bolo aj tak, za účelom efektívnej eliminácie podvodných konaní, potrebné osobitne upravovať moment overovania v prípade preddavkových platieb</w:t>
            </w:r>
          </w:p>
          <w:p w:rsidR="00F97F54" w:rsidRPr="005659C1" w:rsidRDefault="00F97F54" w:rsidP="00F97F54">
            <w:pPr>
              <w:pStyle w:val="Odsekzoznamu"/>
              <w:numPr>
                <w:ilvl w:val="0"/>
                <w:numId w:val="2"/>
              </w:numPr>
              <w:rPr>
                <w:rFonts w:ascii="Times New Roman" w:hAnsi="Times New Roman"/>
                <w:sz w:val="24"/>
                <w:szCs w:val="24"/>
              </w:rPr>
            </w:pPr>
            <w:r w:rsidRPr="005659C1">
              <w:rPr>
                <w:rFonts w:ascii="Times New Roman" w:hAnsi="Times New Roman"/>
                <w:sz w:val="24"/>
                <w:szCs w:val="24"/>
              </w:rPr>
              <w:t>v zákone by sa tak vytvorili dva časové testy, v závislosti od situácie, čo je v konečnom dôsledku administratívne náročnejšie</w:t>
            </w:r>
          </w:p>
          <w:p w:rsidR="005601B6" w:rsidRPr="005659C1" w:rsidRDefault="005601B6">
            <w:pPr>
              <w:jc w:val="cente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SŽZ</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 xml:space="preserve">K článku III, novelizačný bod 20, § 69 ods. 14 písm. c) novela Zákona č. 222.2004 Z. z. o dani z pridanej hodnoty v znení neskorších predpisov: </w:t>
            </w:r>
            <w:r w:rsidRPr="005659C1">
              <w:rPr>
                <w:rFonts w:ascii="Times New Roman" w:hAnsi="Times New Roman"/>
                <w:sz w:val="24"/>
                <w:szCs w:val="24"/>
              </w:rPr>
              <w:br/>
              <w:t xml:space="preserve">Požadujeme v článku III vypustiť novelizačný bod 20, § 69 ods. 4. písm. c) návrhu zákona. Odôvodnenie: Ustanovenie predstavuje zvýšenie finančnej záťaže pre podnikateľské subjekty, ktorá nie je v zmysle Jednotnej metodiky na posudzovanie vplyvov nijako vykompenzovaná.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EF46D5" w:rsidRPr="005659C1" w:rsidRDefault="00EF46D5" w:rsidP="00EF46D5">
            <w:pPr>
              <w:jc w:val="center"/>
              <w:rPr>
                <w:rFonts w:ascii="Times New Roman" w:hAnsi="Times New Roman"/>
                <w:b/>
                <w:sz w:val="24"/>
                <w:szCs w:val="24"/>
              </w:rPr>
            </w:pPr>
            <w:r w:rsidRPr="005659C1">
              <w:rPr>
                <w:rFonts w:ascii="Times New Roman" w:hAnsi="Times New Roman"/>
                <w:b/>
                <w:sz w:val="24"/>
                <w:szCs w:val="24"/>
              </w:rPr>
              <w:t>Neakceptovan</w:t>
            </w:r>
            <w:r w:rsidR="005659C1">
              <w:rPr>
                <w:rFonts w:ascii="Times New Roman" w:hAnsi="Times New Roman"/>
                <w:b/>
                <w:sz w:val="24"/>
                <w:szCs w:val="24"/>
              </w:rPr>
              <w:t>á</w:t>
            </w:r>
          </w:p>
          <w:p w:rsidR="00EF46D5" w:rsidRPr="005659C1" w:rsidRDefault="00EF46D5" w:rsidP="00EF46D5">
            <w:pPr>
              <w:pStyle w:val="Odsekzoznamu"/>
              <w:numPr>
                <w:ilvl w:val="0"/>
                <w:numId w:val="2"/>
              </w:numPr>
              <w:spacing w:after="0" w:line="240" w:lineRule="auto"/>
              <w:ind w:right="284"/>
              <w:rPr>
                <w:rFonts w:ascii="Times New Roman" w:hAnsi="Times New Roman"/>
                <w:b/>
                <w:bCs/>
                <w:sz w:val="24"/>
                <w:szCs w:val="24"/>
                <w:u w:val="single"/>
              </w:rPr>
            </w:pPr>
            <w:r w:rsidRPr="005659C1">
              <w:rPr>
                <w:rFonts w:ascii="Times New Roman" w:hAnsi="Times New Roman"/>
                <w:bCs/>
                <w:sz w:val="24"/>
                <w:szCs w:val="24"/>
                <w:u w:val="single"/>
              </w:rPr>
              <w:t>prekvalifikovaná zo zásadnej pripomienky na obyčajnú pripomienku</w:t>
            </w:r>
          </w:p>
          <w:p w:rsidR="00EF46D5" w:rsidRPr="005659C1" w:rsidRDefault="00EF46D5" w:rsidP="00EF46D5">
            <w:pPr>
              <w:pStyle w:val="Odsekzoznamu"/>
              <w:numPr>
                <w:ilvl w:val="0"/>
                <w:numId w:val="2"/>
              </w:numPr>
              <w:rPr>
                <w:rFonts w:ascii="Times New Roman" w:hAnsi="Times New Roman"/>
                <w:sz w:val="24"/>
                <w:szCs w:val="24"/>
              </w:rPr>
            </w:pPr>
            <w:r w:rsidRPr="005659C1">
              <w:rPr>
                <w:rFonts w:ascii="Times New Roman" w:hAnsi="Times New Roman"/>
                <w:sz w:val="24"/>
                <w:szCs w:val="24"/>
              </w:rPr>
              <w:t>Zavedenia nového dôvodu (domnienky) ručenia za daň odberateľom, ktorú z dodania nezaplatí dodávateľ, predstavuje následok nesplnenia si povinnosti dodávateľa a ako také je potrebné túto povinnosť chápať ako jeden celok s povinnosťou uvedenou v § 6, ktorá by bez tohto následku bola fakticky „bezzubá“.</w:t>
            </w:r>
          </w:p>
          <w:p w:rsidR="00EF46D5" w:rsidRPr="005659C1" w:rsidRDefault="00EF46D5" w:rsidP="00EF46D5">
            <w:pPr>
              <w:pStyle w:val="Odsekzoznamu"/>
              <w:numPr>
                <w:ilvl w:val="0"/>
                <w:numId w:val="2"/>
              </w:numPr>
              <w:rPr>
                <w:rFonts w:ascii="Times New Roman" w:hAnsi="Times New Roman"/>
                <w:sz w:val="24"/>
                <w:szCs w:val="24"/>
              </w:rPr>
            </w:pPr>
            <w:r w:rsidRPr="005659C1">
              <w:rPr>
                <w:rFonts w:ascii="Times New Roman" w:hAnsi="Times New Roman"/>
                <w:sz w:val="24"/>
                <w:szCs w:val="24"/>
              </w:rPr>
              <w:t>Máme za to, že zavedením ustanovenia § 6 do zákona o DPH získajú odberatelia informácie potrebné na vytvorenie komplexnejšieho obrazu o daňovej spoľahlivosti svojho dodávateľa.</w:t>
            </w:r>
          </w:p>
          <w:p w:rsidR="005601B6" w:rsidRPr="005659C1" w:rsidRDefault="00EF46D5" w:rsidP="00EF46D5">
            <w:pPr>
              <w:pStyle w:val="Odsekzoznamu"/>
              <w:numPr>
                <w:ilvl w:val="0"/>
                <w:numId w:val="2"/>
              </w:numPr>
              <w:rPr>
                <w:rFonts w:ascii="Times New Roman" w:hAnsi="Times New Roman"/>
                <w:b/>
                <w:bCs/>
                <w:sz w:val="24"/>
                <w:szCs w:val="24"/>
              </w:rPr>
            </w:pPr>
            <w:r w:rsidRPr="005659C1">
              <w:rPr>
                <w:rFonts w:ascii="Times New Roman" w:hAnsi="Times New Roman"/>
                <w:sz w:val="24"/>
                <w:szCs w:val="24"/>
              </w:rPr>
              <w:t xml:space="preserve">Navyše, na tlačových besedách k pripravovanému návrhu zákona odznel viackrát verejný prísľub čelných </w:t>
            </w:r>
            <w:r w:rsidRPr="005659C1">
              <w:rPr>
                <w:rFonts w:ascii="Times New Roman" w:hAnsi="Times New Roman"/>
                <w:sz w:val="24"/>
                <w:szCs w:val="24"/>
              </w:rPr>
              <w:lastRenderedPageBreak/>
              <w:t>predstaviteľov MF SR a prezidenta FS, že zoznam účtov bude vedený v takom formáte, aby boli čísla účtov automaticky verifikovateľné účtovnými systémami.</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SŽZ</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 xml:space="preserve">K článku III, novelizačný bod 8, § 6 novela zákona č. 222.2004 Z. z. o dani z pridanej hodnoty v znení neskorších predpisov: </w:t>
            </w:r>
            <w:r w:rsidRPr="005659C1">
              <w:rPr>
                <w:rFonts w:ascii="Times New Roman" w:hAnsi="Times New Roman"/>
                <w:sz w:val="24"/>
                <w:szCs w:val="24"/>
              </w:rPr>
              <w:br/>
              <w:t xml:space="preserve">Požadujeme v čl. III vypustiť novelizačný bod 8 (nový § 6) návrhu zákona. Odôvodnenie: Uvedené ustanovenie predstavuje dodatočnú administratívnu záťaž pre podnikateľské prostredie, ktorá nie je v zmysle Jednotnej metodiky na posudzovanie vplyvov nijako vykompenzovaná.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Z</w:t>
            </w:r>
          </w:p>
        </w:tc>
        <w:tc>
          <w:tcPr>
            <w:tcW w:w="2228" w:type="pct"/>
            <w:tcBorders>
              <w:top w:val="outset" w:sz="6" w:space="0" w:color="000000"/>
              <w:left w:val="outset" w:sz="6" w:space="0" w:color="000000"/>
              <w:bottom w:val="outset" w:sz="6" w:space="0" w:color="000000"/>
              <w:right w:val="outset" w:sz="6" w:space="0" w:color="000000"/>
            </w:tcBorders>
          </w:tcPr>
          <w:p w:rsidR="007A2E59" w:rsidRPr="005659C1" w:rsidRDefault="007A2E59" w:rsidP="007A2E59">
            <w:pPr>
              <w:jc w:val="center"/>
              <w:rPr>
                <w:rFonts w:ascii="Times New Roman" w:hAnsi="Times New Roman"/>
                <w:b/>
                <w:bCs/>
                <w:sz w:val="24"/>
                <w:szCs w:val="24"/>
              </w:rPr>
            </w:pPr>
            <w:r w:rsidRPr="005659C1">
              <w:rPr>
                <w:rFonts w:ascii="Times New Roman" w:hAnsi="Times New Roman"/>
                <w:b/>
                <w:bCs/>
                <w:sz w:val="24"/>
                <w:szCs w:val="24"/>
              </w:rPr>
              <w:t>Neakceptovan</w:t>
            </w:r>
            <w:r w:rsidR="005659C1">
              <w:rPr>
                <w:rFonts w:ascii="Times New Roman" w:hAnsi="Times New Roman"/>
                <w:b/>
                <w:bCs/>
                <w:sz w:val="24"/>
                <w:szCs w:val="24"/>
              </w:rPr>
              <w:t>á</w:t>
            </w:r>
          </w:p>
          <w:p w:rsidR="007A2E59" w:rsidRPr="005659C1" w:rsidRDefault="007A2E59" w:rsidP="007A2E59">
            <w:pPr>
              <w:pStyle w:val="Odsekzoznamu"/>
              <w:numPr>
                <w:ilvl w:val="0"/>
                <w:numId w:val="2"/>
              </w:numPr>
              <w:rPr>
                <w:rFonts w:ascii="Times New Roman" w:hAnsi="Times New Roman"/>
                <w:b/>
                <w:bCs/>
                <w:sz w:val="24"/>
                <w:szCs w:val="24"/>
                <w:u w:val="single"/>
              </w:rPr>
            </w:pPr>
            <w:r w:rsidRPr="005659C1">
              <w:rPr>
                <w:rFonts w:ascii="Times New Roman" w:hAnsi="Times New Roman"/>
                <w:bCs/>
                <w:sz w:val="24"/>
                <w:szCs w:val="24"/>
                <w:u w:val="single"/>
              </w:rPr>
              <w:t>prekvalifikovaná zo zásadnej pripomienky na obyčajnú pripomienku</w:t>
            </w:r>
          </w:p>
          <w:p w:rsidR="007A2E59" w:rsidRPr="005659C1" w:rsidRDefault="007A2E59" w:rsidP="007A2E59">
            <w:pPr>
              <w:pStyle w:val="Odsekzoznamu"/>
              <w:numPr>
                <w:ilvl w:val="0"/>
                <w:numId w:val="2"/>
              </w:numPr>
              <w:rPr>
                <w:rFonts w:ascii="Times New Roman" w:hAnsi="Times New Roman"/>
                <w:b/>
                <w:bCs/>
                <w:sz w:val="24"/>
                <w:szCs w:val="24"/>
              </w:rPr>
            </w:pPr>
            <w:r w:rsidRPr="005659C1">
              <w:rPr>
                <w:rFonts w:ascii="Times New Roman" w:hAnsi="Times New Roman"/>
                <w:sz w:val="24"/>
                <w:szCs w:val="24"/>
              </w:rPr>
              <w:t>Pokiaľ ide o namietaný návrh ustanovenia, podľa ktorého majú platitelia oznamovať FRSR vlastné bankové účty na účely ekonomickej činnosti, cieľom tohto opatrenia je na jednej strane umožniť odberateľovi, ktorý si z prijatého plnenia bude uplatňovať právo na odpočítanie dane, získanie čiastkových informácií o osobe dodávateľa (v časti plnenia si zákonom ustanovených povinností), ktoré spolu s inými informáciami, ktoré od neho možno rozumne vyžadovať na účely preverenia svojho obchodného partnera, môžu prispieť k vytvoreniu jeho vnútorného presvedčenia o tom, že sa nezúčastňuje na transakcii, ktorá je poznačená podvodom alebo zneužitím práva. Ide pritom o legitímnu požiadavku kladenú na platiteľa, ktorú  konštantne zdôrazňujú vo svojej rozhodovacej činnosti tak Súdny dvor, ako aj vnútroštátne súdy.</w:t>
            </w:r>
          </w:p>
          <w:p w:rsidR="007A2E59" w:rsidRPr="005659C1" w:rsidRDefault="007A2E59" w:rsidP="007A2E59">
            <w:pPr>
              <w:pStyle w:val="Odsekzoznamu"/>
              <w:ind w:left="420"/>
              <w:rPr>
                <w:rFonts w:ascii="Times New Roman" w:hAnsi="Times New Roman"/>
                <w:sz w:val="24"/>
                <w:szCs w:val="24"/>
              </w:rPr>
            </w:pPr>
            <w:r w:rsidRPr="005659C1">
              <w:rPr>
                <w:rFonts w:ascii="Times New Roman" w:hAnsi="Times New Roman"/>
                <w:sz w:val="24"/>
                <w:szCs w:val="24"/>
              </w:rPr>
              <w:t xml:space="preserve">Na druhej strane je cieľom eliminácia podvodného a zneužívajúceho konania, keďže, ako vyplýva zo sprievodných materiálov k návrhu zákona, FRSR eviduje cca 10 000 platiteľov (z toho 6 000 aktívnych), u ktorých suma nakumulovaných daňových nedoplatkov na DPH bola vyčíslená vo výške cca 33 mil. eur. Z uvedeného dôvodu považujeme navrhovanú povinnosť za plne proporcionálnu. </w:t>
            </w:r>
          </w:p>
          <w:p w:rsidR="007A2E59" w:rsidRPr="005659C1" w:rsidRDefault="007A2E59" w:rsidP="007A2E59">
            <w:pPr>
              <w:pStyle w:val="Odsekzoznamu"/>
              <w:ind w:left="420"/>
              <w:rPr>
                <w:rFonts w:ascii="Times New Roman" w:hAnsi="Times New Roman"/>
                <w:sz w:val="24"/>
                <w:szCs w:val="24"/>
              </w:rPr>
            </w:pPr>
            <w:r w:rsidRPr="005659C1">
              <w:rPr>
                <w:rFonts w:ascii="Times New Roman" w:hAnsi="Times New Roman"/>
                <w:sz w:val="24"/>
                <w:szCs w:val="24"/>
              </w:rPr>
              <w:lastRenderedPageBreak/>
              <w:t>Pokiaľ ide o samotný proces, v dôvodovej správe je jednoznačne uvedené, že túto povinnosť si platitelia splnia elektronicky na predvyplnenom tlačive, ktoré už bude obsahovať účty, o ktorých má finančná správa vedomosť (z oznamovacej povinnosti, ktoré z daňového poriadku a zákona o bankách vyplýva poskytovateľom platobných služieb). Keďže nie všetky účty platiteľa musia byť ním nevyhnutne vymedzené ako účty, ktoré používa na činnosť, ktorá je predmetom dane, považujeme túto oznamovaciu povinnosť za dôležitú.</w:t>
            </w:r>
          </w:p>
          <w:p w:rsidR="007A2E59" w:rsidRPr="005659C1" w:rsidRDefault="007A2E59" w:rsidP="007A2E59">
            <w:pPr>
              <w:pStyle w:val="Odsekzoznamu"/>
              <w:ind w:left="420"/>
              <w:rPr>
                <w:rFonts w:ascii="Times New Roman" w:hAnsi="Times New Roman"/>
                <w:sz w:val="24"/>
                <w:szCs w:val="24"/>
              </w:rPr>
            </w:pPr>
            <w:r w:rsidRPr="005659C1">
              <w:rPr>
                <w:rFonts w:ascii="Times New Roman" w:hAnsi="Times New Roman"/>
                <w:sz w:val="24"/>
                <w:szCs w:val="24"/>
              </w:rPr>
              <w:t>Fyzické zadávanie čísla účtu sa pritom bude týkať len novozriadených účtov, ktoré banky ešte nestihli oznámiť a ktoré platitelia chcú okamžite používať na účely ekonomickej činnosti, resp. zahraničných účtov.</w:t>
            </w:r>
          </w:p>
          <w:p w:rsidR="007A2E59" w:rsidRPr="005659C1" w:rsidRDefault="007A2E59" w:rsidP="007A2E59">
            <w:pPr>
              <w:pStyle w:val="Odsekzoznamu"/>
              <w:numPr>
                <w:ilvl w:val="0"/>
                <w:numId w:val="2"/>
              </w:numPr>
              <w:rPr>
                <w:rFonts w:ascii="Times New Roman" w:hAnsi="Times New Roman"/>
                <w:sz w:val="24"/>
                <w:szCs w:val="24"/>
              </w:rPr>
            </w:pPr>
            <w:r w:rsidRPr="005659C1">
              <w:rPr>
                <w:rFonts w:ascii="Times New Roman" w:hAnsi="Times New Roman"/>
                <w:sz w:val="24"/>
                <w:szCs w:val="24"/>
              </w:rPr>
              <w:t>Okrem vyššie uvedeného benefitu sa v návrhu zjednodušuje proces registrácie pre daň tým, že sa vypúšťajú zo zákona o DPH osvedčenia o registrácii,  a tým platiteľom odpadajú akékoľvek administratívne povinnosti týkajúce sa zmien nahlásených údajov v rámci registračného konania alebo oznamovacej povinnosti.</w:t>
            </w:r>
          </w:p>
          <w:p w:rsidR="005601B6" w:rsidRPr="005659C1" w:rsidRDefault="005601B6">
            <w:pPr>
              <w:jc w:val="center"/>
              <w:rPr>
                <w:rFonts w:ascii="Times New Roman" w:hAnsi="Times New Roman"/>
                <w:b/>
                <w:bCs/>
                <w:sz w:val="24"/>
                <w:szCs w:val="24"/>
              </w:rPr>
            </w:pP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SŽZ</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K návrhu zákona ako celku</w:t>
            </w:r>
            <w:r w:rsidRPr="005659C1">
              <w:rPr>
                <w:rFonts w:ascii="Times New Roman" w:hAnsi="Times New Roman"/>
                <w:sz w:val="24"/>
                <w:szCs w:val="24"/>
              </w:rPr>
              <w:br/>
              <w:t xml:space="preserve">Poukazujeme na nekoncepčnosť navrhovaných zmien, nakoľko k novele daňových pravidiel dochádza ešte pred tým, ako do platnosti vstúpila predchádzajúca novela zákona. Uvítali by sme, aby zmeny daňových zákonov boli prijímané len raz ročne, čím by sa zvýšila právna istota podnikateľských subjektov. Žiadame tiež o </w:t>
            </w:r>
            <w:r w:rsidRPr="005659C1">
              <w:rPr>
                <w:rFonts w:ascii="Times New Roman" w:hAnsi="Times New Roman"/>
                <w:sz w:val="24"/>
                <w:szCs w:val="24"/>
              </w:rPr>
              <w:lastRenderedPageBreak/>
              <w:t xml:space="preserve">dôrazné dodržiavanie antibyrokratického princípu, one in, one out.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44395A" w:rsidP="0044395A">
            <w:pPr>
              <w:jc w:val="center"/>
              <w:rPr>
                <w:rFonts w:ascii="Times New Roman" w:hAnsi="Times New Roman"/>
                <w:b/>
                <w:sz w:val="24"/>
                <w:szCs w:val="24"/>
              </w:rPr>
            </w:pPr>
            <w:r w:rsidRPr="005659C1">
              <w:rPr>
                <w:rFonts w:ascii="Times New Roman" w:hAnsi="Times New Roman"/>
                <w:b/>
                <w:sz w:val="24"/>
                <w:szCs w:val="24"/>
              </w:rPr>
              <w:t>Akceptovaná</w:t>
            </w:r>
          </w:p>
        </w:tc>
      </w:tr>
      <w:tr w:rsidR="005601B6" w:rsidRPr="005659C1" w:rsidTr="005659C1">
        <w:trPr>
          <w:divId w:val="963270273"/>
          <w:jc w:val="center"/>
        </w:trPr>
        <w:tc>
          <w:tcPr>
            <w:tcW w:w="335" w:type="pct"/>
            <w:tcBorders>
              <w:top w:val="outset" w:sz="6" w:space="0" w:color="000000"/>
              <w:left w:val="outset" w:sz="6" w:space="0" w:color="000000"/>
              <w:bottom w:val="outset" w:sz="6" w:space="0" w:color="000000"/>
              <w:right w:val="outset" w:sz="6" w:space="0" w:color="000000"/>
            </w:tcBorders>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t>SŽZ</w:t>
            </w:r>
          </w:p>
        </w:tc>
        <w:tc>
          <w:tcPr>
            <w:tcW w:w="2285"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rPr>
                <w:rFonts w:ascii="Times New Roman" w:hAnsi="Times New Roman"/>
                <w:sz w:val="24"/>
                <w:szCs w:val="24"/>
              </w:rPr>
            </w:pPr>
            <w:r w:rsidRPr="005659C1">
              <w:rPr>
                <w:rFonts w:ascii="Times New Roman" w:hAnsi="Times New Roman"/>
                <w:b/>
                <w:bCs/>
                <w:sz w:val="24"/>
                <w:szCs w:val="24"/>
              </w:rPr>
              <w:t xml:space="preserve">K návrhu zákona, ktorým sa mení a dopĺňa zákon č. 563.2009 Z. z. o správe daní (daňový poriadok) a o zmene a doplnení niektorých zákonov v znení neskorších predpisov a ktorým sa menia a dopĺňajú niektoré zákony </w:t>
            </w:r>
            <w:r w:rsidRPr="005659C1">
              <w:rPr>
                <w:rFonts w:ascii="Times New Roman" w:hAnsi="Times New Roman"/>
                <w:sz w:val="24"/>
                <w:szCs w:val="24"/>
              </w:rPr>
              <w:br/>
              <w:t xml:space="preserve">K článku II., novelizačný bod 8, § 6 ods. 10 novela Zákona č. 595/2003 Z. z. o dani z príjmov v znení neskorších predpisov:, nad rámec návrhu zákona Text pripomienky: Navrhujeme upraviť znenie § 6 ods.10 zákona č. 595/2003 o dani z príjmu nasledovne: „(10) Ak daňovník, ktorý nie je platiteľom dane z pridanej hodnoty, alebo daňovník, ktorý je platiteľom dane z pridanej hodnoty len časť zdaňovacieho obdobia, neuplatní preukázateľné daňové výdavky, môže uplatniť výdavky vo výške 60 % z úhrnu príjmov uvedených v odsekoch 1 a 2 najviac do výšky 29 800 eur. Ak daňovník s príjmami podľa odseku 4 nie je platiteľom dane z pridanej hodnoty alebo je platiteľom dane z pridanej hodnoty len časť zdaňovacieho obdobia, neuplatní preukázateľné výdavky, môže uplatniť výdavky vo výške 60 % z týchto príjmov najviac do výšky 29 800 eur. Ak daňovník uplatní výdavky podľa tohto odseku, v sumách výdavkov sú zahrnuté všetky daňové výdavky daňovníka okrem zaplateného poistného a príspevkov, ktoré je daňovník povinný platiť v súvislosti s dosahovaním príjmov podľa odsekov 1 a 2, ak toto poistné a príspevky neboli zahrnuté do základu dane v predchádzajúcich zdaňovacích obdobiach; toto poistné a príspevky si môže daňovník uplatniť vo výdavkoch v preukázanej výške. Daňovník počas uplatňovania výdavkov týmto spôsobom je povinný viesť evidenciu v rozsahu evidencie podľa odseku 11 písm. a) a d).“ Odôvodnenie: Zmenou limitu </w:t>
            </w:r>
            <w:r w:rsidRPr="005659C1">
              <w:rPr>
                <w:rFonts w:ascii="Times New Roman" w:hAnsi="Times New Roman"/>
                <w:sz w:val="24"/>
                <w:szCs w:val="24"/>
              </w:rPr>
              <w:lastRenderedPageBreak/>
              <w:t xml:space="preserve">paušálnych výdavkov pre fyzické osoby – podnikateľov zo sumy 20 000 EUR na úroveň 29 800 EUR sa obsiahne časť podnikateľov s obratom do 49 790 EUR, čo je hranica pre povinnú registráciu na daň z pridanej hodnoty. </w:t>
            </w:r>
          </w:p>
        </w:tc>
        <w:tc>
          <w:tcPr>
            <w:tcW w:w="152" w:type="pct"/>
            <w:tcBorders>
              <w:top w:val="outset" w:sz="6" w:space="0" w:color="000000"/>
              <w:left w:val="outset" w:sz="6" w:space="0" w:color="000000"/>
              <w:bottom w:val="outset" w:sz="6" w:space="0" w:color="000000"/>
              <w:right w:val="outset" w:sz="6" w:space="0" w:color="000000"/>
            </w:tcBorders>
            <w:vAlign w:val="center"/>
            <w:hideMark/>
          </w:tcPr>
          <w:p w:rsidR="005601B6" w:rsidRPr="005659C1" w:rsidRDefault="005601B6">
            <w:pPr>
              <w:jc w:val="center"/>
              <w:rPr>
                <w:rFonts w:ascii="Times New Roman" w:hAnsi="Times New Roman"/>
                <w:b/>
                <w:bCs/>
                <w:sz w:val="24"/>
                <w:szCs w:val="24"/>
              </w:rPr>
            </w:pPr>
            <w:r w:rsidRPr="005659C1">
              <w:rPr>
                <w:rFonts w:ascii="Times New Roman" w:hAnsi="Times New Roman"/>
                <w:b/>
                <w:bCs/>
                <w:sz w:val="24"/>
                <w:szCs w:val="24"/>
              </w:rPr>
              <w:lastRenderedPageBreak/>
              <w:t>Z</w:t>
            </w:r>
          </w:p>
        </w:tc>
        <w:tc>
          <w:tcPr>
            <w:tcW w:w="2228" w:type="pct"/>
            <w:tcBorders>
              <w:top w:val="outset" w:sz="6" w:space="0" w:color="000000"/>
              <w:left w:val="outset" w:sz="6" w:space="0" w:color="000000"/>
              <w:bottom w:val="outset" w:sz="6" w:space="0" w:color="000000"/>
              <w:right w:val="outset" w:sz="6" w:space="0" w:color="000000"/>
            </w:tcBorders>
          </w:tcPr>
          <w:p w:rsidR="005601B6" w:rsidRPr="005659C1" w:rsidRDefault="00A62445">
            <w:pPr>
              <w:jc w:val="center"/>
              <w:rPr>
                <w:rFonts w:ascii="Times New Roman" w:hAnsi="Times New Roman"/>
                <w:b/>
                <w:bCs/>
                <w:sz w:val="24"/>
                <w:szCs w:val="24"/>
              </w:rPr>
            </w:pPr>
            <w:r w:rsidRPr="005659C1">
              <w:rPr>
                <w:rFonts w:ascii="Times New Roman" w:hAnsi="Times New Roman"/>
                <w:b/>
                <w:bCs/>
                <w:sz w:val="24"/>
                <w:szCs w:val="24"/>
              </w:rPr>
              <w:t>Neakceptovaná</w:t>
            </w:r>
          </w:p>
          <w:p w:rsidR="0044395A" w:rsidRPr="005659C1" w:rsidRDefault="0044395A" w:rsidP="0044395A">
            <w:pPr>
              <w:pStyle w:val="Odsekzoznamu"/>
              <w:numPr>
                <w:ilvl w:val="0"/>
                <w:numId w:val="2"/>
              </w:numPr>
              <w:rPr>
                <w:rFonts w:ascii="Times New Roman" w:hAnsi="Times New Roman"/>
                <w:b/>
                <w:bCs/>
                <w:sz w:val="24"/>
                <w:szCs w:val="24"/>
              </w:rPr>
            </w:pPr>
            <w:r w:rsidRPr="005659C1">
              <w:rPr>
                <w:rFonts w:ascii="Times New Roman" w:hAnsi="Times New Roman"/>
                <w:bCs/>
                <w:sz w:val="24"/>
                <w:szCs w:val="24"/>
                <w:u w:val="single"/>
              </w:rPr>
              <w:t>prekvalifikovaná zo zásadnej pripomienky na obyčajnú pripomienku</w:t>
            </w:r>
          </w:p>
          <w:p w:rsidR="008B405F" w:rsidRPr="005659C1" w:rsidRDefault="008B405F" w:rsidP="0044395A">
            <w:pPr>
              <w:pStyle w:val="Odsekzoznamu"/>
              <w:numPr>
                <w:ilvl w:val="0"/>
                <w:numId w:val="2"/>
              </w:numPr>
              <w:rPr>
                <w:rFonts w:ascii="Times New Roman" w:hAnsi="Times New Roman"/>
                <w:b/>
                <w:bCs/>
                <w:sz w:val="24"/>
                <w:szCs w:val="24"/>
              </w:rPr>
            </w:pPr>
            <w:r w:rsidRPr="005659C1">
              <w:rPr>
                <w:rFonts w:ascii="Times New Roman" w:hAnsi="Times New Roman"/>
                <w:bCs/>
                <w:sz w:val="24"/>
                <w:szCs w:val="24"/>
              </w:rPr>
              <w:t>navrhovaná úprava bude analyzovaná v rámci daňovej reformy</w:t>
            </w:r>
          </w:p>
        </w:tc>
      </w:tr>
    </w:tbl>
    <w:p w:rsidR="00DD1B41" w:rsidRPr="005659C1" w:rsidRDefault="00DD1B41" w:rsidP="00D710A5">
      <w:pPr>
        <w:widowControl/>
        <w:spacing w:after="0" w:line="240" w:lineRule="auto"/>
        <w:rPr>
          <w:rFonts w:ascii="Times New Roman" w:hAnsi="Times New Roman"/>
          <w:sz w:val="24"/>
          <w:szCs w:val="24"/>
        </w:rPr>
      </w:pPr>
    </w:p>
    <w:tbl>
      <w:tblPr>
        <w:tblW w:w="0" w:type="auto"/>
        <w:tblLook w:val="0000" w:firstRow="0" w:lastRow="0" w:firstColumn="0" w:lastColumn="0" w:noHBand="0" w:noVBand="0"/>
      </w:tblPr>
      <w:tblGrid>
        <w:gridCol w:w="4928"/>
      </w:tblGrid>
      <w:tr w:rsidR="006173E4" w:rsidRPr="005659C1" w:rsidTr="00C27ACD">
        <w:tc>
          <w:tcPr>
            <w:tcW w:w="4928" w:type="dxa"/>
            <w:tcBorders>
              <w:top w:val="nil"/>
              <w:left w:val="nil"/>
              <w:bottom w:val="nil"/>
              <w:right w:val="nil"/>
            </w:tcBorders>
          </w:tcPr>
          <w:p w:rsidR="006173E4" w:rsidRPr="005659C1" w:rsidRDefault="006173E4" w:rsidP="00C27ACD">
            <w:pPr>
              <w:pStyle w:val="Zkladntext"/>
              <w:widowControl/>
              <w:jc w:val="both"/>
              <w:rPr>
                <w:b w:val="0"/>
                <w:color w:val="000000"/>
                <w:sz w:val="24"/>
                <w:szCs w:val="24"/>
              </w:rPr>
            </w:pPr>
          </w:p>
        </w:tc>
      </w:tr>
    </w:tbl>
    <w:p w:rsidR="006173E4" w:rsidRPr="005659C1" w:rsidRDefault="006173E4" w:rsidP="00D710A5">
      <w:pPr>
        <w:widowControl/>
        <w:spacing w:after="0" w:line="240" w:lineRule="auto"/>
        <w:rPr>
          <w:rFonts w:ascii="Times New Roman" w:hAnsi="Times New Roman"/>
          <w:sz w:val="24"/>
          <w:szCs w:val="24"/>
        </w:rPr>
      </w:pPr>
    </w:p>
    <w:sectPr w:rsidR="006173E4" w:rsidRPr="005659C1" w:rsidSect="005601B6">
      <w:footerReference w:type="default" r:id="rId9"/>
      <w:pgSz w:w="15840" w:h="12240"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0A" w:rsidRDefault="001C070A" w:rsidP="000A4CE9">
      <w:pPr>
        <w:spacing w:after="0" w:line="240" w:lineRule="auto"/>
      </w:pPr>
      <w:r>
        <w:separator/>
      </w:r>
    </w:p>
  </w:endnote>
  <w:endnote w:type="continuationSeparator" w:id="0">
    <w:p w:rsidR="001C070A" w:rsidRDefault="001C070A" w:rsidP="000A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739963"/>
      <w:docPartObj>
        <w:docPartGallery w:val="Page Numbers (Bottom of Page)"/>
        <w:docPartUnique/>
      </w:docPartObj>
    </w:sdtPr>
    <w:sdtEndPr/>
    <w:sdtContent>
      <w:p w:rsidR="000A4CE9" w:rsidRDefault="000A4CE9">
        <w:pPr>
          <w:pStyle w:val="Pta"/>
          <w:jc w:val="center"/>
        </w:pPr>
        <w:r>
          <w:fldChar w:fldCharType="begin"/>
        </w:r>
        <w:r>
          <w:instrText>PAGE   \* MERGEFORMAT</w:instrText>
        </w:r>
        <w:r>
          <w:fldChar w:fldCharType="separate"/>
        </w:r>
        <w:r w:rsidR="00273C75">
          <w:rPr>
            <w:noProof/>
          </w:rPr>
          <w:t>6</w:t>
        </w:r>
        <w:r>
          <w:fldChar w:fldCharType="end"/>
        </w:r>
      </w:p>
    </w:sdtContent>
  </w:sdt>
  <w:p w:rsidR="000A4CE9" w:rsidRDefault="000A4CE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0A" w:rsidRDefault="001C070A" w:rsidP="000A4CE9">
      <w:pPr>
        <w:spacing w:after="0" w:line="240" w:lineRule="auto"/>
      </w:pPr>
      <w:r>
        <w:separator/>
      </w:r>
    </w:p>
  </w:footnote>
  <w:footnote w:type="continuationSeparator" w:id="0">
    <w:p w:rsidR="001C070A" w:rsidRDefault="001C070A" w:rsidP="000A4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17CF9"/>
    <w:multiLevelType w:val="hybridMultilevel"/>
    <w:tmpl w:val="DBD88A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FD56C95"/>
    <w:multiLevelType w:val="hybridMultilevel"/>
    <w:tmpl w:val="6DE0BC9C"/>
    <w:lvl w:ilvl="0" w:tplc="8214D57E">
      <w:numFmt w:val="bullet"/>
      <w:lvlText w:val="-"/>
      <w:lvlJc w:val="left"/>
      <w:pPr>
        <w:ind w:left="420" w:hanging="360"/>
      </w:pPr>
      <w:rPr>
        <w:rFonts w:ascii="Times New Roman" w:eastAsia="Times New Roman" w:hAnsi="Times New Roman" w:cs="Times New Roman" w:hint="default"/>
        <w:b/>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B0"/>
    <w:rsid w:val="000144C3"/>
    <w:rsid w:val="000246A8"/>
    <w:rsid w:val="000A4CE9"/>
    <w:rsid w:val="000B184D"/>
    <w:rsid w:val="000B3F57"/>
    <w:rsid w:val="000F7E52"/>
    <w:rsid w:val="00101289"/>
    <w:rsid w:val="00134674"/>
    <w:rsid w:val="00192FFA"/>
    <w:rsid w:val="001C070A"/>
    <w:rsid w:val="00273C75"/>
    <w:rsid w:val="002C2B40"/>
    <w:rsid w:val="002E1A19"/>
    <w:rsid w:val="002F00DB"/>
    <w:rsid w:val="00327A2D"/>
    <w:rsid w:val="003377A7"/>
    <w:rsid w:val="00347BCE"/>
    <w:rsid w:val="00357097"/>
    <w:rsid w:val="003621F6"/>
    <w:rsid w:val="0037123A"/>
    <w:rsid w:val="00397381"/>
    <w:rsid w:val="003A35EB"/>
    <w:rsid w:val="003A5C71"/>
    <w:rsid w:val="003C009A"/>
    <w:rsid w:val="0044395A"/>
    <w:rsid w:val="004A57E3"/>
    <w:rsid w:val="004C083B"/>
    <w:rsid w:val="004F1256"/>
    <w:rsid w:val="00550643"/>
    <w:rsid w:val="005601B6"/>
    <w:rsid w:val="005659C1"/>
    <w:rsid w:val="00585DC9"/>
    <w:rsid w:val="005901AA"/>
    <w:rsid w:val="005A1161"/>
    <w:rsid w:val="006173E4"/>
    <w:rsid w:val="0062452B"/>
    <w:rsid w:val="00631ED1"/>
    <w:rsid w:val="00661635"/>
    <w:rsid w:val="00686242"/>
    <w:rsid w:val="006A0E56"/>
    <w:rsid w:val="00761851"/>
    <w:rsid w:val="00772C99"/>
    <w:rsid w:val="00773CE7"/>
    <w:rsid w:val="007A0530"/>
    <w:rsid w:val="007A2E59"/>
    <w:rsid w:val="007E33E9"/>
    <w:rsid w:val="0084191D"/>
    <w:rsid w:val="008461A5"/>
    <w:rsid w:val="00861716"/>
    <w:rsid w:val="0087529A"/>
    <w:rsid w:val="008B405F"/>
    <w:rsid w:val="008D25FA"/>
    <w:rsid w:val="008D442A"/>
    <w:rsid w:val="008F1A80"/>
    <w:rsid w:val="00A56287"/>
    <w:rsid w:val="00A62445"/>
    <w:rsid w:val="00A70852"/>
    <w:rsid w:val="00AA4FD0"/>
    <w:rsid w:val="00AB1D6B"/>
    <w:rsid w:val="00AB2419"/>
    <w:rsid w:val="00B3505E"/>
    <w:rsid w:val="00B50E2A"/>
    <w:rsid w:val="00B51490"/>
    <w:rsid w:val="00BA14D6"/>
    <w:rsid w:val="00BF3672"/>
    <w:rsid w:val="00BF4E94"/>
    <w:rsid w:val="00C82C5A"/>
    <w:rsid w:val="00CD5AEE"/>
    <w:rsid w:val="00D02827"/>
    <w:rsid w:val="00D174C3"/>
    <w:rsid w:val="00D17ED7"/>
    <w:rsid w:val="00D463B0"/>
    <w:rsid w:val="00D710A5"/>
    <w:rsid w:val="00DA164F"/>
    <w:rsid w:val="00DD1B41"/>
    <w:rsid w:val="00DF7EB5"/>
    <w:rsid w:val="00E25A02"/>
    <w:rsid w:val="00E60E2F"/>
    <w:rsid w:val="00E84B98"/>
    <w:rsid w:val="00EF46D5"/>
    <w:rsid w:val="00F10D72"/>
    <w:rsid w:val="00F44C37"/>
    <w:rsid w:val="00F97F54"/>
    <w:rsid w:val="00FB29E0"/>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877EB-6573-4293-BCDA-57C089BE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Hlavika">
    <w:name w:val="header"/>
    <w:basedOn w:val="Normlny"/>
    <w:link w:val="HlavikaChar"/>
    <w:uiPriority w:val="99"/>
    <w:unhideWhenUsed/>
    <w:rsid w:val="000A4CE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4CE9"/>
    <w:rPr>
      <w:rFonts w:ascii="Calibri" w:eastAsia="Times New Roman" w:hAnsi="Calibri" w:cs="Times New Roman"/>
    </w:rPr>
  </w:style>
  <w:style w:type="paragraph" w:styleId="Pta">
    <w:name w:val="footer"/>
    <w:basedOn w:val="Normlny"/>
    <w:link w:val="PtaChar"/>
    <w:uiPriority w:val="99"/>
    <w:unhideWhenUsed/>
    <w:rsid w:val="000A4CE9"/>
    <w:pPr>
      <w:tabs>
        <w:tab w:val="center" w:pos="4536"/>
        <w:tab w:val="right" w:pos="9072"/>
      </w:tabs>
      <w:spacing w:after="0" w:line="240" w:lineRule="auto"/>
    </w:pPr>
  </w:style>
  <w:style w:type="character" w:customStyle="1" w:styleId="PtaChar">
    <w:name w:val="Päta Char"/>
    <w:basedOn w:val="Predvolenpsmoodseku"/>
    <w:link w:val="Pta"/>
    <w:uiPriority w:val="99"/>
    <w:rsid w:val="000A4CE9"/>
    <w:rPr>
      <w:rFonts w:ascii="Calibri" w:eastAsia="Times New Roman" w:hAnsi="Calibri" w:cs="Times New Roman"/>
    </w:rPr>
  </w:style>
  <w:style w:type="paragraph" w:styleId="Odsekzoznamu">
    <w:name w:val="List Paragraph"/>
    <w:basedOn w:val="Normlny"/>
    <w:uiPriority w:val="34"/>
    <w:qFormat/>
    <w:rsid w:val="00192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736">
      <w:bodyDiv w:val="1"/>
      <w:marLeft w:val="0"/>
      <w:marRight w:val="0"/>
      <w:marTop w:val="0"/>
      <w:marBottom w:val="0"/>
      <w:divBdr>
        <w:top w:val="none" w:sz="0" w:space="0" w:color="auto"/>
        <w:left w:val="none" w:sz="0" w:space="0" w:color="auto"/>
        <w:bottom w:val="none" w:sz="0" w:space="0" w:color="auto"/>
        <w:right w:val="none" w:sz="0" w:space="0" w:color="auto"/>
      </w:divBdr>
    </w:div>
    <w:div w:id="96297008">
      <w:bodyDiv w:val="1"/>
      <w:marLeft w:val="0"/>
      <w:marRight w:val="0"/>
      <w:marTop w:val="0"/>
      <w:marBottom w:val="0"/>
      <w:divBdr>
        <w:top w:val="none" w:sz="0" w:space="0" w:color="auto"/>
        <w:left w:val="none" w:sz="0" w:space="0" w:color="auto"/>
        <w:bottom w:val="none" w:sz="0" w:space="0" w:color="auto"/>
        <w:right w:val="none" w:sz="0" w:space="0" w:color="auto"/>
      </w:divBdr>
    </w:div>
    <w:div w:id="449014574">
      <w:bodyDiv w:val="1"/>
      <w:marLeft w:val="0"/>
      <w:marRight w:val="0"/>
      <w:marTop w:val="0"/>
      <w:marBottom w:val="0"/>
      <w:divBdr>
        <w:top w:val="none" w:sz="0" w:space="0" w:color="auto"/>
        <w:left w:val="none" w:sz="0" w:space="0" w:color="auto"/>
        <w:bottom w:val="none" w:sz="0" w:space="0" w:color="auto"/>
        <w:right w:val="none" w:sz="0" w:space="0" w:color="auto"/>
      </w:divBdr>
    </w:div>
    <w:div w:id="716970811">
      <w:bodyDiv w:val="1"/>
      <w:marLeft w:val="0"/>
      <w:marRight w:val="0"/>
      <w:marTop w:val="0"/>
      <w:marBottom w:val="0"/>
      <w:divBdr>
        <w:top w:val="none" w:sz="0" w:space="0" w:color="auto"/>
        <w:left w:val="none" w:sz="0" w:space="0" w:color="auto"/>
        <w:bottom w:val="none" w:sz="0" w:space="0" w:color="auto"/>
        <w:right w:val="none" w:sz="0" w:space="0" w:color="auto"/>
      </w:divBdr>
    </w:div>
    <w:div w:id="728191404">
      <w:bodyDiv w:val="1"/>
      <w:marLeft w:val="0"/>
      <w:marRight w:val="0"/>
      <w:marTop w:val="0"/>
      <w:marBottom w:val="0"/>
      <w:divBdr>
        <w:top w:val="none" w:sz="0" w:space="0" w:color="auto"/>
        <w:left w:val="none" w:sz="0" w:space="0" w:color="auto"/>
        <w:bottom w:val="none" w:sz="0" w:space="0" w:color="auto"/>
        <w:right w:val="none" w:sz="0" w:space="0" w:color="auto"/>
      </w:divBdr>
    </w:div>
    <w:div w:id="963270273">
      <w:bodyDiv w:val="1"/>
      <w:marLeft w:val="0"/>
      <w:marRight w:val="0"/>
      <w:marTop w:val="0"/>
      <w:marBottom w:val="0"/>
      <w:divBdr>
        <w:top w:val="none" w:sz="0" w:space="0" w:color="auto"/>
        <w:left w:val="none" w:sz="0" w:space="0" w:color="auto"/>
        <w:bottom w:val="none" w:sz="0" w:space="0" w:color="auto"/>
        <w:right w:val="none" w:sz="0" w:space="0" w:color="auto"/>
      </w:divBdr>
    </w:div>
    <w:div w:id="966204984">
      <w:bodyDiv w:val="1"/>
      <w:marLeft w:val="0"/>
      <w:marRight w:val="0"/>
      <w:marTop w:val="0"/>
      <w:marBottom w:val="0"/>
      <w:divBdr>
        <w:top w:val="none" w:sz="0" w:space="0" w:color="auto"/>
        <w:left w:val="none" w:sz="0" w:space="0" w:color="auto"/>
        <w:bottom w:val="none" w:sz="0" w:space="0" w:color="auto"/>
        <w:right w:val="none" w:sz="0" w:space="0" w:color="auto"/>
      </w:divBdr>
    </w:div>
    <w:div w:id="1250701071">
      <w:bodyDiv w:val="1"/>
      <w:marLeft w:val="0"/>
      <w:marRight w:val="0"/>
      <w:marTop w:val="0"/>
      <w:marBottom w:val="0"/>
      <w:divBdr>
        <w:top w:val="none" w:sz="0" w:space="0" w:color="auto"/>
        <w:left w:val="none" w:sz="0" w:space="0" w:color="auto"/>
        <w:bottom w:val="none" w:sz="0" w:space="0" w:color="auto"/>
        <w:right w:val="none" w:sz="0" w:space="0" w:color="auto"/>
      </w:divBdr>
    </w:div>
    <w:div w:id="1712878873">
      <w:bodyDiv w:val="1"/>
      <w:marLeft w:val="0"/>
      <w:marRight w:val="0"/>
      <w:marTop w:val="0"/>
      <w:marBottom w:val="0"/>
      <w:divBdr>
        <w:top w:val="none" w:sz="0" w:space="0" w:color="auto"/>
        <w:left w:val="none" w:sz="0" w:space="0" w:color="auto"/>
        <w:bottom w:val="none" w:sz="0" w:space="0" w:color="auto"/>
        <w:right w:val="none" w:sz="0" w:space="0" w:color="auto"/>
      </w:divBdr>
    </w:div>
    <w:div w:id="1904561580">
      <w:bodyDiv w:val="1"/>
      <w:marLeft w:val="0"/>
      <w:marRight w:val="0"/>
      <w:marTop w:val="0"/>
      <w:marBottom w:val="0"/>
      <w:divBdr>
        <w:top w:val="none" w:sz="0" w:space="0" w:color="auto"/>
        <w:left w:val="none" w:sz="0" w:space="0" w:color="auto"/>
        <w:bottom w:val="none" w:sz="0" w:space="0" w:color="auto"/>
        <w:right w:val="none" w:sz="0" w:space="0" w:color="auto"/>
      </w:divBdr>
    </w:div>
    <w:div w:id="2111778031">
      <w:bodyDiv w:val="1"/>
      <w:marLeft w:val="0"/>
      <w:marRight w:val="0"/>
      <w:marTop w:val="0"/>
      <w:marBottom w:val="0"/>
      <w:divBdr>
        <w:top w:val="none" w:sz="0" w:space="0" w:color="auto"/>
        <w:left w:val="none" w:sz="0" w:space="0" w:color="auto"/>
        <w:bottom w:val="none" w:sz="0" w:space="0" w:color="auto"/>
        <w:right w:val="none" w:sz="0" w:space="0" w:color="auto"/>
      </w:divBdr>
      <w:divsChild>
        <w:div w:id="189608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15.5.2021 4:10:46"/>
    <f:field ref="objchangedby" par="" text="Fscclone"/>
    <f:field ref="objmodifiedat" par="" text="15.5.2021 4:10:51"/>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FE3E21-9C6A-40A4-84E2-66CC5C68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5094</Words>
  <Characters>29041</Characters>
  <Application>Microsoft Office Word</Application>
  <DocSecurity>0</DocSecurity>
  <Lines>242</Lines>
  <Paragraphs>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Turenic Peter</cp:lastModifiedBy>
  <cp:revision>73</cp:revision>
  <dcterms:created xsi:type="dcterms:W3CDTF">2021-05-15T02:10:00Z</dcterms:created>
  <dcterms:modified xsi:type="dcterms:W3CDTF">2021-06-14T06:06:00Z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ktorým&amp;nbsp; sa mení a&amp;nbsp; dopĺňa zákon č. 563/2009 Z. z. o správe daní (daňový poriadok) a o zmene a doplnení niektorých zákonov v znení neskorších predpisov a ktorým sa menia a dopĺňajú niektoré zákony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Finančné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Peter Turenič</vt:lpwstr>
  </property>
  <property fmtid="{D5CDD505-2E9C-101B-9397-08002B2CF9AE}" pid="11" name="FSC#SKEDITIONSLOVLEX@103.510:zodppredkladatel">
    <vt:lpwstr>Igor Matovič</vt:lpwstr>
  </property>
  <property fmtid="{D5CDD505-2E9C-101B-9397-08002B2CF9AE}" pid="12" name="FSC#SKEDITIONSLOVLEX@103.510:dalsipredkladatel">
    <vt:lpwstr/>
  </property>
  <property fmtid="{D5CDD505-2E9C-101B-9397-08002B2CF9AE}" pid="13" name="FSC#SKEDITIONSLOVLEX@103.510:nazovpredpis">
    <vt:lpwstr>, ktorým sa mení a dopĺňa zákon č. 563/2009 Z. z. o správe daní (daňový poriadok) a o zmene a doplnení niektorých zákonov v znení neskorších predpisov a ktorým sa menia a dopĺňajú niektoré zákony </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0" name="FSC#SKEDITIONSLOVLEX@103.510:autorpredpis">
    <vt:lpwstr/>
  </property>
  <property fmtid="{D5CDD505-2E9C-101B-9397-08002B2CF9AE}" pid="21" name="FSC#SKEDITIONSLOVLEX@103.510:podnetpredpis">
    <vt:lpwstr>Z plánu legislatívnych úloh vlády 2020</vt:lpwstr>
  </property>
  <property fmtid="{D5CDD505-2E9C-101B-9397-08002B2CF9AE}" pid="22" name="FSC#SKEDITIONSLOVLEX@103.510:plnynazovpredpis">
    <vt:lpwstr> Zákon, ktorým sa mení a dopĺňa zákon č. 563/2009 Z. z. o správe daní (daňový poriadok) a o zmene a doplnení niektorých zákonov v znení neskorších predpisov a ktorým sa menia a dopĺňajú niektoré zákony </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MF/003453/2021-77</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LP/2021/158</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čl. 110 až 113, 349 a 355 ods.1 Zmluvy o fungovaní Európskej únie (Ú. v. EÚ C 202, 7.6.2016) v platnom znení,_x000d_
čl. 52 Zmluvy o Európskej únii (Ú. v. EÚ C 202, 7.6. 2016) v platnom znení</vt:lpwstr>
  </property>
  <property fmtid="{D5CDD505-2E9C-101B-9397-08002B2CF9AE}" pid="46" name="FSC#SKEDITIONSLOVLEX@103.510:AttrStrListDocPropSekundarneLegPravoPO">
    <vt:lpwstr>-	smernica Rady 2006/112/ES z  28. novembra 2006 o spoločnom systéme dane z pridanej hodnoty (Ú. v. EÚ L 347, 11.12.2006) v platnom znení, gestor: MF SR</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Rozsudok Súdneho dvora C 384/Rozsudok Súdneho dvora C 384/04 Commissioners of Customs &amp; Excise a Attorney General proti Federation of Technological Industries a i.</vt:lpwstr>
  </property>
  <property fmtid="{D5CDD505-2E9C-101B-9397-08002B2CF9AE}" pid="51" name="FSC#SKEDITIONSLOVLEX@103.510:AttrStrListDocPropLehotaPrebratieSmernice">
    <vt:lpwstr>Lehota na prebratie smernice 2006/112/ES bola stanovená do 1.1. 2008 a lehota na prebratie článku 2 smernice Rady (EÚ)  2017/2455 bola stanovená pôvodne do 31.12.2020 a rozhodnutím Rady (EÚ) 2020/1109 zmenená na 1.7.2021</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Proti Slovenskej republike nebolo začaté konanie v rámci „EÚ Pilot“, ani nebol začatý postup EK ako aj nebolo začaté konanie Súdneho dvora EÚ proti SR podľa čl. 258 až 260 Zmluvy o fungovaní Európskej únie</vt:lpwstr>
  </property>
  <property fmtid="{D5CDD505-2E9C-101B-9397-08002B2CF9AE}" pid="54" name="FSC#SKEDITIONSLOVLEX@103.510:AttrStrListDocPropInfoUzPreberanePP">
    <vt:lpwstr>Smernica Rady 2006/112/ES a smernica Rady (EÚ) 2017/2455 sú prebraté do zákona č. 222/2004 Z. z. o dani z pridanej hodnoty v znení neskorších predpisov</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podpredseda vlády a minister financií</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referent</vt:lpwstr>
  </property>
  <property fmtid="{D5CDD505-2E9C-101B-9397-08002B2CF9AE}" pid="138" name="FSC#SKEDITIONSLOVLEX@103.510:funkciaPredAkuzativ">
    <vt:lpwstr>referent</vt:lpwstr>
  </property>
  <property fmtid="{D5CDD505-2E9C-101B-9397-08002B2CF9AE}" pid="139" name="FSC#SKEDITIONSLOVLEX@103.510:funkciaPredDativ">
    <vt:lpwstr>referentovi</vt:lpwstr>
  </property>
  <property fmtid="{D5CDD505-2E9C-101B-9397-08002B2CF9AE}" pid="140" name="FSC#SKEDITIONSLOVLEX@103.510:funkciaZodpPred">
    <vt:lpwstr/>
  </property>
  <property fmtid="{D5CDD505-2E9C-101B-9397-08002B2CF9AE}" pid="141" name="FSC#SKEDITIONSLOVLEX@103.510:funkciaZodpPredAkuzativ">
    <vt:lpwstr/>
  </property>
  <property fmtid="{D5CDD505-2E9C-101B-9397-08002B2CF9AE}" pid="142" name="FSC#SKEDITIONSLOVLEX@103.510:funkciaZodpPredDativ">
    <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Igor Matovič</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financií Slovenskej republiky predkladá návrh zákona, ktorým sa mení&lt;br /&gt;a dopĺňa zákon č. 563/2009 Z. z. o správe daní (daňový poriadok) a o zmene a doplnení niektorých zákonov v znení neskorších predpisov a ktorým sa menia a dopĺňajú ni</vt:lpwstr>
  </property>
  <property fmtid="{D5CDD505-2E9C-101B-9397-08002B2CF9AE}" pid="149" name="FSC#COOSYSTEM@1.1:Container">
    <vt:lpwstr>COO.2145.1000.3.4365810</vt:lpwstr>
  </property>
  <property fmtid="{D5CDD505-2E9C-101B-9397-08002B2CF9AE}" pid="150" name="FSC#FSCFOLIO@1.1001:docpropproject">
    <vt:lpwstr/>
  </property>
  <property fmtid="{D5CDD505-2E9C-101B-9397-08002B2CF9AE}" pid="151" name="FSC#SKEDITIONSLOVLEX@103.510:aktualnyrok">
    <vt:lpwstr>2021</vt:lpwstr>
  </property>
  <property fmtid="{D5CDD505-2E9C-101B-9397-08002B2CF9AE}" pid="152" name="FSC#SKEDITIONSLOVLEX@103.510:vytvorenedna">
    <vt:lpwstr>15. 5. 2021</vt:lpwstr>
  </property>
</Properties>
</file>