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5DB2F" w14:textId="77777777" w:rsidR="00152882" w:rsidRPr="00057ED8" w:rsidRDefault="00152882" w:rsidP="003D0236">
      <w:pPr>
        <w:rPr>
          <w:sz w:val="17"/>
          <w:szCs w:val="17"/>
        </w:rPr>
      </w:pPr>
    </w:p>
    <w:p w14:paraId="384AB6D6" w14:textId="77777777" w:rsidR="00944BCA" w:rsidRPr="00057ED8" w:rsidRDefault="00944BCA" w:rsidP="00C05EFC">
      <w:pPr>
        <w:rPr>
          <w:sz w:val="17"/>
          <w:szCs w:val="17"/>
        </w:rPr>
      </w:pPr>
    </w:p>
    <w:p w14:paraId="08BDE627" w14:textId="77777777" w:rsidR="00C05EFC" w:rsidRPr="00057ED8" w:rsidRDefault="00C05EFC" w:rsidP="00C05EFC">
      <w:pPr>
        <w:rPr>
          <w:sz w:val="17"/>
          <w:szCs w:val="17"/>
        </w:rPr>
      </w:pPr>
    </w:p>
    <w:p w14:paraId="6F0288BC" w14:textId="22F0BE36" w:rsidR="00C05EFC" w:rsidRPr="00057ED8" w:rsidRDefault="00C05EFC" w:rsidP="00C05EFC">
      <w:pPr>
        <w:rPr>
          <w:sz w:val="17"/>
          <w:szCs w:val="17"/>
        </w:rPr>
        <w:sectPr w:rsidR="00C05EFC" w:rsidRPr="00057ED8" w:rsidSect="00240F50">
          <w:headerReference w:type="default" r:id="rId11"/>
          <w:footerReference w:type="even" r:id="rId12"/>
          <w:footerReference w:type="default" r:id="rId13"/>
          <w:headerReference w:type="first" r:id="rId14"/>
          <w:footerReference w:type="first" r:id="rId15"/>
          <w:pgSz w:w="11907" w:h="16839" w:code="9"/>
          <w:pgMar w:top="2336" w:right="907" w:bottom="1599" w:left="1418" w:header="709" w:footer="238" w:gutter="0"/>
          <w:cols w:space="708"/>
          <w:titlePg/>
          <w:docGrid w:linePitch="360"/>
        </w:sectPr>
      </w:pPr>
    </w:p>
    <w:p w14:paraId="73FC2A96" w14:textId="77777777" w:rsidR="00C92616" w:rsidRDefault="00C92616">
      <w:pPr>
        <w:spacing w:after="200" w:line="276" w:lineRule="auto"/>
        <w:jc w:val="left"/>
        <w:rPr>
          <w:b/>
          <w:color w:val="002957"/>
          <w:sz w:val="17"/>
          <w:szCs w:val="17"/>
        </w:rPr>
      </w:pPr>
      <w:r>
        <w:rPr>
          <w:b/>
          <w:color w:val="002957"/>
          <w:sz w:val="17"/>
          <w:szCs w:val="17"/>
        </w:rPr>
        <w:br w:type="page"/>
      </w:r>
    </w:p>
    <w:p w14:paraId="05C65340" w14:textId="5D67D8FC" w:rsidR="00152882" w:rsidRPr="00057ED8" w:rsidRDefault="008D1437" w:rsidP="0020685A">
      <w:pPr>
        <w:shd w:val="clear" w:color="auto" w:fill="B8CCE4" w:themeFill="accent1" w:themeFillTint="66"/>
        <w:autoSpaceDE w:val="0"/>
        <w:autoSpaceDN w:val="0"/>
        <w:adjustRightInd w:val="0"/>
        <w:rPr>
          <w:b/>
          <w:color w:val="002957"/>
          <w:sz w:val="17"/>
          <w:szCs w:val="17"/>
        </w:rPr>
      </w:pPr>
      <w:r w:rsidRPr="00057ED8">
        <w:rPr>
          <w:b/>
          <w:color w:val="002957"/>
          <w:sz w:val="17"/>
          <w:szCs w:val="17"/>
        </w:rPr>
        <w:lastRenderedPageBreak/>
        <w:t>IFRS S1 General Requirements for Disclosure of Sustainability-related Financial Information</w:t>
      </w:r>
    </w:p>
    <w:p w14:paraId="2474849C" w14:textId="77777777" w:rsidR="00152882" w:rsidRPr="00057ED8" w:rsidRDefault="00152882" w:rsidP="002740B8"/>
    <w:p w14:paraId="79AFD9BB" w14:textId="77777777" w:rsidR="00513513" w:rsidRPr="00057ED8" w:rsidRDefault="00513513" w:rsidP="00F768D9">
      <w:pPr>
        <w:rPr>
          <w:b/>
          <w:bCs/>
          <w:sz w:val="17"/>
          <w:szCs w:val="17"/>
        </w:rPr>
      </w:pPr>
      <w:bookmarkStart w:id="2" w:name="BorderPlate"/>
      <w:bookmarkEnd w:id="2"/>
      <w:r w:rsidRPr="00057ED8">
        <w:rPr>
          <w:b/>
          <w:bCs/>
          <w:sz w:val="17"/>
          <w:szCs w:val="17"/>
        </w:rPr>
        <w:t>Question 1—Overall approach</w:t>
      </w:r>
    </w:p>
    <w:p w14:paraId="74AE77DB" w14:textId="77777777" w:rsidR="00B70103" w:rsidRPr="00057ED8" w:rsidRDefault="00B70103" w:rsidP="00F768D9">
      <w:pPr>
        <w:rPr>
          <w:sz w:val="17"/>
          <w:szCs w:val="17"/>
        </w:rPr>
      </w:pPr>
      <w:r w:rsidRPr="00057ED8">
        <w:rPr>
          <w:sz w:val="17"/>
          <w:szCs w:val="17"/>
        </w:rPr>
        <w:t>The Exposure Draft sets out overall requirements with the objective of disclosing sustainability-related financial information that is useful to the primary users of the entity’s general purpose financial reporting when they assess the entity’s enterprise value and decide whether to provide resources to it.</w:t>
      </w:r>
    </w:p>
    <w:p w14:paraId="048815AD" w14:textId="77777777" w:rsidR="00F016BC" w:rsidRPr="00057ED8" w:rsidRDefault="00F016BC" w:rsidP="00F768D9">
      <w:pPr>
        <w:rPr>
          <w:sz w:val="17"/>
          <w:szCs w:val="17"/>
        </w:rPr>
      </w:pPr>
    </w:p>
    <w:p w14:paraId="64390C9C" w14:textId="77777777" w:rsidR="00B70103" w:rsidRPr="00057ED8" w:rsidRDefault="00B70103" w:rsidP="00F768D9">
      <w:pPr>
        <w:rPr>
          <w:sz w:val="17"/>
          <w:szCs w:val="17"/>
        </w:rPr>
      </w:pPr>
      <w:r w:rsidRPr="00057ED8">
        <w:rPr>
          <w:sz w:val="17"/>
          <w:szCs w:val="17"/>
        </w:rPr>
        <w:t xml:space="preserve">Proposals in the Exposure Draft would require an entity to disclose material information about all of the significant sustainability-related risks and opportunities to which it is exposed. The assessment of materiality shall be made in the context of the information necessary for users of </w:t>
      </w:r>
      <w:proofErr w:type="gramStart"/>
      <w:r w:rsidRPr="00057ED8">
        <w:rPr>
          <w:sz w:val="17"/>
          <w:szCs w:val="17"/>
        </w:rPr>
        <w:t>general purpose</w:t>
      </w:r>
      <w:proofErr w:type="gramEnd"/>
      <w:r w:rsidRPr="00057ED8">
        <w:rPr>
          <w:sz w:val="17"/>
          <w:szCs w:val="17"/>
        </w:rPr>
        <w:t xml:space="preserve"> financial reporting to assess enterprise value.</w:t>
      </w:r>
    </w:p>
    <w:p w14:paraId="7620A66C" w14:textId="77777777" w:rsidR="00F016BC" w:rsidRPr="00057ED8" w:rsidRDefault="00F016BC" w:rsidP="00F768D9">
      <w:pPr>
        <w:rPr>
          <w:sz w:val="17"/>
          <w:szCs w:val="17"/>
        </w:rPr>
      </w:pPr>
    </w:p>
    <w:p w14:paraId="7BA5B262" w14:textId="7492C2AC" w:rsidR="00B70103" w:rsidRPr="00057ED8" w:rsidRDefault="00B70103" w:rsidP="006945DC">
      <w:pPr>
        <w:pStyle w:val="Odsekzoznamu"/>
        <w:numPr>
          <w:ilvl w:val="0"/>
          <w:numId w:val="4"/>
        </w:numPr>
        <w:spacing w:before="0" w:line="288" w:lineRule="auto"/>
        <w:ind w:left="714" w:right="1066" w:hanging="357"/>
        <w:rPr>
          <w:szCs w:val="17"/>
          <w:lang w:val="en-GB"/>
        </w:rPr>
      </w:pPr>
      <w:r w:rsidRPr="00057ED8">
        <w:rPr>
          <w:szCs w:val="17"/>
          <w:lang w:val="en-GB"/>
        </w:rPr>
        <w:t>Does the Exposure Draft state clearly that an entity would be required to identify and disclose material information about all of the sustainability-related risks and opportunities to which the entity is exposed, even if such risks and opportunities are not addressed by a specific IFRS Sustainability Disclosure Standard? Why or why not? If not, how could such a requirement be made clearer?</w:t>
      </w:r>
    </w:p>
    <w:p w14:paraId="4601D157" w14:textId="77777777" w:rsidR="00F016BC" w:rsidRPr="00057ED8" w:rsidRDefault="00F016BC" w:rsidP="00F768D9">
      <w:pPr>
        <w:rPr>
          <w:sz w:val="17"/>
          <w:szCs w:val="17"/>
        </w:rPr>
      </w:pPr>
    </w:p>
    <w:p w14:paraId="1EB94128" w14:textId="77777777" w:rsidR="00B70103" w:rsidRPr="00057ED8" w:rsidRDefault="00B70103" w:rsidP="006945DC">
      <w:pPr>
        <w:pStyle w:val="Odsekzoznamu"/>
        <w:numPr>
          <w:ilvl w:val="0"/>
          <w:numId w:val="4"/>
        </w:numPr>
        <w:spacing w:before="0" w:line="288" w:lineRule="auto"/>
        <w:ind w:left="714" w:right="1066" w:hanging="357"/>
        <w:rPr>
          <w:szCs w:val="17"/>
          <w:lang w:val="en-GB"/>
        </w:rPr>
      </w:pPr>
      <w:r w:rsidRPr="00057ED8">
        <w:rPr>
          <w:szCs w:val="17"/>
          <w:lang w:val="en-GB"/>
        </w:rPr>
        <w:t>Do you agree that the proposed requirements set out in the Exposure Draft meet its proposed objective (paragraph 1)? Why or why not?</w:t>
      </w:r>
    </w:p>
    <w:p w14:paraId="62C4BCAA" w14:textId="77777777" w:rsidR="00F016BC" w:rsidRPr="00057ED8" w:rsidRDefault="00F016BC" w:rsidP="00F768D9">
      <w:pPr>
        <w:rPr>
          <w:sz w:val="17"/>
          <w:szCs w:val="17"/>
        </w:rPr>
      </w:pPr>
    </w:p>
    <w:p w14:paraId="44055035" w14:textId="77777777" w:rsidR="00B70103" w:rsidRPr="00057ED8" w:rsidRDefault="00B70103" w:rsidP="006945DC">
      <w:pPr>
        <w:pStyle w:val="Odsekzoznamu"/>
        <w:numPr>
          <w:ilvl w:val="0"/>
          <w:numId w:val="4"/>
        </w:numPr>
        <w:spacing w:before="0" w:line="288" w:lineRule="auto"/>
        <w:ind w:left="714" w:right="1066" w:hanging="357"/>
        <w:rPr>
          <w:szCs w:val="17"/>
          <w:lang w:val="en-GB"/>
        </w:rPr>
      </w:pPr>
      <w:r w:rsidRPr="00057ED8">
        <w:rPr>
          <w:szCs w:val="17"/>
          <w:lang w:val="en-GB"/>
        </w:rPr>
        <w:t>Is it clear how the proposed requirements in the Exposure Draft would be applied together with other IFRS Sustainability Disclosure Standards, including the [draft] IFRS S2 Climate-related Disclosures? Why or why not? If not, what aspects of the proposals are unclear?</w:t>
      </w:r>
    </w:p>
    <w:p w14:paraId="69AB4E4F" w14:textId="77777777" w:rsidR="00F016BC" w:rsidRPr="00057ED8" w:rsidRDefault="00F016BC" w:rsidP="00F768D9">
      <w:pPr>
        <w:rPr>
          <w:sz w:val="17"/>
          <w:szCs w:val="17"/>
        </w:rPr>
      </w:pPr>
    </w:p>
    <w:p w14:paraId="1AE2CF55" w14:textId="77777777" w:rsidR="00B70103" w:rsidRPr="00057ED8" w:rsidRDefault="00B70103" w:rsidP="006945DC">
      <w:pPr>
        <w:pStyle w:val="Odsekzoznamu"/>
        <w:numPr>
          <w:ilvl w:val="0"/>
          <w:numId w:val="4"/>
        </w:numPr>
        <w:spacing w:before="0" w:line="288" w:lineRule="auto"/>
        <w:ind w:left="714" w:right="1066" w:hanging="357"/>
        <w:rPr>
          <w:szCs w:val="17"/>
          <w:lang w:val="en-GB"/>
        </w:rPr>
      </w:pPr>
      <w:r w:rsidRPr="00057ED8">
        <w:rPr>
          <w:szCs w:val="17"/>
          <w:lang w:val="en-GB"/>
        </w:rPr>
        <w:t>Do you agree that the requirements proposed in the Exposure Draft would provide a suitable basis for auditors and regulators to determine whether an entity has complied with the proposals? If not, what approach do you suggest and why?</w:t>
      </w:r>
    </w:p>
    <w:p w14:paraId="38B9B755" w14:textId="57F77AC2" w:rsidR="00152882" w:rsidRPr="00057ED8" w:rsidRDefault="00152882" w:rsidP="00F768D9">
      <w:pPr>
        <w:rPr>
          <w:sz w:val="17"/>
          <w:szCs w:val="17"/>
        </w:rPr>
      </w:pPr>
    </w:p>
    <w:p w14:paraId="2E0FAAD7" w14:textId="683D4262" w:rsidR="00485C85" w:rsidRPr="00057ED8" w:rsidRDefault="00485C85" w:rsidP="00F768D9">
      <w:pPr>
        <w:rPr>
          <w:sz w:val="17"/>
          <w:szCs w:val="17"/>
        </w:rPr>
      </w:pPr>
    </w:p>
    <w:tbl>
      <w:tblPr>
        <w:tblStyle w:val="Mriekatabuky"/>
        <w:tblW w:w="0" w:type="auto"/>
        <w:tblLook w:val="04A0" w:firstRow="1" w:lastRow="0" w:firstColumn="1" w:lastColumn="0" w:noHBand="0" w:noVBand="1"/>
      </w:tblPr>
      <w:tblGrid>
        <w:gridCol w:w="9521"/>
      </w:tblGrid>
      <w:tr w:rsidR="00424786" w:rsidRPr="00057ED8" w14:paraId="3D32B03B" w14:textId="77777777" w:rsidTr="00424786">
        <w:trPr>
          <w:trHeight w:val="1625"/>
        </w:trPr>
        <w:tc>
          <w:tcPr>
            <w:tcW w:w="9521" w:type="dxa"/>
          </w:tcPr>
          <w:p w14:paraId="2DE0E5A3" w14:textId="77777777" w:rsidR="003E4C2D" w:rsidRPr="00057ED8" w:rsidRDefault="00485C85" w:rsidP="00812D6D">
            <w:pPr>
              <w:pStyle w:val="Odsekzoznamu"/>
              <w:numPr>
                <w:ilvl w:val="0"/>
                <w:numId w:val="30"/>
              </w:numPr>
              <w:rPr>
                <w:szCs w:val="17"/>
                <w:lang w:val="en-GB"/>
              </w:rPr>
            </w:pPr>
            <w:r w:rsidRPr="00057ED8">
              <w:rPr>
                <w:szCs w:val="17"/>
                <w:lang w:val="en-GB"/>
              </w:rPr>
              <w:t xml:space="preserve">Broadly agree / broadly disagree / </w:t>
            </w:r>
            <w:r w:rsidRPr="00057ED8">
              <w:rPr>
                <w:szCs w:val="17"/>
                <w:highlight w:val="cyan"/>
                <w:lang w:val="en-GB"/>
              </w:rPr>
              <w:t>other</w:t>
            </w:r>
          </w:p>
          <w:p w14:paraId="286517D1" w14:textId="4E8E873A" w:rsidR="00A14F90" w:rsidRPr="00057ED8" w:rsidRDefault="00C42659" w:rsidP="003E4C2D">
            <w:pPr>
              <w:pStyle w:val="Odsekzoznamu"/>
              <w:ind w:left="720" w:firstLine="0"/>
              <w:rPr>
                <w:szCs w:val="17"/>
                <w:lang w:val="en-GB"/>
              </w:rPr>
            </w:pPr>
            <w:r w:rsidRPr="00057ED8">
              <w:rPr>
                <w:szCs w:val="17"/>
                <w:lang w:val="en-GB"/>
              </w:rPr>
              <w:t xml:space="preserve">Yes, </w:t>
            </w:r>
            <w:r w:rsidR="00DD2574">
              <w:rPr>
                <w:szCs w:val="17"/>
                <w:lang w:val="en-GB"/>
              </w:rPr>
              <w:t>Insurance Europe</w:t>
            </w:r>
            <w:r w:rsidR="00DD2574" w:rsidRPr="00057ED8">
              <w:rPr>
                <w:szCs w:val="17"/>
                <w:lang w:val="en-GB"/>
              </w:rPr>
              <w:t xml:space="preserve"> </w:t>
            </w:r>
            <w:r w:rsidR="00113A5E" w:rsidRPr="00057ED8">
              <w:rPr>
                <w:szCs w:val="17"/>
                <w:lang w:val="en-GB"/>
              </w:rPr>
              <w:t>broadly</w:t>
            </w:r>
            <w:r w:rsidRPr="00057ED8">
              <w:rPr>
                <w:szCs w:val="17"/>
                <w:lang w:val="en-GB"/>
              </w:rPr>
              <w:t xml:space="preserve"> agree</w:t>
            </w:r>
            <w:r w:rsidR="00DD2574">
              <w:rPr>
                <w:szCs w:val="17"/>
                <w:lang w:val="en-GB"/>
              </w:rPr>
              <w:t>s</w:t>
            </w:r>
            <w:r w:rsidRPr="00057ED8">
              <w:rPr>
                <w:szCs w:val="17"/>
                <w:lang w:val="en-GB"/>
              </w:rPr>
              <w:t xml:space="preserve"> that it is sufficiently clear that an entity would be required to identify and disclose material information about all sustainability-related risks and opportunities to which the entity is exposed, even if such risks and opportunities are not addressed by a specific IFRS Sustainability Disclosure Standard</w:t>
            </w:r>
            <w:r w:rsidR="006461B3">
              <w:rPr>
                <w:szCs w:val="17"/>
                <w:lang w:val="en-GB"/>
              </w:rPr>
              <w:t xml:space="preserve"> (SDS)</w:t>
            </w:r>
            <w:r w:rsidR="005072F9" w:rsidRPr="00057ED8">
              <w:rPr>
                <w:szCs w:val="17"/>
                <w:lang w:val="en-GB"/>
              </w:rPr>
              <w:t>.</w:t>
            </w:r>
            <w:r w:rsidR="006E65AF" w:rsidRPr="00057ED8">
              <w:rPr>
                <w:szCs w:val="17"/>
                <w:lang w:val="en-GB"/>
              </w:rPr>
              <w:t xml:space="preserve"> Nevertheless, a definition of sustainability-related risks and opportunities would make the ISSB’s expectations clearer</w:t>
            </w:r>
            <w:r w:rsidR="002662AF" w:rsidRPr="00057ED8">
              <w:rPr>
                <w:szCs w:val="17"/>
                <w:lang w:val="en-GB"/>
              </w:rPr>
              <w:t xml:space="preserve"> (see answer to Q2b).</w:t>
            </w:r>
          </w:p>
          <w:p w14:paraId="0061DE4D" w14:textId="4F97CA5C" w:rsidR="00994CA4" w:rsidRPr="00057ED8" w:rsidRDefault="001554A5" w:rsidP="00994CA4">
            <w:pPr>
              <w:pStyle w:val="Odsekzoznamu"/>
              <w:ind w:left="720" w:firstLine="0"/>
              <w:rPr>
                <w:szCs w:val="17"/>
                <w:lang w:val="en-GB"/>
              </w:rPr>
            </w:pPr>
            <w:r w:rsidRPr="00057ED8">
              <w:rPr>
                <w:szCs w:val="17"/>
                <w:lang w:val="en-GB"/>
              </w:rPr>
              <w:t>As</w:t>
            </w:r>
            <w:r w:rsidR="00994CA4" w:rsidRPr="00057ED8">
              <w:rPr>
                <w:szCs w:val="17"/>
                <w:lang w:val="en-GB"/>
              </w:rPr>
              <w:t xml:space="preserve"> the ISSB standards are </w:t>
            </w:r>
            <w:r w:rsidR="007A3CD1">
              <w:rPr>
                <w:szCs w:val="17"/>
                <w:lang w:val="en-GB"/>
              </w:rPr>
              <w:t xml:space="preserve">intended </w:t>
            </w:r>
            <w:r w:rsidR="00994CA4" w:rsidRPr="00057ED8">
              <w:rPr>
                <w:szCs w:val="17"/>
                <w:lang w:val="en-GB"/>
              </w:rPr>
              <w:t xml:space="preserve">to form the “baseline” for sustainability reporting, it is essential that the ISSB </w:t>
            </w:r>
            <w:r w:rsidRPr="00057ED8">
              <w:rPr>
                <w:szCs w:val="17"/>
                <w:lang w:val="en-GB"/>
              </w:rPr>
              <w:t>works</w:t>
            </w:r>
            <w:r w:rsidR="00B613BC">
              <w:rPr>
                <w:szCs w:val="17"/>
                <w:lang w:val="en-GB"/>
              </w:rPr>
              <w:t xml:space="preserve"> closely</w:t>
            </w:r>
            <w:r w:rsidRPr="00057ED8">
              <w:rPr>
                <w:szCs w:val="17"/>
                <w:lang w:val="en-GB"/>
              </w:rPr>
              <w:t xml:space="preserve"> with</w:t>
            </w:r>
            <w:r w:rsidR="00875985" w:rsidRPr="00057ED8">
              <w:rPr>
                <w:szCs w:val="17"/>
                <w:lang w:val="en-GB"/>
              </w:rPr>
              <w:t xml:space="preserve"> EFRAG to ensure that the materiality concepts are fully compatible</w:t>
            </w:r>
            <w:r w:rsidR="00245747" w:rsidRPr="00057ED8">
              <w:rPr>
                <w:szCs w:val="17"/>
                <w:lang w:val="en-GB"/>
              </w:rPr>
              <w:t xml:space="preserve"> and </w:t>
            </w:r>
            <w:r w:rsidR="00875985" w:rsidRPr="00057ED8">
              <w:rPr>
                <w:szCs w:val="17"/>
                <w:lang w:val="en-GB"/>
              </w:rPr>
              <w:t xml:space="preserve">interoperable, </w:t>
            </w:r>
            <w:r w:rsidR="0084659C">
              <w:rPr>
                <w:szCs w:val="17"/>
                <w:lang w:val="en-GB"/>
              </w:rPr>
              <w:t xml:space="preserve">and to provide </w:t>
            </w:r>
            <w:r w:rsidR="00B613BC">
              <w:rPr>
                <w:szCs w:val="17"/>
                <w:lang w:val="en-GB"/>
              </w:rPr>
              <w:t>guidance as to</w:t>
            </w:r>
            <w:r w:rsidR="00305634">
              <w:rPr>
                <w:szCs w:val="17"/>
                <w:lang w:val="en-GB"/>
              </w:rPr>
              <w:t xml:space="preserve"> potential difference</w:t>
            </w:r>
            <w:r w:rsidR="00D84035">
              <w:rPr>
                <w:szCs w:val="17"/>
                <w:lang w:val="en-GB"/>
              </w:rPr>
              <w:t>s</w:t>
            </w:r>
            <w:r w:rsidR="00305634">
              <w:rPr>
                <w:szCs w:val="17"/>
                <w:lang w:val="en-GB"/>
              </w:rPr>
              <w:t xml:space="preserve"> </w:t>
            </w:r>
            <w:r w:rsidR="00420ADC">
              <w:rPr>
                <w:szCs w:val="17"/>
                <w:lang w:val="en-GB"/>
              </w:rPr>
              <w:t xml:space="preserve">in </w:t>
            </w:r>
            <w:r w:rsidR="00305634">
              <w:rPr>
                <w:szCs w:val="17"/>
                <w:lang w:val="en-GB"/>
              </w:rPr>
              <w:t>materiality concepts</w:t>
            </w:r>
            <w:r w:rsidR="00875985" w:rsidRPr="00057ED8">
              <w:rPr>
                <w:szCs w:val="17"/>
                <w:lang w:val="en-GB"/>
              </w:rPr>
              <w:t xml:space="preserve">. </w:t>
            </w:r>
            <w:r w:rsidR="00505806" w:rsidRPr="00057ED8">
              <w:rPr>
                <w:szCs w:val="17"/>
                <w:lang w:val="en-GB"/>
              </w:rPr>
              <w:t xml:space="preserve">At </w:t>
            </w:r>
            <w:r w:rsidR="00AE49AE">
              <w:rPr>
                <w:szCs w:val="17"/>
                <w:lang w:val="en-GB"/>
              </w:rPr>
              <w:t xml:space="preserve">a </w:t>
            </w:r>
            <w:r w:rsidR="00505806" w:rsidRPr="00057ED8">
              <w:rPr>
                <w:szCs w:val="17"/>
                <w:lang w:val="en-GB"/>
              </w:rPr>
              <w:t xml:space="preserve">minimum, the </w:t>
            </w:r>
            <w:r w:rsidR="00C70C1A" w:rsidRPr="00057ED8">
              <w:rPr>
                <w:szCs w:val="17"/>
                <w:lang w:val="en-GB"/>
              </w:rPr>
              <w:t>concept</w:t>
            </w:r>
            <w:r w:rsidR="00361B0C" w:rsidRPr="00057ED8">
              <w:rPr>
                <w:szCs w:val="17"/>
                <w:lang w:val="en-GB"/>
              </w:rPr>
              <w:t>s</w:t>
            </w:r>
            <w:r w:rsidR="00C70C1A" w:rsidRPr="00057ED8">
              <w:rPr>
                <w:szCs w:val="17"/>
                <w:lang w:val="en-GB"/>
              </w:rPr>
              <w:t xml:space="preserve"> </w:t>
            </w:r>
            <w:r w:rsidR="00505806" w:rsidRPr="00057ED8">
              <w:rPr>
                <w:szCs w:val="17"/>
                <w:lang w:val="en-GB"/>
              </w:rPr>
              <w:t>of financial materiality with regard</w:t>
            </w:r>
            <w:r w:rsidR="003B4D65">
              <w:rPr>
                <w:szCs w:val="17"/>
                <w:lang w:val="en-GB"/>
              </w:rPr>
              <w:t xml:space="preserve"> to the</w:t>
            </w:r>
            <w:r w:rsidR="00505806" w:rsidRPr="00057ED8">
              <w:rPr>
                <w:szCs w:val="17"/>
                <w:lang w:val="en-GB"/>
              </w:rPr>
              <w:t xml:space="preserve"> sustainability information </w:t>
            </w:r>
            <w:r w:rsidR="00EE0EEB" w:rsidRPr="00057ED8">
              <w:rPr>
                <w:szCs w:val="17"/>
                <w:lang w:val="en-GB"/>
              </w:rPr>
              <w:t xml:space="preserve">provided in the </w:t>
            </w:r>
            <w:r w:rsidR="00361B0C" w:rsidRPr="00057ED8">
              <w:rPr>
                <w:szCs w:val="17"/>
                <w:lang w:val="en-GB"/>
              </w:rPr>
              <w:t xml:space="preserve">ISSB and EFRAG </w:t>
            </w:r>
            <w:r w:rsidR="009E4514">
              <w:rPr>
                <w:szCs w:val="17"/>
                <w:lang w:val="en-GB"/>
              </w:rPr>
              <w:t>E</w:t>
            </w:r>
            <w:r w:rsidR="00EE0EEB" w:rsidRPr="00057ED8">
              <w:rPr>
                <w:szCs w:val="17"/>
                <w:lang w:val="en-GB"/>
              </w:rPr>
              <w:t xml:space="preserve">xposure </w:t>
            </w:r>
            <w:r w:rsidR="009E4514">
              <w:rPr>
                <w:szCs w:val="17"/>
                <w:lang w:val="en-GB"/>
              </w:rPr>
              <w:t>D</w:t>
            </w:r>
            <w:r w:rsidR="00EE0EEB" w:rsidRPr="00057ED8">
              <w:rPr>
                <w:szCs w:val="17"/>
                <w:lang w:val="en-GB"/>
              </w:rPr>
              <w:t xml:space="preserve">rafts should be </w:t>
            </w:r>
            <w:r w:rsidR="00C476E4" w:rsidRPr="00057ED8">
              <w:rPr>
                <w:szCs w:val="17"/>
                <w:lang w:val="en-GB"/>
              </w:rPr>
              <w:t xml:space="preserve">fully </w:t>
            </w:r>
            <w:r w:rsidR="00EE0EEB" w:rsidRPr="00057ED8">
              <w:rPr>
                <w:szCs w:val="17"/>
                <w:lang w:val="en-GB"/>
              </w:rPr>
              <w:t>aligned.</w:t>
            </w:r>
            <w:r w:rsidR="00AA7A34">
              <w:rPr>
                <w:szCs w:val="17"/>
                <w:lang w:val="en-GB"/>
              </w:rPr>
              <w:t xml:space="preserve"> </w:t>
            </w:r>
            <w:r w:rsidR="00311F9A">
              <w:rPr>
                <w:szCs w:val="17"/>
                <w:lang w:val="en-GB"/>
              </w:rPr>
              <w:t>Insurance Europ</w:t>
            </w:r>
            <w:r w:rsidR="00AA7A34">
              <w:rPr>
                <w:szCs w:val="17"/>
                <w:lang w:val="en-GB"/>
              </w:rPr>
              <w:t xml:space="preserve">e would </w:t>
            </w:r>
            <w:r w:rsidR="00610F0E">
              <w:rPr>
                <w:szCs w:val="17"/>
                <w:lang w:val="en-GB"/>
              </w:rPr>
              <w:t xml:space="preserve">strongly </w:t>
            </w:r>
            <w:r w:rsidR="00AA7A34">
              <w:rPr>
                <w:szCs w:val="17"/>
                <w:lang w:val="en-GB"/>
              </w:rPr>
              <w:t>welcome joint efforts by the ISSB and EFRAG in th</w:t>
            </w:r>
            <w:r w:rsidR="00575D25">
              <w:rPr>
                <w:szCs w:val="17"/>
                <w:lang w:val="en-GB"/>
              </w:rPr>
              <w:t>is regard</w:t>
            </w:r>
            <w:r w:rsidR="00AA7A34">
              <w:rPr>
                <w:szCs w:val="17"/>
                <w:lang w:val="en-GB"/>
              </w:rPr>
              <w:t>.</w:t>
            </w:r>
          </w:p>
          <w:p w14:paraId="55C63755" w14:textId="77777777" w:rsidR="00C42659" w:rsidRPr="00057ED8" w:rsidRDefault="00C42659" w:rsidP="00C42659">
            <w:pPr>
              <w:ind w:left="360"/>
              <w:rPr>
                <w:szCs w:val="17"/>
              </w:rPr>
            </w:pPr>
          </w:p>
          <w:p w14:paraId="3009B1AA" w14:textId="77777777" w:rsidR="003E4C2D" w:rsidRPr="00057ED8" w:rsidRDefault="007B09D7" w:rsidP="00812D6D">
            <w:pPr>
              <w:pStyle w:val="Odsekzoznamu"/>
              <w:numPr>
                <w:ilvl w:val="0"/>
                <w:numId w:val="30"/>
              </w:numPr>
              <w:rPr>
                <w:szCs w:val="17"/>
                <w:lang w:val="en-GB"/>
              </w:rPr>
            </w:pPr>
            <w:r w:rsidRPr="00057ED8">
              <w:rPr>
                <w:szCs w:val="17"/>
                <w:highlight w:val="cyan"/>
                <w:lang w:val="en-GB"/>
              </w:rPr>
              <w:t>Broadly agree</w:t>
            </w:r>
            <w:r w:rsidRPr="00057ED8">
              <w:rPr>
                <w:szCs w:val="17"/>
                <w:lang w:val="en-GB"/>
              </w:rPr>
              <w:t xml:space="preserve"> / broadly disagree / other</w:t>
            </w:r>
          </w:p>
          <w:p w14:paraId="7A46E5EC" w14:textId="137E1203" w:rsidR="003E4C2D" w:rsidRPr="00057ED8" w:rsidRDefault="005B59B8" w:rsidP="00650D92">
            <w:pPr>
              <w:pStyle w:val="Odsekzoznamu"/>
              <w:ind w:left="720" w:firstLine="0"/>
              <w:rPr>
                <w:szCs w:val="17"/>
                <w:lang w:val="en-GB"/>
              </w:rPr>
            </w:pPr>
            <w:r w:rsidRPr="00057ED8">
              <w:rPr>
                <w:szCs w:val="17"/>
                <w:lang w:val="en-GB"/>
              </w:rPr>
              <w:t xml:space="preserve">Yes, </w:t>
            </w:r>
            <w:r w:rsidR="00DC26E5">
              <w:rPr>
                <w:szCs w:val="17"/>
                <w:lang w:val="en-GB"/>
              </w:rPr>
              <w:t>Insurance Europ</w:t>
            </w:r>
            <w:r w:rsidRPr="00057ED8">
              <w:rPr>
                <w:szCs w:val="17"/>
                <w:lang w:val="en-GB"/>
              </w:rPr>
              <w:t>e</w:t>
            </w:r>
            <w:r w:rsidR="00113A5E" w:rsidRPr="00057ED8">
              <w:rPr>
                <w:szCs w:val="17"/>
                <w:lang w:val="en-GB"/>
              </w:rPr>
              <w:t xml:space="preserve"> broadly</w:t>
            </w:r>
            <w:r w:rsidRPr="00057ED8">
              <w:rPr>
                <w:szCs w:val="17"/>
                <w:lang w:val="en-GB"/>
              </w:rPr>
              <w:t xml:space="preserve"> agree</w:t>
            </w:r>
            <w:r w:rsidR="00DC26E5">
              <w:rPr>
                <w:szCs w:val="17"/>
                <w:lang w:val="en-GB"/>
              </w:rPr>
              <w:t>s</w:t>
            </w:r>
            <w:r w:rsidRPr="00057ED8">
              <w:rPr>
                <w:szCs w:val="17"/>
                <w:lang w:val="en-GB"/>
              </w:rPr>
              <w:t xml:space="preserve">. However, </w:t>
            </w:r>
            <w:r w:rsidR="000C62A9" w:rsidRPr="00057ED8">
              <w:rPr>
                <w:szCs w:val="17"/>
                <w:lang w:val="en-GB"/>
              </w:rPr>
              <w:t>the</w:t>
            </w:r>
            <w:r w:rsidRPr="00057ED8">
              <w:rPr>
                <w:szCs w:val="17"/>
                <w:lang w:val="en-GB"/>
              </w:rPr>
              <w:t xml:space="preserve"> two terms </w:t>
            </w:r>
            <w:r w:rsidR="00DC26E5">
              <w:rPr>
                <w:szCs w:val="17"/>
                <w:lang w:val="en-GB"/>
              </w:rPr>
              <w:t>“</w:t>
            </w:r>
            <w:r w:rsidRPr="00057ED8">
              <w:rPr>
                <w:szCs w:val="17"/>
                <w:lang w:val="en-GB"/>
              </w:rPr>
              <w:t>primary users</w:t>
            </w:r>
            <w:r w:rsidR="00DC26E5">
              <w:rPr>
                <w:szCs w:val="17"/>
                <w:lang w:val="en-GB"/>
              </w:rPr>
              <w:t>”</w:t>
            </w:r>
            <w:r w:rsidRPr="00057ED8">
              <w:rPr>
                <w:szCs w:val="17"/>
                <w:lang w:val="en-GB"/>
              </w:rPr>
              <w:t xml:space="preserve"> and </w:t>
            </w:r>
            <w:r w:rsidR="00DC26E5">
              <w:rPr>
                <w:szCs w:val="17"/>
                <w:lang w:val="en-GB"/>
              </w:rPr>
              <w:t>“</w:t>
            </w:r>
            <w:r w:rsidRPr="00057ED8">
              <w:rPr>
                <w:szCs w:val="17"/>
                <w:lang w:val="en-GB"/>
              </w:rPr>
              <w:t>users</w:t>
            </w:r>
            <w:r w:rsidR="00DC26E5">
              <w:rPr>
                <w:szCs w:val="17"/>
                <w:lang w:val="en-GB"/>
              </w:rPr>
              <w:t>”</w:t>
            </w:r>
            <w:r w:rsidRPr="00057ED8">
              <w:rPr>
                <w:szCs w:val="17"/>
                <w:lang w:val="en-GB"/>
              </w:rPr>
              <w:t xml:space="preserve"> </w:t>
            </w:r>
            <w:r w:rsidR="0048700C" w:rsidRPr="00057ED8">
              <w:rPr>
                <w:szCs w:val="17"/>
                <w:lang w:val="en-GB"/>
              </w:rPr>
              <w:t xml:space="preserve">are </w:t>
            </w:r>
            <w:r w:rsidRPr="00057ED8">
              <w:rPr>
                <w:szCs w:val="17"/>
                <w:lang w:val="en-GB"/>
              </w:rPr>
              <w:t>being used interchangeably, with the same meaning. For clarity</w:t>
            </w:r>
            <w:r w:rsidR="00113A5E" w:rsidRPr="00057ED8">
              <w:rPr>
                <w:szCs w:val="17"/>
                <w:lang w:val="en-GB"/>
              </w:rPr>
              <w:t>,</w:t>
            </w:r>
            <w:r w:rsidRPr="00057ED8">
              <w:rPr>
                <w:szCs w:val="17"/>
                <w:lang w:val="en-GB"/>
              </w:rPr>
              <w:t xml:space="preserve"> only one term should be used.</w:t>
            </w:r>
          </w:p>
          <w:p w14:paraId="3C2E752D" w14:textId="77777777" w:rsidR="003E4C2D" w:rsidRPr="00057ED8" w:rsidRDefault="003E4C2D" w:rsidP="003E4C2D">
            <w:pPr>
              <w:rPr>
                <w:sz w:val="17"/>
                <w:szCs w:val="17"/>
              </w:rPr>
            </w:pPr>
          </w:p>
          <w:p w14:paraId="67C1BC74" w14:textId="77777777" w:rsidR="007B09D7" w:rsidRPr="00057ED8" w:rsidRDefault="007B09D7" w:rsidP="00812D6D">
            <w:pPr>
              <w:pStyle w:val="Odsekzoznamu"/>
              <w:numPr>
                <w:ilvl w:val="0"/>
                <w:numId w:val="30"/>
              </w:numPr>
              <w:rPr>
                <w:szCs w:val="17"/>
                <w:lang w:val="en-GB"/>
              </w:rPr>
            </w:pPr>
            <w:r w:rsidRPr="00057ED8">
              <w:rPr>
                <w:szCs w:val="17"/>
                <w:highlight w:val="cyan"/>
                <w:lang w:val="en-GB"/>
              </w:rPr>
              <w:t>Broadly agree</w:t>
            </w:r>
            <w:r w:rsidRPr="00057ED8">
              <w:rPr>
                <w:szCs w:val="17"/>
                <w:lang w:val="en-GB"/>
              </w:rPr>
              <w:t xml:space="preserve"> / broadly disagree / other</w:t>
            </w:r>
          </w:p>
          <w:p w14:paraId="65C0EBE2" w14:textId="32AB12A6" w:rsidR="005B59B8" w:rsidRPr="00057ED8" w:rsidRDefault="005B59B8" w:rsidP="005B59B8">
            <w:pPr>
              <w:pStyle w:val="Odsekzoznamu"/>
              <w:ind w:left="720" w:firstLine="0"/>
              <w:rPr>
                <w:szCs w:val="17"/>
                <w:lang w:val="en-GB"/>
              </w:rPr>
            </w:pPr>
            <w:r w:rsidRPr="00057ED8">
              <w:rPr>
                <w:szCs w:val="17"/>
                <w:lang w:val="en-GB"/>
              </w:rPr>
              <w:t xml:space="preserve">Yes, </w:t>
            </w:r>
            <w:r w:rsidR="006A22A5">
              <w:rPr>
                <w:szCs w:val="17"/>
                <w:lang w:val="en-GB"/>
              </w:rPr>
              <w:t>Insurance Europ</w:t>
            </w:r>
            <w:r w:rsidRPr="00057ED8">
              <w:rPr>
                <w:szCs w:val="17"/>
                <w:lang w:val="en-GB"/>
              </w:rPr>
              <w:t xml:space="preserve">e </w:t>
            </w:r>
            <w:r w:rsidR="00113A5E" w:rsidRPr="00057ED8">
              <w:rPr>
                <w:szCs w:val="17"/>
                <w:lang w:val="en-GB"/>
              </w:rPr>
              <w:t xml:space="preserve">broadly </w:t>
            </w:r>
            <w:r w:rsidRPr="00057ED8">
              <w:rPr>
                <w:szCs w:val="17"/>
                <w:lang w:val="en-GB"/>
              </w:rPr>
              <w:t>agree</w:t>
            </w:r>
            <w:r w:rsidR="006A22A5">
              <w:rPr>
                <w:szCs w:val="17"/>
                <w:lang w:val="en-GB"/>
              </w:rPr>
              <w:t>s</w:t>
            </w:r>
            <w:r w:rsidRPr="00057ED8">
              <w:rPr>
                <w:szCs w:val="17"/>
                <w:lang w:val="en-GB"/>
              </w:rPr>
              <w:t xml:space="preserve"> that it is sufficiently clear how the proposed requirements in the Exposure Draft would be applied together with other IFRS S</w:t>
            </w:r>
            <w:r w:rsidR="00247E56">
              <w:rPr>
                <w:szCs w:val="17"/>
                <w:lang w:val="en-GB"/>
              </w:rPr>
              <w:t>DS</w:t>
            </w:r>
            <w:r w:rsidRPr="00057ED8">
              <w:rPr>
                <w:szCs w:val="17"/>
                <w:lang w:val="en-GB"/>
              </w:rPr>
              <w:t xml:space="preserve">, </w:t>
            </w:r>
            <w:r w:rsidRPr="00057ED8">
              <w:rPr>
                <w:szCs w:val="17"/>
                <w:lang w:val="en-GB"/>
              </w:rPr>
              <w:lastRenderedPageBreak/>
              <w:t>including the [draft] IFRS S2 Climate-related Disclosures.</w:t>
            </w:r>
          </w:p>
          <w:p w14:paraId="26A58D28" w14:textId="0142E4C1" w:rsidR="009031AB" w:rsidRPr="00057ED8" w:rsidRDefault="009031AB" w:rsidP="009031AB">
            <w:pPr>
              <w:pStyle w:val="Odsekzoznamu"/>
              <w:ind w:left="720" w:firstLine="0"/>
              <w:rPr>
                <w:szCs w:val="17"/>
                <w:lang w:val="en-GB"/>
              </w:rPr>
            </w:pPr>
            <w:r w:rsidRPr="00057ED8">
              <w:rPr>
                <w:szCs w:val="17"/>
                <w:lang w:val="en-GB"/>
              </w:rPr>
              <w:t xml:space="preserve">Nonetheless, clarification within the first section “objective” might make the interdependencies and connection to other IFRS </w:t>
            </w:r>
            <w:r w:rsidR="009C7A7E">
              <w:rPr>
                <w:szCs w:val="17"/>
                <w:lang w:val="en-GB"/>
              </w:rPr>
              <w:t>SDS</w:t>
            </w:r>
            <w:r w:rsidRPr="00057ED8">
              <w:rPr>
                <w:szCs w:val="17"/>
                <w:lang w:val="en-GB"/>
              </w:rPr>
              <w:t xml:space="preserve">, including the IFRS S2 Climate-related Disclosures, </w:t>
            </w:r>
            <w:r w:rsidR="00026478" w:rsidRPr="00057ED8">
              <w:rPr>
                <w:szCs w:val="17"/>
                <w:lang w:val="en-GB"/>
              </w:rPr>
              <w:t>clearer</w:t>
            </w:r>
            <w:r w:rsidRPr="00057ED8">
              <w:rPr>
                <w:szCs w:val="17"/>
                <w:lang w:val="en-GB"/>
              </w:rPr>
              <w:t xml:space="preserve">. The following could be added </w:t>
            </w:r>
            <w:r w:rsidR="0066386E">
              <w:rPr>
                <w:szCs w:val="17"/>
                <w:lang w:val="en-GB"/>
              </w:rPr>
              <w:t>to</w:t>
            </w:r>
            <w:r w:rsidRPr="00057ED8">
              <w:rPr>
                <w:szCs w:val="17"/>
                <w:lang w:val="en-GB"/>
              </w:rPr>
              <w:t xml:space="preserve"> IFRS S1: </w:t>
            </w:r>
            <w:r w:rsidRPr="00057ED8">
              <w:rPr>
                <w:i/>
                <w:iCs/>
                <w:szCs w:val="17"/>
                <w:lang w:val="en-GB"/>
              </w:rPr>
              <w:t>IFRS S1 General Requirements for Disclosure of Sustainability-related Financial Information applies to the disclosure of sustainability-related financial information, unless another IFRS Sustainability Disclosure Standard specifies the type of information an entity is required to disclose.</w:t>
            </w:r>
            <w:r w:rsidR="002F50D8">
              <w:rPr>
                <w:i/>
                <w:iCs/>
                <w:szCs w:val="17"/>
                <w:lang w:val="en-GB"/>
              </w:rPr>
              <w:t xml:space="preserve"> Besides this, it specifies general principles </w:t>
            </w:r>
            <w:r w:rsidR="00DF5E10">
              <w:rPr>
                <w:i/>
                <w:iCs/>
                <w:szCs w:val="17"/>
                <w:lang w:val="en-GB"/>
              </w:rPr>
              <w:t xml:space="preserve">that </w:t>
            </w:r>
            <w:r w:rsidR="002F50D8">
              <w:rPr>
                <w:i/>
                <w:iCs/>
                <w:szCs w:val="17"/>
                <w:lang w:val="en-GB"/>
              </w:rPr>
              <w:t>apply to all topic-specific Sustainability Disclosure Standards.</w:t>
            </w:r>
          </w:p>
          <w:p w14:paraId="5ABFF9DC" w14:textId="33A41EF8" w:rsidR="009031AB" w:rsidRPr="00057ED8" w:rsidRDefault="009031AB" w:rsidP="005B59B8">
            <w:pPr>
              <w:pStyle w:val="Odsekzoznamu"/>
              <w:ind w:left="720" w:firstLine="0"/>
              <w:rPr>
                <w:szCs w:val="17"/>
                <w:lang w:val="en-GB"/>
              </w:rPr>
            </w:pPr>
          </w:p>
          <w:p w14:paraId="63EC0520" w14:textId="35262D7F" w:rsidR="005B59B8" w:rsidRPr="00057ED8" w:rsidRDefault="005B59B8" w:rsidP="003E4C2D">
            <w:pPr>
              <w:rPr>
                <w:sz w:val="17"/>
                <w:szCs w:val="17"/>
              </w:rPr>
            </w:pPr>
          </w:p>
          <w:p w14:paraId="0E68A101" w14:textId="3022156C" w:rsidR="007B09D7" w:rsidRPr="00057ED8" w:rsidRDefault="007B09D7" w:rsidP="00812D6D">
            <w:pPr>
              <w:pStyle w:val="Odsekzoznamu"/>
              <w:numPr>
                <w:ilvl w:val="0"/>
                <w:numId w:val="30"/>
              </w:numPr>
              <w:rPr>
                <w:szCs w:val="17"/>
                <w:lang w:val="en-GB"/>
              </w:rPr>
            </w:pPr>
            <w:r w:rsidRPr="00057ED8">
              <w:rPr>
                <w:szCs w:val="17"/>
                <w:lang w:val="en-GB"/>
              </w:rPr>
              <w:t xml:space="preserve">Broadly agree / broadly disagree / </w:t>
            </w:r>
            <w:r w:rsidRPr="00057ED8">
              <w:rPr>
                <w:szCs w:val="17"/>
                <w:highlight w:val="cyan"/>
                <w:lang w:val="en-GB"/>
              </w:rPr>
              <w:t>other</w:t>
            </w:r>
          </w:p>
          <w:p w14:paraId="67FD7854" w14:textId="41F73E4B" w:rsidR="005D77F4" w:rsidRDefault="003E4C2D" w:rsidP="003E4C2D">
            <w:pPr>
              <w:pStyle w:val="Odsekzoznamu"/>
              <w:ind w:left="720" w:firstLine="0"/>
              <w:rPr>
                <w:szCs w:val="17"/>
                <w:lang w:val="en-GB"/>
              </w:rPr>
            </w:pPr>
            <w:r w:rsidRPr="00057ED8">
              <w:rPr>
                <w:szCs w:val="17"/>
                <w:lang w:val="en-GB"/>
              </w:rPr>
              <w:t xml:space="preserve">At this stage, it is not easy to judge whether the requirements proposed in the Exposure Draft would provide a suitable basis for auditors and regulators to determine whether an entity has complied with the proposals. Overall, the approach and structure seem well suited to achieve this objective. </w:t>
            </w:r>
            <w:r w:rsidR="0044000C">
              <w:rPr>
                <w:szCs w:val="17"/>
                <w:lang w:val="en-GB"/>
              </w:rPr>
              <w:t>I</w:t>
            </w:r>
            <w:r w:rsidRPr="00057ED8">
              <w:rPr>
                <w:szCs w:val="17"/>
                <w:lang w:val="en-GB"/>
              </w:rPr>
              <w:t>t will become easier as the Topical Standards are added as this will increase standardi</w:t>
            </w:r>
            <w:r w:rsidR="00D60BB0" w:rsidRPr="00057ED8">
              <w:rPr>
                <w:szCs w:val="17"/>
                <w:lang w:val="en-GB"/>
              </w:rPr>
              <w:t>s</w:t>
            </w:r>
            <w:r w:rsidRPr="00057ED8">
              <w:rPr>
                <w:szCs w:val="17"/>
                <w:lang w:val="en-GB"/>
              </w:rPr>
              <w:t xml:space="preserve">ation and comparability and reduce the burden on (and risk for) companies to go through all the different sources to check what additional disclosure topics may need to be covered and how, as well as for auditors and regulators to verify whether this has been done appropriately (which </w:t>
            </w:r>
            <w:r w:rsidR="009E059C">
              <w:rPr>
                <w:szCs w:val="17"/>
                <w:lang w:val="en-GB"/>
              </w:rPr>
              <w:t>is</w:t>
            </w:r>
            <w:r w:rsidR="009E059C" w:rsidRPr="00057ED8">
              <w:rPr>
                <w:szCs w:val="17"/>
                <w:lang w:val="en-GB"/>
              </w:rPr>
              <w:t xml:space="preserve"> </w:t>
            </w:r>
            <w:r w:rsidRPr="00057ED8">
              <w:rPr>
                <w:szCs w:val="17"/>
                <w:lang w:val="en-GB"/>
              </w:rPr>
              <w:t xml:space="preserve">likely </w:t>
            </w:r>
            <w:r w:rsidR="009E059C">
              <w:rPr>
                <w:szCs w:val="17"/>
                <w:lang w:val="en-GB"/>
              </w:rPr>
              <w:t xml:space="preserve">to </w:t>
            </w:r>
            <w:r w:rsidRPr="00057ED8">
              <w:rPr>
                <w:szCs w:val="17"/>
                <w:lang w:val="en-GB"/>
              </w:rPr>
              <w:t xml:space="preserve">be challenging and time-consuming as the assessment, including </w:t>
            </w:r>
            <w:r w:rsidR="003D1E8F">
              <w:rPr>
                <w:szCs w:val="17"/>
                <w:lang w:val="en-GB"/>
              </w:rPr>
              <w:t>that for</w:t>
            </w:r>
            <w:r w:rsidRPr="00057ED8">
              <w:rPr>
                <w:szCs w:val="17"/>
                <w:lang w:val="en-GB"/>
              </w:rPr>
              <w:t xml:space="preserve"> materiality and qualitative information characteristics, will be entity- and context-specific). </w:t>
            </w:r>
          </w:p>
          <w:p w14:paraId="78C297DC" w14:textId="36F0CC8E" w:rsidR="003E4C2D" w:rsidRPr="00057ED8" w:rsidRDefault="003E4C2D" w:rsidP="003E4C2D">
            <w:pPr>
              <w:pStyle w:val="Odsekzoznamu"/>
              <w:ind w:left="720" w:firstLine="0"/>
              <w:rPr>
                <w:szCs w:val="17"/>
                <w:lang w:val="en-GB"/>
              </w:rPr>
            </w:pPr>
            <w:r w:rsidRPr="00057ED8">
              <w:rPr>
                <w:szCs w:val="17"/>
                <w:lang w:val="en-GB"/>
              </w:rPr>
              <w:t xml:space="preserve">In </w:t>
            </w:r>
            <w:r w:rsidR="00FC0231">
              <w:rPr>
                <w:szCs w:val="17"/>
                <w:lang w:val="en-GB"/>
              </w:rPr>
              <w:t>Insu</w:t>
            </w:r>
            <w:r w:rsidR="00D86DFF">
              <w:rPr>
                <w:szCs w:val="17"/>
                <w:lang w:val="en-GB"/>
              </w:rPr>
              <w:t>rance Europe’s</w:t>
            </w:r>
            <w:r w:rsidR="00FC0231" w:rsidRPr="00057ED8">
              <w:rPr>
                <w:szCs w:val="17"/>
                <w:lang w:val="en-GB"/>
              </w:rPr>
              <w:t xml:space="preserve"> </w:t>
            </w:r>
            <w:r w:rsidRPr="00057ED8">
              <w:rPr>
                <w:szCs w:val="17"/>
                <w:lang w:val="en-GB"/>
              </w:rPr>
              <w:t xml:space="preserve">opinion, a best-effort principle needs to apply to companies to mitigate legal liability risks, at least during a transitional phase. </w:t>
            </w:r>
            <w:r w:rsidR="005B5167">
              <w:rPr>
                <w:szCs w:val="17"/>
                <w:lang w:val="en-GB"/>
              </w:rPr>
              <w:t xml:space="preserve">As </w:t>
            </w:r>
            <w:r w:rsidR="006C5B6B">
              <w:rPr>
                <w:szCs w:val="17"/>
                <w:lang w:val="en-GB"/>
              </w:rPr>
              <w:t>it is currently drafted,</w:t>
            </w:r>
            <w:r w:rsidRPr="00057ED8">
              <w:rPr>
                <w:szCs w:val="17"/>
                <w:lang w:val="en-GB"/>
              </w:rPr>
              <w:t xml:space="preserve"> </w:t>
            </w:r>
            <w:r w:rsidR="00D86DFF">
              <w:rPr>
                <w:szCs w:val="17"/>
                <w:lang w:val="en-GB"/>
              </w:rPr>
              <w:t>Insurance Europ</w:t>
            </w:r>
            <w:r w:rsidRPr="00057ED8">
              <w:rPr>
                <w:szCs w:val="17"/>
                <w:lang w:val="en-GB"/>
              </w:rPr>
              <w:t>e see</w:t>
            </w:r>
            <w:r w:rsidR="00D86DFF">
              <w:rPr>
                <w:szCs w:val="17"/>
                <w:lang w:val="en-GB"/>
              </w:rPr>
              <w:t>s</w:t>
            </w:r>
            <w:r w:rsidRPr="00057ED8">
              <w:rPr>
                <w:szCs w:val="17"/>
                <w:lang w:val="en-GB"/>
              </w:rPr>
              <w:t xml:space="preserve"> no particular issues and would expect the ISSB framework </w:t>
            </w:r>
            <w:r w:rsidR="00895F68">
              <w:rPr>
                <w:szCs w:val="17"/>
                <w:lang w:val="en-GB"/>
              </w:rPr>
              <w:t>to</w:t>
            </w:r>
            <w:r w:rsidR="00895F68" w:rsidRPr="00057ED8">
              <w:rPr>
                <w:szCs w:val="17"/>
                <w:lang w:val="en-GB"/>
              </w:rPr>
              <w:t xml:space="preserve"> </w:t>
            </w:r>
            <w:r w:rsidRPr="00057ED8">
              <w:rPr>
                <w:szCs w:val="17"/>
                <w:lang w:val="en-GB"/>
              </w:rPr>
              <w:t xml:space="preserve">be as </w:t>
            </w:r>
            <w:r w:rsidR="00895F68">
              <w:rPr>
                <w:szCs w:val="17"/>
                <w:lang w:val="en-GB"/>
              </w:rPr>
              <w:t>suitable</w:t>
            </w:r>
            <w:r w:rsidRPr="00057ED8">
              <w:rPr>
                <w:szCs w:val="17"/>
                <w:lang w:val="en-GB"/>
              </w:rPr>
              <w:t xml:space="preserve"> as the IFRS framework</w:t>
            </w:r>
            <w:r w:rsidR="00FE2124" w:rsidRPr="00057ED8">
              <w:rPr>
                <w:szCs w:val="17"/>
                <w:lang w:val="en-GB"/>
              </w:rPr>
              <w:t xml:space="preserve">. </w:t>
            </w:r>
            <w:r w:rsidR="0071060A" w:rsidRPr="00057ED8">
              <w:rPr>
                <w:szCs w:val="17"/>
                <w:lang w:val="en-GB"/>
              </w:rPr>
              <w:t>However, (full) auditability and enforceability would only be possible where IFRS SDS</w:t>
            </w:r>
            <w:r w:rsidR="007D00E4">
              <w:rPr>
                <w:szCs w:val="17"/>
                <w:lang w:val="en-GB"/>
              </w:rPr>
              <w:t>s</w:t>
            </w:r>
            <w:r w:rsidR="0071060A" w:rsidRPr="00057ED8">
              <w:rPr>
                <w:szCs w:val="17"/>
                <w:lang w:val="en-GB"/>
              </w:rPr>
              <w:t xml:space="preserve"> are applied </w:t>
            </w:r>
            <w:r w:rsidR="003C2C22" w:rsidRPr="00057ED8">
              <w:rPr>
                <w:szCs w:val="17"/>
                <w:lang w:val="en-GB"/>
              </w:rPr>
              <w:t>because</w:t>
            </w:r>
            <w:r w:rsidR="0071060A" w:rsidRPr="00057ED8">
              <w:rPr>
                <w:szCs w:val="17"/>
                <w:lang w:val="en-GB"/>
              </w:rPr>
              <w:t xml:space="preserve"> this is not (fully) possible for the requirement </w:t>
            </w:r>
            <w:r w:rsidR="003C2C22" w:rsidRPr="00057ED8">
              <w:rPr>
                <w:szCs w:val="17"/>
                <w:lang w:val="en-GB"/>
              </w:rPr>
              <w:t xml:space="preserve">on </w:t>
            </w:r>
            <w:r w:rsidR="0071060A" w:rsidRPr="00057ED8">
              <w:rPr>
                <w:szCs w:val="17"/>
                <w:lang w:val="en-GB"/>
              </w:rPr>
              <w:t>further sources that preparers take into account beyond the IFRS SDS.</w:t>
            </w:r>
          </w:p>
          <w:p w14:paraId="745A09B1" w14:textId="77777777" w:rsidR="00424786" w:rsidRPr="00057ED8" w:rsidRDefault="00424786" w:rsidP="00F768D9">
            <w:pPr>
              <w:rPr>
                <w:sz w:val="17"/>
                <w:szCs w:val="17"/>
              </w:rPr>
            </w:pPr>
          </w:p>
        </w:tc>
      </w:tr>
    </w:tbl>
    <w:p w14:paraId="0D220632" w14:textId="77777777" w:rsidR="002D5B55" w:rsidRPr="00057ED8" w:rsidRDefault="002D5B55" w:rsidP="00F768D9">
      <w:pPr>
        <w:rPr>
          <w:sz w:val="17"/>
          <w:szCs w:val="17"/>
        </w:rPr>
      </w:pPr>
    </w:p>
    <w:p w14:paraId="573C88A9" w14:textId="77777777" w:rsidR="002D5B55" w:rsidRPr="00057ED8" w:rsidRDefault="002D5B55" w:rsidP="00F768D9">
      <w:pPr>
        <w:rPr>
          <w:sz w:val="17"/>
          <w:szCs w:val="17"/>
        </w:rPr>
      </w:pPr>
    </w:p>
    <w:p w14:paraId="10762513" w14:textId="77777777" w:rsidR="003E527A" w:rsidRPr="00057ED8" w:rsidRDefault="003E527A" w:rsidP="00F768D9">
      <w:pPr>
        <w:rPr>
          <w:b/>
          <w:bCs/>
          <w:sz w:val="17"/>
          <w:szCs w:val="17"/>
        </w:rPr>
      </w:pPr>
      <w:r w:rsidRPr="00057ED8">
        <w:rPr>
          <w:b/>
          <w:bCs/>
          <w:sz w:val="17"/>
          <w:szCs w:val="17"/>
        </w:rPr>
        <w:t>Question 2—Objective (paragraphs 1–7)</w:t>
      </w:r>
    </w:p>
    <w:p w14:paraId="7F670A17" w14:textId="77777777" w:rsidR="006C1DD7" w:rsidRPr="00057ED8" w:rsidRDefault="006C1DD7" w:rsidP="00F768D9">
      <w:pPr>
        <w:rPr>
          <w:sz w:val="17"/>
          <w:szCs w:val="17"/>
        </w:rPr>
      </w:pPr>
      <w:r w:rsidRPr="00057ED8">
        <w:rPr>
          <w:sz w:val="17"/>
          <w:szCs w:val="17"/>
        </w:rPr>
        <w:t>The Exposure Draft sets out proposed requirements for entities to disclose sustainability-related financial information that provides a sufficient basis for the primary users of the information to assess the implications of sustainability-related risks and opportunities on an entity’s enterprise value.</w:t>
      </w:r>
    </w:p>
    <w:p w14:paraId="25090C8C" w14:textId="77777777" w:rsidR="00F016BC" w:rsidRPr="00057ED8" w:rsidRDefault="00F016BC" w:rsidP="00F768D9">
      <w:pPr>
        <w:rPr>
          <w:sz w:val="17"/>
          <w:szCs w:val="17"/>
        </w:rPr>
      </w:pPr>
    </w:p>
    <w:p w14:paraId="2EFB008E" w14:textId="77777777" w:rsidR="006C1DD7" w:rsidRPr="00057ED8" w:rsidRDefault="006C1DD7" w:rsidP="00F768D9">
      <w:pPr>
        <w:rPr>
          <w:sz w:val="17"/>
          <w:szCs w:val="17"/>
        </w:rPr>
      </w:pPr>
      <w:r w:rsidRPr="00057ED8">
        <w:rPr>
          <w:sz w:val="17"/>
          <w:szCs w:val="17"/>
        </w:rPr>
        <w:t>Enterprise value reflects expectations of the amount, timing and uncertainty of future cash flows over the short, medium and long term and the value of those cash flows in the light of the entity’s risk profile, and its access to finance and cost of capital.</w:t>
      </w:r>
    </w:p>
    <w:p w14:paraId="004829E2" w14:textId="77777777" w:rsidR="00F016BC" w:rsidRPr="00057ED8" w:rsidRDefault="00F016BC" w:rsidP="00F768D9">
      <w:pPr>
        <w:rPr>
          <w:sz w:val="17"/>
          <w:szCs w:val="17"/>
        </w:rPr>
      </w:pPr>
    </w:p>
    <w:p w14:paraId="6E510626" w14:textId="77777777" w:rsidR="006C1DD7" w:rsidRPr="00057ED8" w:rsidRDefault="006C1DD7" w:rsidP="00F768D9">
      <w:pPr>
        <w:rPr>
          <w:sz w:val="17"/>
          <w:szCs w:val="17"/>
        </w:rPr>
      </w:pPr>
      <w:r w:rsidRPr="00057ED8">
        <w:rPr>
          <w:sz w:val="17"/>
          <w:szCs w:val="17"/>
        </w:rPr>
        <w:t>Information that is essential for assessing the enterprise value of an entity includes information in an entity’s financial statements and sustainability-related financial information.</w:t>
      </w:r>
    </w:p>
    <w:p w14:paraId="4476FEAF" w14:textId="77777777" w:rsidR="00F016BC" w:rsidRPr="00057ED8" w:rsidRDefault="00F016BC" w:rsidP="00F768D9">
      <w:pPr>
        <w:rPr>
          <w:sz w:val="17"/>
          <w:szCs w:val="17"/>
        </w:rPr>
      </w:pPr>
    </w:p>
    <w:p w14:paraId="3565D358" w14:textId="77777777" w:rsidR="006C1DD7" w:rsidRPr="00057ED8" w:rsidRDefault="006C1DD7" w:rsidP="00F768D9">
      <w:pPr>
        <w:rPr>
          <w:sz w:val="17"/>
          <w:szCs w:val="17"/>
        </w:rPr>
      </w:pPr>
      <w:r w:rsidRPr="00057ED8">
        <w:rPr>
          <w:sz w:val="17"/>
          <w:szCs w:val="17"/>
        </w:rPr>
        <w:t>Sustainability-related financial information is broader than information reported in the financial statements that influences the assessment of enterprise value by the primary users. An entity is required to disclose material information about all of the significant sustainability-related risks and opportunities to which it is exposed. Sustainability- related financial information should, therefore, include information about the entity’s governance of and strategy for addressing sustainability-related risks and opportunities and about decisions made by the entity that could result in future inflows and outflows that have not yet met the criteria for recognition in the related financial statements.</w:t>
      </w:r>
    </w:p>
    <w:p w14:paraId="6E966300" w14:textId="77777777" w:rsidR="00F016BC" w:rsidRPr="00057ED8" w:rsidRDefault="00F016BC" w:rsidP="00F768D9">
      <w:pPr>
        <w:rPr>
          <w:sz w:val="17"/>
          <w:szCs w:val="17"/>
        </w:rPr>
      </w:pPr>
    </w:p>
    <w:p w14:paraId="1E69B468" w14:textId="77777777" w:rsidR="006C1DD7" w:rsidRPr="00057ED8" w:rsidRDefault="006C1DD7" w:rsidP="00F768D9">
      <w:pPr>
        <w:rPr>
          <w:sz w:val="17"/>
          <w:szCs w:val="17"/>
        </w:rPr>
      </w:pPr>
      <w:r w:rsidRPr="00057ED8">
        <w:rPr>
          <w:sz w:val="17"/>
          <w:szCs w:val="17"/>
        </w:rPr>
        <w:t>Sustainability-related financial information also depicts the reputation, performance and prospects of the entity as a consequence of actions it has undertaken, such as its relationships with, and impacts and dependencies on, people, the planet and the economy, or about the entity’s development of knowledge-based assets.</w:t>
      </w:r>
    </w:p>
    <w:p w14:paraId="32E7B1C4" w14:textId="77777777" w:rsidR="00F016BC" w:rsidRPr="00057ED8" w:rsidRDefault="00F016BC" w:rsidP="00F768D9">
      <w:pPr>
        <w:rPr>
          <w:sz w:val="17"/>
          <w:szCs w:val="17"/>
        </w:rPr>
      </w:pPr>
    </w:p>
    <w:p w14:paraId="583AC0AA" w14:textId="77777777" w:rsidR="006C1DD7" w:rsidRPr="00057ED8" w:rsidRDefault="006C1DD7" w:rsidP="00F768D9">
      <w:pPr>
        <w:rPr>
          <w:sz w:val="17"/>
          <w:szCs w:val="17"/>
        </w:rPr>
      </w:pPr>
      <w:r w:rsidRPr="00057ED8">
        <w:rPr>
          <w:sz w:val="17"/>
          <w:szCs w:val="17"/>
        </w:rPr>
        <w:lastRenderedPageBreak/>
        <w:t>The Exposure Draft focuses on information about significant sustainability-related risks and opportunities that can reasonably be expected to have an effect on an entity’s enterprise value.</w:t>
      </w:r>
    </w:p>
    <w:p w14:paraId="6144BBC4" w14:textId="77777777" w:rsidR="00F016BC" w:rsidRPr="00057ED8" w:rsidRDefault="00F016BC" w:rsidP="00F768D9">
      <w:pPr>
        <w:rPr>
          <w:sz w:val="17"/>
          <w:szCs w:val="17"/>
        </w:rPr>
      </w:pPr>
    </w:p>
    <w:p w14:paraId="60FE0D27" w14:textId="77777777" w:rsidR="006C1DD7" w:rsidRPr="00057ED8" w:rsidRDefault="006C1DD7" w:rsidP="006945DC">
      <w:pPr>
        <w:pStyle w:val="Odsekzoznamu"/>
        <w:numPr>
          <w:ilvl w:val="0"/>
          <w:numId w:val="5"/>
        </w:numPr>
        <w:spacing w:before="0" w:line="288" w:lineRule="auto"/>
        <w:ind w:right="1066"/>
        <w:rPr>
          <w:szCs w:val="17"/>
          <w:lang w:val="en-GB"/>
        </w:rPr>
      </w:pPr>
      <w:r w:rsidRPr="00057ED8">
        <w:rPr>
          <w:szCs w:val="17"/>
          <w:lang w:val="en-GB"/>
        </w:rPr>
        <w:t>Is the proposed objective of disclosing sustainability-related financial information clear? Why or why not?</w:t>
      </w:r>
    </w:p>
    <w:p w14:paraId="691B23FF" w14:textId="77777777" w:rsidR="00F016BC" w:rsidRPr="00057ED8" w:rsidRDefault="00F016BC" w:rsidP="00F768D9">
      <w:pPr>
        <w:rPr>
          <w:sz w:val="17"/>
          <w:szCs w:val="17"/>
        </w:rPr>
      </w:pPr>
    </w:p>
    <w:p w14:paraId="0D4B7161" w14:textId="77777777" w:rsidR="006C1DD7" w:rsidRPr="00057ED8" w:rsidRDefault="006C1DD7" w:rsidP="006945DC">
      <w:pPr>
        <w:pStyle w:val="Odsekzoznamu"/>
        <w:numPr>
          <w:ilvl w:val="0"/>
          <w:numId w:val="5"/>
        </w:numPr>
        <w:spacing w:before="0" w:line="288" w:lineRule="auto"/>
        <w:ind w:right="1066"/>
        <w:rPr>
          <w:szCs w:val="17"/>
          <w:lang w:val="en-GB"/>
        </w:rPr>
      </w:pPr>
      <w:r w:rsidRPr="00057ED8">
        <w:rPr>
          <w:szCs w:val="17"/>
          <w:lang w:val="en-GB"/>
        </w:rPr>
        <w:t>Is the definition of ‘sustainability-related financial information’ clear (see Appendix A)? Why or why not? If not, do you have any suggestions for improving the definition to make it clearer?</w:t>
      </w:r>
    </w:p>
    <w:p w14:paraId="5104205C" w14:textId="77777777" w:rsidR="00152882" w:rsidRPr="00057ED8" w:rsidRDefault="00152882" w:rsidP="00F768D9">
      <w:pPr>
        <w:rPr>
          <w:sz w:val="17"/>
          <w:szCs w:val="17"/>
        </w:rPr>
      </w:pPr>
    </w:p>
    <w:tbl>
      <w:tblPr>
        <w:tblStyle w:val="Mriekatabuky"/>
        <w:tblW w:w="0" w:type="auto"/>
        <w:tblLook w:val="04A0" w:firstRow="1" w:lastRow="0" w:firstColumn="1" w:lastColumn="0" w:noHBand="0" w:noVBand="1"/>
      </w:tblPr>
      <w:tblGrid>
        <w:gridCol w:w="9521"/>
      </w:tblGrid>
      <w:tr w:rsidR="00920235" w:rsidRPr="00057ED8" w14:paraId="1D132B7D" w14:textId="77777777" w:rsidTr="00C61B54">
        <w:trPr>
          <w:trHeight w:val="1625"/>
        </w:trPr>
        <w:tc>
          <w:tcPr>
            <w:tcW w:w="9521" w:type="dxa"/>
          </w:tcPr>
          <w:p w14:paraId="11AC38BB" w14:textId="77777777" w:rsidR="007B09D7" w:rsidRPr="00057ED8" w:rsidRDefault="007B09D7" w:rsidP="00812D6D">
            <w:pPr>
              <w:pStyle w:val="Odsekzoznamu"/>
              <w:numPr>
                <w:ilvl w:val="0"/>
                <w:numId w:val="31"/>
              </w:numPr>
              <w:rPr>
                <w:szCs w:val="17"/>
                <w:lang w:val="en-GB"/>
              </w:rPr>
            </w:pPr>
            <w:r w:rsidRPr="00057ED8">
              <w:rPr>
                <w:szCs w:val="17"/>
                <w:lang w:val="en-GB"/>
              </w:rPr>
              <w:t xml:space="preserve">Broadly agree / broadly disagree / </w:t>
            </w:r>
            <w:r w:rsidRPr="00057ED8">
              <w:rPr>
                <w:szCs w:val="17"/>
                <w:highlight w:val="cyan"/>
                <w:lang w:val="en-GB"/>
              </w:rPr>
              <w:t>other</w:t>
            </w:r>
          </w:p>
          <w:p w14:paraId="08C3BC47" w14:textId="1D5BCA2D" w:rsidR="000F78C3" w:rsidRPr="00057ED8" w:rsidRDefault="000F78C3" w:rsidP="000F78C3">
            <w:pPr>
              <w:pStyle w:val="Odsekzoznamu"/>
              <w:ind w:left="720" w:firstLine="0"/>
              <w:rPr>
                <w:szCs w:val="17"/>
                <w:lang w:val="en-GB"/>
              </w:rPr>
            </w:pPr>
            <w:r w:rsidRPr="00057ED8">
              <w:rPr>
                <w:szCs w:val="17"/>
                <w:lang w:val="en-GB"/>
              </w:rPr>
              <w:t xml:space="preserve">The objective is generally clear. However, </w:t>
            </w:r>
            <w:r w:rsidR="00E11AF4">
              <w:rPr>
                <w:szCs w:val="17"/>
                <w:lang w:val="en-GB"/>
              </w:rPr>
              <w:t>“</w:t>
            </w:r>
            <w:r w:rsidRPr="00057ED8">
              <w:rPr>
                <w:szCs w:val="17"/>
                <w:lang w:val="en-GB"/>
              </w:rPr>
              <w:t xml:space="preserve">information necessary for users of </w:t>
            </w:r>
            <w:proofErr w:type="gramStart"/>
            <w:r w:rsidRPr="00057ED8">
              <w:rPr>
                <w:szCs w:val="17"/>
                <w:lang w:val="en-GB"/>
              </w:rPr>
              <w:t>general purpose</w:t>
            </w:r>
            <w:proofErr w:type="gramEnd"/>
            <w:r w:rsidRPr="00057ED8">
              <w:rPr>
                <w:szCs w:val="17"/>
                <w:lang w:val="en-GB"/>
              </w:rPr>
              <w:t xml:space="preserve"> financial reporting to assess enterprise value</w:t>
            </w:r>
            <w:r w:rsidR="00E11AF4">
              <w:rPr>
                <w:szCs w:val="17"/>
                <w:lang w:val="en-GB"/>
              </w:rPr>
              <w:t>”</w:t>
            </w:r>
            <w:r w:rsidRPr="00057ED8">
              <w:rPr>
                <w:szCs w:val="17"/>
                <w:lang w:val="en-GB"/>
              </w:rPr>
              <w:t xml:space="preserve"> may be interpreted and applied differently in terms of scope/breadth. While </w:t>
            </w:r>
            <w:r w:rsidR="00417AC4">
              <w:rPr>
                <w:szCs w:val="17"/>
                <w:lang w:val="en-GB"/>
              </w:rPr>
              <w:t>Insurance Europ</w:t>
            </w:r>
            <w:r w:rsidRPr="00057ED8">
              <w:rPr>
                <w:szCs w:val="17"/>
                <w:lang w:val="en-GB"/>
              </w:rPr>
              <w:t>e acknowledge</w:t>
            </w:r>
            <w:r w:rsidR="00417AC4">
              <w:rPr>
                <w:szCs w:val="17"/>
                <w:lang w:val="en-GB"/>
              </w:rPr>
              <w:t>s</w:t>
            </w:r>
            <w:r w:rsidRPr="00057ED8">
              <w:rPr>
                <w:szCs w:val="17"/>
                <w:lang w:val="en-GB"/>
              </w:rPr>
              <w:t xml:space="preserve"> that the ISSB intends to focus on the investor perspective and does not intend to cover the broader, multi-stakeholder-focused European materiality perspective, </w:t>
            </w:r>
            <w:r w:rsidR="007C7FF3">
              <w:rPr>
                <w:szCs w:val="17"/>
                <w:lang w:val="en-GB"/>
              </w:rPr>
              <w:t>it</w:t>
            </w:r>
            <w:r w:rsidR="007C7FF3" w:rsidRPr="00057ED8">
              <w:rPr>
                <w:szCs w:val="17"/>
                <w:lang w:val="en-GB"/>
              </w:rPr>
              <w:t xml:space="preserve"> </w:t>
            </w:r>
            <w:r w:rsidRPr="00057ED8">
              <w:rPr>
                <w:szCs w:val="17"/>
                <w:lang w:val="en-GB"/>
              </w:rPr>
              <w:t>would like to emphasi</w:t>
            </w:r>
            <w:r w:rsidR="007C7FF3">
              <w:rPr>
                <w:szCs w:val="17"/>
                <w:lang w:val="en-GB"/>
              </w:rPr>
              <w:t>s</w:t>
            </w:r>
            <w:r w:rsidRPr="00057ED8">
              <w:rPr>
                <w:szCs w:val="17"/>
                <w:lang w:val="en-GB"/>
              </w:rPr>
              <w:t xml:space="preserve">e that the two views are strongly intertwined and very difficult to disentangle; further guidance would </w:t>
            </w:r>
            <w:r w:rsidR="007A1D66">
              <w:rPr>
                <w:szCs w:val="17"/>
                <w:lang w:val="en-GB"/>
              </w:rPr>
              <w:t xml:space="preserve">be </w:t>
            </w:r>
            <w:r w:rsidRPr="00057ED8">
              <w:rPr>
                <w:szCs w:val="17"/>
                <w:lang w:val="en-GB"/>
              </w:rPr>
              <w:t xml:space="preserve">likely </w:t>
            </w:r>
            <w:r w:rsidR="007A1D66">
              <w:rPr>
                <w:szCs w:val="17"/>
                <w:lang w:val="en-GB"/>
              </w:rPr>
              <w:t xml:space="preserve">to </w:t>
            </w:r>
            <w:r w:rsidRPr="00057ED8">
              <w:rPr>
                <w:szCs w:val="17"/>
                <w:lang w:val="en-GB"/>
              </w:rPr>
              <w:t xml:space="preserve">help ensure consistent application (see more information on </w:t>
            </w:r>
            <w:r w:rsidR="007A1D66">
              <w:rPr>
                <w:szCs w:val="17"/>
                <w:lang w:val="en-GB"/>
              </w:rPr>
              <w:t>“</w:t>
            </w:r>
            <w:r w:rsidRPr="00057ED8">
              <w:rPr>
                <w:szCs w:val="17"/>
                <w:lang w:val="en-GB"/>
              </w:rPr>
              <w:t>guidance</w:t>
            </w:r>
            <w:r w:rsidR="007A1D66">
              <w:rPr>
                <w:szCs w:val="17"/>
                <w:lang w:val="en-GB"/>
              </w:rPr>
              <w:t>”</w:t>
            </w:r>
            <w:r w:rsidRPr="00057ED8">
              <w:rPr>
                <w:szCs w:val="17"/>
                <w:lang w:val="en-GB"/>
              </w:rPr>
              <w:t xml:space="preserve"> in answer </w:t>
            </w:r>
            <w:r w:rsidR="007A1D66">
              <w:rPr>
                <w:szCs w:val="17"/>
                <w:lang w:val="en-GB"/>
              </w:rPr>
              <w:t>to</w:t>
            </w:r>
            <w:r w:rsidRPr="00057ED8">
              <w:rPr>
                <w:szCs w:val="17"/>
                <w:lang w:val="en-GB"/>
              </w:rPr>
              <w:t xml:space="preserve"> question 3).</w:t>
            </w:r>
          </w:p>
          <w:p w14:paraId="742FD990" w14:textId="5AC31C7F" w:rsidR="00986634" w:rsidRPr="00057ED8" w:rsidRDefault="00237B2B" w:rsidP="00237B2B">
            <w:pPr>
              <w:pStyle w:val="Odsekzoznamu"/>
              <w:ind w:left="720" w:firstLine="0"/>
              <w:rPr>
                <w:szCs w:val="17"/>
                <w:lang w:val="en-GB"/>
              </w:rPr>
            </w:pPr>
            <w:r w:rsidRPr="00057ED8">
              <w:rPr>
                <w:szCs w:val="17"/>
                <w:lang w:val="en-GB"/>
              </w:rPr>
              <w:t xml:space="preserve">As mentioned in question 1, </w:t>
            </w:r>
            <w:r w:rsidR="00607782" w:rsidRPr="00057ED8">
              <w:rPr>
                <w:szCs w:val="17"/>
                <w:lang w:val="en-GB"/>
              </w:rPr>
              <w:t xml:space="preserve">it is </w:t>
            </w:r>
            <w:r w:rsidRPr="00057ED8">
              <w:rPr>
                <w:szCs w:val="17"/>
                <w:lang w:val="en-GB"/>
              </w:rPr>
              <w:t>essential that the ISSB’s materiality concept is generally broadly defined</w:t>
            </w:r>
            <w:r w:rsidR="00500351">
              <w:rPr>
                <w:szCs w:val="17"/>
                <w:lang w:val="en-GB"/>
              </w:rPr>
              <w:t xml:space="preserve"> in order</w:t>
            </w:r>
            <w:r w:rsidRPr="00057ED8">
              <w:rPr>
                <w:szCs w:val="17"/>
                <w:lang w:val="en-GB"/>
              </w:rPr>
              <w:t xml:space="preserve"> </w:t>
            </w:r>
            <w:r w:rsidR="00986634" w:rsidRPr="00057ED8">
              <w:rPr>
                <w:szCs w:val="17"/>
                <w:lang w:val="en-GB"/>
              </w:rPr>
              <w:t>to respond to investors</w:t>
            </w:r>
            <w:r w:rsidR="00500351">
              <w:rPr>
                <w:szCs w:val="17"/>
                <w:lang w:val="en-GB"/>
              </w:rPr>
              <w:t>’</w:t>
            </w:r>
            <w:r w:rsidR="00986634" w:rsidRPr="00057ED8">
              <w:rPr>
                <w:szCs w:val="17"/>
                <w:lang w:val="en-GB"/>
              </w:rPr>
              <w:t xml:space="preserve"> information needs</w:t>
            </w:r>
            <w:r w:rsidR="00131773" w:rsidRPr="00057ED8">
              <w:rPr>
                <w:szCs w:val="17"/>
                <w:lang w:val="en-GB"/>
              </w:rPr>
              <w:t xml:space="preserve"> in their entirety</w:t>
            </w:r>
            <w:r w:rsidR="00986634" w:rsidRPr="00057ED8">
              <w:rPr>
                <w:szCs w:val="17"/>
                <w:lang w:val="en-GB"/>
              </w:rPr>
              <w:t xml:space="preserve">. </w:t>
            </w:r>
            <w:r w:rsidR="00617681" w:rsidRPr="00057ED8">
              <w:rPr>
                <w:szCs w:val="17"/>
                <w:lang w:val="en-GB"/>
              </w:rPr>
              <w:t xml:space="preserve">Investors </w:t>
            </w:r>
            <w:r w:rsidR="00AF6E14" w:rsidRPr="00057ED8">
              <w:rPr>
                <w:szCs w:val="17"/>
                <w:lang w:val="en-GB"/>
              </w:rPr>
              <w:t xml:space="preserve">increasingly require information on companies’ impact on the environment </w:t>
            </w:r>
            <w:r w:rsidR="00617681" w:rsidRPr="00057ED8">
              <w:rPr>
                <w:szCs w:val="17"/>
                <w:lang w:val="en-GB"/>
              </w:rPr>
              <w:t xml:space="preserve">and people </w:t>
            </w:r>
            <w:r w:rsidR="00AF6E14" w:rsidRPr="00057ED8">
              <w:rPr>
                <w:szCs w:val="17"/>
                <w:lang w:val="en-GB"/>
              </w:rPr>
              <w:t>as much as information o</w:t>
            </w:r>
            <w:r w:rsidR="00A4616C">
              <w:rPr>
                <w:szCs w:val="17"/>
                <w:lang w:val="en-GB"/>
              </w:rPr>
              <w:t>n</w:t>
            </w:r>
            <w:r w:rsidR="00AF6E14" w:rsidRPr="00057ED8">
              <w:rPr>
                <w:szCs w:val="17"/>
                <w:lang w:val="en-GB"/>
              </w:rPr>
              <w:t xml:space="preserve"> the </w:t>
            </w:r>
            <w:r w:rsidR="00F203AD" w:rsidRPr="00057ED8">
              <w:rPr>
                <w:szCs w:val="17"/>
                <w:lang w:val="en-GB"/>
              </w:rPr>
              <w:t xml:space="preserve">impact of </w:t>
            </w:r>
            <w:r w:rsidR="00AF6E14" w:rsidRPr="00057ED8">
              <w:rPr>
                <w:szCs w:val="17"/>
                <w:lang w:val="en-GB"/>
              </w:rPr>
              <w:t xml:space="preserve">environment </w:t>
            </w:r>
            <w:r w:rsidR="00336282" w:rsidRPr="00057ED8">
              <w:rPr>
                <w:szCs w:val="17"/>
                <w:lang w:val="en-GB"/>
              </w:rPr>
              <w:t xml:space="preserve">and people </w:t>
            </w:r>
            <w:r w:rsidR="00AF6E14" w:rsidRPr="00057ED8">
              <w:rPr>
                <w:szCs w:val="17"/>
                <w:lang w:val="en-GB"/>
              </w:rPr>
              <w:t>on companies.</w:t>
            </w:r>
          </w:p>
          <w:p w14:paraId="7670FFFE" w14:textId="0A2918EB" w:rsidR="00237B2B" w:rsidRPr="00057ED8" w:rsidRDefault="005E2B82" w:rsidP="00986634">
            <w:pPr>
              <w:pStyle w:val="Odsekzoznamu"/>
              <w:ind w:left="720" w:firstLine="0"/>
              <w:rPr>
                <w:rFonts w:eastAsia="Times New Roman" w:cs="Times New Roman"/>
                <w:sz w:val="20"/>
                <w:szCs w:val="17"/>
                <w:lang w:val="en-GB"/>
              </w:rPr>
            </w:pPr>
            <w:r w:rsidRPr="00057ED8">
              <w:rPr>
                <w:szCs w:val="17"/>
                <w:lang w:val="en-GB"/>
              </w:rPr>
              <w:t xml:space="preserve">If the ISSB keeps the current proposed definition of materiality, </w:t>
            </w:r>
            <w:r w:rsidR="00237B2B" w:rsidRPr="00057ED8">
              <w:rPr>
                <w:szCs w:val="17"/>
                <w:lang w:val="en-GB"/>
              </w:rPr>
              <w:t>the E</w:t>
            </w:r>
            <w:r w:rsidR="000D6348">
              <w:rPr>
                <w:szCs w:val="17"/>
                <w:lang w:val="en-GB"/>
              </w:rPr>
              <w:t xml:space="preserve">xposure </w:t>
            </w:r>
            <w:r w:rsidR="00237B2B" w:rsidRPr="00057ED8">
              <w:rPr>
                <w:szCs w:val="17"/>
                <w:lang w:val="en-GB"/>
              </w:rPr>
              <w:t>D</w:t>
            </w:r>
            <w:r w:rsidR="000D6348">
              <w:rPr>
                <w:szCs w:val="17"/>
                <w:lang w:val="en-GB"/>
              </w:rPr>
              <w:t>raft</w:t>
            </w:r>
            <w:r w:rsidR="00237B2B" w:rsidRPr="00057ED8">
              <w:rPr>
                <w:szCs w:val="17"/>
                <w:lang w:val="en-GB"/>
              </w:rPr>
              <w:t xml:space="preserve">’s objective, which is “to require an entity to disclose information about its significant sustainability-related risks and opportunities that is useful to the primary users of </w:t>
            </w:r>
            <w:proofErr w:type="gramStart"/>
            <w:r w:rsidR="00237B2B" w:rsidRPr="00057ED8">
              <w:rPr>
                <w:szCs w:val="17"/>
                <w:lang w:val="en-GB"/>
              </w:rPr>
              <w:t>general purpose</w:t>
            </w:r>
            <w:proofErr w:type="gramEnd"/>
            <w:r w:rsidR="00237B2B" w:rsidRPr="00057ED8">
              <w:rPr>
                <w:szCs w:val="17"/>
                <w:lang w:val="en-GB"/>
              </w:rPr>
              <w:t xml:space="preserve"> financial reporting when they assess enterprise value and decide whether to provide resources to the entity” (par</w:t>
            </w:r>
            <w:r w:rsidR="00DF4C91" w:rsidRPr="00057ED8">
              <w:rPr>
                <w:szCs w:val="17"/>
                <w:lang w:val="en-GB"/>
              </w:rPr>
              <w:t>a</w:t>
            </w:r>
            <w:r w:rsidR="00237B2B" w:rsidRPr="00057ED8">
              <w:rPr>
                <w:szCs w:val="17"/>
                <w:lang w:val="en-GB"/>
              </w:rPr>
              <w:t xml:space="preserve">. 1), </w:t>
            </w:r>
            <w:r w:rsidR="00DF4C91" w:rsidRPr="00057ED8">
              <w:rPr>
                <w:szCs w:val="17"/>
                <w:lang w:val="en-GB"/>
              </w:rPr>
              <w:t xml:space="preserve">would not be fully </w:t>
            </w:r>
            <w:r w:rsidR="00237B2B" w:rsidRPr="00057ED8">
              <w:rPr>
                <w:szCs w:val="17"/>
                <w:lang w:val="en-GB"/>
              </w:rPr>
              <w:t xml:space="preserve">achieved. Indeed, decisions on </w:t>
            </w:r>
            <w:r w:rsidR="00600F98">
              <w:rPr>
                <w:szCs w:val="17"/>
                <w:lang w:val="en-GB"/>
              </w:rPr>
              <w:t>“</w:t>
            </w:r>
            <w:r w:rsidR="00237B2B" w:rsidRPr="00057ED8">
              <w:rPr>
                <w:szCs w:val="17"/>
                <w:lang w:val="en-GB"/>
              </w:rPr>
              <w:t>whether to provide resources to the entity</w:t>
            </w:r>
            <w:r w:rsidR="00600F98">
              <w:rPr>
                <w:szCs w:val="17"/>
                <w:lang w:val="en-GB"/>
              </w:rPr>
              <w:t>”</w:t>
            </w:r>
            <w:r w:rsidR="00237B2B" w:rsidRPr="00057ED8">
              <w:rPr>
                <w:szCs w:val="17"/>
                <w:lang w:val="en-GB"/>
              </w:rPr>
              <w:t xml:space="preserve"> may not always/only/directly relate to enterprise value. Rather, such decisions may, for example, be based on sustainability preferences</w:t>
            </w:r>
            <w:r w:rsidR="00482969" w:rsidRPr="00057ED8">
              <w:rPr>
                <w:szCs w:val="17"/>
                <w:lang w:val="en-GB"/>
              </w:rPr>
              <w:t xml:space="preserve"> or driven by sustainability strategies pursued by investors</w:t>
            </w:r>
            <w:r w:rsidR="00237B2B" w:rsidRPr="00057ED8">
              <w:rPr>
                <w:szCs w:val="17"/>
                <w:lang w:val="en-GB"/>
              </w:rPr>
              <w:t xml:space="preserve">. Even if such impacts may not (yet) have a first-tier effect on enterprise value, where a sufficiently large group of investors is interested in them and changes its investment decision-making based on them, they </w:t>
            </w:r>
            <w:r w:rsidR="00AD6AD2">
              <w:rPr>
                <w:szCs w:val="17"/>
                <w:lang w:val="en-GB"/>
              </w:rPr>
              <w:t>create</w:t>
            </w:r>
            <w:r w:rsidR="00AD6AD2" w:rsidRPr="00057ED8">
              <w:rPr>
                <w:szCs w:val="17"/>
                <w:lang w:val="en-GB"/>
              </w:rPr>
              <w:t xml:space="preserve"> </w:t>
            </w:r>
            <w:r w:rsidR="00237B2B" w:rsidRPr="00057ED8">
              <w:rPr>
                <w:szCs w:val="17"/>
                <w:lang w:val="en-GB"/>
              </w:rPr>
              <w:t>a second-tier effect.</w:t>
            </w:r>
          </w:p>
          <w:p w14:paraId="6F8217EE" w14:textId="68199ABF" w:rsidR="00237B2B" w:rsidRPr="00057ED8" w:rsidRDefault="00237B2B" w:rsidP="000F78C3">
            <w:pPr>
              <w:pStyle w:val="Odsekzoznamu"/>
              <w:ind w:left="720" w:firstLine="0"/>
              <w:rPr>
                <w:szCs w:val="17"/>
                <w:lang w:val="en-GB"/>
              </w:rPr>
            </w:pPr>
          </w:p>
          <w:p w14:paraId="7ABE9AE0" w14:textId="77777777" w:rsidR="007B09D7" w:rsidRPr="00057ED8" w:rsidRDefault="007B09D7" w:rsidP="00812D6D">
            <w:pPr>
              <w:pStyle w:val="Odsekzoznamu"/>
              <w:numPr>
                <w:ilvl w:val="0"/>
                <w:numId w:val="31"/>
              </w:numPr>
              <w:rPr>
                <w:szCs w:val="17"/>
                <w:lang w:val="en-GB"/>
              </w:rPr>
            </w:pPr>
            <w:r w:rsidRPr="00057ED8">
              <w:rPr>
                <w:szCs w:val="17"/>
                <w:highlight w:val="cyan"/>
                <w:lang w:val="en-GB"/>
              </w:rPr>
              <w:t>Broadly agree</w:t>
            </w:r>
            <w:r w:rsidRPr="00057ED8">
              <w:rPr>
                <w:szCs w:val="17"/>
                <w:lang w:val="en-GB"/>
              </w:rPr>
              <w:t xml:space="preserve"> / broadly disagree / other</w:t>
            </w:r>
          </w:p>
          <w:p w14:paraId="488B1CBE" w14:textId="53107C33" w:rsidR="009C4ACB" w:rsidRPr="00057ED8" w:rsidRDefault="00AD6AD2" w:rsidP="009C4ACB">
            <w:pPr>
              <w:pStyle w:val="Odsekzoznamu"/>
              <w:ind w:left="720" w:firstLine="0"/>
              <w:rPr>
                <w:szCs w:val="17"/>
                <w:lang w:val="en-GB"/>
              </w:rPr>
            </w:pPr>
            <w:r>
              <w:rPr>
                <w:szCs w:val="17"/>
                <w:lang w:val="en-GB"/>
              </w:rPr>
              <w:t>Insurance Europ</w:t>
            </w:r>
            <w:r w:rsidR="009C4ACB" w:rsidRPr="00057ED8">
              <w:rPr>
                <w:szCs w:val="17"/>
                <w:lang w:val="en-GB"/>
              </w:rPr>
              <w:t>e agree</w:t>
            </w:r>
            <w:r>
              <w:rPr>
                <w:szCs w:val="17"/>
                <w:lang w:val="en-GB"/>
              </w:rPr>
              <w:t>s</w:t>
            </w:r>
            <w:r w:rsidR="009C4ACB" w:rsidRPr="00057ED8">
              <w:rPr>
                <w:szCs w:val="17"/>
                <w:lang w:val="en-GB"/>
              </w:rPr>
              <w:t xml:space="preserve"> that an approach that is intentionally broad </w:t>
            </w:r>
            <w:r w:rsidR="00262F43" w:rsidRPr="00057ED8">
              <w:rPr>
                <w:szCs w:val="17"/>
                <w:lang w:val="en-GB"/>
              </w:rPr>
              <w:t xml:space="preserve">is needed </w:t>
            </w:r>
            <w:r w:rsidR="009C4ACB" w:rsidRPr="00057ED8">
              <w:rPr>
                <w:szCs w:val="17"/>
                <w:lang w:val="en-GB"/>
              </w:rPr>
              <w:t xml:space="preserve">to reflect </w:t>
            </w:r>
            <w:r w:rsidR="00F718BF">
              <w:rPr>
                <w:szCs w:val="17"/>
                <w:lang w:val="en-GB"/>
              </w:rPr>
              <w:t xml:space="preserve">the fact </w:t>
            </w:r>
            <w:r w:rsidR="009C4ACB" w:rsidRPr="00057ED8">
              <w:rPr>
                <w:szCs w:val="17"/>
                <w:lang w:val="en-GB"/>
              </w:rPr>
              <w:t xml:space="preserve">that the information relevant </w:t>
            </w:r>
            <w:r w:rsidR="009E0C02">
              <w:rPr>
                <w:szCs w:val="17"/>
                <w:lang w:val="en-GB"/>
              </w:rPr>
              <w:t>for</w:t>
            </w:r>
            <w:r w:rsidR="009C4ACB" w:rsidRPr="00057ED8">
              <w:rPr>
                <w:szCs w:val="17"/>
                <w:lang w:val="en-GB"/>
              </w:rPr>
              <w:t xml:space="preserve"> assessing enterprise value will change over time (see paragraph BC 27).  </w:t>
            </w:r>
          </w:p>
          <w:p w14:paraId="5BB2D446" w14:textId="370F3528" w:rsidR="00635A83" w:rsidRPr="00057ED8" w:rsidRDefault="009C4ACB" w:rsidP="009C4ACB">
            <w:pPr>
              <w:pStyle w:val="Odsekzoznamu"/>
              <w:ind w:left="720" w:firstLine="0"/>
              <w:rPr>
                <w:szCs w:val="17"/>
                <w:lang w:val="en-GB"/>
              </w:rPr>
            </w:pPr>
            <w:r w:rsidRPr="00057ED8">
              <w:rPr>
                <w:szCs w:val="17"/>
                <w:lang w:val="en-GB"/>
              </w:rPr>
              <w:t>In order to support a common global understanding, it might be worthwhile defin</w:t>
            </w:r>
            <w:r w:rsidR="00E36F7E">
              <w:rPr>
                <w:szCs w:val="17"/>
                <w:lang w:val="en-GB"/>
              </w:rPr>
              <w:t>ing</w:t>
            </w:r>
            <w:r w:rsidRPr="00057ED8">
              <w:rPr>
                <w:szCs w:val="17"/>
                <w:lang w:val="en-GB"/>
              </w:rPr>
              <w:t xml:space="preserve"> sustainability in the </w:t>
            </w:r>
            <w:r w:rsidR="00591702" w:rsidRPr="00057ED8">
              <w:rPr>
                <w:szCs w:val="17"/>
                <w:lang w:val="en-GB"/>
              </w:rPr>
              <w:t>standard itself</w:t>
            </w:r>
            <w:r w:rsidRPr="00057ED8">
              <w:rPr>
                <w:szCs w:val="17"/>
                <w:lang w:val="en-GB"/>
              </w:rPr>
              <w:t xml:space="preserve">. While </w:t>
            </w:r>
            <w:r w:rsidR="00442CB6">
              <w:rPr>
                <w:szCs w:val="17"/>
                <w:lang w:val="en-GB"/>
              </w:rPr>
              <w:t>it is</w:t>
            </w:r>
            <w:r w:rsidR="00442CB6" w:rsidRPr="00057ED8">
              <w:rPr>
                <w:szCs w:val="17"/>
                <w:lang w:val="en-GB"/>
              </w:rPr>
              <w:t xml:space="preserve"> </w:t>
            </w:r>
            <w:r w:rsidRPr="00057ED8">
              <w:rPr>
                <w:szCs w:val="17"/>
                <w:lang w:val="en-GB"/>
              </w:rPr>
              <w:t>underst</w:t>
            </w:r>
            <w:r w:rsidR="00442CB6">
              <w:rPr>
                <w:szCs w:val="17"/>
                <w:lang w:val="en-GB"/>
              </w:rPr>
              <w:t>oo</w:t>
            </w:r>
            <w:r w:rsidRPr="00057ED8">
              <w:rPr>
                <w:szCs w:val="17"/>
                <w:lang w:val="en-GB"/>
              </w:rPr>
              <w:t xml:space="preserve">d that disclosure topics will be set out in the IFRS </w:t>
            </w:r>
            <w:r w:rsidR="00345A77">
              <w:rPr>
                <w:szCs w:val="17"/>
                <w:lang w:val="en-GB"/>
              </w:rPr>
              <w:t>SDS</w:t>
            </w:r>
            <w:r w:rsidR="007D00E4">
              <w:rPr>
                <w:szCs w:val="17"/>
                <w:lang w:val="en-GB"/>
              </w:rPr>
              <w:t>s</w:t>
            </w:r>
            <w:r w:rsidRPr="00057ED8">
              <w:rPr>
                <w:szCs w:val="17"/>
                <w:lang w:val="en-GB"/>
              </w:rPr>
              <w:t xml:space="preserve"> and that it may be too early to go into more detail, a high-level definition of the areas of sustainability (E</w:t>
            </w:r>
            <w:r w:rsidR="00005924">
              <w:rPr>
                <w:szCs w:val="17"/>
                <w:lang w:val="en-GB"/>
              </w:rPr>
              <w:t xml:space="preserve">, </w:t>
            </w:r>
            <w:r w:rsidRPr="00057ED8">
              <w:rPr>
                <w:szCs w:val="17"/>
                <w:lang w:val="en-GB"/>
              </w:rPr>
              <w:t>S</w:t>
            </w:r>
            <w:r w:rsidR="00005924">
              <w:rPr>
                <w:szCs w:val="17"/>
                <w:lang w:val="en-GB"/>
              </w:rPr>
              <w:t xml:space="preserve"> and</w:t>
            </w:r>
            <w:r w:rsidRPr="00057ED8">
              <w:rPr>
                <w:szCs w:val="17"/>
                <w:lang w:val="en-GB"/>
              </w:rPr>
              <w:t xml:space="preserve"> G) may help to create a common understanding that overall, sustainability-related financial information would be expected to relate to one or more of these three areas.</w:t>
            </w:r>
            <w:r w:rsidR="00482969" w:rsidRPr="00057ED8">
              <w:rPr>
                <w:szCs w:val="17"/>
                <w:lang w:val="en-GB"/>
              </w:rPr>
              <w:t xml:space="preserve"> </w:t>
            </w:r>
          </w:p>
          <w:p w14:paraId="498D299C" w14:textId="5C37BED4" w:rsidR="007B09D7" w:rsidRPr="00057ED8" w:rsidRDefault="00482969" w:rsidP="009C4ACB">
            <w:pPr>
              <w:pStyle w:val="Odsekzoznamu"/>
              <w:ind w:left="720" w:firstLine="0"/>
              <w:rPr>
                <w:szCs w:val="17"/>
                <w:lang w:val="en-GB"/>
              </w:rPr>
            </w:pPr>
            <w:r w:rsidRPr="00057ED8">
              <w:rPr>
                <w:szCs w:val="17"/>
                <w:lang w:val="en-GB"/>
              </w:rPr>
              <w:t>It would also be beneficial</w:t>
            </w:r>
            <w:r w:rsidR="004C6210" w:rsidRPr="00057ED8">
              <w:rPr>
                <w:szCs w:val="17"/>
                <w:lang w:val="en-GB"/>
              </w:rPr>
              <w:t xml:space="preserve"> </w:t>
            </w:r>
            <w:r w:rsidRPr="00057ED8">
              <w:rPr>
                <w:szCs w:val="17"/>
                <w:lang w:val="en-GB"/>
              </w:rPr>
              <w:t>to better connect sustainability</w:t>
            </w:r>
            <w:r w:rsidR="004C6210" w:rsidRPr="00057ED8">
              <w:rPr>
                <w:szCs w:val="17"/>
                <w:lang w:val="en-GB"/>
              </w:rPr>
              <w:t xml:space="preserve"> and</w:t>
            </w:r>
            <w:r w:rsidR="0085375E">
              <w:rPr>
                <w:szCs w:val="17"/>
                <w:lang w:val="en-GB"/>
              </w:rPr>
              <w:t>,</w:t>
            </w:r>
            <w:r w:rsidR="004C6210" w:rsidRPr="00057ED8">
              <w:rPr>
                <w:szCs w:val="17"/>
                <w:lang w:val="en-GB"/>
              </w:rPr>
              <w:t xml:space="preserve"> in particular</w:t>
            </w:r>
            <w:r w:rsidR="0085375E">
              <w:rPr>
                <w:szCs w:val="17"/>
                <w:lang w:val="en-GB"/>
              </w:rPr>
              <w:t>,</w:t>
            </w:r>
            <w:r w:rsidR="004C6210" w:rsidRPr="00057ED8">
              <w:rPr>
                <w:szCs w:val="17"/>
                <w:lang w:val="en-GB"/>
              </w:rPr>
              <w:t xml:space="preserve"> governance requirements</w:t>
            </w:r>
            <w:r w:rsidRPr="00057ED8">
              <w:rPr>
                <w:szCs w:val="17"/>
                <w:lang w:val="en-GB"/>
              </w:rPr>
              <w:t xml:space="preserve"> with other documents legally required and </w:t>
            </w:r>
            <w:r w:rsidR="00994391">
              <w:rPr>
                <w:szCs w:val="17"/>
                <w:lang w:val="en-GB"/>
              </w:rPr>
              <w:t xml:space="preserve">to </w:t>
            </w:r>
            <w:r w:rsidRPr="00057ED8">
              <w:rPr>
                <w:szCs w:val="17"/>
                <w:lang w:val="en-GB"/>
              </w:rPr>
              <w:t>avoid extra</w:t>
            </w:r>
            <w:r w:rsidR="00994391">
              <w:rPr>
                <w:szCs w:val="17"/>
                <w:lang w:val="en-GB"/>
              </w:rPr>
              <w:t xml:space="preserve"> </w:t>
            </w:r>
            <w:r w:rsidRPr="00057ED8">
              <w:rPr>
                <w:szCs w:val="17"/>
                <w:lang w:val="en-GB"/>
              </w:rPr>
              <w:t>costs for undertakings</w:t>
            </w:r>
            <w:r w:rsidR="00101F38" w:rsidRPr="00057ED8">
              <w:rPr>
                <w:szCs w:val="17"/>
                <w:lang w:val="en-GB"/>
              </w:rPr>
              <w:t>.</w:t>
            </w:r>
            <w:r w:rsidR="009C4ACB" w:rsidRPr="00057ED8">
              <w:rPr>
                <w:szCs w:val="17"/>
                <w:lang w:val="en-GB"/>
              </w:rPr>
              <w:t xml:space="preserve"> Par</w:t>
            </w:r>
            <w:r w:rsidR="00E7278D" w:rsidRPr="00057ED8">
              <w:rPr>
                <w:szCs w:val="17"/>
                <w:lang w:val="en-GB"/>
              </w:rPr>
              <w:t>a</w:t>
            </w:r>
            <w:r w:rsidR="009C4ACB" w:rsidRPr="00057ED8">
              <w:rPr>
                <w:szCs w:val="17"/>
                <w:lang w:val="en-GB"/>
              </w:rPr>
              <w:t>. 6(b)</w:t>
            </w:r>
            <w:r w:rsidR="00627F3C">
              <w:rPr>
                <w:szCs w:val="17"/>
                <w:lang w:val="en-GB"/>
              </w:rPr>
              <w:t>, for instance,</w:t>
            </w:r>
            <w:r w:rsidR="009C4ACB" w:rsidRPr="00057ED8">
              <w:rPr>
                <w:szCs w:val="17"/>
                <w:lang w:val="en-GB"/>
              </w:rPr>
              <w:t xml:space="preserve"> does not specify that there needs to be a link to ESG. </w:t>
            </w:r>
            <w:r w:rsidR="00627F3C">
              <w:rPr>
                <w:szCs w:val="17"/>
                <w:lang w:val="en-GB"/>
              </w:rPr>
              <w:t>Insurance Europe’s</w:t>
            </w:r>
            <w:r w:rsidR="00627F3C" w:rsidRPr="00057ED8">
              <w:rPr>
                <w:szCs w:val="17"/>
                <w:lang w:val="en-GB"/>
              </w:rPr>
              <w:t xml:space="preserve"> </w:t>
            </w:r>
            <w:r w:rsidR="009C4ACB" w:rsidRPr="00057ED8">
              <w:rPr>
                <w:szCs w:val="17"/>
                <w:lang w:val="en-GB"/>
              </w:rPr>
              <w:t xml:space="preserve">concern stems from the fact that some stakeholders seem to consider sustainability reporting as an outlet for any kind of information not reflected in financial reporting, where </w:t>
            </w:r>
            <w:r w:rsidR="0006029B">
              <w:rPr>
                <w:szCs w:val="17"/>
                <w:lang w:val="en-GB"/>
              </w:rPr>
              <w:t>“</w:t>
            </w:r>
            <w:r w:rsidR="009C4ACB" w:rsidRPr="00057ED8">
              <w:rPr>
                <w:szCs w:val="17"/>
                <w:lang w:val="en-GB"/>
              </w:rPr>
              <w:t>sustainable</w:t>
            </w:r>
            <w:r w:rsidR="0006029B">
              <w:rPr>
                <w:szCs w:val="17"/>
                <w:lang w:val="en-GB"/>
              </w:rPr>
              <w:t>”</w:t>
            </w:r>
            <w:r w:rsidR="009C4ACB" w:rsidRPr="00057ED8">
              <w:rPr>
                <w:szCs w:val="17"/>
                <w:lang w:val="en-GB"/>
              </w:rPr>
              <w:t xml:space="preserve"> is instead interpreted as </w:t>
            </w:r>
            <w:r w:rsidR="0006029B">
              <w:rPr>
                <w:szCs w:val="17"/>
                <w:lang w:val="en-GB"/>
              </w:rPr>
              <w:t>“</w:t>
            </w:r>
            <w:r w:rsidR="009C4ACB" w:rsidRPr="00057ED8">
              <w:rPr>
                <w:szCs w:val="17"/>
                <w:lang w:val="en-GB"/>
              </w:rPr>
              <w:t>long-term</w:t>
            </w:r>
            <w:r w:rsidR="0006029B">
              <w:rPr>
                <w:szCs w:val="17"/>
                <w:lang w:val="en-GB"/>
              </w:rPr>
              <w:t>”</w:t>
            </w:r>
            <w:r w:rsidR="009C4ACB" w:rsidRPr="00057ED8">
              <w:rPr>
                <w:szCs w:val="17"/>
                <w:lang w:val="en-GB"/>
              </w:rPr>
              <w:t>.</w:t>
            </w:r>
          </w:p>
          <w:p w14:paraId="50A9CC65" w14:textId="0C637E1B" w:rsidR="00920235" w:rsidRPr="00057ED8" w:rsidRDefault="00AB7E9F" w:rsidP="00CC6EA0">
            <w:pPr>
              <w:tabs>
                <w:tab w:val="left" w:pos="5295"/>
              </w:tabs>
              <w:rPr>
                <w:sz w:val="17"/>
                <w:szCs w:val="17"/>
              </w:rPr>
            </w:pPr>
            <w:r>
              <w:rPr>
                <w:sz w:val="17"/>
                <w:szCs w:val="17"/>
              </w:rPr>
              <w:tab/>
            </w:r>
          </w:p>
        </w:tc>
      </w:tr>
    </w:tbl>
    <w:p w14:paraId="2C71867C" w14:textId="77777777" w:rsidR="00503C06" w:rsidRPr="00057ED8" w:rsidRDefault="00503C06" w:rsidP="00F768D9">
      <w:pPr>
        <w:rPr>
          <w:sz w:val="17"/>
          <w:szCs w:val="17"/>
        </w:rPr>
      </w:pPr>
    </w:p>
    <w:p w14:paraId="61D18D59" w14:textId="77777777" w:rsidR="00503C06" w:rsidRPr="00057ED8" w:rsidRDefault="00503C06" w:rsidP="00F768D9">
      <w:pPr>
        <w:rPr>
          <w:b/>
          <w:bCs/>
          <w:sz w:val="17"/>
          <w:szCs w:val="17"/>
        </w:rPr>
      </w:pPr>
    </w:p>
    <w:p w14:paraId="58A1F4B3" w14:textId="77777777" w:rsidR="00503C06" w:rsidRPr="00057ED8" w:rsidRDefault="00503C06" w:rsidP="00F768D9">
      <w:pPr>
        <w:rPr>
          <w:b/>
          <w:bCs/>
          <w:sz w:val="17"/>
          <w:szCs w:val="17"/>
        </w:rPr>
      </w:pPr>
      <w:r w:rsidRPr="00057ED8">
        <w:rPr>
          <w:b/>
          <w:bCs/>
          <w:sz w:val="17"/>
          <w:szCs w:val="17"/>
        </w:rPr>
        <w:t>Question 3—Scope (paragraphs 8–10)</w:t>
      </w:r>
    </w:p>
    <w:p w14:paraId="52EEEEBA" w14:textId="77777777" w:rsidR="008872F4" w:rsidRPr="00057ED8" w:rsidRDefault="008872F4" w:rsidP="00F768D9">
      <w:pPr>
        <w:rPr>
          <w:sz w:val="17"/>
          <w:szCs w:val="17"/>
        </w:rPr>
      </w:pPr>
      <w:r w:rsidRPr="00057ED8">
        <w:rPr>
          <w:sz w:val="17"/>
          <w:szCs w:val="17"/>
        </w:rPr>
        <w:lastRenderedPageBreak/>
        <w:t>Proposals in the Exposure Draft would apply to the preparation and disclosure of sustainability-related financial information in accordance with IFRS Sustainability Disclosure Standards. Sustainability-related risks and opportunities that cannot reasonably be expected to affect users’ assessments of the entity’s enterprise value are outside the scope of sustainability-related financial disclosures.</w:t>
      </w:r>
    </w:p>
    <w:p w14:paraId="3AADC35E" w14:textId="77777777" w:rsidR="00F016BC" w:rsidRPr="00057ED8" w:rsidRDefault="00F016BC" w:rsidP="00F768D9">
      <w:pPr>
        <w:rPr>
          <w:sz w:val="17"/>
          <w:szCs w:val="17"/>
        </w:rPr>
      </w:pPr>
    </w:p>
    <w:p w14:paraId="3349334F" w14:textId="77777777" w:rsidR="008872F4" w:rsidRPr="00057ED8" w:rsidRDefault="008872F4" w:rsidP="00F768D9">
      <w:pPr>
        <w:rPr>
          <w:sz w:val="17"/>
          <w:szCs w:val="17"/>
        </w:rPr>
      </w:pPr>
      <w:r w:rsidRPr="00057ED8">
        <w:rPr>
          <w:sz w:val="17"/>
          <w:szCs w:val="17"/>
        </w:rPr>
        <w:t xml:space="preserve">The Exposure Draft proposals were developed to be applied by entities preparing their </w:t>
      </w:r>
      <w:proofErr w:type="gramStart"/>
      <w:r w:rsidRPr="00057ED8">
        <w:rPr>
          <w:sz w:val="17"/>
          <w:szCs w:val="17"/>
        </w:rPr>
        <w:t>general purpose</w:t>
      </w:r>
      <w:proofErr w:type="gramEnd"/>
      <w:r w:rsidRPr="00057ED8">
        <w:rPr>
          <w:sz w:val="17"/>
          <w:szCs w:val="17"/>
        </w:rPr>
        <w:t xml:space="preserve"> financial statements with any jurisdiction’s GAAP (so with IFRS Accounting Standards or other GAAP).</w:t>
      </w:r>
    </w:p>
    <w:p w14:paraId="0A8CCA9E" w14:textId="77777777" w:rsidR="00F016BC" w:rsidRPr="00057ED8" w:rsidRDefault="00F016BC" w:rsidP="00F768D9">
      <w:pPr>
        <w:rPr>
          <w:sz w:val="17"/>
          <w:szCs w:val="17"/>
        </w:rPr>
      </w:pPr>
    </w:p>
    <w:p w14:paraId="1A421A18" w14:textId="77777777" w:rsidR="008872F4" w:rsidRPr="00057ED8" w:rsidRDefault="008872F4" w:rsidP="00F768D9">
      <w:pPr>
        <w:rPr>
          <w:sz w:val="17"/>
          <w:szCs w:val="17"/>
        </w:rPr>
      </w:pPr>
      <w:r w:rsidRPr="00057ED8">
        <w:rPr>
          <w:sz w:val="17"/>
          <w:szCs w:val="17"/>
        </w:rPr>
        <w:t xml:space="preserve">Do you agree that the proposals in the Exposure Draft could be used by entities that prepare their </w:t>
      </w:r>
      <w:proofErr w:type="gramStart"/>
      <w:r w:rsidRPr="00057ED8">
        <w:rPr>
          <w:sz w:val="17"/>
          <w:szCs w:val="17"/>
        </w:rPr>
        <w:t>general purpose</w:t>
      </w:r>
      <w:proofErr w:type="gramEnd"/>
      <w:r w:rsidRPr="00057ED8">
        <w:rPr>
          <w:sz w:val="17"/>
          <w:szCs w:val="17"/>
        </w:rPr>
        <w:t xml:space="preserve"> financial statements in accordance with any jurisdiction’s GAAP (rather than only those prepared in accordance with IFRS Accounting Standards)? If not, why not?</w:t>
      </w:r>
    </w:p>
    <w:p w14:paraId="0323E2E6" w14:textId="77777777" w:rsidR="00140EAF" w:rsidRPr="00057ED8" w:rsidRDefault="00140EAF" w:rsidP="00F768D9">
      <w:pPr>
        <w:rPr>
          <w:sz w:val="17"/>
          <w:szCs w:val="17"/>
        </w:rPr>
      </w:pPr>
    </w:p>
    <w:tbl>
      <w:tblPr>
        <w:tblStyle w:val="Mriekatabuky"/>
        <w:tblW w:w="0" w:type="auto"/>
        <w:tblLook w:val="04A0" w:firstRow="1" w:lastRow="0" w:firstColumn="1" w:lastColumn="0" w:noHBand="0" w:noVBand="1"/>
      </w:tblPr>
      <w:tblGrid>
        <w:gridCol w:w="9521"/>
      </w:tblGrid>
      <w:tr w:rsidR="00920235" w:rsidRPr="00057ED8" w14:paraId="2CA2F7C2" w14:textId="77777777" w:rsidTr="00C61B54">
        <w:trPr>
          <w:trHeight w:val="1625"/>
        </w:trPr>
        <w:tc>
          <w:tcPr>
            <w:tcW w:w="9521" w:type="dxa"/>
          </w:tcPr>
          <w:p w14:paraId="2FD69F01" w14:textId="77777777" w:rsidR="00485C85" w:rsidRPr="00057ED8" w:rsidRDefault="00485C85" w:rsidP="00485C85">
            <w:pPr>
              <w:rPr>
                <w:sz w:val="17"/>
                <w:szCs w:val="17"/>
              </w:rPr>
            </w:pPr>
            <w:r w:rsidRPr="00057ED8">
              <w:rPr>
                <w:sz w:val="17"/>
                <w:szCs w:val="17"/>
              </w:rPr>
              <w:t xml:space="preserve">Broadly agree / broadly disagree / </w:t>
            </w:r>
            <w:r w:rsidRPr="00057ED8">
              <w:rPr>
                <w:sz w:val="17"/>
                <w:szCs w:val="17"/>
                <w:highlight w:val="cyan"/>
              </w:rPr>
              <w:t>other</w:t>
            </w:r>
          </w:p>
          <w:p w14:paraId="6FDA114D" w14:textId="630265F5" w:rsidR="00FA4C88" w:rsidRPr="00057ED8" w:rsidRDefault="00473C3F" w:rsidP="009779ED">
            <w:pPr>
              <w:spacing w:line="240" w:lineRule="auto"/>
              <w:rPr>
                <w:sz w:val="17"/>
                <w:szCs w:val="17"/>
              </w:rPr>
            </w:pPr>
            <w:r w:rsidRPr="00057ED8">
              <w:rPr>
                <w:sz w:val="17"/>
                <w:szCs w:val="17"/>
              </w:rPr>
              <w:t>Yes</w:t>
            </w:r>
            <w:r w:rsidR="00087204" w:rsidRPr="00057ED8">
              <w:rPr>
                <w:sz w:val="17"/>
                <w:szCs w:val="17"/>
              </w:rPr>
              <w:t xml:space="preserve">, </w:t>
            </w:r>
            <w:r w:rsidR="0006029B">
              <w:rPr>
                <w:sz w:val="17"/>
                <w:szCs w:val="17"/>
              </w:rPr>
              <w:t>Insurance Europ</w:t>
            </w:r>
            <w:r w:rsidR="00087204" w:rsidRPr="00057ED8">
              <w:rPr>
                <w:sz w:val="17"/>
                <w:szCs w:val="17"/>
              </w:rPr>
              <w:t>e support</w:t>
            </w:r>
            <w:r w:rsidR="00640FF1">
              <w:rPr>
                <w:sz w:val="17"/>
                <w:szCs w:val="17"/>
              </w:rPr>
              <w:t>s the fact</w:t>
            </w:r>
            <w:r w:rsidR="00087204" w:rsidRPr="00057ED8">
              <w:rPr>
                <w:sz w:val="17"/>
                <w:szCs w:val="17"/>
              </w:rPr>
              <w:t xml:space="preserve"> that the </w:t>
            </w:r>
            <w:r w:rsidR="004031EE" w:rsidRPr="00057ED8">
              <w:rPr>
                <w:sz w:val="17"/>
                <w:szCs w:val="17"/>
              </w:rPr>
              <w:t xml:space="preserve">sustainability standards could be used by entities that prepare their </w:t>
            </w:r>
            <w:r w:rsidR="003C6E4E" w:rsidRPr="00057ED8">
              <w:rPr>
                <w:sz w:val="17"/>
                <w:szCs w:val="17"/>
              </w:rPr>
              <w:t>general-purpose</w:t>
            </w:r>
            <w:r w:rsidR="004031EE" w:rsidRPr="00057ED8">
              <w:rPr>
                <w:sz w:val="17"/>
                <w:szCs w:val="17"/>
              </w:rPr>
              <w:t xml:space="preserve"> financial statements in accordance with any jurisdiction’s GAAP.</w:t>
            </w:r>
            <w:r w:rsidR="00FA4C88" w:rsidRPr="00057ED8">
              <w:rPr>
                <w:sz w:val="17"/>
                <w:szCs w:val="17"/>
              </w:rPr>
              <w:t xml:space="preserve"> This approach would </w:t>
            </w:r>
            <w:r w:rsidR="00726B9A">
              <w:rPr>
                <w:sz w:val="17"/>
                <w:szCs w:val="17"/>
              </w:rPr>
              <w:t xml:space="preserve">be </w:t>
            </w:r>
            <w:r w:rsidR="00FA4C88" w:rsidRPr="00057ED8">
              <w:rPr>
                <w:sz w:val="17"/>
                <w:szCs w:val="17"/>
              </w:rPr>
              <w:t xml:space="preserve">likely </w:t>
            </w:r>
            <w:r w:rsidR="00726B9A">
              <w:rPr>
                <w:sz w:val="17"/>
                <w:szCs w:val="17"/>
              </w:rPr>
              <w:t xml:space="preserve">to </w:t>
            </w:r>
            <w:r w:rsidR="00AF6E14" w:rsidRPr="00057ED8">
              <w:rPr>
                <w:sz w:val="17"/>
                <w:szCs w:val="17"/>
              </w:rPr>
              <w:t xml:space="preserve">increase </w:t>
            </w:r>
            <w:r w:rsidR="00FA4C88" w:rsidRPr="00057ED8">
              <w:rPr>
                <w:sz w:val="17"/>
                <w:szCs w:val="17"/>
              </w:rPr>
              <w:t xml:space="preserve">the number of jurisdictions adopting the </w:t>
            </w:r>
            <w:r w:rsidR="0032306D">
              <w:rPr>
                <w:sz w:val="17"/>
                <w:szCs w:val="17"/>
              </w:rPr>
              <w:t>s</w:t>
            </w:r>
            <w:r w:rsidR="00FA4C88" w:rsidRPr="00057ED8">
              <w:rPr>
                <w:sz w:val="17"/>
                <w:szCs w:val="17"/>
              </w:rPr>
              <w:t>tandards</w:t>
            </w:r>
            <w:r w:rsidR="002A521B">
              <w:rPr>
                <w:sz w:val="17"/>
                <w:szCs w:val="17"/>
              </w:rPr>
              <w:t>,</w:t>
            </w:r>
            <w:r w:rsidR="00FA4C88" w:rsidRPr="00057ED8">
              <w:rPr>
                <w:sz w:val="17"/>
                <w:szCs w:val="17"/>
              </w:rPr>
              <w:t xml:space="preserve"> as well as the scope of companies to which th</w:t>
            </w:r>
            <w:r w:rsidR="00D43A4E">
              <w:rPr>
                <w:sz w:val="17"/>
                <w:szCs w:val="17"/>
              </w:rPr>
              <w:t>ey</w:t>
            </w:r>
            <w:r w:rsidR="00FA4C88" w:rsidRPr="00057ED8">
              <w:rPr>
                <w:sz w:val="17"/>
                <w:szCs w:val="17"/>
              </w:rPr>
              <w:t xml:space="preserve"> could apply (</w:t>
            </w:r>
            <w:proofErr w:type="spellStart"/>
            <w:r w:rsidR="00FA4C88" w:rsidRPr="00057ED8">
              <w:rPr>
                <w:sz w:val="17"/>
                <w:szCs w:val="17"/>
              </w:rPr>
              <w:t>eg</w:t>
            </w:r>
            <w:proofErr w:type="spellEnd"/>
            <w:r w:rsidR="00D43A4E">
              <w:rPr>
                <w:sz w:val="17"/>
                <w:szCs w:val="17"/>
              </w:rPr>
              <w:t>,</w:t>
            </w:r>
            <w:r w:rsidR="00FA4C88" w:rsidRPr="00057ED8">
              <w:rPr>
                <w:sz w:val="17"/>
                <w:szCs w:val="17"/>
              </w:rPr>
              <w:t xml:space="preserve"> including private companies) and may incentivi</w:t>
            </w:r>
            <w:r w:rsidR="00D564B1" w:rsidRPr="00057ED8">
              <w:rPr>
                <w:sz w:val="17"/>
                <w:szCs w:val="17"/>
              </w:rPr>
              <w:t>s</w:t>
            </w:r>
            <w:r w:rsidR="00FA4C88" w:rsidRPr="00057ED8">
              <w:rPr>
                <w:sz w:val="17"/>
                <w:szCs w:val="17"/>
              </w:rPr>
              <w:t xml:space="preserve">e voluntary reporting. Potential issues could arise as to: </w:t>
            </w:r>
          </w:p>
          <w:p w14:paraId="22EB1407" w14:textId="6E0E5C37" w:rsidR="00FA4C88" w:rsidRPr="00057ED8" w:rsidRDefault="00E15B4D" w:rsidP="009779ED">
            <w:pPr>
              <w:pStyle w:val="CEABullet-Level1"/>
              <w:spacing w:line="240" w:lineRule="auto"/>
            </w:pPr>
            <w:r>
              <w:t>t</w:t>
            </w:r>
            <w:r w:rsidR="00FA4C88" w:rsidRPr="00057ED8">
              <w:t>he required location in general purpose financial statements where companies do not (need to) disclose financial statements at this stage; and</w:t>
            </w:r>
            <w:r>
              <w:t>,</w:t>
            </w:r>
            <w:r w:rsidR="00FA4C88" w:rsidRPr="00057ED8">
              <w:t xml:space="preserve"> </w:t>
            </w:r>
          </w:p>
          <w:p w14:paraId="15276327" w14:textId="37F49F9E" w:rsidR="00FA4C88" w:rsidRPr="00057ED8" w:rsidRDefault="00E15B4D" w:rsidP="009779ED">
            <w:pPr>
              <w:pStyle w:val="CEABullet-Level1"/>
              <w:spacing w:line="240" w:lineRule="auto"/>
            </w:pPr>
            <w:r>
              <w:rPr>
                <w:szCs w:val="17"/>
              </w:rPr>
              <w:t>t</w:t>
            </w:r>
            <w:r w:rsidR="00FA4C88" w:rsidRPr="00057ED8">
              <w:rPr>
                <w:szCs w:val="17"/>
              </w:rPr>
              <w:t>he principle of connected information where companies do not (need to) disclose financial statements at this stage or where the principles of local GAAP differ</w:t>
            </w:r>
            <w:r w:rsidR="00D81933">
              <w:rPr>
                <w:szCs w:val="17"/>
              </w:rPr>
              <w:t>.</w:t>
            </w:r>
            <w:r w:rsidR="00FA4C88" w:rsidRPr="00057ED8">
              <w:rPr>
                <w:szCs w:val="17"/>
              </w:rPr>
              <w:t xml:space="preserve"> </w:t>
            </w:r>
          </w:p>
          <w:p w14:paraId="2313886A" w14:textId="77777777" w:rsidR="00FA4C88" w:rsidRPr="00057ED8" w:rsidRDefault="00FA4C88" w:rsidP="009779ED">
            <w:pPr>
              <w:spacing w:line="240" w:lineRule="auto"/>
              <w:rPr>
                <w:sz w:val="17"/>
                <w:szCs w:val="17"/>
              </w:rPr>
            </w:pPr>
          </w:p>
          <w:p w14:paraId="3F651BA8" w14:textId="77777777" w:rsidR="00FA4C88" w:rsidRPr="00057ED8" w:rsidRDefault="00FA4C88" w:rsidP="009779ED">
            <w:pPr>
              <w:spacing w:line="240" w:lineRule="auto"/>
              <w:rPr>
                <w:sz w:val="17"/>
                <w:szCs w:val="17"/>
              </w:rPr>
            </w:pPr>
            <w:r w:rsidRPr="00057ED8">
              <w:rPr>
                <w:sz w:val="17"/>
                <w:szCs w:val="17"/>
              </w:rPr>
              <w:t xml:space="preserve">In any case, to enhance global relevance and acceptance, compliance must also be possible where companies are not required to disclose financial information. </w:t>
            </w:r>
          </w:p>
          <w:p w14:paraId="1F92097A" w14:textId="77777777" w:rsidR="00BC6C66" w:rsidRPr="00057ED8" w:rsidRDefault="00BC6C66" w:rsidP="009779ED">
            <w:pPr>
              <w:spacing w:line="240" w:lineRule="auto"/>
              <w:rPr>
                <w:sz w:val="17"/>
                <w:szCs w:val="17"/>
              </w:rPr>
            </w:pPr>
          </w:p>
          <w:p w14:paraId="55BCC83C" w14:textId="2E8DE66A" w:rsidR="00BC6C66" w:rsidRPr="00057ED8" w:rsidRDefault="00BC6C66" w:rsidP="009779ED">
            <w:pPr>
              <w:spacing w:line="240" w:lineRule="auto"/>
              <w:rPr>
                <w:sz w:val="17"/>
                <w:szCs w:val="17"/>
              </w:rPr>
            </w:pPr>
            <w:r w:rsidRPr="00057ED8">
              <w:rPr>
                <w:sz w:val="17"/>
                <w:szCs w:val="17"/>
              </w:rPr>
              <w:t xml:space="preserve">Secondly, regarding the definition of the scope, </w:t>
            </w:r>
            <w:r w:rsidR="00451058">
              <w:rPr>
                <w:sz w:val="17"/>
                <w:szCs w:val="17"/>
              </w:rPr>
              <w:t>Insurance Europ</w:t>
            </w:r>
            <w:r w:rsidRPr="00057ED8">
              <w:rPr>
                <w:sz w:val="17"/>
                <w:szCs w:val="17"/>
              </w:rPr>
              <w:t>e understand</w:t>
            </w:r>
            <w:r w:rsidR="00451058">
              <w:rPr>
                <w:sz w:val="17"/>
                <w:szCs w:val="17"/>
              </w:rPr>
              <w:t>s</w:t>
            </w:r>
            <w:r w:rsidRPr="00057ED8">
              <w:rPr>
                <w:sz w:val="17"/>
                <w:szCs w:val="17"/>
              </w:rPr>
              <w:t xml:space="preserve"> that the ISSB focuses on disclosing sustainability-related financial information that provides a sufficient basis for primary users of the information to assess the implications of sustainability-related risks and opportunities on an entity’s enterprise value. However, it is crucial </w:t>
            </w:r>
            <w:r w:rsidR="00196923">
              <w:rPr>
                <w:sz w:val="17"/>
                <w:szCs w:val="17"/>
              </w:rPr>
              <w:t xml:space="preserve">to have clarity </w:t>
            </w:r>
            <w:r w:rsidRPr="00057ED8">
              <w:rPr>
                <w:sz w:val="17"/>
                <w:szCs w:val="17"/>
              </w:rPr>
              <w:t>on how</w:t>
            </w:r>
            <w:r w:rsidR="00C10B48" w:rsidRPr="00057ED8">
              <w:rPr>
                <w:sz w:val="17"/>
                <w:szCs w:val="17"/>
              </w:rPr>
              <w:t xml:space="preserve"> </w:t>
            </w:r>
            <w:r w:rsidR="00332F57" w:rsidRPr="00057ED8">
              <w:rPr>
                <w:sz w:val="17"/>
                <w:szCs w:val="17"/>
              </w:rPr>
              <w:t>IFRS</w:t>
            </w:r>
            <w:r w:rsidR="00C10B48" w:rsidRPr="00057ED8">
              <w:rPr>
                <w:sz w:val="17"/>
                <w:szCs w:val="17"/>
              </w:rPr>
              <w:t xml:space="preserve"> standards</w:t>
            </w:r>
            <w:r w:rsidR="00332F57" w:rsidRPr="00057ED8">
              <w:rPr>
                <w:sz w:val="17"/>
                <w:szCs w:val="17"/>
              </w:rPr>
              <w:t xml:space="preserve"> interact with </w:t>
            </w:r>
            <w:r w:rsidR="00A96814" w:rsidRPr="00057ED8">
              <w:rPr>
                <w:sz w:val="17"/>
                <w:szCs w:val="17"/>
              </w:rPr>
              <w:t xml:space="preserve">supplementary </w:t>
            </w:r>
            <w:r w:rsidR="00DA2FE5" w:rsidRPr="00057ED8">
              <w:rPr>
                <w:sz w:val="17"/>
                <w:szCs w:val="17"/>
              </w:rPr>
              <w:t xml:space="preserve">standards </w:t>
            </w:r>
            <w:r w:rsidR="00D65406" w:rsidRPr="00057ED8">
              <w:rPr>
                <w:sz w:val="17"/>
                <w:szCs w:val="17"/>
              </w:rPr>
              <w:t>by</w:t>
            </w:r>
            <w:r w:rsidR="00DA2FE5" w:rsidRPr="00057ED8">
              <w:rPr>
                <w:sz w:val="17"/>
                <w:szCs w:val="17"/>
              </w:rPr>
              <w:t xml:space="preserve"> jurisdictions</w:t>
            </w:r>
            <w:r w:rsidR="006704DB" w:rsidRPr="00057ED8">
              <w:rPr>
                <w:sz w:val="17"/>
                <w:szCs w:val="17"/>
              </w:rPr>
              <w:t xml:space="preserve"> </w:t>
            </w:r>
            <w:r w:rsidR="00E47970">
              <w:rPr>
                <w:sz w:val="17"/>
                <w:szCs w:val="17"/>
              </w:rPr>
              <w:t>that</w:t>
            </w:r>
            <w:r w:rsidR="00E47970" w:rsidRPr="00057ED8">
              <w:rPr>
                <w:sz w:val="17"/>
                <w:szCs w:val="17"/>
              </w:rPr>
              <w:t xml:space="preserve"> </w:t>
            </w:r>
            <w:r w:rsidR="006704DB" w:rsidRPr="00057ED8">
              <w:rPr>
                <w:sz w:val="17"/>
                <w:szCs w:val="17"/>
              </w:rPr>
              <w:t>require companies</w:t>
            </w:r>
            <w:r w:rsidRPr="00057ED8">
              <w:rPr>
                <w:sz w:val="17"/>
                <w:szCs w:val="17"/>
              </w:rPr>
              <w:t xml:space="preserve"> to provide </w:t>
            </w:r>
            <w:r w:rsidR="006704DB" w:rsidRPr="00057ED8">
              <w:rPr>
                <w:sz w:val="17"/>
                <w:szCs w:val="17"/>
              </w:rPr>
              <w:t xml:space="preserve">further </w:t>
            </w:r>
            <w:r w:rsidRPr="00057ED8">
              <w:rPr>
                <w:sz w:val="17"/>
                <w:szCs w:val="17"/>
              </w:rPr>
              <w:t>information</w:t>
            </w:r>
            <w:r w:rsidR="00C82DE0" w:rsidRPr="00057ED8">
              <w:rPr>
                <w:sz w:val="17"/>
                <w:szCs w:val="17"/>
              </w:rPr>
              <w:t>, especially to cover the impact materiality perspective,</w:t>
            </w:r>
            <w:r w:rsidR="006704DB" w:rsidRPr="00057ED8">
              <w:rPr>
                <w:sz w:val="17"/>
                <w:szCs w:val="17"/>
              </w:rPr>
              <w:t xml:space="preserve"> and address </w:t>
            </w:r>
            <w:r w:rsidR="00C82DE0" w:rsidRPr="00057ED8">
              <w:rPr>
                <w:sz w:val="17"/>
                <w:szCs w:val="17"/>
              </w:rPr>
              <w:t>further stakeholders</w:t>
            </w:r>
            <w:r w:rsidR="00F95CC3">
              <w:rPr>
                <w:sz w:val="17"/>
                <w:szCs w:val="17"/>
              </w:rPr>
              <w:t xml:space="preserve">, in particular </w:t>
            </w:r>
            <w:r w:rsidRPr="00057ED8">
              <w:rPr>
                <w:sz w:val="17"/>
                <w:szCs w:val="17"/>
              </w:rPr>
              <w:t>as the basis for conclusions on general requirements for disclosure of sustainability-related financial information states that both concepts are “expected to overlap significantly” (see paragraph BC32).</w:t>
            </w:r>
            <w:r w:rsidR="00B567DC">
              <w:rPr>
                <w:sz w:val="17"/>
                <w:szCs w:val="17"/>
              </w:rPr>
              <w:t xml:space="preserve"> </w:t>
            </w:r>
            <w:r w:rsidR="00260C2D">
              <w:rPr>
                <w:sz w:val="17"/>
                <w:szCs w:val="17"/>
              </w:rPr>
              <w:t>Here</w:t>
            </w:r>
            <w:r w:rsidR="00B567DC">
              <w:rPr>
                <w:sz w:val="17"/>
                <w:szCs w:val="17"/>
              </w:rPr>
              <w:t>,</w:t>
            </w:r>
            <w:r w:rsidR="00DA2FE4">
              <w:rPr>
                <w:sz w:val="17"/>
                <w:szCs w:val="17"/>
              </w:rPr>
              <w:t xml:space="preserve"> </w:t>
            </w:r>
            <w:r w:rsidR="00DA2FE4" w:rsidRPr="00057ED8">
              <w:rPr>
                <w:sz w:val="17"/>
                <w:szCs w:val="17"/>
              </w:rPr>
              <w:t>European insurance undertakings</w:t>
            </w:r>
            <w:r w:rsidR="00B567DC">
              <w:rPr>
                <w:sz w:val="17"/>
                <w:szCs w:val="17"/>
              </w:rPr>
              <w:t xml:space="preserve"> </w:t>
            </w:r>
            <w:r w:rsidR="00DA2FE4">
              <w:rPr>
                <w:sz w:val="17"/>
                <w:szCs w:val="17"/>
              </w:rPr>
              <w:t xml:space="preserve">see potential for the ISSB to leverage its formal cooperation with the </w:t>
            </w:r>
            <w:r w:rsidR="00525026">
              <w:rPr>
                <w:sz w:val="17"/>
                <w:szCs w:val="17"/>
              </w:rPr>
              <w:t xml:space="preserve">Global Reporting Initiative </w:t>
            </w:r>
            <w:r w:rsidR="00EB35FD">
              <w:rPr>
                <w:sz w:val="17"/>
                <w:szCs w:val="17"/>
              </w:rPr>
              <w:t>(</w:t>
            </w:r>
            <w:r w:rsidR="00DA2FE4">
              <w:rPr>
                <w:sz w:val="17"/>
                <w:szCs w:val="17"/>
              </w:rPr>
              <w:t>GRI</w:t>
            </w:r>
            <w:r w:rsidR="00EB35FD">
              <w:rPr>
                <w:sz w:val="17"/>
                <w:szCs w:val="17"/>
              </w:rPr>
              <w:t>)</w:t>
            </w:r>
            <w:r w:rsidR="00DA2FE4">
              <w:rPr>
                <w:sz w:val="17"/>
                <w:szCs w:val="17"/>
              </w:rPr>
              <w:t xml:space="preserve"> to achieve interoperable building blocks for multi-stakeholder reporting, where building blocks can be applied separately but also jointly if investors and broader stakeholders </w:t>
            </w:r>
            <w:r w:rsidR="001A7685">
              <w:rPr>
                <w:sz w:val="17"/>
                <w:szCs w:val="17"/>
              </w:rPr>
              <w:t>are considered</w:t>
            </w:r>
            <w:r w:rsidR="00DA2FE4">
              <w:rPr>
                <w:sz w:val="17"/>
                <w:szCs w:val="17"/>
              </w:rPr>
              <w:t>.</w:t>
            </w:r>
            <w:r w:rsidR="00EE2DEA">
              <w:rPr>
                <w:sz w:val="17"/>
                <w:szCs w:val="17"/>
              </w:rPr>
              <w:t xml:space="preserve"> Besides this</w:t>
            </w:r>
            <w:r w:rsidR="00FA2022">
              <w:rPr>
                <w:sz w:val="17"/>
                <w:szCs w:val="17"/>
              </w:rPr>
              <w:t>,</w:t>
            </w:r>
            <w:r w:rsidR="00EE2DEA">
              <w:rPr>
                <w:sz w:val="17"/>
                <w:szCs w:val="17"/>
              </w:rPr>
              <w:t xml:space="preserve"> and</w:t>
            </w:r>
            <w:r w:rsidR="00EE2DEA">
              <w:t xml:space="preserve"> </w:t>
            </w:r>
            <w:r w:rsidR="00EE2DEA" w:rsidRPr="00EE2DEA">
              <w:rPr>
                <w:sz w:val="17"/>
                <w:szCs w:val="17"/>
              </w:rPr>
              <w:t xml:space="preserve">in any case, </w:t>
            </w:r>
            <w:r w:rsidR="00FA2022">
              <w:rPr>
                <w:sz w:val="17"/>
                <w:szCs w:val="17"/>
              </w:rPr>
              <w:t>Insurance Europ</w:t>
            </w:r>
            <w:r w:rsidR="00EE2DEA" w:rsidRPr="00EE2DEA">
              <w:rPr>
                <w:sz w:val="17"/>
                <w:szCs w:val="17"/>
              </w:rPr>
              <w:t>e urge</w:t>
            </w:r>
            <w:r w:rsidR="00FA2022">
              <w:rPr>
                <w:sz w:val="17"/>
                <w:szCs w:val="17"/>
              </w:rPr>
              <w:t>s</w:t>
            </w:r>
            <w:r w:rsidR="00EE2DEA" w:rsidRPr="00EE2DEA">
              <w:rPr>
                <w:sz w:val="17"/>
                <w:szCs w:val="17"/>
              </w:rPr>
              <w:t xml:space="preserve"> the ISSB to increase its effort</w:t>
            </w:r>
            <w:r w:rsidR="00FA2022">
              <w:rPr>
                <w:sz w:val="17"/>
                <w:szCs w:val="17"/>
              </w:rPr>
              <w:t>,</w:t>
            </w:r>
            <w:r w:rsidR="00EE2DEA" w:rsidRPr="00EE2DEA">
              <w:rPr>
                <w:sz w:val="17"/>
                <w:szCs w:val="17"/>
              </w:rPr>
              <w:t xml:space="preserve"> together with EFRAG</w:t>
            </w:r>
            <w:r w:rsidR="00FA2022">
              <w:rPr>
                <w:sz w:val="17"/>
                <w:szCs w:val="17"/>
              </w:rPr>
              <w:t>,</w:t>
            </w:r>
            <w:r w:rsidR="00EE2DEA" w:rsidRPr="00EE2DEA">
              <w:rPr>
                <w:sz w:val="17"/>
                <w:szCs w:val="17"/>
              </w:rPr>
              <w:t xml:space="preserve"> to foster </w:t>
            </w:r>
            <w:r w:rsidR="00FA2022">
              <w:rPr>
                <w:sz w:val="17"/>
                <w:szCs w:val="17"/>
              </w:rPr>
              <w:t xml:space="preserve">the </w:t>
            </w:r>
            <w:r w:rsidR="00EE2DEA" w:rsidRPr="00EE2DEA">
              <w:rPr>
                <w:sz w:val="17"/>
                <w:szCs w:val="17"/>
              </w:rPr>
              <w:t xml:space="preserve">alignment and compatibility/interoperability of ISSB and European </w:t>
            </w:r>
            <w:r w:rsidR="00FA2022">
              <w:rPr>
                <w:sz w:val="17"/>
                <w:szCs w:val="17"/>
              </w:rPr>
              <w:t>s</w:t>
            </w:r>
            <w:r w:rsidR="00EE2DEA" w:rsidRPr="00EE2DEA">
              <w:rPr>
                <w:sz w:val="17"/>
                <w:szCs w:val="17"/>
              </w:rPr>
              <w:t>tandards</w:t>
            </w:r>
            <w:r w:rsidR="00EE2DEA">
              <w:rPr>
                <w:sz w:val="17"/>
                <w:szCs w:val="17"/>
              </w:rPr>
              <w:t>.</w:t>
            </w:r>
            <w:r w:rsidRPr="00057ED8">
              <w:rPr>
                <w:sz w:val="17"/>
                <w:szCs w:val="17"/>
              </w:rPr>
              <w:t xml:space="preserve"> </w:t>
            </w:r>
          </w:p>
          <w:p w14:paraId="2F8C18DF" w14:textId="24E2CB02" w:rsidR="00920235" w:rsidRPr="00057ED8" w:rsidRDefault="00920235" w:rsidP="00C61B54">
            <w:pPr>
              <w:rPr>
                <w:sz w:val="17"/>
                <w:szCs w:val="17"/>
              </w:rPr>
            </w:pPr>
          </w:p>
        </w:tc>
      </w:tr>
    </w:tbl>
    <w:p w14:paraId="1BEB164D" w14:textId="77777777" w:rsidR="002D5B55" w:rsidRPr="00057ED8" w:rsidRDefault="002D5B55" w:rsidP="00F768D9">
      <w:pPr>
        <w:rPr>
          <w:sz w:val="17"/>
          <w:szCs w:val="17"/>
        </w:rPr>
      </w:pPr>
    </w:p>
    <w:p w14:paraId="39D80FA7" w14:textId="77777777" w:rsidR="002D5B55" w:rsidRPr="00057ED8" w:rsidRDefault="002D5B55" w:rsidP="00F768D9">
      <w:pPr>
        <w:rPr>
          <w:sz w:val="17"/>
          <w:szCs w:val="17"/>
        </w:rPr>
      </w:pPr>
    </w:p>
    <w:p w14:paraId="1BA385E1" w14:textId="1CACDE16" w:rsidR="00140EAF" w:rsidRPr="00057ED8" w:rsidRDefault="00140EAF" w:rsidP="00F768D9">
      <w:pPr>
        <w:rPr>
          <w:b/>
          <w:bCs/>
          <w:sz w:val="17"/>
          <w:szCs w:val="17"/>
        </w:rPr>
      </w:pPr>
      <w:r w:rsidRPr="00057ED8">
        <w:rPr>
          <w:b/>
          <w:bCs/>
          <w:sz w:val="17"/>
          <w:szCs w:val="17"/>
        </w:rPr>
        <w:t>Question 4—Core content (paragraphs 11–35)</w:t>
      </w:r>
    </w:p>
    <w:p w14:paraId="0A55A4FB" w14:textId="77777777" w:rsidR="00C66AD8" w:rsidRPr="00057ED8" w:rsidRDefault="00C66AD8" w:rsidP="00F768D9">
      <w:pPr>
        <w:rPr>
          <w:sz w:val="17"/>
          <w:szCs w:val="17"/>
        </w:rPr>
      </w:pPr>
      <w:r w:rsidRPr="00057ED8">
        <w:rPr>
          <w:sz w:val="17"/>
          <w:szCs w:val="17"/>
        </w:rPr>
        <w:t>The Exposure Draft includes proposals that entities disclose information that enables primary users to assess enterprise value. The information required would represent core aspects of the way in which an entity operates.</w:t>
      </w:r>
    </w:p>
    <w:p w14:paraId="12E1BF54" w14:textId="77777777" w:rsidR="00F016BC" w:rsidRPr="00057ED8" w:rsidRDefault="00F016BC" w:rsidP="00F768D9">
      <w:pPr>
        <w:rPr>
          <w:sz w:val="17"/>
          <w:szCs w:val="17"/>
        </w:rPr>
      </w:pPr>
    </w:p>
    <w:p w14:paraId="12A6E244" w14:textId="77777777" w:rsidR="00C66AD8" w:rsidRPr="00057ED8" w:rsidRDefault="00C66AD8" w:rsidP="00F768D9">
      <w:pPr>
        <w:rPr>
          <w:sz w:val="17"/>
          <w:szCs w:val="17"/>
        </w:rPr>
      </w:pPr>
      <w:r w:rsidRPr="00057ED8">
        <w:rPr>
          <w:sz w:val="17"/>
          <w:szCs w:val="17"/>
        </w:rPr>
        <w:t>This approach reflects stakeholder feedback on key requirements for success in the Trustees’ 2020 consultation on sustainability reporting, and builds upon the well- established work of the TCFD.</w:t>
      </w:r>
    </w:p>
    <w:p w14:paraId="288438E9" w14:textId="77777777" w:rsidR="00F016BC" w:rsidRPr="00057ED8" w:rsidRDefault="00F016BC" w:rsidP="00F768D9">
      <w:pPr>
        <w:rPr>
          <w:sz w:val="17"/>
          <w:szCs w:val="17"/>
        </w:rPr>
      </w:pPr>
    </w:p>
    <w:p w14:paraId="2742FD35" w14:textId="77777777" w:rsidR="00C66AD8" w:rsidRPr="00057ED8" w:rsidRDefault="00C66AD8" w:rsidP="00F768D9">
      <w:pPr>
        <w:rPr>
          <w:b/>
          <w:bCs/>
          <w:sz w:val="17"/>
          <w:szCs w:val="17"/>
        </w:rPr>
      </w:pPr>
      <w:r w:rsidRPr="00057ED8">
        <w:rPr>
          <w:b/>
          <w:bCs/>
          <w:sz w:val="17"/>
          <w:szCs w:val="17"/>
        </w:rPr>
        <w:t>Governance</w:t>
      </w:r>
    </w:p>
    <w:p w14:paraId="4FF89E10" w14:textId="77777777" w:rsidR="00C66AD8" w:rsidRPr="00057ED8" w:rsidRDefault="00C66AD8" w:rsidP="00F768D9">
      <w:pPr>
        <w:rPr>
          <w:sz w:val="17"/>
          <w:szCs w:val="17"/>
        </w:rPr>
      </w:pPr>
      <w:r w:rsidRPr="00057ED8">
        <w:rPr>
          <w:sz w:val="17"/>
          <w:szCs w:val="17"/>
        </w:rPr>
        <w:t>The Exposure Draft proposes that the objective of sustainability-related financial disclosures on governance would be:</w:t>
      </w:r>
    </w:p>
    <w:p w14:paraId="0FD4B46A" w14:textId="59AF993B" w:rsidR="00C66AD8" w:rsidRPr="00057ED8" w:rsidRDefault="00C66AD8" w:rsidP="00627608">
      <w:pPr>
        <w:ind w:left="708"/>
        <w:rPr>
          <w:i/>
          <w:iCs/>
          <w:sz w:val="17"/>
          <w:szCs w:val="17"/>
        </w:rPr>
      </w:pPr>
      <w:r w:rsidRPr="00057ED8">
        <w:rPr>
          <w:i/>
          <w:iCs/>
          <w:sz w:val="17"/>
          <w:szCs w:val="17"/>
        </w:rPr>
        <w:t xml:space="preserve">to enable the primary users of </w:t>
      </w:r>
      <w:proofErr w:type="gramStart"/>
      <w:r w:rsidRPr="00057ED8">
        <w:rPr>
          <w:i/>
          <w:iCs/>
          <w:sz w:val="17"/>
          <w:szCs w:val="17"/>
        </w:rPr>
        <w:t>general purpose</w:t>
      </w:r>
      <w:proofErr w:type="gramEnd"/>
      <w:r w:rsidRPr="00057ED8">
        <w:rPr>
          <w:i/>
          <w:iCs/>
          <w:sz w:val="17"/>
          <w:szCs w:val="17"/>
        </w:rPr>
        <w:t xml:space="preserve"> financial reporting to understand the governance processes, controls and procedures used to monitor and manage significant sustainability-related risks and opportunities.</w:t>
      </w:r>
    </w:p>
    <w:p w14:paraId="7C116EC9" w14:textId="77777777" w:rsidR="00F016BC" w:rsidRPr="00057ED8" w:rsidRDefault="00F016BC" w:rsidP="00F768D9">
      <w:pPr>
        <w:rPr>
          <w:sz w:val="17"/>
          <w:szCs w:val="17"/>
        </w:rPr>
      </w:pPr>
    </w:p>
    <w:p w14:paraId="6E1A0FDC" w14:textId="01B79D12" w:rsidR="00C66AD8" w:rsidRPr="00057ED8" w:rsidRDefault="00C66AD8" w:rsidP="00F768D9">
      <w:pPr>
        <w:rPr>
          <w:b/>
          <w:bCs/>
          <w:sz w:val="17"/>
          <w:szCs w:val="17"/>
        </w:rPr>
      </w:pPr>
      <w:r w:rsidRPr="00057ED8">
        <w:rPr>
          <w:b/>
          <w:bCs/>
          <w:sz w:val="17"/>
          <w:szCs w:val="17"/>
        </w:rPr>
        <w:t>Strategy</w:t>
      </w:r>
    </w:p>
    <w:p w14:paraId="78DF6474" w14:textId="7C43EBD9" w:rsidR="00C66AD8" w:rsidRPr="00057ED8" w:rsidRDefault="00C66AD8" w:rsidP="00F768D9">
      <w:pPr>
        <w:rPr>
          <w:sz w:val="17"/>
          <w:szCs w:val="17"/>
        </w:rPr>
      </w:pPr>
      <w:r w:rsidRPr="00057ED8">
        <w:rPr>
          <w:sz w:val="17"/>
          <w:szCs w:val="17"/>
        </w:rPr>
        <w:lastRenderedPageBreak/>
        <w:t>The Exposure Draft proposes that the objective of sustainability-related financial disclosures on strategy would be:</w:t>
      </w:r>
    </w:p>
    <w:p w14:paraId="2D1DA7F5" w14:textId="77777777" w:rsidR="00C66AD8" w:rsidRPr="00057ED8" w:rsidRDefault="00C66AD8" w:rsidP="00627608">
      <w:pPr>
        <w:ind w:left="708"/>
        <w:rPr>
          <w:i/>
          <w:iCs/>
          <w:sz w:val="17"/>
          <w:szCs w:val="17"/>
        </w:rPr>
      </w:pPr>
      <w:r w:rsidRPr="00057ED8">
        <w:rPr>
          <w:i/>
          <w:iCs/>
          <w:sz w:val="17"/>
          <w:szCs w:val="17"/>
        </w:rPr>
        <w:t xml:space="preserve">to enable users of </w:t>
      </w:r>
      <w:proofErr w:type="gramStart"/>
      <w:r w:rsidRPr="00057ED8">
        <w:rPr>
          <w:i/>
          <w:iCs/>
          <w:sz w:val="17"/>
          <w:szCs w:val="17"/>
        </w:rPr>
        <w:t>general purpose</w:t>
      </w:r>
      <w:proofErr w:type="gramEnd"/>
      <w:r w:rsidRPr="00057ED8">
        <w:rPr>
          <w:i/>
          <w:iCs/>
          <w:sz w:val="17"/>
          <w:szCs w:val="17"/>
        </w:rPr>
        <w:t xml:space="preserve"> financial reporting to understand an entity’s strategy for addressing significant sustainability-related risks and opportunities.</w:t>
      </w:r>
    </w:p>
    <w:p w14:paraId="27F70869" w14:textId="77777777" w:rsidR="00627608" w:rsidRPr="00057ED8" w:rsidRDefault="00627608" w:rsidP="00F768D9">
      <w:pPr>
        <w:rPr>
          <w:sz w:val="17"/>
          <w:szCs w:val="17"/>
        </w:rPr>
      </w:pPr>
    </w:p>
    <w:p w14:paraId="65C1388B" w14:textId="1DE6527B" w:rsidR="00C66AD8" w:rsidRPr="00057ED8" w:rsidRDefault="00C66AD8" w:rsidP="00F768D9">
      <w:pPr>
        <w:rPr>
          <w:b/>
          <w:bCs/>
          <w:sz w:val="17"/>
          <w:szCs w:val="17"/>
        </w:rPr>
      </w:pPr>
      <w:r w:rsidRPr="00057ED8">
        <w:rPr>
          <w:b/>
          <w:bCs/>
          <w:sz w:val="17"/>
          <w:szCs w:val="17"/>
        </w:rPr>
        <w:t>Risk management</w:t>
      </w:r>
    </w:p>
    <w:p w14:paraId="40A324D5" w14:textId="77777777" w:rsidR="00C66AD8" w:rsidRPr="00057ED8" w:rsidRDefault="00C66AD8" w:rsidP="00F768D9">
      <w:pPr>
        <w:rPr>
          <w:sz w:val="17"/>
          <w:szCs w:val="17"/>
        </w:rPr>
      </w:pPr>
      <w:r w:rsidRPr="00057ED8">
        <w:rPr>
          <w:sz w:val="17"/>
          <w:szCs w:val="17"/>
        </w:rPr>
        <w:t>The Exposure Draft proposes that the objective of sustainability-related financial disclosures on risk management would be:</w:t>
      </w:r>
    </w:p>
    <w:p w14:paraId="4DC8CE47" w14:textId="77777777" w:rsidR="00C66AD8" w:rsidRPr="00057ED8" w:rsidRDefault="00C66AD8" w:rsidP="00627608">
      <w:pPr>
        <w:ind w:left="708"/>
        <w:rPr>
          <w:i/>
          <w:iCs/>
          <w:sz w:val="17"/>
          <w:szCs w:val="17"/>
        </w:rPr>
      </w:pPr>
      <w:r w:rsidRPr="00057ED8">
        <w:rPr>
          <w:i/>
          <w:iCs/>
          <w:sz w:val="17"/>
          <w:szCs w:val="17"/>
        </w:rPr>
        <w:t xml:space="preserve">to enable the users of </w:t>
      </w:r>
      <w:proofErr w:type="gramStart"/>
      <w:r w:rsidRPr="00057ED8">
        <w:rPr>
          <w:i/>
          <w:iCs/>
          <w:sz w:val="17"/>
          <w:szCs w:val="17"/>
        </w:rPr>
        <w:t>general purpose</w:t>
      </w:r>
      <w:proofErr w:type="gramEnd"/>
      <w:r w:rsidRPr="00057ED8">
        <w:rPr>
          <w:i/>
          <w:iCs/>
          <w:sz w:val="17"/>
          <w:szCs w:val="17"/>
        </w:rPr>
        <w:t xml:space="preserve"> financial reporting to understand the process, or processes, by which sustainability-related risks and opportunities are identified, assessed and managed. These disclosures shall also enable users to assess whether those processes are integrated into the entity’s overall risk management processes and to evaluate the entity’s overall risk profile and risk management processes.</w:t>
      </w:r>
    </w:p>
    <w:p w14:paraId="4E6CC548" w14:textId="77777777" w:rsidR="00627608" w:rsidRPr="00057ED8" w:rsidRDefault="00627608" w:rsidP="00627608">
      <w:pPr>
        <w:ind w:left="708"/>
        <w:rPr>
          <w:i/>
          <w:iCs/>
          <w:sz w:val="17"/>
          <w:szCs w:val="17"/>
        </w:rPr>
      </w:pPr>
    </w:p>
    <w:p w14:paraId="2B9E5DE6" w14:textId="73ACFCD7" w:rsidR="00C66AD8" w:rsidRPr="00057ED8" w:rsidRDefault="00C66AD8" w:rsidP="00627608">
      <w:pPr>
        <w:rPr>
          <w:b/>
          <w:bCs/>
          <w:sz w:val="17"/>
          <w:szCs w:val="17"/>
        </w:rPr>
      </w:pPr>
      <w:r w:rsidRPr="00057ED8">
        <w:rPr>
          <w:b/>
          <w:bCs/>
          <w:sz w:val="17"/>
          <w:szCs w:val="17"/>
        </w:rPr>
        <w:t>Metrics and targets</w:t>
      </w:r>
    </w:p>
    <w:p w14:paraId="75850DCE" w14:textId="77777777" w:rsidR="00C66AD8" w:rsidRPr="00057ED8" w:rsidRDefault="00C66AD8" w:rsidP="00F768D9">
      <w:pPr>
        <w:rPr>
          <w:sz w:val="17"/>
          <w:szCs w:val="17"/>
        </w:rPr>
      </w:pPr>
      <w:r w:rsidRPr="00057ED8">
        <w:rPr>
          <w:sz w:val="17"/>
          <w:szCs w:val="17"/>
        </w:rPr>
        <w:t>The Exposure Draft proposes that the objective of sustainability-related financial disclosures on metrics and targets would be:</w:t>
      </w:r>
    </w:p>
    <w:p w14:paraId="0C6F7C18" w14:textId="77777777" w:rsidR="00C66AD8" w:rsidRPr="00057ED8" w:rsidRDefault="00C66AD8" w:rsidP="00627608">
      <w:pPr>
        <w:ind w:left="708"/>
        <w:rPr>
          <w:i/>
          <w:iCs/>
          <w:sz w:val="17"/>
          <w:szCs w:val="17"/>
        </w:rPr>
      </w:pPr>
      <w:r w:rsidRPr="00057ED8">
        <w:rPr>
          <w:i/>
          <w:iCs/>
          <w:sz w:val="17"/>
          <w:szCs w:val="17"/>
        </w:rPr>
        <w:t xml:space="preserve">to enable users of </w:t>
      </w:r>
      <w:proofErr w:type="gramStart"/>
      <w:r w:rsidRPr="00057ED8">
        <w:rPr>
          <w:i/>
          <w:iCs/>
          <w:sz w:val="17"/>
          <w:szCs w:val="17"/>
        </w:rPr>
        <w:t>general purpose</w:t>
      </w:r>
      <w:proofErr w:type="gramEnd"/>
      <w:r w:rsidRPr="00057ED8">
        <w:rPr>
          <w:i/>
          <w:iCs/>
          <w:sz w:val="17"/>
          <w:szCs w:val="17"/>
        </w:rPr>
        <w:t xml:space="preserve"> financial reporting to understand how an entity measures, monitors and manages its significant sustainability-related risks and opportunities. These disclosures shall enable users to understand how the entity assesses its performance, including progress towards the targets it has set.</w:t>
      </w:r>
    </w:p>
    <w:p w14:paraId="65E63CC3" w14:textId="77777777" w:rsidR="00217CC7" w:rsidRPr="00057ED8" w:rsidRDefault="00217CC7" w:rsidP="00F768D9">
      <w:pPr>
        <w:rPr>
          <w:sz w:val="17"/>
          <w:szCs w:val="17"/>
        </w:rPr>
      </w:pPr>
    </w:p>
    <w:p w14:paraId="2BF859B2" w14:textId="4F81EF41" w:rsidR="00C66AD8" w:rsidRPr="00057ED8" w:rsidRDefault="00C66AD8" w:rsidP="006945DC">
      <w:pPr>
        <w:pStyle w:val="Odsekzoznamu"/>
        <w:numPr>
          <w:ilvl w:val="0"/>
          <w:numId w:val="6"/>
        </w:numPr>
        <w:spacing w:before="0" w:line="288" w:lineRule="auto"/>
        <w:rPr>
          <w:szCs w:val="17"/>
          <w:lang w:val="en-GB"/>
        </w:rPr>
      </w:pPr>
      <w:r w:rsidRPr="00057ED8">
        <w:rPr>
          <w:szCs w:val="17"/>
          <w:lang w:val="en-GB"/>
        </w:rPr>
        <w:t>Are the disclosure objectives for governance, strategy, risk management and metrics and targets clear and appropriately defined? Why or why not?</w:t>
      </w:r>
    </w:p>
    <w:p w14:paraId="7FEF7E68" w14:textId="77777777" w:rsidR="00217CC7" w:rsidRPr="00057ED8" w:rsidRDefault="00217CC7" w:rsidP="00217CC7">
      <w:pPr>
        <w:rPr>
          <w:sz w:val="17"/>
          <w:szCs w:val="17"/>
        </w:rPr>
      </w:pPr>
    </w:p>
    <w:p w14:paraId="71A1FE30" w14:textId="7FF4AE6C" w:rsidR="00152882" w:rsidRPr="00057ED8" w:rsidRDefault="00C66AD8" w:rsidP="006945DC">
      <w:pPr>
        <w:pStyle w:val="Odsekzoznamu"/>
        <w:numPr>
          <w:ilvl w:val="0"/>
          <w:numId w:val="6"/>
        </w:numPr>
        <w:spacing w:before="0" w:line="288" w:lineRule="auto"/>
        <w:rPr>
          <w:szCs w:val="17"/>
          <w:lang w:val="en-GB"/>
        </w:rPr>
      </w:pPr>
      <w:r w:rsidRPr="00057ED8">
        <w:rPr>
          <w:szCs w:val="17"/>
          <w:lang w:val="en-GB"/>
        </w:rPr>
        <w:t>Are the disclosure requirements for governance, strategy, risk management and metrics and targets appropriate to their stated disclosure objective? Why or why not?</w:t>
      </w:r>
    </w:p>
    <w:p w14:paraId="3F8EB82C" w14:textId="77777777" w:rsidR="00C66AD8" w:rsidRPr="00057ED8" w:rsidRDefault="00C66AD8" w:rsidP="00F768D9">
      <w:pPr>
        <w:rPr>
          <w:sz w:val="17"/>
          <w:szCs w:val="17"/>
        </w:rPr>
      </w:pPr>
    </w:p>
    <w:tbl>
      <w:tblPr>
        <w:tblStyle w:val="Mriekatabuky"/>
        <w:tblW w:w="0" w:type="auto"/>
        <w:tblLook w:val="04A0" w:firstRow="1" w:lastRow="0" w:firstColumn="1" w:lastColumn="0" w:noHBand="0" w:noVBand="1"/>
      </w:tblPr>
      <w:tblGrid>
        <w:gridCol w:w="9521"/>
      </w:tblGrid>
      <w:tr w:rsidR="00920235" w:rsidRPr="00057ED8" w14:paraId="5DFEEF8C" w14:textId="77777777" w:rsidTr="00C61B54">
        <w:trPr>
          <w:trHeight w:val="1625"/>
        </w:trPr>
        <w:tc>
          <w:tcPr>
            <w:tcW w:w="9521" w:type="dxa"/>
          </w:tcPr>
          <w:p w14:paraId="1F66CAD7" w14:textId="77777777" w:rsidR="007B09D7" w:rsidRPr="00057ED8" w:rsidRDefault="007B09D7" w:rsidP="00812D6D">
            <w:pPr>
              <w:pStyle w:val="Odsekzoznamu"/>
              <w:numPr>
                <w:ilvl w:val="0"/>
                <w:numId w:val="32"/>
              </w:numPr>
              <w:rPr>
                <w:szCs w:val="17"/>
                <w:lang w:val="en-GB"/>
              </w:rPr>
            </w:pPr>
            <w:r w:rsidRPr="00057ED8">
              <w:rPr>
                <w:szCs w:val="17"/>
                <w:highlight w:val="cyan"/>
                <w:lang w:val="en-GB"/>
              </w:rPr>
              <w:t>Broadly agree</w:t>
            </w:r>
            <w:r w:rsidRPr="00057ED8">
              <w:rPr>
                <w:szCs w:val="17"/>
                <w:lang w:val="en-GB"/>
              </w:rPr>
              <w:t xml:space="preserve"> / broadly disagree / other</w:t>
            </w:r>
          </w:p>
          <w:p w14:paraId="5648FB9D" w14:textId="2CFA7E5B" w:rsidR="00FD1DCB" w:rsidRDefault="00FD1DCB" w:rsidP="00FD1DCB">
            <w:pPr>
              <w:pStyle w:val="Odsekzoznamu"/>
              <w:ind w:left="720" w:firstLine="0"/>
              <w:rPr>
                <w:szCs w:val="17"/>
                <w:lang w:val="en-GB"/>
              </w:rPr>
            </w:pPr>
            <w:r w:rsidRPr="00057ED8">
              <w:rPr>
                <w:szCs w:val="17"/>
                <w:lang w:val="en-GB"/>
              </w:rPr>
              <w:t xml:space="preserve">Generally, yes. </w:t>
            </w:r>
            <w:r w:rsidR="00FA2022">
              <w:rPr>
                <w:szCs w:val="17"/>
                <w:lang w:val="en-GB"/>
              </w:rPr>
              <w:t>Insurance Europ</w:t>
            </w:r>
            <w:r w:rsidRPr="00057ED8">
              <w:rPr>
                <w:szCs w:val="17"/>
                <w:lang w:val="en-GB"/>
              </w:rPr>
              <w:t xml:space="preserve">e </w:t>
            </w:r>
            <w:r w:rsidR="00FA2022">
              <w:rPr>
                <w:szCs w:val="17"/>
                <w:lang w:val="en-GB"/>
              </w:rPr>
              <w:t>warmly</w:t>
            </w:r>
            <w:r w:rsidR="00FA2022" w:rsidRPr="00057ED8">
              <w:rPr>
                <w:szCs w:val="17"/>
                <w:lang w:val="en-GB"/>
              </w:rPr>
              <w:t xml:space="preserve"> </w:t>
            </w:r>
            <w:r w:rsidRPr="00057ED8">
              <w:rPr>
                <w:szCs w:val="17"/>
                <w:lang w:val="en-GB"/>
              </w:rPr>
              <w:t>welcome</w:t>
            </w:r>
            <w:r w:rsidR="00FA2022">
              <w:rPr>
                <w:szCs w:val="17"/>
                <w:lang w:val="en-GB"/>
              </w:rPr>
              <w:t>s</w:t>
            </w:r>
            <w:r w:rsidRPr="00057ED8">
              <w:rPr>
                <w:szCs w:val="17"/>
                <w:lang w:val="en-GB"/>
              </w:rPr>
              <w:t xml:space="preserve"> the ISSB’s approach </w:t>
            </w:r>
            <w:r w:rsidR="00FA2022">
              <w:rPr>
                <w:szCs w:val="17"/>
                <w:lang w:val="en-GB"/>
              </w:rPr>
              <w:t>of</w:t>
            </w:r>
            <w:r w:rsidR="00FA2022" w:rsidRPr="00057ED8">
              <w:rPr>
                <w:szCs w:val="17"/>
                <w:lang w:val="en-GB"/>
              </w:rPr>
              <w:t xml:space="preserve"> </w:t>
            </w:r>
            <w:r w:rsidRPr="00057ED8">
              <w:rPr>
                <w:szCs w:val="17"/>
                <w:lang w:val="en-GB"/>
              </w:rPr>
              <w:t>build</w:t>
            </w:r>
            <w:r w:rsidR="00FA2022">
              <w:rPr>
                <w:szCs w:val="17"/>
                <w:lang w:val="en-GB"/>
              </w:rPr>
              <w:t>ing</w:t>
            </w:r>
            <w:r w:rsidRPr="00057ED8">
              <w:rPr>
                <w:szCs w:val="17"/>
                <w:lang w:val="en-GB"/>
              </w:rPr>
              <w:t xml:space="preserve"> on existing</w:t>
            </w:r>
            <w:r w:rsidR="00740A63">
              <w:rPr>
                <w:szCs w:val="17"/>
                <w:lang w:val="en-GB"/>
              </w:rPr>
              <w:t>,</w:t>
            </w:r>
            <w:r w:rsidRPr="00057ED8">
              <w:rPr>
                <w:szCs w:val="17"/>
                <w:lang w:val="en-GB"/>
              </w:rPr>
              <w:t xml:space="preserve"> relevant and well-established sustainability reporting guidance</w:t>
            </w:r>
            <w:r w:rsidR="00B05329">
              <w:rPr>
                <w:szCs w:val="17"/>
                <w:lang w:val="en-GB"/>
              </w:rPr>
              <w:t>,</w:t>
            </w:r>
            <w:r w:rsidRPr="00057ED8">
              <w:rPr>
                <w:szCs w:val="17"/>
                <w:lang w:val="en-GB"/>
              </w:rPr>
              <w:t xml:space="preserve"> as well as its commitment to collaborate with relevant organi</w:t>
            </w:r>
            <w:r w:rsidR="00C54D53" w:rsidRPr="00057ED8">
              <w:rPr>
                <w:szCs w:val="17"/>
                <w:lang w:val="en-GB"/>
              </w:rPr>
              <w:t>s</w:t>
            </w:r>
            <w:r w:rsidRPr="00057ED8">
              <w:rPr>
                <w:szCs w:val="17"/>
                <w:lang w:val="en-GB"/>
              </w:rPr>
              <w:t xml:space="preserve">ations, initiatives and jurisdictions, including the various efforts it has already undertaken with respect to consolidation. This is not only absolutely critical to achieving timely progress, which is </w:t>
            </w:r>
            <w:r w:rsidR="00D8015C">
              <w:rPr>
                <w:szCs w:val="17"/>
                <w:lang w:val="en-GB"/>
              </w:rPr>
              <w:t>vital</w:t>
            </w:r>
            <w:r w:rsidR="00D8015C" w:rsidRPr="00057ED8">
              <w:rPr>
                <w:szCs w:val="17"/>
                <w:lang w:val="en-GB"/>
              </w:rPr>
              <w:t xml:space="preserve"> </w:t>
            </w:r>
            <w:r w:rsidRPr="00057ED8">
              <w:rPr>
                <w:szCs w:val="17"/>
                <w:lang w:val="en-GB"/>
              </w:rPr>
              <w:t>given the urgency of ESG matters</w:t>
            </w:r>
            <w:r w:rsidR="00BC3D44" w:rsidRPr="00057ED8">
              <w:rPr>
                <w:szCs w:val="17"/>
                <w:lang w:val="en-GB"/>
              </w:rPr>
              <w:t>,</w:t>
            </w:r>
            <w:r w:rsidRPr="00057ED8">
              <w:rPr>
                <w:szCs w:val="17"/>
                <w:lang w:val="en-GB"/>
              </w:rPr>
              <w:t xml:space="preserve"> but also leverages synergies to the highest possible degree. Therefore, </w:t>
            </w:r>
            <w:r w:rsidR="00D8015C">
              <w:rPr>
                <w:szCs w:val="17"/>
                <w:lang w:val="en-GB"/>
              </w:rPr>
              <w:t>Insurance Europ</w:t>
            </w:r>
            <w:r w:rsidRPr="00057ED8">
              <w:rPr>
                <w:szCs w:val="17"/>
                <w:lang w:val="en-GB"/>
              </w:rPr>
              <w:t>e strongly support</w:t>
            </w:r>
            <w:r w:rsidR="00D8015C">
              <w:rPr>
                <w:szCs w:val="17"/>
                <w:lang w:val="en-GB"/>
              </w:rPr>
              <w:t>s</w:t>
            </w:r>
            <w:r w:rsidRPr="00057ED8">
              <w:rPr>
                <w:szCs w:val="17"/>
                <w:lang w:val="en-GB"/>
              </w:rPr>
              <w:t xml:space="preserve"> the proposed structure, which builds on the well-established work of the TCFD, not only for climate but also other sustainability topics</w:t>
            </w:r>
            <w:r w:rsidR="002B2A6D" w:rsidRPr="00057ED8">
              <w:rPr>
                <w:szCs w:val="17"/>
                <w:lang w:val="en-GB"/>
              </w:rPr>
              <w:t xml:space="preserve">, and </w:t>
            </w:r>
            <w:r w:rsidR="00C91370">
              <w:rPr>
                <w:szCs w:val="17"/>
                <w:lang w:val="en-GB"/>
              </w:rPr>
              <w:t xml:space="preserve">also </w:t>
            </w:r>
            <w:r w:rsidR="002B2A6D" w:rsidRPr="00057ED8">
              <w:rPr>
                <w:szCs w:val="17"/>
                <w:lang w:val="en-GB"/>
              </w:rPr>
              <w:t xml:space="preserve">encourage the ISSB to </w:t>
            </w:r>
            <w:r w:rsidR="00C73D57" w:rsidRPr="00057ED8">
              <w:rPr>
                <w:szCs w:val="17"/>
                <w:lang w:val="en-GB"/>
              </w:rPr>
              <w:t xml:space="preserve">keep </w:t>
            </w:r>
            <w:r w:rsidR="002B2A6D" w:rsidRPr="00057ED8">
              <w:rPr>
                <w:szCs w:val="17"/>
                <w:lang w:val="en-GB"/>
              </w:rPr>
              <w:t>tighten</w:t>
            </w:r>
            <w:r w:rsidR="00C73D57" w:rsidRPr="00057ED8">
              <w:rPr>
                <w:szCs w:val="17"/>
                <w:lang w:val="en-GB"/>
              </w:rPr>
              <w:t>ing</w:t>
            </w:r>
            <w:r w:rsidR="002B2A6D" w:rsidRPr="00057ED8">
              <w:rPr>
                <w:szCs w:val="17"/>
                <w:lang w:val="en-GB"/>
              </w:rPr>
              <w:t xml:space="preserve"> cooperation with other </w:t>
            </w:r>
            <w:r w:rsidR="00C73D57" w:rsidRPr="00057ED8">
              <w:rPr>
                <w:szCs w:val="17"/>
                <w:lang w:val="en-GB"/>
              </w:rPr>
              <w:t xml:space="preserve">relevant organisations, initiatives and </w:t>
            </w:r>
            <w:r w:rsidR="002B2A6D" w:rsidRPr="00057ED8">
              <w:rPr>
                <w:szCs w:val="17"/>
                <w:lang w:val="en-GB"/>
              </w:rPr>
              <w:t>jurisdiction</w:t>
            </w:r>
            <w:r w:rsidR="00E668E5" w:rsidRPr="00057ED8">
              <w:rPr>
                <w:szCs w:val="17"/>
                <w:lang w:val="en-GB"/>
              </w:rPr>
              <w:t>s</w:t>
            </w:r>
            <w:r w:rsidRPr="00057ED8">
              <w:rPr>
                <w:szCs w:val="17"/>
                <w:lang w:val="en-GB"/>
              </w:rPr>
              <w:t>.</w:t>
            </w:r>
          </w:p>
          <w:p w14:paraId="19350F83" w14:textId="64BD55BF" w:rsidR="008D6EE4" w:rsidRPr="00057ED8" w:rsidRDefault="00DC24F5" w:rsidP="008D6EE4">
            <w:pPr>
              <w:pStyle w:val="Odsekzoznamu"/>
              <w:ind w:left="720" w:firstLine="0"/>
              <w:rPr>
                <w:szCs w:val="17"/>
                <w:lang w:val="en-GB"/>
              </w:rPr>
            </w:pPr>
            <w:r>
              <w:rPr>
                <w:szCs w:val="17"/>
                <w:lang w:val="en-GB"/>
              </w:rPr>
              <w:t xml:space="preserve">Regarding </w:t>
            </w:r>
            <w:r w:rsidR="00FA1A24" w:rsidRPr="00FA1A24">
              <w:rPr>
                <w:szCs w:val="17"/>
                <w:lang w:val="en-GB"/>
              </w:rPr>
              <w:t>the requirement of para. 16 (b)/para. 18 to define short-, medium- and long-term time horizon</w:t>
            </w:r>
            <w:r w:rsidR="00D02A2A">
              <w:rPr>
                <w:szCs w:val="17"/>
                <w:lang w:val="en-GB"/>
              </w:rPr>
              <w:t>s</w:t>
            </w:r>
            <w:r w:rsidR="00FA1A24" w:rsidRPr="00FA1A24">
              <w:rPr>
                <w:szCs w:val="17"/>
                <w:lang w:val="en-GB"/>
              </w:rPr>
              <w:t xml:space="preserve"> individually</w:t>
            </w:r>
            <w:r>
              <w:rPr>
                <w:szCs w:val="17"/>
                <w:lang w:val="en-GB"/>
              </w:rPr>
              <w:t xml:space="preserve">, </w:t>
            </w:r>
            <w:r w:rsidR="00D02A2A">
              <w:rPr>
                <w:szCs w:val="17"/>
                <w:lang w:val="en-GB"/>
              </w:rPr>
              <w:t>Insurance Europ</w:t>
            </w:r>
            <w:r w:rsidRPr="00FA1A24">
              <w:rPr>
                <w:szCs w:val="17"/>
                <w:lang w:val="en-GB"/>
              </w:rPr>
              <w:t>e would</w:t>
            </w:r>
            <w:r>
              <w:rPr>
                <w:szCs w:val="17"/>
                <w:lang w:val="en-GB"/>
              </w:rPr>
              <w:t xml:space="preserve"> </w:t>
            </w:r>
            <w:r w:rsidRPr="00FA1A24">
              <w:rPr>
                <w:szCs w:val="17"/>
                <w:lang w:val="en-GB"/>
              </w:rPr>
              <w:t>like to highlight that</w:t>
            </w:r>
            <w:r w:rsidR="00FA1A24" w:rsidRPr="00FA1A24">
              <w:rPr>
                <w:szCs w:val="17"/>
                <w:lang w:val="en-GB"/>
              </w:rPr>
              <w:t xml:space="preserve"> </w:t>
            </w:r>
            <w:r w:rsidR="00202B2D">
              <w:rPr>
                <w:szCs w:val="17"/>
                <w:lang w:val="en-GB"/>
              </w:rPr>
              <w:t>this</w:t>
            </w:r>
            <w:r>
              <w:rPr>
                <w:szCs w:val="17"/>
                <w:lang w:val="en-GB"/>
              </w:rPr>
              <w:t xml:space="preserve"> </w:t>
            </w:r>
            <w:r w:rsidR="00FA1A24" w:rsidRPr="00FA1A24">
              <w:rPr>
                <w:szCs w:val="17"/>
                <w:lang w:val="en-GB"/>
              </w:rPr>
              <w:t xml:space="preserve">differs significantly from the approach chosen for the ESRS in which short- medium- and </w:t>
            </w:r>
            <w:r w:rsidR="003B6431">
              <w:rPr>
                <w:szCs w:val="17"/>
                <w:lang w:val="en-GB"/>
              </w:rPr>
              <w:t xml:space="preserve">long-term </w:t>
            </w:r>
            <w:r w:rsidR="00FA1A24" w:rsidRPr="00FA1A24">
              <w:rPr>
                <w:szCs w:val="17"/>
                <w:lang w:val="en-GB"/>
              </w:rPr>
              <w:t xml:space="preserve">time-horizons are uniformly defined. </w:t>
            </w:r>
            <w:r w:rsidR="003B6431">
              <w:rPr>
                <w:szCs w:val="17"/>
                <w:lang w:val="en-GB"/>
              </w:rPr>
              <w:t>It</w:t>
            </w:r>
            <w:r w:rsidR="003B6431" w:rsidRPr="00FA1A24">
              <w:rPr>
                <w:szCs w:val="17"/>
                <w:lang w:val="en-GB"/>
              </w:rPr>
              <w:t xml:space="preserve"> </w:t>
            </w:r>
            <w:r w:rsidR="00FA1A24" w:rsidRPr="00FA1A24">
              <w:rPr>
                <w:szCs w:val="17"/>
                <w:lang w:val="en-GB"/>
              </w:rPr>
              <w:t>urge</w:t>
            </w:r>
            <w:r w:rsidR="003B6431">
              <w:rPr>
                <w:szCs w:val="17"/>
                <w:lang w:val="en-GB"/>
              </w:rPr>
              <w:t>s</w:t>
            </w:r>
            <w:r w:rsidR="00FA1A24" w:rsidRPr="00FA1A24">
              <w:rPr>
                <w:szCs w:val="17"/>
                <w:lang w:val="en-GB"/>
              </w:rPr>
              <w:t xml:space="preserve"> EFRAG and the ISSB to align the requirement on time horizon</w:t>
            </w:r>
            <w:r w:rsidR="001E05D6">
              <w:rPr>
                <w:szCs w:val="17"/>
                <w:lang w:val="en-GB"/>
              </w:rPr>
              <w:t>s,</w:t>
            </w:r>
            <w:r w:rsidR="00FA1A24" w:rsidRPr="00FA1A24">
              <w:rPr>
                <w:szCs w:val="17"/>
                <w:lang w:val="en-GB"/>
              </w:rPr>
              <w:t xml:space="preserve"> as differences in such a fundamental principle </w:t>
            </w:r>
            <w:r w:rsidR="00F67505">
              <w:rPr>
                <w:szCs w:val="17"/>
                <w:lang w:val="en-GB"/>
              </w:rPr>
              <w:t xml:space="preserve">would </w:t>
            </w:r>
            <w:r w:rsidR="00F20C9F" w:rsidRPr="00FA1A24">
              <w:rPr>
                <w:szCs w:val="17"/>
                <w:lang w:val="en-GB"/>
              </w:rPr>
              <w:t xml:space="preserve">materially </w:t>
            </w:r>
            <w:r w:rsidR="00FA1A24" w:rsidRPr="00FA1A24">
              <w:rPr>
                <w:szCs w:val="17"/>
                <w:lang w:val="en-GB"/>
              </w:rPr>
              <w:t xml:space="preserve">impede interoperability. In </w:t>
            </w:r>
            <w:r w:rsidR="001E05D6">
              <w:rPr>
                <w:szCs w:val="17"/>
                <w:lang w:val="en-GB"/>
              </w:rPr>
              <w:t>Insurance Europe’s</w:t>
            </w:r>
            <w:r w:rsidR="001E05D6" w:rsidRPr="00FA1A24">
              <w:rPr>
                <w:szCs w:val="17"/>
                <w:lang w:val="en-GB"/>
              </w:rPr>
              <w:t xml:space="preserve"> </w:t>
            </w:r>
            <w:r w:rsidR="00FA1A24" w:rsidRPr="00FA1A24">
              <w:rPr>
                <w:szCs w:val="17"/>
                <w:lang w:val="en-GB"/>
              </w:rPr>
              <w:t>view, a principles-based approach with illustrative examples</w:t>
            </w:r>
            <w:r w:rsidR="00F67505">
              <w:rPr>
                <w:szCs w:val="17"/>
                <w:lang w:val="en-GB"/>
              </w:rPr>
              <w:t xml:space="preserve"> would be most suitable</w:t>
            </w:r>
            <w:r w:rsidR="00FA1A24" w:rsidRPr="00FA1A24">
              <w:rPr>
                <w:szCs w:val="17"/>
                <w:lang w:val="en-GB"/>
              </w:rPr>
              <w:t xml:space="preserve">, </w:t>
            </w:r>
            <w:r w:rsidR="00675F03">
              <w:rPr>
                <w:szCs w:val="17"/>
                <w:lang w:val="en-GB"/>
              </w:rPr>
              <w:t>such as</w:t>
            </w:r>
            <w:r w:rsidR="00FA1A24" w:rsidRPr="00FA1A24">
              <w:rPr>
                <w:szCs w:val="17"/>
                <w:lang w:val="en-GB"/>
              </w:rPr>
              <w:t xml:space="preserve"> guidance </w:t>
            </w:r>
            <w:r w:rsidR="00384F78">
              <w:rPr>
                <w:szCs w:val="17"/>
                <w:lang w:val="en-GB"/>
              </w:rPr>
              <w:t>specifying</w:t>
            </w:r>
            <w:r w:rsidR="00FA1A24" w:rsidRPr="00FA1A24">
              <w:rPr>
                <w:szCs w:val="17"/>
                <w:lang w:val="en-GB"/>
              </w:rPr>
              <w:t xml:space="preserve"> which aspects need to be taken into account (</w:t>
            </w:r>
            <w:proofErr w:type="spellStart"/>
            <w:r w:rsidR="00FA1A24" w:rsidRPr="00FA1A24">
              <w:rPr>
                <w:szCs w:val="17"/>
                <w:lang w:val="en-GB"/>
              </w:rPr>
              <w:t>eg</w:t>
            </w:r>
            <w:proofErr w:type="spellEnd"/>
            <w:r w:rsidR="00675F03">
              <w:rPr>
                <w:szCs w:val="17"/>
                <w:lang w:val="en-GB"/>
              </w:rPr>
              <w:t>,</w:t>
            </w:r>
            <w:r w:rsidR="00FA1A24" w:rsidRPr="00FA1A24">
              <w:rPr>
                <w:szCs w:val="17"/>
                <w:lang w:val="en-GB"/>
              </w:rPr>
              <w:t xml:space="preserve"> company’s own planning horizon, </w:t>
            </w:r>
            <w:r w:rsidR="00675F03">
              <w:rPr>
                <w:szCs w:val="17"/>
                <w:lang w:val="en-GB"/>
              </w:rPr>
              <w:t xml:space="preserve">specific </w:t>
            </w:r>
            <w:r w:rsidR="00FA1A24" w:rsidRPr="00FA1A24">
              <w:rPr>
                <w:szCs w:val="17"/>
                <w:lang w:val="en-GB"/>
              </w:rPr>
              <w:t xml:space="preserve">sector </w:t>
            </w:r>
            <w:r w:rsidR="00675F03">
              <w:rPr>
                <w:szCs w:val="17"/>
                <w:lang w:val="en-GB"/>
              </w:rPr>
              <w:t>characteristics</w:t>
            </w:r>
            <w:r w:rsidR="00FA1A24" w:rsidRPr="00FA1A24">
              <w:rPr>
                <w:szCs w:val="17"/>
                <w:lang w:val="en-GB"/>
              </w:rPr>
              <w:t xml:space="preserve">, product </w:t>
            </w:r>
            <w:r w:rsidR="00477C8A" w:rsidRPr="00FA1A24">
              <w:rPr>
                <w:szCs w:val="17"/>
                <w:lang w:val="en-GB"/>
              </w:rPr>
              <w:t>lifecycles,</w:t>
            </w:r>
            <w:r w:rsidR="00477C8A">
              <w:rPr>
                <w:szCs w:val="17"/>
                <w:lang w:val="en-GB"/>
              </w:rPr>
              <w:t xml:space="preserve"> etc.</w:t>
            </w:r>
            <w:r w:rsidR="00FA1A24" w:rsidRPr="00FA1A24">
              <w:rPr>
                <w:szCs w:val="17"/>
                <w:lang w:val="en-GB"/>
              </w:rPr>
              <w:t xml:space="preserve">). Based on this, undertakings could be required to disclose how </w:t>
            </w:r>
            <w:r w:rsidR="00FD231B">
              <w:rPr>
                <w:szCs w:val="17"/>
                <w:lang w:val="en-GB"/>
              </w:rPr>
              <w:t>they</w:t>
            </w:r>
            <w:r w:rsidR="00FA1A24" w:rsidRPr="00FA1A24">
              <w:rPr>
                <w:szCs w:val="17"/>
                <w:lang w:val="en-GB"/>
              </w:rPr>
              <w:t xml:space="preserve"> define short-, medium and long-term time horizons individually and to explain how these definitions are linked to the entity’s strategic planning horizons and capital allocation plans, as proposed by IFRS Sustainability Reporting Exposure Draft IFRS S1 para. 16 (b).</w:t>
            </w:r>
            <w:r w:rsidR="007D2A6C">
              <w:rPr>
                <w:szCs w:val="17"/>
                <w:lang w:val="en-GB"/>
              </w:rPr>
              <w:t xml:space="preserve"> </w:t>
            </w:r>
            <w:r w:rsidR="009049D2" w:rsidRPr="00057ED8">
              <w:rPr>
                <w:szCs w:val="17"/>
                <w:lang w:val="en-GB"/>
              </w:rPr>
              <w:t xml:space="preserve">Furthermore, </w:t>
            </w:r>
            <w:r w:rsidR="008D6EE4" w:rsidRPr="00057ED8">
              <w:rPr>
                <w:szCs w:val="17"/>
                <w:lang w:val="en-GB"/>
              </w:rPr>
              <w:t>para. 24</w:t>
            </w:r>
            <w:r w:rsidR="006234E3" w:rsidRPr="00057ED8">
              <w:rPr>
                <w:szCs w:val="17"/>
                <w:lang w:val="en-GB"/>
              </w:rPr>
              <w:t xml:space="preserve"> </w:t>
            </w:r>
            <w:r w:rsidR="007D2A6C">
              <w:rPr>
                <w:szCs w:val="17"/>
                <w:lang w:val="en-GB"/>
              </w:rPr>
              <w:t xml:space="preserve">is welcomed </w:t>
            </w:r>
            <w:r w:rsidR="006234E3" w:rsidRPr="00057ED8">
              <w:rPr>
                <w:szCs w:val="17"/>
                <w:lang w:val="en-GB"/>
              </w:rPr>
              <w:t>as a principle</w:t>
            </w:r>
            <w:r w:rsidR="008D6EE4" w:rsidRPr="00057ED8">
              <w:rPr>
                <w:szCs w:val="17"/>
                <w:lang w:val="en-GB"/>
              </w:rPr>
              <w:t>,</w:t>
            </w:r>
            <w:r w:rsidR="00210899" w:rsidRPr="00057ED8">
              <w:rPr>
                <w:szCs w:val="17"/>
                <w:lang w:val="en-GB"/>
              </w:rPr>
              <w:t xml:space="preserve"> but</w:t>
            </w:r>
            <w:r w:rsidR="008D6EE4" w:rsidRPr="00057ED8">
              <w:rPr>
                <w:szCs w:val="17"/>
                <w:lang w:val="en-GB"/>
              </w:rPr>
              <w:t xml:space="preserve"> </w:t>
            </w:r>
            <w:r w:rsidR="00F55AD3">
              <w:rPr>
                <w:szCs w:val="17"/>
                <w:lang w:val="en-GB"/>
              </w:rPr>
              <w:t xml:space="preserve">it would be </w:t>
            </w:r>
            <w:r w:rsidR="00436BF2">
              <w:rPr>
                <w:szCs w:val="17"/>
                <w:lang w:val="en-GB"/>
              </w:rPr>
              <w:t xml:space="preserve">helpful and appreciated if the other IFRS </w:t>
            </w:r>
            <w:r w:rsidR="00B87705">
              <w:rPr>
                <w:szCs w:val="17"/>
                <w:lang w:val="en-GB"/>
              </w:rPr>
              <w:t>SDS</w:t>
            </w:r>
            <w:r w:rsidR="007D00E4">
              <w:rPr>
                <w:szCs w:val="17"/>
                <w:lang w:val="en-GB"/>
              </w:rPr>
              <w:t>s</w:t>
            </w:r>
            <w:r w:rsidR="00B87705">
              <w:rPr>
                <w:szCs w:val="17"/>
                <w:lang w:val="en-GB"/>
              </w:rPr>
              <w:t xml:space="preserve"> mentioned</w:t>
            </w:r>
            <w:r w:rsidR="00436BF2">
              <w:rPr>
                <w:szCs w:val="17"/>
                <w:lang w:val="en-GB"/>
              </w:rPr>
              <w:t xml:space="preserve"> would include </w:t>
            </w:r>
            <w:r w:rsidR="008D6EE4" w:rsidRPr="00057ED8">
              <w:rPr>
                <w:szCs w:val="17"/>
                <w:lang w:val="en-GB"/>
              </w:rPr>
              <w:t xml:space="preserve">further guidance on scenario analysis </w:t>
            </w:r>
            <w:r w:rsidR="000F32DC" w:rsidRPr="00057ED8">
              <w:rPr>
                <w:szCs w:val="17"/>
                <w:lang w:val="en-GB"/>
              </w:rPr>
              <w:t>reporting</w:t>
            </w:r>
            <w:r w:rsidR="00E668E5" w:rsidRPr="00057ED8">
              <w:rPr>
                <w:szCs w:val="17"/>
                <w:lang w:val="en-GB"/>
              </w:rPr>
              <w:t>, while</w:t>
            </w:r>
            <w:r w:rsidR="000F32DC" w:rsidRPr="00057ED8">
              <w:rPr>
                <w:szCs w:val="17"/>
                <w:lang w:val="en-GB"/>
              </w:rPr>
              <w:t xml:space="preserve"> </w:t>
            </w:r>
            <w:r w:rsidR="008D6EE4" w:rsidRPr="00057ED8">
              <w:rPr>
                <w:szCs w:val="17"/>
                <w:lang w:val="en-GB"/>
              </w:rPr>
              <w:t xml:space="preserve">being aware of and considering sensible data in the insurance business. </w:t>
            </w:r>
            <w:r w:rsidR="006234E3" w:rsidRPr="00057ED8">
              <w:rPr>
                <w:szCs w:val="17"/>
                <w:lang w:val="en-GB"/>
              </w:rPr>
              <w:t>Such g</w:t>
            </w:r>
            <w:r w:rsidR="008D6EE4" w:rsidRPr="00057ED8">
              <w:rPr>
                <w:szCs w:val="17"/>
                <w:lang w:val="en-GB"/>
              </w:rPr>
              <w:t>uidance should be aligned with disclosure requirements as defined by the ESRS.</w:t>
            </w:r>
          </w:p>
          <w:p w14:paraId="23A0D34F" w14:textId="1FDAD082" w:rsidR="008D6EE4" w:rsidRPr="00057ED8" w:rsidRDefault="00683B4C" w:rsidP="008D6EE4">
            <w:pPr>
              <w:pStyle w:val="Odsekzoznamu"/>
              <w:ind w:left="720" w:firstLine="0"/>
              <w:rPr>
                <w:szCs w:val="17"/>
                <w:lang w:val="en-GB"/>
              </w:rPr>
            </w:pPr>
            <w:r w:rsidRPr="00057ED8">
              <w:rPr>
                <w:szCs w:val="17"/>
                <w:lang w:val="en-GB"/>
              </w:rPr>
              <w:lastRenderedPageBreak/>
              <w:t xml:space="preserve">Finally, </w:t>
            </w:r>
            <w:r w:rsidR="008D6EE4" w:rsidRPr="00057ED8">
              <w:rPr>
                <w:szCs w:val="17"/>
                <w:lang w:val="en-GB"/>
              </w:rPr>
              <w:t>it would be highly appreciated if the general requirements regarding disclosure objectives for governance, strategy</w:t>
            </w:r>
            <w:r w:rsidR="007C59FA">
              <w:rPr>
                <w:szCs w:val="17"/>
                <w:lang w:val="en-GB"/>
              </w:rPr>
              <w:t xml:space="preserve"> and</w:t>
            </w:r>
            <w:r w:rsidR="008D6EE4" w:rsidRPr="00057ED8">
              <w:rPr>
                <w:szCs w:val="17"/>
                <w:lang w:val="en-GB"/>
              </w:rPr>
              <w:t xml:space="preserve"> risk management</w:t>
            </w:r>
            <w:r w:rsidR="007C59FA">
              <w:rPr>
                <w:szCs w:val="17"/>
                <w:lang w:val="en-GB"/>
              </w:rPr>
              <w:t>,</w:t>
            </w:r>
            <w:r w:rsidR="008D6EE4" w:rsidRPr="00057ED8">
              <w:rPr>
                <w:szCs w:val="17"/>
                <w:lang w:val="en-GB"/>
              </w:rPr>
              <w:t xml:space="preserve"> as well as metrics and targets</w:t>
            </w:r>
            <w:r w:rsidR="007C59FA">
              <w:rPr>
                <w:szCs w:val="17"/>
                <w:lang w:val="en-GB"/>
              </w:rPr>
              <w:t>,</w:t>
            </w:r>
            <w:r w:rsidR="008D6EE4" w:rsidRPr="00057ED8">
              <w:rPr>
                <w:szCs w:val="17"/>
                <w:lang w:val="en-GB"/>
              </w:rPr>
              <w:t xml:space="preserve"> </w:t>
            </w:r>
            <w:r w:rsidR="001F333A" w:rsidRPr="00057ED8">
              <w:rPr>
                <w:szCs w:val="17"/>
                <w:lang w:val="en-GB"/>
              </w:rPr>
              <w:t>were</w:t>
            </w:r>
            <w:r w:rsidR="008D6EE4" w:rsidRPr="00057ED8">
              <w:rPr>
                <w:szCs w:val="17"/>
                <w:lang w:val="en-GB"/>
              </w:rPr>
              <w:t xml:space="preserve"> </w:t>
            </w:r>
            <w:r w:rsidR="002636F9" w:rsidRPr="00057ED8">
              <w:rPr>
                <w:szCs w:val="17"/>
                <w:lang w:val="en-GB"/>
              </w:rPr>
              <w:t xml:space="preserve">completely </w:t>
            </w:r>
            <w:r w:rsidR="008D6EE4" w:rsidRPr="00057ED8">
              <w:rPr>
                <w:szCs w:val="17"/>
                <w:lang w:val="en-GB"/>
              </w:rPr>
              <w:t>covered by IFRS S1 without duplication of information in further standards (</w:t>
            </w:r>
            <w:proofErr w:type="spellStart"/>
            <w:r w:rsidR="008D6EE4" w:rsidRPr="00057ED8">
              <w:rPr>
                <w:szCs w:val="17"/>
                <w:lang w:val="en-GB"/>
              </w:rPr>
              <w:t>eg</w:t>
            </w:r>
            <w:proofErr w:type="spellEnd"/>
            <w:r w:rsidR="007C59FA">
              <w:rPr>
                <w:szCs w:val="17"/>
                <w:lang w:val="en-GB"/>
              </w:rPr>
              <w:t>,</w:t>
            </w:r>
            <w:r w:rsidR="008D6EE4" w:rsidRPr="00057ED8">
              <w:rPr>
                <w:szCs w:val="17"/>
                <w:lang w:val="en-GB"/>
              </w:rPr>
              <w:t xml:space="preserve"> IFRS S2).</w:t>
            </w:r>
          </w:p>
          <w:p w14:paraId="4DDACF2E" w14:textId="77777777" w:rsidR="00F636C6" w:rsidRPr="00057ED8" w:rsidRDefault="00F636C6" w:rsidP="00FD1DCB">
            <w:pPr>
              <w:pStyle w:val="Odsekzoznamu"/>
              <w:ind w:left="720" w:firstLine="0"/>
              <w:rPr>
                <w:szCs w:val="17"/>
                <w:lang w:val="en-GB"/>
              </w:rPr>
            </w:pPr>
          </w:p>
          <w:p w14:paraId="7C1EA04D" w14:textId="77777777" w:rsidR="007B09D7" w:rsidRPr="00057ED8" w:rsidRDefault="007B09D7" w:rsidP="00812D6D">
            <w:pPr>
              <w:pStyle w:val="Odsekzoznamu"/>
              <w:numPr>
                <w:ilvl w:val="0"/>
                <w:numId w:val="32"/>
              </w:numPr>
              <w:rPr>
                <w:szCs w:val="17"/>
                <w:lang w:val="en-GB"/>
              </w:rPr>
            </w:pPr>
            <w:r w:rsidRPr="00057ED8">
              <w:rPr>
                <w:szCs w:val="17"/>
                <w:highlight w:val="cyan"/>
                <w:lang w:val="en-GB"/>
              </w:rPr>
              <w:t>Broadly agree</w:t>
            </w:r>
            <w:r w:rsidRPr="00057ED8">
              <w:rPr>
                <w:szCs w:val="17"/>
                <w:lang w:val="en-GB"/>
              </w:rPr>
              <w:t xml:space="preserve"> / broadly disagree / </w:t>
            </w:r>
            <w:r w:rsidRPr="001666C2">
              <w:rPr>
                <w:szCs w:val="17"/>
                <w:lang w:val="en-GB"/>
              </w:rPr>
              <w:t>other</w:t>
            </w:r>
          </w:p>
          <w:p w14:paraId="6A5111A5" w14:textId="577E311D" w:rsidR="00223BA9" w:rsidRDefault="007C59FA" w:rsidP="00FD1DCB">
            <w:pPr>
              <w:pStyle w:val="Odsekzoznamu"/>
              <w:ind w:left="720" w:firstLine="0"/>
              <w:rPr>
                <w:szCs w:val="17"/>
                <w:lang w:val="en-GB"/>
              </w:rPr>
            </w:pPr>
            <w:r>
              <w:rPr>
                <w:szCs w:val="17"/>
                <w:lang w:val="en-GB"/>
              </w:rPr>
              <w:t>Insurance Europ</w:t>
            </w:r>
            <w:r w:rsidR="00FD1DCB" w:rsidRPr="00057ED8">
              <w:rPr>
                <w:szCs w:val="17"/>
                <w:lang w:val="en-GB"/>
              </w:rPr>
              <w:t>e consider</w:t>
            </w:r>
            <w:r>
              <w:rPr>
                <w:szCs w:val="17"/>
                <w:lang w:val="en-GB"/>
              </w:rPr>
              <w:t>s</w:t>
            </w:r>
            <w:r w:rsidR="00FD1DCB" w:rsidRPr="00057ED8">
              <w:rPr>
                <w:szCs w:val="17"/>
                <w:lang w:val="en-GB"/>
              </w:rPr>
              <w:t xml:space="preserve"> disclosure requirements for governance, strategy, risk management and targets to be appropriate </w:t>
            </w:r>
            <w:r w:rsidR="00536B4B">
              <w:rPr>
                <w:szCs w:val="17"/>
                <w:lang w:val="en-GB"/>
              </w:rPr>
              <w:t>for</w:t>
            </w:r>
            <w:r w:rsidR="00536B4B" w:rsidRPr="00057ED8">
              <w:rPr>
                <w:szCs w:val="17"/>
                <w:lang w:val="en-GB"/>
              </w:rPr>
              <w:t xml:space="preserve"> </w:t>
            </w:r>
            <w:r w:rsidR="00FD1DCB" w:rsidRPr="00057ED8">
              <w:rPr>
                <w:szCs w:val="17"/>
                <w:lang w:val="en-GB"/>
              </w:rPr>
              <w:t>their disclosure objective</w:t>
            </w:r>
            <w:r w:rsidR="00514749">
              <w:rPr>
                <w:szCs w:val="17"/>
                <w:lang w:val="en-GB"/>
              </w:rPr>
              <w:t>,</w:t>
            </w:r>
            <w:r w:rsidR="00FD1DCB" w:rsidRPr="00057ED8">
              <w:rPr>
                <w:szCs w:val="17"/>
                <w:lang w:val="en-GB"/>
              </w:rPr>
              <w:t xml:space="preserve"> as they are sufficiently clearly defined and suitable</w:t>
            </w:r>
            <w:r w:rsidR="000A25E3">
              <w:rPr>
                <w:szCs w:val="17"/>
                <w:lang w:val="en-GB"/>
              </w:rPr>
              <w:t>,</w:t>
            </w:r>
            <w:r w:rsidR="00FD1DCB" w:rsidRPr="00057ED8">
              <w:rPr>
                <w:szCs w:val="17"/>
                <w:lang w:val="en-GB"/>
              </w:rPr>
              <w:t xml:space="preserve"> </w:t>
            </w:r>
            <w:r w:rsidR="00804005" w:rsidRPr="00B4295D">
              <w:rPr>
                <w:szCs w:val="17"/>
              </w:rPr>
              <w:t xml:space="preserve">and support </w:t>
            </w:r>
            <w:r w:rsidR="00804005">
              <w:rPr>
                <w:szCs w:val="17"/>
              </w:rPr>
              <w:t>the</w:t>
            </w:r>
            <w:r w:rsidR="00804005" w:rsidRPr="00B4295D">
              <w:rPr>
                <w:szCs w:val="17"/>
              </w:rPr>
              <w:t xml:space="preserve"> principles-based approach in </w:t>
            </w:r>
            <w:r w:rsidR="00223BA9">
              <w:rPr>
                <w:szCs w:val="17"/>
              </w:rPr>
              <w:t xml:space="preserve">IFRS </w:t>
            </w:r>
            <w:r w:rsidR="00804005" w:rsidRPr="00B4295D">
              <w:rPr>
                <w:szCs w:val="17"/>
              </w:rPr>
              <w:t xml:space="preserve">S1 as </w:t>
            </w:r>
            <w:r w:rsidR="0089188A">
              <w:rPr>
                <w:szCs w:val="17"/>
              </w:rPr>
              <w:t>it</w:t>
            </w:r>
            <w:r w:rsidR="0089188A" w:rsidRPr="00B4295D">
              <w:rPr>
                <w:szCs w:val="17"/>
              </w:rPr>
              <w:t xml:space="preserve"> </w:t>
            </w:r>
            <w:r w:rsidR="00804005" w:rsidRPr="00B4295D">
              <w:rPr>
                <w:szCs w:val="17"/>
              </w:rPr>
              <w:t xml:space="preserve">seems necessary </w:t>
            </w:r>
            <w:r w:rsidR="0089188A">
              <w:rPr>
                <w:szCs w:val="17"/>
              </w:rPr>
              <w:t xml:space="preserve">for this </w:t>
            </w:r>
            <w:r w:rsidR="00804005" w:rsidRPr="00B4295D">
              <w:rPr>
                <w:szCs w:val="17"/>
              </w:rPr>
              <w:t xml:space="preserve">to be applicable </w:t>
            </w:r>
            <w:r w:rsidR="0089188A">
              <w:rPr>
                <w:szCs w:val="17"/>
              </w:rPr>
              <w:t>to</w:t>
            </w:r>
            <w:r w:rsidR="0089188A" w:rsidRPr="00B4295D">
              <w:rPr>
                <w:szCs w:val="17"/>
              </w:rPr>
              <w:t xml:space="preserve"> </w:t>
            </w:r>
            <w:r w:rsidR="00804005" w:rsidRPr="00B4295D">
              <w:rPr>
                <w:szCs w:val="17"/>
              </w:rPr>
              <w:t>all topic-specific standards and ESG topics</w:t>
            </w:r>
            <w:r w:rsidR="0028161F" w:rsidRPr="00057ED8">
              <w:rPr>
                <w:szCs w:val="17"/>
                <w:lang w:val="en-GB"/>
              </w:rPr>
              <w:t xml:space="preserve">. </w:t>
            </w:r>
          </w:p>
          <w:p w14:paraId="1049399A" w14:textId="336DF05E" w:rsidR="00223BA9" w:rsidRPr="00F84A07" w:rsidRDefault="00D834AC" w:rsidP="00F84A07">
            <w:pPr>
              <w:pStyle w:val="Odsekzoznamu"/>
              <w:ind w:left="720" w:firstLine="0"/>
              <w:rPr>
                <w:szCs w:val="17"/>
                <w:lang w:val="en-GB"/>
              </w:rPr>
            </w:pPr>
            <w:r>
              <w:rPr>
                <w:szCs w:val="17"/>
                <w:lang w:val="en-GB"/>
              </w:rPr>
              <w:t xml:space="preserve">Regarding strategy, </w:t>
            </w:r>
            <w:r w:rsidR="00443B19">
              <w:rPr>
                <w:szCs w:val="17"/>
                <w:lang w:val="en-GB"/>
              </w:rPr>
              <w:t>Insurance Europ</w:t>
            </w:r>
            <w:r w:rsidR="00F84A07" w:rsidRPr="00057ED8">
              <w:rPr>
                <w:szCs w:val="17"/>
                <w:lang w:val="en-GB"/>
              </w:rPr>
              <w:t>e also support</w:t>
            </w:r>
            <w:r w:rsidR="000A7535">
              <w:rPr>
                <w:szCs w:val="17"/>
                <w:lang w:val="en-GB"/>
              </w:rPr>
              <w:t>s</w:t>
            </w:r>
            <w:r w:rsidR="007B5B41">
              <w:rPr>
                <w:szCs w:val="17"/>
                <w:lang w:val="en-GB"/>
              </w:rPr>
              <w:t xml:space="preserve"> the provision of</w:t>
            </w:r>
            <w:r w:rsidR="00F84A07" w:rsidRPr="00057ED8">
              <w:rPr>
                <w:szCs w:val="17"/>
                <w:lang w:val="en-GB"/>
              </w:rPr>
              <w:t xml:space="preserve"> information on current and anticipated effects of significant sustainability-related risks and opportunities on a company’s financial position, performance and cash flows</w:t>
            </w:r>
            <w:r w:rsidR="007B5B41">
              <w:rPr>
                <w:szCs w:val="17"/>
                <w:lang w:val="en-GB"/>
              </w:rPr>
              <w:t xml:space="preserve"> (as para. 22a, c and d)</w:t>
            </w:r>
            <w:r w:rsidR="00F84A07" w:rsidRPr="00057ED8">
              <w:rPr>
                <w:szCs w:val="17"/>
                <w:lang w:val="en-GB"/>
              </w:rPr>
              <w:t>. However, quantitative disclosures can only be provided where methods and data are available in a sufficiently standardised way</w:t>
            </w:r>
            <w:r w:rsidR="002504D6">
              <w:rPr>
                <w:szCs w:val="17"/>
                <w:lang w:val="en-GB"/>
              </w:rPr>
              <w:t xml:space="preserve">. Also, </w:t>
            </w:r>
            <w:r w:rsidR="00F84A07" w:rsidRPr="00057ED8">
              <w:rPr>
                <w:szCs w:val="17"/>
                <w:lang w:val="en-GB"/>
              </w:rPr>
              <w:t xml:space="preserve">further guidance should be included in the topic-specific </w:t>
            </w:r>
            <w:r w:rsidR="002504D6">
              <w:rPr>
                <w:szCs w:val="17"/>
                <w:lang w:val="en-GB"/>
              </w:rPr>
              <w:t xml:space="preserve">IFRS </w:t>
            </w:r>
            <w:r w:rsidR="00B35A96">
              <w:rPr>
                <w:szCs w:val="17"/>
                <w:lang w:val="en-GB"/>
              </w:rPr>
              <w:t>SDS</w:t>
            </w:r>
            <w:r>
              <w:rPr>
                <w:szCs w:val="17"/>
                <w:lang w:val="en-GB"/>
              </w:rPr>
              <w:t xml:space="preserve"> for each sustainability (sub-)topic, </w:t>
            </w:r>
            <w:r w:rsidR="00F84A07" w:rsidRPr="00057ED8">
              <w:rPr>
                <w:szCs w:val="17"/>
                <w:lang w:val="en-GB"/>
              </w:rPr>
              <w:t>including in IFRS S2.</w:t>
            </w:r>
          </w:p>
          <w:p w14:paraId="1ECA9D3D" w14:textId="1BAB0F35" w:rsidR="00920235" w:rsidRPr="00057ED8" w:rsidRDefault="00D834AC" w:rsidP="007C0C4A">
            <w:pPr>
              <w:pStyle w:val="Odsekzoznamu"/>
              <w:ind w:left="720" w:firstLine="0"/>
              <w:rPr>
                <w:szCs w:val="17"/>
              </w:rPr>
            </w:pPr>
            <w:r>
              <w:rPr>
                <w:szCs w:val="17"/>
                <w:lang w:val="en-GB"/>
              </w:rPr>
              <w:t>Regarding metrics and targets</w:t>
            </w:r>
            <w:r w:rsidR="006C1378" w:rsidRPr="00057ED8">
              <w:rPr>
                <w:szCs w:val="17"/>
                <w:lang w:val="en-GB"/>
              </w:rPr>
              <w:t xml:space="preserve">, </w:t>
            </w:r>
            <w:r w:rsidR="001A6792" w:rsidRPr="00057ED8">
              <w:rPr>
                <w:szCs w:val="17"/>
                <w:lang w:val="en-GB"/>
              </w:rPr>
              <w:t xml:space="preserve">the definitions for metrics are rather vague and need </w:t>
            </w:r>
            <w:r w:rsidR="000D5234">
              <w:rPr>
                <w:szCs w:val="17"/>
                <w:lang w:val="en-GB"/>
              </w:rPr>
              <w:t>elaborating</w:t>
            </w:r>
            <w:r w:rsidR="001A6792" w:rsidRPr="00057ED8">
              <w:rPr>
                <w:szCs w:val="17"/>
                <w:lang w:val="en-GB"/>
              </w:rPr>
              <w:t xml:space="preserve"> to provide investors with consistent and comparable information. </w:t>
            </w:r>
            <w:r w:rsidR="00E9427E">
              <w:rPr>
                <w:szCs w:val="17"/>
                <w:lang w:val="en-GB"/>
              </w:rPr>
              <w:t xml:space="preserve">This should be included in the topic-specific standards as relevant. </w:t>
            </w:r>
          </w:p>
        </w:tc>
      </w:tr>
    </w:tbl>
    <w:p w14:paraId="6968FAD5" w14:textId="77777777" w:rsidR="002D5B55" w:rsidRPr="00057ED8" w:rsidRDefault="002D5B55" w:rsidP="00F768D9">
      <w:pPr>
        <w:rPr>
          <w:sz w:val="17"/>
          <w:szCs w:val="17"/>
        </w:rPr>
      </w:pPr>
    </w:p>
    <w:p w14:paraId="4F34A9D1" w14:textId="77777777" w:rsidR="00C66AD8" w:rsidRPr="00057ED8" w:rsidRDefault="00C66AD8" w:rsidP="00F768D9">
      <w:pPr>
        <w:rPr>
          <w:b/>
          <w:bCs/>
          <w:sz w:val="17"/>
          <w:szCs w:val="17"/>
        </w:rPr>
      </w:pPr>
    </w:p>
    <w:p w14:paraId="3CBE2D2A" w14:textId="77777777" w:rsidR="007113ED" w:rsidRPr="00057ED8" w:rsidRDefault="007113ED" w:rsidP="00F768D9">
      <w:pPr>
        <w:rPr>
          <w:b/>
          <w:bCs/>
          <w:sz w:val="17"/>
          <w:szCs w:val="17"/>
        </w:rPr>
      </w:pPr>
      <w:r w:rsidRPr="00057ED8">
        <w:rPr>
          <w:b/>
          <w:bCs/>
          <w:sz w:val="17"/>
          <w:szCs w:val="17"/>
        </w:rPr>
        <w:t>Question 5—Reporting entity (paragraphs 37–41)</w:t>
      </w:r>
    </w:p>
    <w:p w14:paraId="2E0F2D7D" w14:textId="77777777" w:rsidR="003873EA" w:rsidRPr="00057ED8" w:rsidRDefault="003873EA" w:rsidP="00F768D9">
      <w:pPr>
        <w:rPr>
          <w:sz w:val="17"/>
          <w:szCs w:val="17"/>
        </w:rPr>
      </w:pPr>
      <w:r w:rsidRPr="00057ED8">
        <w:rPr>
          <w:sz w:val="17"/>
          <w:szCs w:val="17"/>
        </w:rPr>
        <w:t>The Exposure Draft proposes that sustainability-related financial information would be required to be provided for the same reporting entity as the related general purpose financial statements.</w:t>
      </w:r>
    </w:p>
    <w:p w14:paraId="7B367F50" w14:textId="77777777" w:rsidR="00217CC7" w:rsidRPr="00057ED8" w:rsidRDefault="00217CC7" w:rsidP="00F768D9">
      <w:pPr>
        <w:rPr>
          <w:sz w:val="17"/>
          <w:szCs w:val="17"/>
        </w:rPr>
      </w:pPr>
    </w:p>
    <w:p w14:paraId="1750DF91" w14:textId="0DD338CB" w:rsidR="003873EA" w:rsidRPr="00057ED8" w:rsidRDefault="003873EA" w:rsidP="00F768D9">
      <w:pPr>
        <w:rPr>
          <w:sz w:val="17"/>
          <w:szCs w:val="17"/>
        </w:rPr>
      </w:pPr>
      <w:r w:rsidRPr="00057ED8">
        <w:rPr>
          <w:sz w:val="17"/>
          <w:szCs w:val="17"/>
        </w:rPr>
        <w:t>The Exposure Draft proposals would require an entity to disclose material information about all of the significant sustainability-related risks and opportunities to which it is exposed. Such risks and opportunities relate to activities, interactions and relationships and use of resources along its value chain such as:</w:t>
      </w:r>
    </w:p>
    <w:p w14:paraId="149D7846" w14:textId="77777777" w:rsidR="003873EA" w:rsidRPr="00057ED8" w:rsidRDefault="003873EA" w:rsidP="001F3C3E">
      <w:pPr>
        <w:pStyle w:val="CEABullet-Level1"/>
      </w:pPr>
      <w:r w:rsidRPr="00057ED8">
        <w:t>its employment practices and those of its suppliers, wastage related to the packaging of the products it sells, or events that could disrupt its supply chain;</w:t>
      </w:r>
    </w:p>
    <w:p w14:paraId="781BCA8D" w14:textId="77777777" w:rsidR="003873EA" w:rsidRPr="00057ED8" w:rsidRDefault="003873EA" w:rsidP="001F3C3E">
      <w:pPr>
        <w:pStyle w:val="CEABullet-Level1"/>
      </w:pPr>
      <w:r w:rsidRPr="00057ED8">
        <w:t>the assets it controls (such as a production facility that relies on scarce water resources);</w:t>
      </w:r>
    </w:p>
    <w:p w14:paraId="5D367B1B" w14:textId="77777777" w:rsidR="003873EA" w:rsidRPr="00057ED8" w:rsidRDefault="003873EA" w:rsidP="001F3C3E">
      <w:pPr>
        <w:pStyle w:val="CEABullet-Level1"/>
      </w:pPr>
      <w:r w:rsidRPr="00057ED8">
        <w:t>investments it controls, including investments in associates and joint ventures (such as financing a greenhouse gas-emitting activity through a joint venture); and</w:t>
      </w:r>
    </w:p>
    <w:p w14:paraId="0E1DACA1" w14:textId="77777777" w:rsidR="003873EA" w:rsidRPr="00057ED8" w:rsidRDefault="003873EA" w:rsidP="001F3C3E">
      <w:pPr>
        <w:pStyle w:val="CEABullet-Level1"/>
      </w:pPr>
      <w:r w:rsidRPr="00057ED8">
        <w:t>sources of finance.</w:t>
      </w:r>
    </w:p>
    <w:p w14:paraId="23744C98" w14:textId="77777777" w:rsidR="003873EA" w:rsidRPr="00057ED8" w:rsidRDefault="003873EA" w:rsidP="00F768D9">
      <w:pPr>
        <w:rPr>
          <w:sz w:val="17"/>
          <w:szCs w:val="17"/>
        </w:rPr>
      </w:pPr>
      <w:r w:rsidRPr="00057ED8">
        <w:rPr>
          <w:sz w:val="17"/>
          <w:szCs w:val="17"/>
        </w:rPr>
        <w:t>The Exposure Draft also proposes that an entity disclose the financial statements to which sustainability-related financial disclosures relate.</w:t>
      </w:r>
    </w:p>
    <w:p w14:paraId="602BD763" w14:textId="77777777" w:rsidR="001F3C3E" w:rsidRPr="00057ED8" w:rsidRDefault="001F3C3E" w:rsidP="00F768D9">
      <w:pPr>
        <w:rPr>
          <w:sz w:val="17"/>
          <w:szCs w:val="17"/>
        </w:rPr>
      </w:pPr>
    </w:p>
    <w:p w14:paraId="3FAB2E39" w14:textId="77777777" w:rsidR="003873EA" w:rsidRPr="00057ED8" w:rsidRDefault="003873EA" w:rsidP="006945DC">
      <w:pPr>
        <w:pStyle w:val="Odsekzoznamu"/>
        <w:numPr>
          <w:ilvl w:val="0"/>
          <w:numId w:val="7"/>
        </w:numPr>
        <w:spacing w:before="0" w:line="288" w:lineRule="auto"/>
        <w:rPr>
          <w:szCs w:val="17"/>
          <w:lang w:val="en-GB"/>
        </w:rPr>
      </w:pPr>
      <w:r w:rsidRPr="00057ED8">
        <w:rPr>
          <w:szCs w:val="17"/>
          <w:lang w:val="en-GB"/>
        </w:rPr>
        <w:t>Do you agree that the sustainability-related financial information should be required to be provided for the same reporting entity as the related financial statements? If not, why?</w:t>
      </w:r>
    </w:p>
    <w:p w14:paraId="7B616B56" w14:textId="77777777" w:rsidR="006C651B" w:rsidRPr="00057ED8" w:rsidRDefault="006C651B" w:rsidP="006C651B">
      <w:pPr>
        <w:pStyle w:val="Odsekzoznamu"/>
        <w:spacing w:before="0" w:line="288" w:lineRule="auto"/>
        <w:ind w:left="720" w:firstLine="0"/>
        <w:rPr>
          <w:szCs w:val="17"/>
          <w:lang w:val="en-GB"/>
        </w:rPr>
      </w:pPr>
    </w:p>
    <w:p w14:paraId="251913BB" w14:textId="77777777" w:rsidR="003873EA" w:rsidRPr="00057ED8" w:rsidRDefault="003873EA" w:rsidP="006945DC">
      <w:pPr>
        <w:pStyle w:val="Odsekzoznamu"/>
        <w:numPr>
          <w:ilvl w:val="0"/>
          <w:numId w:val="7"/>
        </w:numPr>
        <w:spacing w:before="0" w:line="288" w:lineRule="auto"/>
        <w:rPr>
          <w:szCs w:val="17"/>
          <w:lang w:val="en-GB"/>
        </w:rPr>
      </w:pPr>
      <w:r w:rsidRPr="00057ED8">
        <w:rPr>
          <w:szCs w:val="17"/>
          <w:lang w:val="en-GB"/>
        </w:rPr>
        <w:t>Is the requirement to disclose information about sustainability-related risks and opportunities related to activities, interactions and relationships, and to the use of resources along its value chain, clear and capable of consistent application? Why or why not? If not, what further requirements or guidance would be necessary and why?</w:t>
      </w:r>
    </w:p>
    <w:p w14:paraId="22642C92" w14:textId="77777777" w:rsidR="006C651B" w:rsidRPr="00057ED8" w:rsidRDefault="006C651B" w:rsidP="006C651B">
      <w:pPr>
        <w:pStyle w:val="Odsekzoznamu"/>
        <w:rPr>
          <w:szCs w:val="17"/>
          <w:lang w:val="en-GB"/>
        </w:rPr>
      </w:pPr>
    </w:p>
    <w:p w14:paraId="4E16AA4D" w14:textId="77777777" w:rsidR="003873EA" w:rsidRPr="00057ED8" w:rsidRDefault="003873EA" w:rsidP="006945DC">
      <w:pPr>
        <w:pStyle w:val="Odsekzoznamu"/>
        <w:numPr>
          <w:ilvl w:val="0"/>
          <w:numId w:val="7"/>
        </w:numPr>
        <w:spacing w:before="0" w:line="288" w:lineRule="auto"/>
        <w:rPr>
          <w:szCs w:val="17"/>
          <w:lang w:val="en-GB"/>
        </w:rPr>
      </w:pPr>
      <w:r w:rsidRPr="00057ED8">
        <w:rPr>
          <w:szCs w:val="17"/>
          <w:lang w:val="en-GB"/>
        </w:rPr>
        <w:t>Do you agree with the proposed requirement for identifying the related financial statements? Why or why not?</w:t>
      </w:r>
    </w:p>
    <w:p w14:paraId="4F8933AD" w14:textId="77777777" w:rsidR="00C66AD8" w:rsidRPr="00057ED8" w:rsidRDefault="00C66AD8" w:rsidP="00F768D9">
      <w:pPr>
        <w:rPr>
          <w:sz w:val="17"/>
          <w:szCs w:val="17"/>
        </w:rPr>
      </w:pPr>
    </w:p>
    <w:tbl>
      <w:tblPr>
        <w:tblStyle w:val="Mriekatabuky"/>
        <w:tblW w:w="0" w:type="auto"/>
        <w:tblLook w:val="04A0" w:firstRow="1" w:lastRow="0" w:firstColumn="1" w:lastColumn="0" w:noHBand="0" w:noVBand="1"/>
      </w:tblPr>
      <w:tblGrid>
        <w:gridCol w:w="9521"/>
      </w:tblGrid>
      <w:tr w:rsidR="00920235" w:rsidRPr="00057ED8" w14:paraId="39A8B038" w14:textId="77777777" w:rsidTr="00C61B54">
        <w:trPr>
          <w:trHeight w:val="1625"/>
        </w:trPr>
        <w:tc>
          <w:tcPr>
            <w:tcW w:w="9521" w:type="dxa"/>
          </w:tcPr>
          <w:p w14:paraId="6A5B6C2A" w14:textId="77777777" w:rsidR="007B09D7" w:rsidRPr="00057ED8" w:rsidRDefault="007B09D7" w:rsidP="00812D6D">
            <w:pPr>
              <w:pStyle w:val="Odsekzoznamu"/>
              <w:numPr>
                <w:ilvl w:val="0"/>
                <w:numId w:val="33"/>
              </w:numPr>
              <w:rPr>
                <w:szCs w:val="17"/>
                <w:lang w:val="en-GB"/>
              </w:rPr>
            </w:pPr>
            <w:r w:rsidRPr="00057ED8">
              <w:rPr>
                <w:szCs w:val="17"/>
                <w:highlight w:val="cyan"/>
                <w:lang w:val="en-GB"/>
              </w:rPr>
              <w:lastRenderedPageBreak/>
              <w:t>Broadly agree</w:t>
            </w:r>
            <w:r w:rsidRPr="00057ED8">
              <w:rPr>
                <w:szCs w:val="17"/>
                <w:lang w:val="en-GB"/>
              </w:rPr>
              <w:t xml:space="preserve"> / broadly disagree / other</w:t>
            </w:r>
          </w:p>
          <w:p w14:paraId="2CA9396B" w14:textId="0C731B8E" w:rsidR="00BD0CC8" w:rsidRPr="00057ED8" w:rsidRDefault="00F37E29" w:rsidP="009779ED">
            <w:pPr>
              <w:pStyle w:val="Odsekzoznamu"/>
              <w:ind w:left="720" w:firstLine="0"/>
              <w:rPr>
                <w:szCs w:val="17"/>
                <w:lang w:val="en-GB"/>
              </w:rPr>
            </w:pPr>
            <w:r>
              <w:rPr>
                <w:szCs w:val="17"/>
                <w:lang w:val="en-GB"/>
              </w:rPr>
              <w:t>Insurance Europ</w:t>
            </w:r>
            <w:r w:rsidR="00BD0CC8" w:rsidRPr="00057ED8">
              <w:rPr>
                <w:szCs w:val="17"/>
                <w:lang w:val="en-GB"/>
              </w:rPr>
              <w:t>e support</w:t>
            </w:r>
            <w:r>
              <w:rPr>
                <w:szCs w:val="17"/>
                <w:lang w:val="en-GB"/>
              </w:rPr>
              <w:t>s the fact</w:t>
            </w:r>
            <w:r w:rsidR="00BD0CC8" w:rsidRPr="00057ED8">
              <w:rPr>
                <w:szCs w:val="17"/>
                <w:lang w:val="en-GB"/>
              </w:rPr>
              <w:t xml:space="preserve"> that the sustainability-related financial information should be required to be provided for the same reporting entity as the related financial statements (consolidated level).</w:t>
            </w:r>
          </w:p>
          <w:p w14:paraId="531C761B" w14:textId="730C802E" w:rsidR="00BD0CC8" w:rsidRPr="00057ED8" w:rsidRDefault="00BD0CC8" w:rsidP="009779ED">
            <w:pPr>
              <w:spacing w:line="240" w:lineRule="auto"/>
              <w:rPr>
                <w:sz w:val="17"/>
                <w:szCs w:val="17"/>
              </w:rPr>
            </w:pPr>
          </w:p>
          <w:p w14:paraId="53D08DED" w14:textId="77777777" w:rsidR="007B09D7" w:rsidRPr="00057ED8" w:rsidRDefault="007B09D7" w:rsidP="00812D6D">
            <w:pPr>
              <w:pStyle w:val="Odsekzoznamu"/>
              <w:numPr>
                <w:ilvl w:val="0"/>
                <w:numId w:val="33"/>
              </w:numPr>
              <w:rPr>
                <w:szCs w:val="17"/>
                <w:lang w:val="en-GB"/>
              </w:rPr>
            </w:pPr>
            <w:r w:rsidRPr="00057ED8">
              <w:rPr>
                <w:szCs w:val="17"/>
                <w:lang w:val="en-GB"/>
              </w:rPr>
              <w:t xml:space="preserve">Broadly agree / </w:t>
            </w:r>
            <w:r w:rsidRPr="00057ED8">
              <w:rPr>
                <w:szCs w:val="17"/>
                <w:highlight w:val="cyan"/>
                <w:lang w:val="en-GB"/>
              </w:rPr>
              <w:t>broadly disagree</w:t>
            </w:r>
            <w:r w:rsidRPr="00057ED8">
              <w:rPr>
                <w:szCs w:val="17"/>
                <w:lang w:val="en-GB"/>
              </w:rPr>
              <w:t xml:space="preserve"> / other</w:t>
            </w:r>
          </w:p>
          <w:p w14:paraId="1DEC6226" w14:textId="04E01BC2" w:rsidR="00ED291D" w:rsidRPr="00057ED8" w:rsidRDefault="00095D26" w:rsidP="00A74677">
            <w:pPr>
              <w:pStyle w:val="Odsekzoznamu"/>
              <w:ind w:left="720" w:firstLine="0"/>
              <w:rPr>
                <w:szCs w:val="17"/>
                <w:lang w:val="en-GB"/>
              </w:rPr>
            </w:pPr>
            <w:r>
              <w:rPr>
                <w:szCs w:val="17"/>
                <w:lang w:val="en-GB"/>
              </w:rPr>
              <w:t>Insurance Europ</w:t>
            </w:r>
            <w:r w:rsidR="00834183" w:rsidRPr="00057ED8">
              <w:rPr>
                <w:szCs w:val="17"/>
                <w:lang w:val="en-GB"/>
              </w:rPr>
              <w:t>e welcome</w:t>
            </w:r>
            <w:r>
              <w:rPr>
                <w:szCs w:val="17"/>
                <w:lang w:val="en-GB"/>
              </w:rPr>
              <w:t>s</w:t>
            </w:r>
            <w:r w:rsidR="00834183" w:rsidRPr="00057ED8">
              <w:rPr>
                <w:szCs w:val="17"/>
                <w:lang w:val="en-GB"/>
              </w:rPr>
              <w:t xml:space="preserve"> </w:t>
            </w:r>
            <w:r>
              <w:rPr>
                <w:szCs w:val="17"/>
                <w:lang w:val="en-GB"/>
              </w:rPr>
              <w:t xml:space="preserve">the fact </w:t>
            </w:r>
            <w:r w:rsidR="00834183" w:rsidRPr="00057ED8">
              <w:rPr>
                <w:szCs w:val="17"/>
                <w:lang w:val="en-GB"/>
              </w:rPr>
              <w:t>that the ISSB, similar</w:t>
            </w:r>
            <w:r>
              <w:rPr>
                <w:szCs w:val="17"/>
                <w:lang w:val="en-GB"/>
              </w:rPr>
              <w:t>ly</w:t>
            </w:r>
            <w:r w:rsidR="00834183" w:rsidRPr="00057ED8">
              <w:rPr>
                <w:szCs w:val="17"/>
                <w:lang w:val="en-GB"/>
              </w:rPr>
              <w:t xml:space="preserve"> to EFRAG, intends to require companies to report on their own operations </w:t>
            </w:r>
            <w:r w:rsidR="00EE1689" w:rsidRPr="00057ED8">
              <w:rPr>
                <w:szCs w:val="17"/>
                <w:lang w:val="en-GB"/>
              </w:rPr>
              <w:t>and</w:t>
            </w:r>
            <w:r w:rsidR="00834183" w:rsidRPr="00057ED8">
              <w:rPr>
                <w:szCs w:val="17"/>
                <w:lang w:val="en-GB"/>
              </w:rPr>
              <w:t xml:space="preserve"> value chain and </w:t>
            </w:r>
            <w:r w:rsidR="00E03F8F">
              <w:rPr>
                <w:szCs w:val="17"/>
                <w:lang w:val="en-GB"/>
              </w:rPr>
              <w:t xml:space="preserve">the </w:t>
            </w:r>
            <w:r w:rsidR="00834183" w:rsidRPr="00057ED8">
              <w:rPr>
                <w:szCs w:val="17"/>
                <w:lang w:val="en-GB"/>
              </w:rPr>
              <w:t xml:space="preserve">sustainability-related risks and opportunities therein. </w:t>
            </w:r>
            <w:r w:rsidR="00494206" w:rsidRPr="00057ED8">
              <w:rPr>
                <w:szCs w:val="17"/>
                <w:lang w:val="en-GB"/>
              </w:rPr>
              <w:t>B</w:t>
            </w:r>
            <w:r w:rsidR="00834183" w:rsidRPr="00057ED8">
              <w:rPr>
                <w:szCs w:val="17"/>
                <w:lang w:val="en-GB"/>
              </w:rPr>
              <w:t>oth organi</w:t>
            </w:r>
            <w:r w:rsidR="002F667B" w:rsidRPr="00057ED8">
              <w:rPr>
                <w:szCs w:val="17"/>
                <w:lang w:val="en-GB"/>
              </w:rPr>
              <w:t>s</w:t>
            </w:r>
            <w:r w:rsidR="00834183" w:rsidRPr="00057ED8">
              <w:rPr>
                <w:szCs w:val="17"/>
                <w:lang w:val="en-GB"/>
              </w:rPr>
              <w:t xml:space="preserve">ations </w:t>
            </w:r>
            <w:r w:rsidR="003C63DA">
              <w:rPr>
                <w:szCs w:val="17"/>
                <w:lang w:val="en-GB"/>
              </w:rPr>
              <w:t xml:space="preserve">seem to </w:t>
            </w:r>
            <w:r w:rsidR="00494206" w:rsidRPr="00057ED8">
              <w:rPr>
                <w:szCs w:val="17"/>
                <w:lang w:val="en-GB"/>
              </w:rPr>
              <w:t>propose</w:t>
            </w:r>
            <w:r w:rsidR="00834183" w:rsidRPr="00057ED8">
              <w:rPr>
                <w:szCs w:val="17"/>
                <w:lang w:val="en-GB"/>
              </w:rPr>
              <w:t xml:space="preserve"> a similar </w:t>
            </w:r>
            <w:r w:rsidR="00D71565" w:rsidRPr="00057ED8">
              <w:rPr>
                <w:szCs w:val="17"/>
                <w:lang w:val="en-GB"/>
              </w:rPr>
              <w:t>definition of the</w:t>
            </w:r>
            <w:r w:rsidR="00834183" w:rsidRPr="00057ED8">
              <w:rPr>
                <w:szCs w:val="17"/>
                <w:lang w:val="en-GB"/>
              </w:rPr>
              <w:t xml:space="preserve"> value chain, </w:t>
            </w:r>
            <w:r w:rsidR="003C63DA">
              <w:rPr>
                <w:szCs w:val="17"/>
                <w:lang w:val="en-GB"/>
              </w:rPr>
              <w:t xml:space="preserve">so </w:t>
            </w:r>
            <w:r w:rsidR="00645CA6">
              <w:rPr>
                <w:szCs w:val="17"/>
                <w:lang w:val="en-GB"/>
              </w:rPr>
              <w:t xml:space="preserve">it is </w:t>
            </w:r>
            <w:r w:rsidR="005355F3" w:rsidRPr="00057ED8">
              <w:rPr>
                <w:szCs w:val="17"/>
                <w:lang w:val="en-GB"/>
              </w:rPr>
              <w:t>hope</w:t>
            </w:r>
            <w:r w:rsidR="00645CA6">
              <w:rPr>
                <w:szCs w:val="17"/>
                <w:lang w:val="en-GB"/>
              </w:rPr>
              <w:t>d</w:t>
            </w:r>
            <w:r w:rsidR="005355F3" w:rsidRPr="00057ED8">
              <w:rPr>
                <w:szCs w:val="17"/>
                <w:lang w:val="en-GB"/>
              </w:rPr>
              <w:t xml:space="preserve"> that</w:t>
            </w:r>
            <w:r w:rsidR="00834183" w:rsidRPr="00057ED8">
              <w:rPr>
                <w:szCs w:val="17"/>
                <w:lang w:val="en-GB"/>
              </w:rPr>
              <w:t xml:space="preserve"> </w:t>
            </w:r>
            <w:r w:rsidR="00BD0CC8" w:rsidRPr="00057ED8">
              <w:rPr>
                <w:szCs w:val="17"/>
                <w:lang w:val="en-GB"/>
              </w:rPr>
              <w:t>align</w:t>
            </w:r>
            <w:r w:rsidR="005355F3" w:rsidRPr="00057ED8">
              <w:rPr>
                <w:szCs w:val="17"/>
                <w:lang w:val="en-GB"/>
              </w:rPr>
              <w:t>ment</w:t>
            </w:r>
            <w:r w:rsidR="00BD0CC8" w:rsidRPr="00057ED8">
              <w:rPr>
                <w:szCs w:val="17"/>
                <w:lang w:val="en-GB"/>
              </w:rPr>
              <w:t xml:space="preserve"> </w:t>
            </w:r>
            <w:r w:rsidR="005355F3" w:rsidRPr="00057ED8">
              <w:rPr>
                <w:szCs w:val="17"/>
                <w:lang w:val="en-GB"/>
              </w:rPr>
              <w:t xml:space="preserve">between </w:t>
            </w:r>
            <w:r w:rsidR="00BD0CC8" w:rsidRPr="00057ED8">
              <w:rPr>
                <w:szCs w:val="17"/>
                <w:lang w:val="en-GB"/>
              </w:rPr>
              <w:t>the EU definition</w:t>
            </w:r>
            <w:r w:rsidR="00ED291D" w:rsidRPr="00057ED8">
              <w:rPr>
                <w:szCs w:val="17"/>
                <w:lang w:val="en-GB"/>
              </w:rPr>
              <w:t xml:space="preserve"> and the definition of the ISSB</w:t>
            </w:r>
            <w:r w:rsidR="005355F3" w:rsidRPr="00057ED8">
              <w:rPr>
                <w:szCs w:val="17"/>
                <w:lang w:val="en-GB"/>
              </w:rPr>
              <w:t xml:space="preserve"> can be achieved</w:t>
            </w:r>
            <w:r w:rsidR="00ED291D" w:rsidRPr="00057ED8">
              <w:rPr>
                <w:szCs w:val="17"/>
                <w:lang w:val="en-GB"/>
              </w:rPr>
              <w:t xml:space="preserve">. Differences in such a key underlying concept of sustainability reporting would clearly significantly harm interoperability </w:t>
            </w:r>
          </w:p>
          <w:p w14:paraId="1D64345B" w14:textId="43C6D992" w:rsidR="003F024A" w:rsidRPr="00243075" w:rsidRDefault="00ED291D" w:rsidP="00243075">
            <w:pPr>
              <w:pStyle w:val="Odsekzoznamu"/>
              <w:ind w:left="720" w:firstLine="0"/>
              <w:rPr>
                <w:szCs w:val="17"/>
                <w:lang w:val="en-GB"/>
              </w:rPr>
            </w:pPr>
            <w:r w:rsidRPr="00057ED8">
              <w:rPr>
                <w:szCs w:val="17"/>
                <w:lang w:val="en-GB"/>
              </w:rPr>
              <w:t>In general</w:t>
            </w:r>
            <w:r w:rsidR="005458F8">
              <w:rPr>
                <w:szCs w:val="17"/>
                <w:lang w:val="en-GB"/>
              </w:rPr>
              <w:t>,</w:t>
            </w:r>
            <w:r w:rsidR="009D349D" w:rsidRPr="00057ED8">
              <w:rPr>
                <w:szCs w:val="17"/>
                <w:lang w:val="en-GB"/>
              </w:rPr>
              <w:t xml:space="preserve"> and </w:t>
            </w:r>
            <w:r w:rsidR="008C4316">
              <w:rPr>
                <w:szCs w:val="17"/>
                <w:lang w:val="en-GB"/>
              </w:rPr>
              <w:t>given</w:t>
            </w:r>
            <w:r w:rsidR="008C4316" w:rsidRPr="00057ED8">
              <w:rPr>
                <w:szCs w:val="17"/>
                <w:lang w:val="en-GB"/>
              </w:rPr>
              <w:t xml:space="preserve"> </w:t>
            </w:r>
            <w:r w:rsidR="009D349D" w:rsidRPr="00057ED8">
              <w:rPr>
                <w:szCs w:val="17"/>
                <w:lang w:val="en-GB"/>
              </w:rPr>
              <w:t>data availability</w:t>
            </w:r>
            <w:r w:rsidRPr="00057ED8">
              <w:rPr>
                <w:szCs w:val="17"/>
                <w:lang w:val="en-GB"/>
              </w:rPr>
              <w:t xml:space="preserve">, clarity is needed on </w:t>
            </w:r>
            <w:r w:rsidR="00577F1D">
              <w:rPr>
                <w:szCs w:val="17"/>
                <w:lang w:val="en-GB"/>
              </w:rPr>
              <w:t>how</w:t>
            </w:r>
            <w:r w:rsidR="00577F1D" w:rsidRPr="00057ED8">
              <w:rPr>
                <w:szCs w:val="17"/>
                <w:lang w:val="en-GB"/>
              </w:rPr>
              <w:t xml:space="preserve"> </w:t>
            </w:r>
            <w:r w:rsidRPr="00057ED8">
              <w:rPr>
                <w:szCs w:val="17"/>
                <w:lang w:val="en-GB"/>
              </w:rPr>
              <w:t xml:space="preserve">the value chain </w:t>
            </w:r>
            <w:r w:rsidR="00577F1D">
              <w:rPr>
                <w:szCs w:val="17"/>
                <w:lang w:val="en-GB"/>
              </w:rPr>
              <w:t>is defined</w:t>
            </w:r>
            <w:r w:rsidR="00577F1D" w:rsidRPr="00057ED8">
              <w:rPr>
                <w:szCs w:val="17"/>
                <w:lang w:val="en-GB"/>
              </w:rPr>
              <w:t xml:space="preserve"> </w:t>
            </w:r>
            <w:r w:rsidRPr="00057ED8">
              <w:rPr>
                <w:szCs w:val="17"/>
                <w:lang w:val="en-GB"/>
              </w:rPr>
              <w:t>for the financial sector</w:t>
            </w:r>
            <w:r w:rsidR="00A428EE">
              <w:rPr>
                <w:szCs w:val="17"/>
                <w:lang w:val="en-GB"/>
              </w:rPr>
              <w:t xml:space="preserve"> and how the concept/requirement should be applied. </w:t>
            </w:r>
            <w:r w:rsidRPr="00243075">
              <w:rPr>
                <w:szCs w:val="17"/>
                <w:lang w:val="en-GB"/>
              </w:rPr>
              <w:t xml:space="preserve">In </w:t>
            </w:r>
            <w:r w:rsidR="00FE69A1">
              <w:rPr>
                <w:szCs w:val="17"/>
                <w:lang w:val="en-GB"/>
              </w:rPr>
              <w:t>Insurance Europe’</w:t>
            </w:r>
            <w:r w:rsidR="00BA6FE7">
              <w:rPr>
                <w:szCs w:val="17"/>
                <w:lang w:val="en-GB"/>
              </w:rPr>
              <w:t>s</w:t>
            </w:r>
            <w:r w:rsidR="00FE69A1" w:rsidRPr="00243075">
              <w:rPr>
                <w:szCs w:val="17"/>
                <w:lang w:val="en-GB"/>
              </w:rPr>
              <w:t xml:space="preserve"> </w:t>
            </w:r>
            <w:r w:rsidRPr="00243075">
              <w:rPr>
                <w:szCs w:val="17"/>
                <w:lang w:val="en-GB"/>
              </w:rPr>
              <w:t xml:space="preserve">view, the value chain for financial institutions should </w:t>
            </w:r>
            <w:r w:rsidR="008774E2" w:rsidRPr="00243075">
              <w:rPr>
                <w:szCs w:val="17"/>
                <w:lang w:val="en-GB"/>
              </w:rPr>
              <w:t xml:space="preserve">encompass </w:t>
            </w:r>
            <w:r w:rsidR="00080DB2" w:rsidRPr="00243075">
              <w:rPr>
                <w:szCs w:val="17"/>
                <w:lang w:val="en-GB"/>
              </w:rPr>
              <w:t>direct</w:t>
            </w:r>
            <w:r w:rsidRPr="00243075">
              <w:rPr>
                <w:szCs w:val="17"/>
                <w:lang w:val="en-GB"/>
              </w:rPr>
              <w:t xml:space="preserve"> upstream and downstream value chain partners such as suppliers</w:t>
            </w:r>
            <w:r w:rsidR="00083A89" w:rsidRPr="00243075">
              <w:rPr>
                <w:szCs w:val="17"/>
                <w:lang w:val="en-GB"/>
              </w:rPr>
              <w:t xml:space="preserve"> and</w:t>
            </w:r>
            <w:r w:rsidRPr="00243075">
              <w:rPr>
                <w:szCs w:val="17"/>
                <w:lang w:val="en-GB"/>
              </w:rPr>
              <w:t xml:space="preserve"> business partners</w:t>
            </w:r>
            <w:r w:rsidR="00A46575" w:rsidRPr="00243075">
              <w:rPr>
                <w:szCs w:val="17"/>
                <w:lang w:val="en-GB"/>
              </w:rPr>
              <w:t>, as well as investees and policyholders, however with limited look-through requirements supplemented by qualitative sector-specific disclosure requirements.</w:t>
            </w:r>
            <w:r w:rsidRPr="00243075">
              <w:rPr>
                <w:szCs w:val="17"/>
                <w:lang w:val="en-GB"/>
              </w:rPr>
              <w:t xml:space="preserve"> </w:t>
            </w:r>
          </w:p>
          <w:p w14:paraId="6BA44CE1" w14:textId="77777777" w:rsidR="008625FA" w:rsidRDefault="008625FA" w:rsidP="008625FA">
            <w:pPr>
              <w:pStyle w:val="Odsekzoznamu"/>
              <w:ind w:left="720" w:firstLine="0"/>
              <w:rPr>
                <w:szCs w:val="17"/>
                <w:lang w:val="en-GB"/>
              </w:rPr>
            </w:pPr>
            <w:r w:rsidRPr="00A74677">
              <w:rPr>
                <w:szCs w:val="17"/>
                <w:lang w:val="en-GB"/>
              </w:rPr>
              <w:t>A look-through to (all) investees, clients and policyholders for all disclosures clearly needs to be avoided given the significant implications for reporting and challenges related to data availability. This would also:</w:t>
            </w:r>
          </w:p>
          <w:p w14:paraId="1926519F" w14:textId="77777777" w:rsidR="008625FA" w:rsidRPr="00E75A0C" w:rsidRDefault="008625FA" w:rsidP="008625FA">
            <w:pPr>
              <w:pStyle w:val="Odsekzoznamu"/>
              <w:numPr>
                <w:ilvl w:val="0"/>
                <w:numId w:val="57"/>
              </w:numPr>
              <w:rPr>
                <w:szCs w:val="17"/>
                <w:lang w:val="en-GB"/>
              </w:rPr>
            </w:pPr>
            <w:r w:rsidRPr="00A74677">
              <w:rPr>
                <w:szCs w:val="17"/>
                <w:lang w:val="en-GB"/>
              </w:rPr>
              <w:t xml:space="preserve">be consistent with financial reporting; </w:t>
            </w:r>
          </w:p>
          <w:p w14:paraId="6E15FA3B" w14:textId="77777777" w:rsidR="008625FA" w:rsidRDefault="008625FA" w:rsidP="008625FA">
            <w:pPr>
              <w:pStyle w:val="Odsekzoznamu"/>
              <w:numPr>
                <w:ilvl w:val="0"/>
                <w:numId w:val="57"/>
              </w:numPr>
              <w:rPr>
                <w:szCs w:val="17"/>
              </w:rPr>
            </w:pPr>
            <w:r w:rsidRPr="00A74677">
              <w:rPr>
                <w:szCs w:val="17"/>
              </w:rPr>
              <w:t>mitigate information overload;</w:t>
            </w:r>
          </w:p>
          <w:p w14:paraId="5C2D8F7C" w14:textId="77777777" w:rsidR="008625FA" w:rsidRDefault="008625FA" w:rsidP="008625FA">
            <w:pPr>
              <w:pStyle w:val="Odsekzoznamu"/>
              <w:numPr>
                <w:ilvl w:val="0"/>
                <w:numId w:val="57"/>
              </w:numPr>
              <w:rPr>
                <w:szCs w:val="17"/>
              </w:rPr>
            </w:pPr>
            <w:r w:rsidRPr="00A74677">
              <w:rPr>
                <w:szCs w:val="17"/>
              </w:rPr>
              <w:t>avoid confusing users by reporting from different perspectives;</w:t>
            </w:r>
          </w:p>
          <w:p w14:paraId="5AE6712C" w14:textId="49E967F5" w:rsidR="008625FA" w:rsidRDefault="008625FA" w:rsidP="008625FA">
            <w:pPr>
              <w:pStyle w:val="Odsekzoznamu"/>
              <w:numPr>
                <w:ilvl w:val="0"/>
                <w:numId w:val="57"/>
              </w:numPr>
              <w:rPr>
                <w:szCs w:val="17"/>
              </w:rPr>
            </w:pPr>
            <w:r w:rsidRPr="00A74677">
              <w:rPr>
                <w:szCs w:val="17"/>
              </w:rPr>
              <w:t>avoid double-counting from an aggregate economic perspective; and</w:t>
            </w:r>
            <w:r w:rsidR="003A147A">
              <w:rPr>
                <w:szCs w:val="17"/>
              </w:rPr>
              <w:t>,</w:t>
            </w:r>
          </w:p>
          <w:p w14:paraId="559078C1" w14:textId="0C1C2CA3" w:rsidR="008625FA" w:rsidRDefault="008625FA" w:rsidP="008625FA">
            <w:pPr>
              <w:pStyle w:val="Odsekzoznamu"/>
              <w:numPr>
                <w:ilvl w:val="0"/>
                <w:numId w:val="57"/>
              </w:numPr>
              <w:rPr>
                <w:szCs w:val="17"/>
              </w:rPr>
            </w:pPr>
            <w:r w:rsidRPr="00A74677">
              <w:rPr>
                <w:szCs w:val="17"/>
              </w:rPr>
              <w:t>mitigate concerns regarding data av</w:t>
            </w:r>
            <w:r w:rsidRPr="00E75A0C">
              <w:rPr>
                <w:szCs w:val="17"/>
              </w:rPr>
              <w:t>ailability issues and the need for estimations, judgment and safeguards.</w:t>
            </w:r>
          </w:p>
          <w:p w14:paraId="227560CD" w14:textId="77777777" w:rsidR="008625FA" w:rsidRDefault="008625FA" w:rsidP="008625FA">
            <w:pPr>
              <w:spacing w:line="240" w:lineRule="auto"/>
              <w:rPr>
                <w:szCs w:val="17"/>
              </w:rPr>
            </w:pPr>
          </w:p>
          <w:p w14:paraId="0C0F6667" w14:textId="51BDAB01" w:rsidR="008625FA" w:rsidRDefault="008625FA" w:rsidP="008625FA">
            <w:pPr>
              <w:spacing w:line="240" w:lineRule="auto"/>
              <w:ind w:left="708" w:right="1057"/>
              <w:rPr>
                <w:szCs w:val="17"/>
              </w:rPr>
            </w:pPr>
            <w:r w:rsidRPr="00E75A0C">
              <w:rPr>
                <w:rFonts w:eastAsia="Bookman Old Style" w:cs="Bookman Old Style"/>
                <w:sz w:val="17"/>
                <w:szCs w:val="17"/>
              </w:rPr>
              <w:t>To adequately account for the specific</w:t>
            </w:r>
            <w:r w:rsidR="00BF183F">
              <w:rPr>
                <w:rFonts w:eastAsia="Bookman Old Style" w:cs="Bookman Old Style"/>
                <w:sz w:val="17"/>
                <w:szCs w:val="17"/>
              </w:rPr>
              <w:t xml:space="preserve"> characteristics</w:t>
            </w:r>
            <w:r w:rsidRPr="00E75A0C">
              <w:rPr>
                <w:rFonts w:eastAsia="Bookman Old Style" w:cs="Bookman Old Style"/>
                <w:sz w:val="17"/>
                <w:szCs w:val="17"/>
              </w:rPr>
              <w:t xml:space="preserve"> of financial companies’ business models, additional sector-specific disclosure requirements should be defined that would require financial companies to provide certain sustainability-related information regarding their portfolios, </w:t>
            </w:r>
            <w:r w:rsidR="00EC61A6">
              <w:rPr>
                <w:rFonts w:eastAsia="Bookman Old Style" w:cs="Bookman Old Style"/>
                <w:sz w:val="17"/>
                <w:szCs w:val="17"/>
              </w:rPr>
              <w:t>such as,</w:t>
            </w:r>
            <w:r w:rsidRPr="00E75A0C">
              <w:rPr>
                <w:rFonts w:eastAsia="Bookman Old Style" w:cs="Bookman Old Style"/>
                <w:sz w:val="17"/>
                <w:szCs w:val="17"/>
              </w:rPr>
              <w:t xml:space="preserve"> investment or underwriting policies, the extent to which ESG considerations feed into the investment or underwriting decision-making and engagement process with investees or policyholders, and </w:t>
            </w:r>
            <w:r w:rsidR="00B26668">
              <w:rPr>
                <w:rFonts w:eastAsia="Bookman Old Style" w:cs="Bookman Old Style"/>
                <w:sz w:val="17"/>
                <w:szCs w:val="17"/>
              </w:rPr>
              <w:t xml:space="preserve">the </w:t>
            </w:r>
            <w:r w:rsidRPr="00E75A0C">
              <w:rPr>
                <w:rFonts w:eastAsia="Bookman Old Style" w:cs="Bookman Old Style"/>
                <w:sz w:val="17"/>
                <w:szCs w:val="17"/>
              </w:rPr>
              <w:t xml:space="preserve">due diligence processes implemented. Based on </w:t>
            </w:r>
            <w:r w:rsidR="00F75E4C">
              <w:rPr>
                <w:rFonts w:eastAsia="Bookman Old Style" w:cs="Bookman Old Style"/>
                <w:sz w:val="17"/>
                <w:szCs w:val="17"/>
              </w:rPr>
              <w:t>such</w:t>
            </w:r>
            <w:r w:rsidR="00F75E4C" w:rsidRPr="00E75A0C">
              <w:rPr>
                <w:rFonts w:eastAsia="Bookman Old Style" w:cs="Bookman Old Style"/>
                <w:sz w:val="17"/>
                <w:szCs w:val="17"/>
              </w:rPr>
              <w:t xml:space="preserve"> </w:t>
            </w:r>
            <w:r w:rsidRPr="00E75A0C">
              <w:rPr>
                <w:rFonts w:eastAsia="Bookman Old Style" w:cs="Bookman Old Style"/>
                <w:sz w:val="17"/>
                <w:szCs w:val="17"/>
              </w:rPr>
              <w:t>information, a look</w:t>
            </w:r>
            <w:r w:rsidR="00967867">
              <w:rPr>
                <w:rFonts w:eastAsia="Bookman Old Style" w:cs="Bookman Old Style"/>
                <w:sz w:val="17"/>
                <w:szCs w:val="17"/>
              </w:rPr>
              <w:t>-</w:t>
            </w:r>
            <w:r w:rsidRPr="00E75A0C">
              <w:rPr>
                <w:rFonts w:eastAsia="Bookman Old Style" w:cs="Bookman Old Style"/>
                <w:sz w:val="17"/>
                <w:szCs w:val="17"/>
              </w:rPr>
              <w:t>through</w:t>
            </w:r>
            <w:r w:rsidR="00E1779D">
              <w:rPr>
                <w:rFonts w:eastAsia="Bookman Old Style" w:cs="Bookman Old Style"/>
                <w:sz w:val="17"/>
                <w:szCs w:val="17"/>
              </w:rPr>
              <w:t xml:space="preserve"> approach</w:t>
            </w:r>
            <w:r w:rsidRPr="00E75A0C">
              <w:rPr>
                <w:rFonts w:eastAsia="Bookman Old Style" w:cs="Bookman Old Style"/>
                <w:sz w:val="17"/>
                <w:szCs w:val="17"/>
              </w:rPr>
              <w:t xml:space="preserve"> to all investees, policyholders and clients </w:t>
            </w:r>
            <w:r w:rsidR="00256276">
              <w:rPr>
                <w:rFonts w:eastAsia="Bookman Old Style" w:cs="Bookman Old Style"/>
                <w:sz w:val="17"/>
                <w:szCs w:val="17"/>
              </w:rPr>
              <w:t xml:space="preserve">would not be necessary for most disclosures. </w:t>
            </w:r>
          </w:p>
          <w:p w14:paraId="45D82D4C" w14:textId="77777777" w:rsidR="008625FA" w:rsidRDefault="008625FA" w:rsidP="008625FA">
            <w:pPr>
              <w:spacing w:line="240" w:lineRule="auto"/>
              <w:ind w:left="708" w:right="1057"/>
              <w:rPr>
                <w:szCs w:val="17"/>
              </w:rPr>
            </w:pPr>
          </w:p>
          <w:p w14:paraId="114E9913" w14:textId="5EB2843C" w:rsidR="008625FA" w:rsidRPr="00E75A0C" w:rsidRDefault="00256276" w:rsidP="008625FA">
            <w:pPr>
              <w:spacing w:line="240" w:lineRule="auto"/>
              <w:ind w:left="708" w:right="1057"/>
              <w:rPr>
                <w:rFonts w:eastAsia="Bookman Old Style" w:cs="Bookman Old Style"/>
                <w:sz w:val="17"/>
                <w:szCs w:val="17"/>
              </w:rPr>
            </w:pPr>
            <w:r>
              <w:rPr>
                <w:rFonts w:eastAsia="Bookman Old Style" w:cs="Bookman Old Style"/>
                <w:sz w:val="17"/>
                <w:szCs w:val="17"/>
              </w:rPr>
              <w:t>Only f</w:t>
            </w:r>
            <w:r w:rsidR="008625FA">
              <w:rPr>
                <w:rFonts w:eastAsia="Bookman Old Style" w:cs="Bookman Old Style"/>
                <w:sz w:val="17"/>
                <w:szCs w:val="17"/>
              </w:rPr>
              <w:t xml:space="preserve">or some </w:t>
            </w:r>
            <w:r w:rsidR="00E535DD">
              <w:rPr>
                <w:rFonts w:eastAsia="Bookman Old Style" w:cs="Bookman Old Style"/>
                <w:sz w:val="17"/>
                <w:szCs w:val="17"/>
              </w:rPr>
              <w:t xml:space="preserve">key </w:t>
            </w:r>
            <w:r w:rsidR="008625FA">
              <w:rPr>
                <w:rFonts w:eastAsia="Bookman Old Style" w:cs="Bookman Old Style"/>
                <w:sz w:val="17"/>
                <w:szCs w:val="17"/>
              </w:rPr>
              <w:t>disclosure</w:t>
            </w:r>
            <w:r w:rsidR="00C26696">
              <w:rPr>
                <w:rFonts w:eastAsia="Bookman Old Style" w:cs="Bookman Old Style"/>
                <w:sz w:val="17"/>
                <w:szCs w:val="17"/>
              </w:rPr>
              <w:t>s/data points</w:t>
            </w:r>
            <w:r w:rsidR="008625FA">
              <w:rPr>
                <w:rFonts w:eastAsia="Bookman Old Style" w:cs="Bookman Old Style"/>
                <w:sz w:val="17"/>
                <w:szCs w:val="17"/>
              </w:rPr>
              <w:t>, a look-through approach is needed and supported (</w:t>
            </w:r>
            <w:proofErr w:type="spellStart"/>
            <w:r w:rsidR="008625FA" w:rsidRPr="00E75A0C">
              <w:rPr>
                <w:rFonts w:eastAsia="Bookman Old Style" w:cs="Bookman Old Style"/>
                <w:sz w:val="17"/>
                <w:szCs w:val="17"/>
              </w:rPr>
              <w:t>eg</w:t>
            </w:r>
            <w:proofErr w:type="spellEnd"/>
            <w:r w:rsidR="00CE64DC">
              <w:rPr>
                <w:rFonts w:eastAsia="Bookman Old Style" w:cs="Bookman Old Style"/>
                <w:sz w:val="17"/>
                <w:szCs w:val="17"/>
              </w:rPr>
              <w:t>,</w:t>
            </w:r>
            <w:r w:rsidR="008625FA" w:rsidRPr="00E75A0C">
              <w:rPr>
                <w:rFonts w:eastAsia="Bookman Old Style" w:cs="Bookman Old Style"/>
                <w:sz w:val="17"/>
                <w:szCs w:val="17"/>
              </w:rPr>
              <w:t xml:space="preserve"> Scope 3 </w:t>
            </w:r>
            <w:r w:rsidR="00CE64DC">
              <w:rPr>
                <w:rFonts w:eastAsia="Bookman Old Style" w:cs="Bookman Old Style"/>
                <w:sz w:val="17"/>
                <w:szCs w:val="17"/>
              </w:rPr>
              <w:t xml:space="preserve">greenhouse gas </w:t>
            </w:r>
            <w:r w:rsidR="00025D3C">
              <w:rPr>
                <w:rFonts w:eastAsia="Bookman Old Style" w:cs="Bookman Old Style"/>
                <w:sz w:val="17"/>
                <w:szCs w:val="17"/>
              </w:rPr>
              <w:t>(</w:t>
            </w:r>
            <w:r w:rsidR="008625FA" w:rsidRPr="00E75A0C">
              <w:rPr>
                <w:rFonts w:eastAsia="Bookman Old Style" w:cs="Bookman Old Style"/>
                <w:sz w:val="17"/>
                <w:szCs w:val="17"/>
              </w:rPr>
              <w:t>GHG</w:t>
            </w:r>
            <w:r w:rsidR="00025D3C">
              <w:rPr>
                <w:rFonts w:eastAsia="Bookman Old Style" w:cs="Bookman Old Style"/>
                <w:sz w:val="17"/>
                <w:szCs w:val="17"/>
              </w:rPr>
              <w:t>)</w:t>
            </w:r>
            <w:r w:rsidR="008625FA" w:rsidRPr="00E75A0C">
              <w:rPr>
                <w:rFonts w:eastAsia="Bookman Old Style" w:cs="Bookman Old Style"/>
                <w:sz w:val="17"/>
                <w:szCs w:val="17"/>
              </w:rPr>
              <w:t xml:space="preserve"> emissions</w:t>
            </w:r>
            <w:r w:rsidR="008625FA">
              <w:rPr>
                <w:rFonts w:eastAsia="Bookman Old Style" w:cs="Bookman Old Style"/>
                <w:sz w:val="17"/>
                <w:szCs w:val="17"/>
              </w:rPr>
              <w:t>)</w:t>
            </w:r>
            <w:r w:rsidR="008625FA" w:rsidRPr="00E75A0C">
              <w:rPr>
                <w:rFonts w:eastAsia="Bookman Old Style" w:cs="Bookman Old Style"/>
                <w:sz w:val="17"/>
                <w:szCs w:val="17"/>
              </w:rPr>
              <w:t xml:space="preserve">. </w:t>
            </w:r>
          </w:p>
          <w:p w14:paraId="47C18FCE" w14:textId="0187DD06" w:rsidR="00AA21AB" w:rsidRDefault="008625FA" w:rsidP="00536669">
            <w:pPr>
              <w:pStyle w:val="Odsekzoznamu"/>
              <w:ind w:left="720" w:firstLine="0"/>
              <w:rPr>
                <w:szCs w:val="17"/>
                <w:lang w:val="en-GB"/>
              </w:rPr>
            </w:pPr>
            <w:r w:rsidRPr="00A74677">
              <w:rPr>
                <w:szCs w:val="17"/>
                <w:lang w:val="en-GB"/>
              </w:rPr>
              <w:t>Furthermore, it is critical to align the EU (C</w:t>
            </w:r>
            <w:r w:rsidR="00EF478B">
              <w:rPr>
                <w:szCs w:val="17"/>
                <w:lang w:val="en-GB"/>
              </w:rPr>
              <w:t xml:space="preserve">orporate </w:t>
            </w:r>
            <w:r w:rsidRPr="00A74677">
              <w:rPr>
                <w:szCs w:val="17"/>
                <w:lang w:val="en-GB"/>
              </w:rPr>
              <w:t>S</w:t>
            </w:r>
            <w:r w:rsidR="00EF478B">
              <w:rPr>
                <w:szCs w:val="17"/>
                <w:lang w:val="en-GB"/>
              </w:rPr>
              <w:t xml:space="preserve">ustainability </w:t>
            </w:r>
            <w:r w:rsidRPr="00A74677">
              <w:rPr>
                <w:szCs w:val="17"/>
                <w:lang w:val="en-GB"/>
              </w:rPr>
              <w:t>R</w:t>
            </w:r>
            <w:r w:rsidR="00EF478B">
              <w:rPr>
                <w:szCs w:val="17"/>
                <w:lang w:val="en-GB"/>
              </w:rPr>
              <w:t xml:space="preserve">eporting </w:t>
            </w:r>
            <w:r w:rsidRPr="00A74677">
              <w:rPr>
                <w:szCs w:val="17"/>
                <w:lang w:val="en-GB"/>
              </w:rPr>
              <w:t>D</w:t>
            </w:r>
            <w:r w:rsidR="00EF478B">
              <w:rPr>
                <w:szCs w:val="17"/>
                <w:lang w:val="en-GB"/>
              </w:rPr>
              <w:t>irective</w:t>
            </w:r>
            <w:r w:rsidRPr="00A74677">
              <w:rPr>
                <w:szCs w:val="17"/>
                <w:lang w:val="en-GB"/>
              </w:rPr>
              <w:t>) and ISSB approach</w:t>
            </w:r>
            <w:r>
              <w:rPr>
                <w:szCs w:val="17"/>
                <w:lang w:val="en-GB"/>
              </w:rPr>
              <w:t>es and</w:t>
            </w:r>
            <w:r w:rsidRPr="00A74677">
              <w:rPr>
                <w:szCs w:val="17"/>
                <w:lang w:val="en-GB"/>
              </w:rPr>
              <w:t xml:space="preserve"> understanding regarding the value chain</w:t>
            </w:r>
            <w:r w:rsidR="009A701D">
              <w:rPr>
                <w:szCs w:val="17"/>
                <w:lang w:val="en-GB"/>
              </w:rPr>
              <w:t xml:space="preserve"> definition</w:t>
            </w:r>
            <w:r w:rsidRPr="00A74677">
              <w:rPr>
                <w:szCs w:val="17"/>
                <w:lang w:val="en-GB"/>
              </w:rPr>
              <w:t>. Differences in such a fundamental</w:t>
            </w:r>
            <w:r w:rsidR="00E60C78">
              <w:rPr>
                <w:szCs w:val="17"/>
                <w:lang w:val="en-GB"/>
              </w:rPr>
              <w:t>ly</w:t>
            </w:r>
            <w:r w:rsidRPr="00A74677">
              <w:rPr>
                <w:szCs w:val="17"/>
                <w:lang w:val="en-GB"/>
              </w:rPr>
              <w:t xml:space="preserve"> key concept of sustainability reporting would significantly harm interoperability and render the establishment of an equivalence mechanism (incorporation by EFRAG) much more difficult.</w:t>
            </w:r>
          </w:p>
          <w:p w14:paraId="107E116B" w14:textId="5436DFE2" w:rsidR="00ED291D" w:rsidRPr="00F75E4C" w:rsidRDefault="008625FA" w:rsidP="00F75E4C">
            <w:pPr>
              <w:pStyle w:val="Odsekzoznamu"/>
              <w:ind w:left="720" w:firstLine="0"/>
              <w:rPr>
                <w:szCs w:val="17"/>
                <w:lang w:val="en-GB"/>
              </w:rPr>
            </w:pPr>
            <w:r w:rsidRPr="00A74677">
              <w:rPr>
                <w:szCs w:val="17"/>
                <w:lang w:val="en-GB"/>
              </w:rPr>
              <w:t>It is essential to have a clear definition of activities, interactions and relationships. For example, it is crucial to have one standard valid in all regulations (</w:t>
            </w:r>
            <w:proofErr w:type="spellStart"/>
            <w:r w:rsidRPr="00A74677">
              <w:rPr>
                <w:szCs w:val="17"/>
                <w:lang w:val="en-GB"/>
              </w:rPr>
              <w:t>eg</w:t>
            </w:r>
            <w:proofErr w:type="spellEnd"/>
            <w:r w:rsidR="00E0016F">
              <w:rPr>
                <w:szCs w:val="17"/>
                <w:lang w:val="en-GB"/>
              </w:rPr>
              <w:t>,</w:t>
            </w:r>
            <w:r w:rsidRPr="00A74677">
              <w:rPr>
                <w:szCs w:val="17"/>
                <w:lang w:val="en-GB"/>
              </w:rPr>
              <w:t xml:space="preserve"> in the EU Taxonomy, NACE codes are used to define activities; SASB is based on NAICS; </w:t>
            </w:r>
            <w:r w:rsidR="000356FD">
              <w:rPr>
                <w:szCs w:val="17"/>
                <w:lang w:val="en-GB"/>
              </w:rPr>
              <w:t xml:space="preserve">and </w:t>
            </w:r>
            <w:r w:rsidRPr="00A74677">
              <w:rPr>
                <w:szCs w:val="17"/>
                <w:lang w:val="en-GB"/>
              </w:rPr>
              <w:t xml:space="preserve">in other </w:t>
            </w:r>
            <w:proofErr w:type="gramStart"/>
            <w:r w:rsidRPr="00A74677">
              <w:rPr>
                <w:szCs w:val="17"/>
                <w:lang w:val="en-GB"/>
              </w:rPr>
              <w:t>contexts</w:t>
            </w:r>
            <w:proofErr w:type="gramEnd"/>
            <w:r w:rsidRPr="00A74677">
              <w:rPr>
                <w:szCs w:val="17"/>
                <w:lang w:val="en-GB"/>
              </w:rPr>
              <w:t xml:space="preserve"> GICS are applied). Besides this, safeguards, such as best-effort principles, should be </w:t>
            </w:r>
            <w:r w:rsidR="002071EE">
              <w:rPr>
                <w:szCs w:val="17"/>
                <w:lang w:val="en-GB"/>
              </w:rPr>
              <w:t>integrated</w:t>
            </w:r>
            <w:r>
              <w:rPr>
                <w:szCs w:val="17"/>
                <w:lang w:val="en-GB"/>
              </w:rPr>
              <w:t>.</w:t>
            </w:r>
          </w:p>
          <w:p w14:paraId="661E497D" w14:textId="522B1A79" w:rsidR="00BD0CC8" w:rsidRPr="00057ED8" w:rsidRDefault="00ED291D" w:rsidP="009779ED">
            <w:pPr>
              <w:pStyle w:val="Odsekzoznamu"/>
              <w:ind w:left="720" w:firstLine="0"/>
              <w:rPr>
                <w:szCs w:val="17"/>
                <w:lang w:val="en-GB"/>
              </w:rPr>
            </w:pPr>
            <w:r w:rsidRPr="00057ED8">
              <w:rPr>
                <w:szCs w:val="17"/>
                <w:lang w:val="en-GB"/>
              </w:rPr>
              <w:t>As regards par</w:t>
            </w:r>
            <w:r w:rsidR="00E56C4D" w:rsidRPr="00057ED8">
              <w:rPr>
                <w:szCs w:val="17"/>
                <w:lang w:val="en-GB"/>
              </w:rPr>
              <w:t>a</w:t>
            </w:r>
            <w:r w:rsidRPr="00057ED8">
              <w:rPr>
                <w:szCs w:val="17"/>
                <w:lang w:val="en-GB"/>
              </w:rPr>
              <w:t xml:space="preserve">. 40(a), information on </w:t>
            </w:r>
            <w:r w:rsidR="00B87CDD">
              <w:rPr>
                <w:szCs w:val="17"/>
                <w:lang w:val="en-GB"/>
              </w:rPr>
              <w:t xml:space="preserve">the </w:t>
            </w:r>
            <w:r w:rsidRPr="00057ED8">
              <w:rPr>
                <w:szCs w:val="17"/>
                <w:lang w:val="en-GB"/>
              </w:rPr>
              <w:t xml:space="preserve">sustainability matters “of </w:t>
            </w:r>
            <w:r w:rsidR="00B87CDD">
              <w:rPr>
                <w:szCs w:val="17"/>
                <w:lang w:val="en-GB"/>
              </w:rPr>
              <w:t>[</w:t>
            </w:r>
            <w:r w:rsidRPr="00057ED8">
              <w:rPr>
                <w:szCs w:val="17"/>
                <w:lang w:val="en-GB"/>
              </w:rPr>
              <w:t>its</w:t>
            </w:r>
            <w:r w:rsidR="00B87CDD">
              <w:rPr>
                <w:szCs w:val="17"/>
                <w:lang w:val="en-GB"/>
              </w:rPr>
              <w:t>]</w:t>
            </w:r>
            <w:r w:rsidRPr="00057ED8">
              <w:rPr>
                <w:szCs w:val="17"/>
                <w:lang w:val="en-GB"/>
              </w:rPr>
              <w:t xml:space="preserve"> suppliers” might not always be (fully) known, </w:t>
            </w:r>
            <w:proofErr w:type="spellStart"/>
            <w:r w:rsidRPr="00057ED8">
              <w:rPr>
                <w:szCs w:val="17"/>
                <w:lang w:val="en-GB"/>
              </w:rPr>
              <w:t>eg</w:t>
            </w:r>
            <w:proofErr w:type="spellEnd"/>
            <w:r w:rsidRPr="00057ED8">
              <w:rPr>
                <w:szCs w:val="17"/>
                <w:lang w:val="en-GB"/>
              </w:rPr>
              <w:t xml:space="preserve">, for SME suppliers not reporting under the IFRS </w:t>
            </w:r>
            <w:r w:rsidR="007A5014">
              <w:rPr>
                <w:szCs w:val="17"/>
                <w:lang w:val="en-GB"/>
              </w:rPr>
              <w:t>SDS</w:t>
            </w:r>
            <w:r w:rsidRPr="00057ED8">
              <w:rPr>
                <w:szCs w:val="17"/>
                <w:lang w:val="en-GB"/>
              </w:rPr>
              <w:t>. This raises the question of how companies should deal with data availability issues regarding the value chain.</w:t>
            </w:r>
            <w:r w:rsidR="00EC4DBC" w:rsidRPr="00057ED8">
              <w:rPr>
                <w:szCs w:val="17"/>
                <w:lang w:val="en-GB"/>
              </w:rPr>
              <w:t xml:space="preserve"> Hence, safeguards, such as best-effort principles, should be implemented.</w:t>
            </w:r>
          </w:p>
          <w:p w14:paraId="41AE626F" w14:textId="32F63753" w:rsidR="00BD0CC8" w:rsidRPr="00057ED8" w:rsidRDefault="00BD0CC8" w:rsidP="009779ED">
            <w:pPr>
              <w:pStyle w:val="Odsekzoznamu"/>
              <w:ind w:left="720" w:firstLine="0"/>
              <w:rPr>
                <w:szCs w:val="17"/>
                <w:lang w:val="en-GB"/>
              </w:rPr>
            </w:pPr>
          </w:p>
          <w:p w14:paraId="205225CE" w14:textId="06065EC9" w:rsidR="007B09D7" w:rsidRPr="00057ED8" w:rsidRDefault="007B09D7" w:rsidP="00812D6D">
            <w:pPr>
              <w:pStyle w:val="Odsekzoznamu"/>
              <w:numPr>
                <w:ilvl w:val="0"/>
                <w:numId w:val="33"/>
              </w:numPr>
              <w:rPr>
                <w:szCs w:val="17"/>
                <w:lang w:val="en-GB"/>
              </w:rPr>
            </w:pPr>
            <w:r w:rsidRPr="00057ED8">
              <w:rPr>
                <w:szCs w:val="17"/>
                <w:highlight w:val="cyan"/>
                <w:lang w:val="en-GB"/>
              </w:rPr>
              <w:lastRenderedPageBreak/>
              <w:t>Broadly agree</w:t>
            </w:r>
            <w:r w:rsidRPr="00057ED8">
              <w:rPr>
                <w:szCs w:val="17"/>
                <w:lang w:val="en-GB"/>
              </w:rPr>
              <w:t xml:space="preserve"> / broadly disagree / other</w:t>
            </w:r>
          </w:p>
          <w:p w14:paraId="5A9F918F" w14:textId="4AC09C65" w:rsidR="004F6D19" w:rsidRPr="00057ED8" w:rsidRDefault="00AB20B7" w:rsidP="009779ED">
            <w:pPr>
              <w:pStyle w:val="Odsekzoznamu"/>
              <w:ind w:left="720" w:firstLine="0"/>
              <w:rPr>
                <w:szCs w:val="17"/>
                <w:lang w:val="en-GB"/>
              </w:rPr>
            </w:pPr>
            <w:r>
              <w:rPr>
                <w:szCs w:val="17"/>
                <w:lang w:val="en-GB"/>
              </w:rPr>
              <w:t>Insuranc</w:t>
            </w:r>
            <w:r w:rsidR="008C4365">
              <w:rPr>
                <w:szCs w:val="17"/>
                <w:lang w:val="en-GB"/>
              </w:rPr>
              <w:t>e Europ</w:t>
            </w:r>
            <w:r w:rsidR="00794A4B" w:rsidRPr="00057ED8">
              <w:rPr>
                <w:szCs w:val="17"/>
                <w:lang w:val="en-GB"/>
              </w:rPr>
              <w:t>e agree</w:t>
            </w:r>
            <w:r w:rsidR="008C4365">
              <w:rPr>
                <w:szCs w:val="17"/>
                <w:lang w:val="en-GB"/>
              </w:rPr>
              <w:t>s</w:t>
            </w:r>
            <w:r w:rsidR="00794A4B" w:rsidRPr="00057ED8">
              <w:rPr>
                <w:szCs w:val="17"/>
                <w:lang w:val="en-GB"/>
              </w:rPr>
              <w:t xml:space="preserve"> with the proposed requirement for identifying the related financial statements</w:t>
            </w:r>
            <w:r w:rsidR="0091217E" w:rsidRPr="00057ED8">
              <w:rPr>
                <w:szCs w:val="17"/>
                <w:lang w:val="en-GB"/>
              </w:rPr>
              <w:t>.</w:t>
            </w:r>
          </w:p>
          <w:p w14:paraId="0FBF5190" w14:textId="64095E58" w:rsidR="00920235" w:rsidRPr="00057ED8" w:rsidRDefault="00920235" w:rsidP="00AD1D0D">
            <w:pPr>
              <w:rPr>
                <w:sz w:val="17"/>
                <w:szCs w:val="17"/>
              </w:rPr>
            </w:pPr>
          </w:p>
        </w:tc>
      </w:tr>
    </w:tbl>
    <w:p w14:paraId="67306CFD" w14:textId="77777777" w:rsidR="002D5B55" w:rsidRPr="00057ED8" w:rsidRDefault="002D5B55" w:rsidP="00F768D9">
      <w:pPr>
        <w:rPr>
          <w:sz w:val="17"/>
          <w:szCs w:val="17"/>
        </w:rPr>
      </w:pPr>
    </w:p>
    <w:p w14:paraId="47BB359F" w14:textId="77777777" w:rsidR="00152882" w:rsidRPr="00057ED8" w:rsidRDefault="00152882" w:rsidP="00F768D9">
      <w:pPr>
        <w:rPr>
          <w:b/>
          <w:bCs/>
          <w:sz w:val="17"/>
          <w:szCs w:val="17"/>
        </w:rPr>
      </w:pPr>
    </w:p>
    <w:p w14:paraId="36CDCB41" w14:textId="77777777" w:rsidR="00400A1B" w:rsidRPr="00057ED8" w:rsidRDefault="00400A1B" w:rsidP="00F768D9">
      <w:pPr>
        <w:rPr>
          <w:b/>
          <w:bCs/>
          <w:sz w:val="17"/>
          <w:szCs w:val="17"/>
        </w:rPr>
      </w:pPr>
      <w:r w:rsidRPr="00057ED8">
        <w:rPr>
          <w:b/>
          <w:bCs/>
          <w:sz w:val="17"/>
          <w:szCs w:val="17"/>
        </w:rPr>
        <w:t>Question 6—Connected information (paragraphs 42–44)</w:t>
      </w:r>
    </w:p>
    <w:p w14:paraId="053979F0" w14:textId="77777777" w:rsidR="00E51658" w:rsidRPr="00057ED8" w:rsidRDefault="00E51658" w:rsidP="00F768D9">
      <w:pPr>
        <w:rPr>
          <w:sz w:val="17"/>
          <w:szCs w:val="17"/>
        </w:rPr>
      </w:pPr>
      <w:r w:rsidRPr="00057ED8">
        <w:rPr>
          <w:sz w:val="17"/>
          <w:szCs w:val="17"/>
        </w:rPr>
        <w:t>The Exposure Draft proposes that an entity be required to provide users of general purpose financial reporting with information that enables them to assess the connections between (a) various sustainability-related risks and opportunities; (b) the governance, strategy and risk management related to those risks and opportunities, along with metrics and targets; and (c) sustainability-related risks and opportunities and other information in general purpose financial reporting, including the financial statements.</w:t>
      </w:r>
    </w:p>
    <w:p w14:paraId="239CF921" w14:textId="77777777" w:rsidR="006C651B" w:rsidRPr="00057ED8" w:rsidRDefault="006C651B" w:rsidP="00F768D9">
      <w:pPr>
        <w:rPr>
          <w:sz w:val="17"/>
          <w:szCs w:val="17"/>
        </w:rPr>
      </w:pPr>
    </w:p>
    <w:p w14:paraId="090798C6" w14:textId="77777777" w:rsidR="00E51658" w:rsidRPr="00057ED8" w:rsidRDefault="00E51658" w:rsidP="006945DC">
      <w:pPr>
        <w:pStyle w:val="Odsekzoznamu"/>
        <w:numPr>
          <w:ilvl w:val="0"/>
          <w:numId w:val="8"/>
        </w:numPr>
        <w:spacing w:before="0" w:line="288" w:lineRule="auto"/>
        <w:rPr>
          <w:szCs w:val="17"/>
          <w:lang w:val="en-GB"/>
        </w:rPr>
      </w:pPr>
      <w:r w:rsidRPr="00057ED8">
        <w:rPr>
          <w:szCs w:val="17"/>
          <w:lang w:val="en-GB"/>
        </w:rPr>
        <w:t>Is the requirement clear on the need for connectivity between various sustainability-related risks and opportunities? Why or why not?</w:t>
      </w:r>
    </w:p>
    <w:p w14:paraId="0F612080" w14:textId="77777777" w:rsidR="006C651B" w:rsidRPr="00057ED8" w:rsidRDefault="006C651B" w:rsidP="00ED460B">
      <w:pPr>
        <w:pStyle w:val="Odsekzoznamu"/>
        <w:spacing w:before="0" w:line="288" w:lineRule="auto"/>
        <w:ind w:left="720" w:firstLine="0"/>
        <w:rPr>
          <w:szCs w:val="17"/>
          <w:lang w:val="en-GB"/>
        </w:rPr>
      </w:pPr>
    </w:p>
    <w:p w14:paraId="037C9A55" w14:textId="77777777" w:rsidR="00E51658" w:rsidRPr="00057ED8" w:rsidRDefault="00E51658" w:rsidP="006945DC">
      <w:pPr>
        <w:pStyle w:val="Odsekzoznamu"/>
        <w:numPr>
          <w:ilvl w:val="0"/>
          <w:numId w:val="8"/>
        </w:numPr>
        <w:spacing w:before="0" w:line="288" w:lineRule="auto"/>
        <w:rPr>
          <w:szCs w:val="17"/>
          <w:lang w:val="en-GB"/>
        </w:rPr>
      </w:pPr>
      <w:r w:rsidRPr="00057ED8">
        <w:rPr>
          <w:szCs w:val="17"/>
          <w:lang w:val="en-GB"/>
        </w:rPr>
        <w:t>Do you agree with the proposed requirements to identify and explain the connections between sustainability-related risks and opportunities and information in general purpose financial reporting, including the financial statements? Why or why not? If not, what do you propose and why?</w:t>
      </w:r>
    </w:p>
    <w:p w14:paraId="0A492141" w14:textId="77777777" w:rsidR="00E51658" w:rsidRPr="00057ED8" w:rsidRDefault="00E51658" w:rsidP="00F768D9">
      <w:pPr>
        <w:rPr>
          <w:sz w:val="17"/>
          <w:szCs w:val="17"/>
        </w:rPr>
      </w:pPr>
    </w:p>
    <w:tbl>
      <w:tblPr>
        <w:tblStyle w:val="Mriekatabuky"/>
        <w:tblW w:w="0" w:type="auto"/>
        <w:tblLook w:val="04A0" w:firstRow="1" w:lastRow="0" w:firstColumn="1" w:lastColumn="0" w:noHBand="0" w:noVBand="1"/>
      </w:tblPr>
      <w:tblGrid>
        <w:gridCol w:w="9521"/>
      </w:tblGrid>
      <w:tr w:rsidR="00920235" w:rsidRPr="00057ED8" w14:paraId="24986045" w14:textId="77777777" w:rsidTr="00C61B54">
        <w:trPr>
          <w:trHeight w:val="1625"/>
        </w:trPr>
        <w:tc>
          <w:tcPr>
            <w:tcW w:w="9521" w:type="dxa"/>
          </w:tcPr>
          <w:p w14:paraId="2E64A14C" w14:textId="77777777" w:rsidR="007B09D7" w:rsidRPr="00057ED8" w:rsidRDefault="007B09D7" w:rsidP="00812D6D">
            <w:pPr>
              <w:pStyle w:val="Odsekzoznamu"/>
              <w:numPr>
                <w:ilvl w:val="0"/>
                <w:numId w:val="34"/>
              </w:numPr>
              <w:rPr>
                <w:szCs w:val="17"/>
                <w:lang w:val="en-GB"/>
              </w:rPr>
            </w:pPr>
            <w:r w:rsidRPr="00057ED8">
              <w:rPr>
                <w:szCs w:val="17"/>
                <w:highlight w:val="cyan"/>
                <w:lang w:val="en-GB"/>
              </w:rPr>
              <w:t>Broadly agree</w:t>
            </w:r>
            <w:r w:rsidRPr="00057ED8">
              <w:rPr>
                <w:szCs w:val="17"/>
                <w:lang w:val="en-GB"/>
              </w:rPr>
              <w:t xml:space="preserve"> / broadly disagree / other</w:t>
            </w:r>
          </w:p>
          <w:p w14:paraId="7522C023" w14:textId="0E744288" w:rsidR="00322638" w:rsidRPr="007C0C4A" w:rsidRDefault="003A79E4" w:rsidP="0009797E">
            <w:pPr>
              <w:pStyle w:val="Odsekzoznamu"/>
              <w:ind w:left="720" w:firstLine="0"/>
              <w:rPr>
                <w:szCs w:val="17"/>
              </w:rPr>
            </w:pPr>
            <w:r>
              <w:rPr>
                <w:szCs w:val="17"/>
                <w:lang w:val="en-GB"/>
              </w:rPr>
              <w:t>Insurance Europ</w:t>
            </w:r>
            <w:r w:rsidR="00797D86" w:rsidRPr="00057ED8">
              <w:rPr>
                <w:szCs w:val="17"/>
                <w:lang w:val="en-GB"/>
              </w:rPr>
              <w:t>e fully support</w:t>
            </w:r>
            <w:r>
              <w:rPr>
                <w:szCs w:val="17"/>
                <w:lang w:val="en-GB"/>
              </w:rPr>
              <w:t>s</w:t>
            </w:r>
            <w:r w:rsidR="00797D86" w:rsidRPr="00057ED8">
              <w:rPr>
                <w:szCs w:val="17"/>
                <w:lang w:val="en-GB"/>
              </w:rPr>
              <w:t xml:space="preserve"> the general feature of connected information as it is crucial for users to understand </w:t>
            </w:r>
            <w:r w:rsidR="00CB4AAC">
              <w:rPr>
                <w:szCs w:val="17"/>
                <w:lang w:val="en-GB"/>
              </w:rPr>
              <w:t xml:space="preserve">the </w:t>
            </w:r>
            <w:r w:rsidR="00797D86" w:rsidRPr="00057ED8">
              <w:rPr>
                <w:szCs w:val="17"/>
                <w:lang w:val="en-GB"/>
              </w:rPr>
              <w:t xml:space="preserve">interactions </w:t>
            </w:r>
            <w:r w:rsidR="00CB4AAC">
              <w:rPr>
                <w:szCs w:val="17"/>
                <w:lang w:val="en-GB"/>
              </w:rPr>
              <w:t>between</w:t>
            </w:r>
            <w:r w:rsidR="00797D86" w:rsidRPr="00057ED8">
              <w:rPr>
                <w:szCs w:val="17"/>
                <w:lang w:val="en-GB"/>
              </w:rPr>
              <w:t xml:space="preserve"> sustainability-related risks (</w:t>
            </w:r>
            <w:proofErr w:type="spellStart"/>
            <w:r w:rsidR="00797D86" w:rsidRPr="00057ED8">
              <w:rPr>
                <w:szCs w:val="17"/>
                <w:lang w:val="en-GB"/>
              </w:rPr>
              <w:t>eg</w:t>
            </w:r>
            <w:proofErr w:type="spellEnd"/>
            <w:r w:rsidR="00797D86" w:rsidRPr="00057ED8">
              <w:rPr>
                <w:szCs w:val="17"/>
                <w:lang w:val="en-GB"/>
              </w:rPr>
              <w:t xml:space="preserve">, </w:t>
            </w:r>
            <w:r w:rsidR="002E7988">
              <w:rPr>
                <w:szCs w:val="17"/>
                <w:lang w:val="en-GB"/>
              </w:rPr>
              <w:t xml:space="preserve">the </w:t>
            </w:r>
            <w:r w:rsidR="00797D86" w:rsidRPr="00057ED8">
              <w:rPr>
                <w:szCs w:val="17"/>
                <w:lang w:val="en-GB"/>
              </w:rPr>
              <w:t xml:space="preserve">social implications </w:t>
            </w:r>
            <w:r w:rsidR="002E7988">
              <w:rPr>
                <w:szCs w:val="17"/>
                <w:lang w:val="en-GB"/>
              </w:rPr>
              <w:t>of the</w:t>
            </w:r>
            <w:r w:rsidR="002E7988" w:rsidRPr="00057ED8">
              <w:rPr>
                <w:szCs w:val="17"/>
                <w:lang w:val="en-GB"/>
              </w:rPr>
              <w:t xml:space="preserve"> </w:t>
            </w:r>
            <w:r w:rsidR="00797D86" w:rsidRPr="00057ED8">
              <w:rPr>
                <w:szCs w:val="17"/>
                <w:lang w:val="en-GB"/>
              </w:rPr>
              <w:t xml:space="preserve">green transition) and </w:t>
            </w:r>
            <w:r w:rsidR="000F6872">
              <w:rPr>
                <w:szCs w:val="17"/>
                <w:lang w:val="en-GB"/>
              </w:rPr>
              <w:t xml:space="preserve">the </w:t>
            </w:r>
            <w:r w:rsidR="00797D86" w:rsidRPr="00057ED8">
              <w:rPr>
                <w:szCs w:val="17"/>
                <w:lang w:val="en-GB"/>
              </w:rPr>
              <w:t xml:space="preserve">interactions between financial statements and sustainability-related financial disclosures. </w:t>
            </w:r>
            <w:r w:rsidR="000F6872">
              <w:rPr>
                <w:szCs w:val="17"/>
                <w:lang w:val="en-GB"/>
              </w:rPr>
              <w:t>Here</w:t>
            </w:r>
            <w:r w:rsidR="008D5F8D">
              <w:rPr>
                <w:szCs w:val="17"/>
                <w:lang w:val="en-GB"/>
              </w:rPr>
              <w:t xml:space="preserve">, </w:t>
            </w:r>
            <w:r w:rsidR="000F6872">
              <w:rPr>
                <w:szCs w:val="17"/>
                <w:lang w:val="en-GB"/>
              </w:rPr>
              <w:t>Insurance Europ</w:t>
            </w:r>
            <w:r w:rsidR="008D5F8D">
              <w:rPr>
                <w:szCs w:val="17"/>
                <w:lang w:val="en-GB"/>
              </w:rPr>
              <w:t>e recommend</w:t>
            </w:r>
            <w:r w:rsidR="000F6872">
              <w:rPr>
                <w:szCs w:val="17"/>
                <w:lang w:val="en-GB"/>
              </w:rPr>
              <w:t>s</w:t>
            </w:r>
            <w:r w:rsidR="008D5F8D">
              <w:rPr>
                <w:szCs w:val="17"/>
                <w:lang w:val="en-GB"/>
              </w:rPr>
              <w:t xml:space="preserve"> clarifying in para. 43 that adverse knock-on effects and harmful side effects</w:t>
            </w:r>
            <w:r w:rsidR="00322638">
              <w:rPr>
                <w:szCs w:val="17"/>
                <w:lang w:val="en-GB"/>
              </w:rPr>
              <w:t xml:space="preserve"> of specific impact</w:t>
            </w:r>
            <w:r w:rsidR="00427C30">
              <w:rPr>
                <w:szCs w:val="17"/>
                <w:lang w:val="en-GB"/>
              </w:rPr>
              <w:t>s</w:t>
            </w:r>
            <w:r w:rsidR="00322638">
              <w:rPr>
                <w:szCs w:val="17"/>
                <w:lang w:val="en-GB"/>
              </w:rPr>
              <w:t xml:space="preserve"> and decisions be made transparent as well.</w:t>
            </w:r>
            <w:r w:rsidR="00430153">
              <w:rPr>
                <w:szCs w:val="17"/>
                <w:lang w:val="en-GB"/>
              </w:rPr>
              <w:t xml:space="preserve"> </w:t>
            </w:r>
            <w:r w:rsidR="00430153" w:rsidRPr="00E649E9">
              <w:rPr>
                <w:szCs w:val="17"/>
              </w:rPr>
              <w:t>While the example in par</w:t>
            </w:r>
            <w:r w:rsidR="00430153">
              <w:rPr>
                <w:szCs w:val="17"/>
              </w:rPr>
              <w:t>a</w:t>
            </w:r>
            <w:r w:rsidR="00430153" w:rsidRPr="00E649E9">
              <w:rPr>
                <w:szCs w:val="17"/>
              </w:rPr>
              <w:t>. 44(b) suggests this, it should</w:t>
            </w:r>
            <w:r w:rsidR="00430153">
              <w:rPr>
                <w:szCs w:val="17"/>
              </w:rPr>
              <w:t xml:space="preserve"> </w:t>
            </w:r>
            <w:r w:rsidR="00430153" w:rsidRPr="00E649E9">
              <w:rPr>
                <w:szCs w:val="17"/>
              </w:rPr>
              <w:t xml:space="preserve">be more strongly reflected as this </w:t>
            </w:r>
            <w:r w:rsidR="00427C30">
              <w:rPr>
                <w:szCs w:val="17"/>
              </w:rPr>
              <w:t xml:space="preserve">is </w:t>
            </w:r>
            <w:r w:rsidR="00430153" w:rsidRPr="00E649E9">
              <w:rPr>
                <w:szCs w:val="17"/>
              </w:rPr>
              <w:t xml:space="preserve">a fundamental element of connectivity. Indeed, any governance-related matters may have an </w:t>
            </w:r>
            <w:r w:rsidR="00C4127E" w:rsidRPr="00E649E9">
              <w:rPr>
                <w:szCs w:val="17"/>
              </w:rPr>
              <w:t>(either enabling or hindering)</w:t>
            </w:r>
            <w:r w:rsidR="00467AB5">
              <w:rPr>
                <w:szCs w:val="17"/>
              </w:rPr>
              <w:t xml:space="preserve"> </w:t>
            </w:r>
            <w:r w:rsidR="00430153" w:rsidRPr="00E649E9">
              <w:rPr>
                <w:szCs w:val="17"/>
              </w:rPr>
              <w:t xml:space="preserve">impact on environmental or social matters as well. Also, environmental impacts are strongly </w:t>
            </w:r>
            <w:r w:rsidR="00B271ED" w:rsidRPr="00E649E9">
              <w:rPr>
                <w:szCs w:val="17"/>
              </w:rPr>
              <w:t>inter</w:t>
            </w:r>
            <w:r w:rsidR="00B271ED">
              <w:rPr>
                <w:szCs w:val="17"/>
              </w:rPr>
              <w:t>linked</w:t>
            </w:r>
            <w:r w:rsidR="00B271ED" w:rsidRPr="00E649E9">
              <w:rPr>
                <w:szCs w:val="17"/>
              </w:rPr>
              <w:t xml:space="preserve"> </w:t>
            </w:r>
            <w:r w:rsidR="00430153" w:rsidRPr="00E649E9">
              <w:rPr>
                <w:szCs w:val="17"/>
              </w:rPr>
              <w:t xml:space="preserve">both </w:t>
            </w:r>
            <w:r w:rsidR="00B271ED">
              <w:rPr>
                <w:szCs w:val="17"/>
              </w:rPr>
              <w:t>between themselves</w:t>
            </w:r>
            <w:r w:rsidR="00430153" w:rsidRPr="00E649E9">
              <w:rPr>
                <w:szCs w:val="17"/>
              </w:rPr>
              <w:t xml:space="preserve"> and with social impacts.</w:t>
            </w:r>
          </w:p>
          <w:p w14:paraId="0EF05773" w14:textId="095BD899" w:rsidR="00797D86" w:rsidRPr="00057ED8" w:rsidRDefault="00797D86" w:rsidP="00797D86">
            <w:pPr>
              <w:pStyle w:val="Odsekzoznamu"/>
              <w:ind w:left="720" w:firstLine="0"/>
              <w:rPr>
                <w:szCs w:val="17"/>
                <w:lang w:val="en-GB"/>
              </w:rPr>
            </w:pPr>
            <w:r w:rsidRPr="00057ED8">
              <w:rPr>
                <w:szCs w:val="17"/>
                <w:lang w:val="en-GB"/>
              </w:rPr>
              <w:t xml:space="preserve">However, </w:t>
            </w:r>
            <w:r w:rsidR="00B271ED">
              <w:rPr>
                <w:szCs w:val="17"/>
                <w:lang w:val="en-GB"/>
              </w:rPr>
              <w:t xml:space="preserve">Insurance Europe </w:t>
            </w:r>
            <w:r w:rsidR="00322638">
              <w:rPr>
                <w:szCs w:val="17"/>
                <w:lang w:val="en-GB"/>
              </w:rPr>
              <w:t>note</w:t>
            </w:r>
            <w:r w:rsidR="00B271ED">
              <w:rPr>
                <w:szCs w:val="17"/>
                <w:lang w:val="en-GB"/>
              </w:rPr>
              <w:t>s</w:t>
            </w:r>
            <w:r w:rsidR="00322638">
              <w:rPr>
                <w:szCs w:val="17"/>
                <w:lang w:val="en-GB"/>
              </w:rPr>
              <w:t xml:space="preserve"> that </w:t>
            </w:r>
            <w:r w:rsidRPr="00057ED8">
              <w:rPr>
                <w:szCs w:val="17"/>
                <w:lang w:val="en-GB"/>
              </w:rPr>
              <w:t>where companies do not (need to) report under IFRS (or local GAAP), it might be difficult to (fully) comply with the principle of connected information as regards the second dimension (</w:t>
            </w:r>
            <w:r w:rsidR="00167B1E">
              <w:rPr>
                <w:szCs w:val="17"/>
                <w:lang w:val="en-GB"/>
              </w:rPr>
              <w:t>see</w:t>
            </w:r>
            <w:r w:rsidRPr="00057ED8">
              <w:rPr>
                <w:szCs w:val="17"/>
                <w:lang w:val="en-GB"/>
              </w:rPr>
              <w:t xml:space="preserve"> </w:t>
            </w:r>
            <w:r w:rsidR="00167B1E">
              <w:rPr>
                <w:szCs w:val="17"/>
                <w:lang w:val="en-GB"/>
              </w:rPr>
              <w:t>the</w:t>
            </w:r>
            <w:r w:rsidR="00167B1E" w:rsidRPr="00057ED8">
              <w:rPr>
                <w:szCs w:val="17"/>
                <w:lang w:val="en-GB"/>
              </w:rPr>
              <w:t xml:space="preserve"> </w:t>
            </w:r>
            <w:r w:rsidRPr="00057ED8">
              <w:rPr>
                <w:szCs w:val="17"/>
                <w:lang w:val="en-GB"/>
              </w:rPr>
              <w:t>response to question 3).</w:t>
            </w:r>
          </w:p>
          <w:p w14:paraId="45EE0738" w14:textId="77777777" w:rsidR="007B09D7" w:rsidRPr="00057ED8" w:rsidRDefault="007B09D7" w:rsidP="00812D6D">
            <w:pPr>
              <w:pStyle w:val="Odsekzoznamu"/>
              <w:numPr>
                <w:ilvl w:val="0"/>
                <w:numId w:val="34"/>
              </w:numPr>
              <w:rPr>
                <w:szCs w:val="17"/>
                <w:lang w:val="en-GB"/>
              </w:rPr>
            </w:pPr>
            <w:r w:rsidRPr="00057ED8">
              <w:rPr>
                <w:szCs w:val="17"/>
                <w:lang w:val="en-GB"/>
              </w:rPr>
              <w:t xml:space="preserve">Broadly agree / broadly disagree / </w:t>
            </w:r>
            <w:r w:rsidRPr="00057ED8">
              <w:rPr>
                <w:szCs w:val="17"/>
                <w:highlight w:val="cyan"/>
                <w:lang w:val="en-GB"/>
              </w:rPr>
              <w:t>other</w:t>
            </w:r>
          </w:p>
          <w:p w14:paraId="0E183A35" w14:textId="1ABC9AB0" w:rsidR="00327864" w:rsidRPr="00057ED8" w:rsidRDefault="005045F3" w:rsidP="00327864">
            <w:pPr>
              <w:pStyle w:val="Odsekzoznamu"/>
              <w:ind w:left="720" w:firstLine="0"/>
              <w:rPr>
                <w:szCs w:val="17"/>
                <w:lang w:val="en-GB"/>
              </w:rPr>
            </w:pPr>
            <w:r>
              <w:rPr>
                <w:szCs w:val="17"/>
                <w:lang w:val="en-GB"/>
              </w:rPr>
              <w:t>Insurance Europ</w:t>
            </w:r>
            <w:r w:rsidR="00797D86" w:rsidRPr="00057ED8">
              <w:rPr>
                <w:szCs w:val="17"/>
                <w:lang w:val="en-GB"/>
              </w:rPr>
              <w:t>e agree</w:t>
            </w:r>
            <w:r>
              <w:rPr>
                <w:szCs w:val="17"/>
                <w:lang w:val="en-GB"/>
              </w:rPr>
              <w:t>s</w:t>
            </w:r>
            <w:r w:rsidR="00797D86" w:rsidRPr="00057ED8">
              <w:rPr>
                <w:szCs w:val="17"/>
                <w:lang w:val="en-GB"/>
              </w:rPr>
              <w:t xml:space="preserve"> on the need to provide the connected information mentioned above. However, </w:t>
            </w:r>
            <w:r w:rsidR="00282CF1">
              <w:rPr>
                <w:szCs w:val="17"/>
                <w:lang w:val="en-GB"/>
              </w:rPr>
              <w:t>it</w:t>
            </w:r>
            <w:r w:rsidR="00282CF1" w:rsidRPr="00057ED8">
              <w:rPr>
                <w:szCs w:val="17"/>
                <w:lang w:val="en-GB"/>
              </w:rPr>
              <w:t xml:space="preserve"> </w:t>
            </w:r>
            <w:r w:rsidR="00EE1FE9" w:rsidRPr="00057ED8">
              <w:rPr>
                <w:szCs w:val="17"/>
                <w:lang w:val="en-GB"/>
              </w:rPr>
              <w:t xml:space="preserve">would consider </w:t>
            </w:r>
            <w:r w:rsidR="00EE1FE9" w:rsidRPr="00057ED8">
              <w:rPr>
                <w:rFonts w:cs="Arial"/>
                <w:lang w:val="en-GB"/>
              </w:rPr>
              <w:t xml:space="preserve">“connected information” </w:t>
            </w:r>
            <w:r w:rsidR="00EE1FE9" w:rsidRPr="00057ED8">
              <w:rPr>
                <w:szCs w:val="17"/>
                <w:lang w:val="en-GB"/>
              </w:rPr>
              <w:t xml:space="preserve">as a principle rather than a requirement that applies generally and across all topic-specific IFRS SDS. Accordingly, </w:t>
            </w:r>
            <w:r w:rsidR="001B1E4A">
              <w:rPr>
                <w:szCs w:val="17"/>
                <w:lang w:val="en-GB"/>
              </w:rPr>
              <w:t>it</w:t>
            </w:r>
            <w:r w:rsidR="001B1E4A" w:rsidRPr="00057ED8">
              <w:rPr>
                <w:szCs w:val="17"/>
                <w:lang w:val="en-GB"/>
              </w:rPr>
              <w:t xml:space="preserve"> </w:t>
            </w:r>
            <w:r w:rsidR="00EE1FE9" w:rsidRPr="00057ED8">
              <w:rPr>
                <w:szCs w:val="17"/>
                <w:lang w:val="en-GB"/>
              </w:rPr>
              <w:t>would like to suggest clarifying that par</w:t>
            </w:r>
            <w:r w:rsidR="00CE2A6B">
              <w:rPr>
                <w:szCs w:val="17"/>
                <w:lang w:val="en-GB"/>
              </w:rPr>
              <w:t>a</w:t>
            </w:r>
            <w:r w:rsidR="00EE1FE9" w:rsidRPr="00057ED8">
              <w:rPr>
                <w:szCs w:val="17"/>
                <w:lang w:val="en-GB"/>
              </w:rPr>
              <w:t>. 42 only results in additional disclosure requirements in those instances in which supplementary information is needed (after applying all IFRS SDS), but neither generally nor in a separate section or in a specific format.</w:t>
            </w:r>
          </w:p>
          <w:p w14:paraId="45E6069C" w14:textId="1814B30E" w:rsidR="00920235" w:rsidRPr="00057ED8" w:rsidRDefault="00EE1FE9" w:rsidP="00327864">
            <w:pPr>
              <w:pStyle w:val="Odsekzoznamu"/>
              <w:ind w:left="720" w:firstLine="0"/>
              <w:rPr>
                <w:szCs w:val="17"/>
                <w:lang w:val="en-GB"/>
              </w:rPr>
            </w:pPr>
            <w:r w:rsidRPr="00057ED8">
              <w:rPr>
                <w:szCs w:val="17"/>
                <w:lang w:val="en-GB"/>
              </w:rPr>
              <w:t>At best, the IFRS SDS</w:t>
            </w:r>
            <w:r w:rsidR="00BC3ED6">
              <w:rPr>
                <w:szCs w:val="17"/>
                <w:lang w:val="en-GB"/>
              </w:rPr>
              <w:t>s</w:t>
            </w:r>
            <w:r w:rsidRPr="00057ED8">
              <w:rPr>
                <w:szCs w:val="17"/>
                <w:lang w:val="en-GB"/>
              </w:rPr>
              <w:t xml:space="preserve"> will be designed in a way that connected information is</w:t>
            </w:r>
            <w:r w:rsidR="00F269D5">
              <w:rPr>
                <w:szCs w:val="17"/>
                <w:lang w:val="en-GB"/>
              </w:rPr>
              <w:t>,</w:t>
            </w:r>
            <w:r w:rsidRPr="00057ED8">
              <w:rPr>
                <w:szCs w:val="17"/>
                <w:lang w:val="en-GB"/>
              </w:rPr>
              <w:t xml:space="preserve"> in as many cases as possible</w:t>
            </w:r>
            <w:r w:rsidR="00F269D5">
              <w:rPr>
                <w:szCs w:val="17"/>
                <w:lang w:val="en-GB"/>
              </w:rPr>
              <w:t>,</w:t>
            </w:r>
            <w:r w:rsidRPr="00057ED8">
              <w:rPr>
                <w:szCs w:val="17"/>
                <w:lang w:val="en-GB"/>
              </w:rPr>
              <w:t xml:space="preserve"> disclosed by complying with the disclosure requirements of the IFRS SDS</w:t>
            </w:r>
            <w:r w:rsidR="00BC3ED6">
              <w:rPr>
                <w:szCs w:val="17"/>
                <w:lang w:val="en-GB"/>
              </w:rPr>
              <w:t>s</w:t>
            </w:r>
            <w:r w:rsidRPr="00057ED8">
              <w:rPr>
                <w:szCs w:val="17"/>
                <w:lang w:val="en-GB"/>
              </w:rPr>
              <w:t xml:space="preserve"> implicitly/automatically (such as under par</w:t>
            </w:r>
            <w:r w:rsidR="00A8342A">
              <w:rPr>
                <w:szCs w:val="17"/>
                <w:lang w:val="en-GB"/>
              </w:rPr>
              <w:t>a</w:t>
            </w:r>
            <w:r w:rsidRPr="00057ED8">
              <w:rPr>
                <w:szCs w:val="17"/>
                <w:lang w:val="en-GB"/>
              </w:rPr>
              <w:t>. 8(d) of the Climate E</w:t>
            </w:r>
            <w:r w:rsidR="00A8342A">
              <w:rPr>
                <w:szCs w:val="17"/>
                <w:lang w:val="en-GB"/>
              </w:rPr>
              <w:t xml:space="preserve">xposure </w:t>
            </w:r>
            <w:r w:rsidRPr="00057ED8">
              <w:rPr>
                <w:szCs w:val="17"/>
                <w:lang w:val="en-GB"/>
              </w:rPr>
              <w:t>D</w:t>
            </w:r>
            <w:r w:rsidR="00A8342A">
              <w:rPr>
                <w:szCs w:val="17"/>
                <w:lang w:val="en-GB"/>
              </w:rPr>
              <w:t>raft</w:t>
            </w:r>
            <w:r w:rsidRPr="00057ED8">
              <w:rPr>
                <w:szCs w:val="17"/>
                <w:lang w:val="en-GB"/>
              </w:rPr>
              <w:t xml:space="preserve">), </w:t>
            </w:r>
            <w:r w:rsidR="009A29A7">
              <w:rPr>
                <w:szCs w:val="17"/>
                <w:lang w:val="en-GB"/>
              </w:rPr>
              <w:t>p</w:t>
            </w:r>
            <w:r w:rsidR="009B29E1">
              <w:rPr>
                <w:szCs w:val="17"/>
                <w:lang w:val="en-GB"/>
              </w:rPr>
              <w:t>articularly</w:t>
            </w:r>
            <w:r w:rsidRPr="00057ED8">
              <w:rPr>
                <w:szCs w:val="17"/>
                <w:lang w:val="en-GB"/>
              </w:rPr>
              <w:t>, but not only</w:t>
            </w:r>
            <w:r w:rsidR="009B29E1">
              <w:rPr>
                <w:szCs w:val="17"/>
                <w:lang w:val="en-GB"/>
              </w:rPr>
              <w:t>,</w:t>
            </w:r>
            <w:r w:rsidRPr="00057ED8">
              <w:rPr>
                <w:szCs w:val="17"/>
                <w:lang w:val="en-GB"/>
              </w:rPr>
              <w:t xml:space="preserve"> where companies choose a fully integrated disclosure format. </w:t>
            </w:r>
            <w:r w:rsidR="00704B4A" w:rsidRPr="00057ED8">
              <w:rPr>
                <w:szCs w:val="17"/>
                <w:lang w:val="en-GB"/>
              </w:rPr>
              <w:t xml:space="preserve">In addition, </w:t>
            </w:r>
            <w:r w:rsidR="00704B4A" w:rsidRPr="00057ED8">
              <w:rPr>
                <w:rFonts w:eastAsia="Calibri" w:cs="Arial"/>
                <w:lang w:val="en-GB" w:eastAsia="fr-FR"/>
              </w:rPr>
              <w:t xml:space="preserve">connectivity can only be limited </w:t>
            </w:r>
            <w:r w:rsidR="00DA4EE4">
              <w:rPr>
                <w:rFonts w:eastAsia="Calibri" w:cs="Arial"/>
                <w:lang w:val="en-GB" w:eastAsia="fr-FR"/>
              </w:rPr>
              <w:t>where</w:t>
            </w:r>
            <w:r w:rsidR="00704B4A" w:rsidRPr="00057ED8">
              <w:rPr>
                <w:rFonts w:eastAsia="Calibri" w:cs="Arial"/>
                <w:lang w:val="en-GB" w:eastAsia="fr-FR"/>
              </w:rPr>
              <w:t xml:space="preserve"> </w:t>
            </w:r>
            <w:r w:rsidR="00892A09" w:rsidRPr="00057ED8">
              <w:rPr>
                <w:rFonts w:eastAsia="Calibri" w:cs="Arial"/>
                <w:lang w:val="en-GB" w:eastAsia="fr-FR"/>
              </w:rPr>
              <w:t xml:space="preserve">sustainability and financial </w:t>
            </w:r>
            <w:r w:rsidR="00704B4A" w:rsidRPr="00057ED8">
              <w:rPr>
                <w:rFonts w:eastAsia="Calibri" w:cs="Arial"/>
                <w:lang w:val="en-GB" w:eastAsia="fr-FR"/>
              </w:rPr>
              <w:t xml:space="preserve">reporting follow </w:t>
            </w:r>
            <w:r w:rsidR="00880E85">
              <w:rPr>
                <w:rFonts w:eastAsia="Calibri" w:cs="Arial"/>
                <w:lang w:val="en-GB" w:eastAsia="fr-FR"/>
              </w:rPr>
              <w:t xml:space="preserve">a </w:t>
            </w:r>
            <w:r w:rsidR="00704B4A" w:rsidRPr="00057ED8">
              <w:rPr>
                <w:rFonts w:eastAsia="Calibri" w:cs="Arial"/>
                <w:lang w:val="en-GB" w:eastAsia="fr-FR"/>
              </w:rPr>
              <w:t>different rationale</w:t>
            </w:r>
            <w:r w:rsidR="00794085" w:rsidRPr="00057ED8">
              <w:rPr>
                <w:rFonts w:eastAsia="Calibri" w:cs="Arial"/>
                <w:lang w:val="en-GB" w:eastAsia="fr-FR"/>
              </w:rPr>
              <w:t xml:space="preserve"> (</w:t>
            </w:r>
            <w:proofErr w:type="spellStart"/>
            <w:r w:rsidR="00794085" w:rsidRPr="00057ED8">
              <w:rPr>
                <w:rFonts w:eastAsia="Calibri" w:cs="Arial"/>
                <w:lang w:val="en-GB" w:eastAsia="fr-FR"/>
              </w:rPr>
              <w:t>eg</w:t>
            </w:r>
            <w:proofErr w:type="spellEnd"/>
            <w:r w:rsidR="009B29E1">
              <w:rPr>
                <w:rFonts w:eastAsia="Calibri" w:cs="Arial"/>
                <w:lang w:val="en-GB" w:eastAsia="fr-FR"/>
              </w:rPr>
              <w:t>,</w:t>
            </w:r>
            <w:r w:rsidR="00704B4A" w:rsidRPr="00057ED8">
              <w:rPr>
                <w:rFonts w:eastAsia="Calibri" w:cs="Arial"/>
                <w:lang w:val="en-GB" w:eastAsia="fr-FR"/>
              </w:rPr>
              <w:t xml:space="preserve"> </w:t>
            </w:r>
            <w:r w:rsidR="00794085" w:rsidRPr="00057ED8">
              <w:rPr>
                <w:rFonts w:eastAsia="Calibri" w:cs="Arial"/>
                <w:lang w:val="en-GB" w:eastAsia="fr-FR"/>
              </w:rPr>
              <w:t>s</w:t>
            </w:r>
            <w:r w:rsidR="00704B4A" w:rsidRPr="00057ED8">
              <w:rPr>
                <w:rFonts w:eastAsia="Calibri" w:cs="Arial"/>
                <w:lang w:val="en-GB" w:eastAsia="fr-FR"/>
              </w:rPr>
              <w:t>cope</w:t>
            </w:r>
            <w:r w:rsidR="00880E85">
              <w:rPr>
                <w:rFonts w:eastAsia="Calibri" w:cs="Arial"/>
                <w:lang w:val="en-GB" w:eastAsia="fr-FR"/>
              </w:rPr>
              <w:t xml:space="preserve"> or</w:t>
            </w:r>
            <w:r w:rsidR="00704B4A" w:rsidRPr="00057ED8">
              <w:rPr>
                <w:rFonts w:eastAsia="Calibri" w:cs="Arial"/>
                <w:lang w:val="en-GB" w:eastAsia="fr-FR"/>
              </w:rPr>
              <w:t xml:space="preserve"> time horizons may vary).</w:t>
            </w:r>
            <w:r w:rsidR="00216709">
              <w:rPr>
                <w:rFonts w:eastAsia="Calibri" w:cs="Arial"/>
                <w:lang w:val="en-GB" w:eastAsia="fr-FR"/>
              </w:rPr>
              <w:t xml:space="preserve"> </w:t>
            </w:r>
            <w:r w:rsidR="00701BF6">
              <w:rPr>
                <w:szCs w:val="17"/>
                <w:lang w:val="en-GB"/>
              </w:rPr>
              <w:t>A</w:t>
            </w:r>
            <w:r w:rsidRPr="00057ED8">
              <w:rPr>
                <w:szCs w:val="17"/>
                <w:lang w:val="en-GB"/>
              </w:rPr>
              <w:t xml:space="preserve">ny relevant differences that may reduce (perceived) connectivity </w:t>
            </w:r>
            <w:r w:rsidR="00892A09" w:rsidRPr="00057ED8">
              <w:rPr>
                <w:szCs w:val="17"/>
                <w:lang w:val="en-GB"/>
              </w:rPr>
              <w:t xml:space="preserve">should </w:t>
            </w:r>
            <w:r w:rsidRPr="00057ED8">
              <w:rPr>
                <w:szCs w:val="17"/>
                <w:lang w:val="en-GB"/>
              </w:rPr>
              <w:t xml:space="preserve">be outlined and explained. The principles-based approach also facilitates the building blocks approach as it mitigates concerns </w:t>
            </w:r>
            <w:r w:rsidR="00DA6A47">
              <w:rPr>
                <w:szCs w:val="17"/>
                <w:lang w:val="en-GB"/>
              </w:rPr>
              <w:t>about</w:t>
            </w:r>
            <w:r w:rsidR="0046332F" w:rsidRPr="00057ED8">
              <w:rPr>
                <w:szCs w:val="17"/>
                <w:lang w:val="en-GB"/>
              </w:rPr>
              <w:t xml:space="preserve"> </w:t>
            </w:r>
            <w:r w:rsidRPr="00057ED8">
              <w:rPr>
                <w:szCs w:val="17"/>
                <w:lang w:val="en-GB"/>
              </w:rPr>
              <w:t xml:space="preserve">issues across jurisdictions. </w:t>
            </w:r>
          </w:p>
        </w:tc>
      </w:tr>
    </w:tbl>
    <w:p w14:paraId="7E67B7F8" w14:textId="77777777" w:rsidR="002D5B55" w:rsidRPr="00057ED8" w:rsidRDefault="002D5B55" w:rsidP="00F768D9">
      <w:pPr>
        <w:rPr>
          <w:sz w:val="17"/>
          <w:szCs w:val="17"/>
        </w:rPr>
      </w:pPr>
    </w:p>
    <w:p w14:paraId="7B1F0855" w14:textId="77777777" w:rsidR="00E51658" w:rsidRPr="00057ED8" w:rsidRDefault="00E51658" w:rsidP="00F768D9">
      <w:pPr>
        <w:rPr>
          <w:sz w:val="17"/>
          <w:szCs w:val="17"/>
        </w:rPr>
      </w:pPr>
    </w:p>
    <w:p w14:paraId="1EB47C32" w14:textId="0A2B6DFA" w:rsidR="00152882" w:rsidRPr="00057ED8" w:rsidRDefault="004679B8" w:rsidP="00F768D9">
      <w:pPr>
        <w:rPr>
          <w:b/>
          <w:bCs/>
          <w:sz w:val="17"/>
          <w:szCs w:val="17"/>
        </w:rPr>
      </w:pPr>
      <w:r w:rsidRPr="00057ED8">
        <w:rPr>
          <w:b/>
          <w:bCs/>
          <w:sz w:val="17"/>
          <w:szCs w:val="17"/>
        </w:rPr>
        <w:t>Question 7—Fair presentation (paragraphs 45–55)</w:t>
      </w:r>
    </w:p>
    <w:p w14:paraId="2202653D" w14:textId="77777777" w:rsidR="007D7085" w:rsidRPr="00057ED8" w:rsidRDefault="007D7085" w:rsidP="00F768D9">
      <w:pPr>
        <w:rPr>
          <w:sz w:val="17"/>
          <w:szCs w:val="17"/>
        </w:rPr>
      </w:pPr>
      <w:r w:rsidRPr="00057ED8">
        <w:rPr>
          <w:sz w:val="17"/>
          <w:szCs w:val="17"/>
        </w:rPr>
        <w:t xml:space="preserve">The Exposure Draft proposes that a complete set of sustainability-related financial disclosures would be required to present fairly the sustainability-related risks and opportunities to which an entity is exposed. Fair presentation would require the faithful representation of sustainability-related risks and opportunities in accordance with the proposed principles set out in the Exposure Draft. Applying IFRS Sustainability Disclosure Standards, with additional </w:t>
      </w:r>
      <w:proofErr w:type="gramStart"/>
      <w:r w:rsidRPr="00057ED8">
        <w:rPr>
          <w:sz w:val="17"/>
          <w:szCs w:val="17"/>
        </w:rPr>
        <w:t>disclosure</w:t>
      </w:r>
      <w:proofErr w:type="gramEnd"/>
      <w:r w:rsidRPr="00057ED8">
        <w:rPr>
          <w:sz w:val="17"/>
          <w:szCs w:val="17"/>
        </w:rPr>
        <w:t xml:space="preserve"> when necessary, is presumed to result in sustainability-related financial disclosures that achieve a fair presentation.</w:t>
      </w:r>
    </w:p>
    <w:p w14:paraId="0C101294" w14:textId="77777777" w:rsidR="00ED460B" w:rsidRPr="00057ED8" w:rsidRDefault="00ED460B" w:rsidP="00F768D9">
      <w:pPr>
        <w:rPr>
          <w:sz w:val="17"/>
          <w:szCs w:val="17"/>
        </w:rPr>
      </w:pPr>
    </w:p>
    <w:p w14:paraId="50F2887C" w14:textId="77777777" w:rsidR="007D7085" w:rsidRPr="00057ED8" w:rsidRDefault="007D7085" w:rsidP="00F768D9">
      <w:pPr>
        <w:rPr>
          <w:sz w:val="17"/>
          <w:szCs w:val="17"/>
        </w:rPr>
      </w:pPr>
      <w:r w:rsidRPr="00057ED8">
        <w:rPr>
          <w:sz w:val="17"/>
          <w:szCs w:val="17"/>
        </w:rPr>
        <w:t>To identify significant sustainability-related risks and opportunities, an entity would apply IFRS Sustainability Disclosure Standards. In addition to IFRS Sustainability Disclosure Standards to identify sustainability-related risks and opportunities, the entity shall consider the disclosure topics in the industry-based SASB Standards, the ISSB’s non-mandatory guidance (such as the CDSB Framework application guidance for water- and biodiversity-related disclosures), the most recent pronouncements of other standard-setting bodies whose requirements are designed to meet the needs of users of general purpose financial reporting, and sustainability-related risks and opportunities identified by entities that operate in the same industries or geographies.</w:t>
      </w:r>
    </w:p>
    <w:p w14:paraId="49A73D49" w14:textId="77777777" w:rsidR="00ED460B" w:rsidRPr="00057ED8" w:rsidRDefault="00ED460B" w:rsidP="00F768D9">
      <w:pPr>
        <w:rPr>
          <w:sz w:val="17"/>
          <w:szCs w:val="17"/>
        </w:rPr>
      </w:pPr>
    </w:p>
    <w:p w14:paraId="036AE726" w14:textId="77777777" w:rsidR="007D7085" w:rsidRPr="00057ED8" w:rsidRDefault="007D7085" w:rsidP="00F768D9">
      <w:pPr>
        <w:rPr>
          <w:sz w:val="17"/>
          <w:szCs w:val="17"/>
        </w:rPr>
      </w:pPr>
      <w:r w:rsidRPr="00057ED8">
        <w:rPr>
          <w:sz w:val="17"/>
          <w:szCs w:val="17"/>
        </w:rPr>
        <w:t xml:space="preserve">To identify disclosures, including metrics, that are likely to be helpful in assessing how sustainability-related risks and opportunities to which it is exposed could affect its enterprise value, an entity would apply the relevant IFRS Sustainability Disclosure Standards. In the absence of an IFRS Sustainability Disclosure Standard that applies specifically to a sustainability-related risk and opportunity, an entity shall use its judgement in identifying disclosures that (a) are relevant to the decision-making needs of users of </w:t>
      </w:r>
      <w:proofErr w:type="gramStart"/>
      <w:r w:rsidRPr="00057ED8">
        <w:rPr>
          <w:sz w:val="17"/>
          <w:szCs w:val="17"/>
        </w:rPr>
        <w:t>general purpose</w:t>
      </w:r>
      <w:proofErr w:type="gramEnd"/>
      <w:r w:rsidRPr="00057ED8">
        <w:rPr>
          <w:sz w:val="17"/>
          <w:szCs w:val="17"/>
        </w:rPr>
        <w:t xml:space="preserve"> financial reporting; (b) faithfully represent the entity’s risks and opportunities in relation to the specific sustainability-related risk or opportunity; and (c) are neutral. In making that judgement, entities would consider the same sources identified in the preceding paragraph, to the extent that they do not conflict with an IFRS Sustainability Disclosure Standard.</w:t>
      </w:r>
    </w:p>
    <w:p w14:paraId="1C906483" w14:textId="77777777" w:rsidR="00ED460B" w:rsidRPr="00057ED8" w:rsidRDefault="00ED460B" w:rsidP="00F768D9">
      <w:pPr>
        <w:rPr>
          <w:sz w:val="17"/>
          <w:szCs w:val="17"/>
        </w:rPr>
      </w:pPr>
    </w:p>
    <w:p w14:paraId="37325813" w14:textId="77777777" w:rsidR="007D7085" w:rsidRPr="00057ED8" w:rsidRDefault="007D7085" w:rsidP="006945DC">
      <w:pPr>
        <w:pStyle w:val="Odsekzoznamu"/>
        <w:numPr>
          <w:ilvl w:val="0"/>
          <w:numId w:val="9"/>
        </w:numPr>
        <w:spacing w:before="0" w:line="288" w:lineRule="auto"/>
        <w:rPr>
          <w:szCs w:val="17"/>
          <w:lang w:val="en-GB"/>
        </w:rPr>
      </w:pPr>
      <w:r w:rsidRPr="00057ED8">
        <w:rPr>
          <w:szCs w:val="17"/>
          <w:lang w:val="en-GB"/>
        </w:rPr>
        <w:t>Is the proposal to present fairly the sustainability-related risks and opportunities to which the entity is exposed, including the aggregation of information, clear? Why or why not?</w:t>
      </w:r>
    </w:p>
    <w:p w14:paraId="64B94787" w14:textId="77777777" w:rsidR="00DE42D4" w:rsidRPr="00057ED8" w:rsidRDefault="00DE42D4" w:rsidP="00DE42D4">
      <w:pPr>
        <w:pStyle w:val="Odsekzoznamu"/>
        <w:spacing w:before="0" w:line="288" w:lineRule="auto"/>
        <w:ind w:left="720" w:firstLine="0"/>
        <w:rPr>
          <w:szCs w:val="17"/>
          <w:lang w:val="en-GB"/>
        </w:rPr>
      </w:pPr>
    </w:p>
    <w:p w14:paraId="614E9B86" w14:textId="32AF04F2" w:rsidR="00152882" w:rsidRPr="00057ED8" w:rsidRDefault="007D7085" w:rsidP="006945DC">
      <w:pPr>
        <w:pStyle w:val="Odsekzoznamu"/>
        <w:numPr>
          <w:ilvl w:val="0"/>
          <w:numId w:val="9"/>
        </w:numPr>
        <w:spacing w:before="0" w:line="288" w:lineRule="auto"/>
        <w:rPr>
          <w:szCs w:val="17"/>
          <w:lang w:val="en-GB"/>
        </w:rPr>
      </w:pPr>
      <w:r w:rsidRPr="00057ED8">
        <w:rPr>
          <w:szCs w:val="17"/>
          <w:lang w:val="en-GB"/>
        </w:rPr>
        <w:t>Do you agree with the sources of guidance to identify sustainability-related risks and opportunities and related disclosures? If not, what sources should the entity be required to consider and why? Please explain how any alternative sources are consistent with the proposed objective of disclosing sustainability-related financial information in the Exposure Draft.</w:t>
      </w:r>
    </w:p>
    <w:p w14:paraId="1FB14217" w14:textId="77777777" w:rsidR="00152882" w:rsidRPr="00057ED8" w:rsidRDefault="00152882" w:rsidP="00F768D9">
      <w:pPr>
        <w:rPr>
          <w:sz w:val="17"/>
          <w:szCs w:val="17"/>
        </w:rPr>
      </w:pPr>
    </w:p>
    <w:tbl>
      <w:tblPr>
        <w:tblStyle w:val="Mriekatabuky"/>
        <w:tblW w:w="0" w:type="auto"/>
        <w:tblLook w:val="04A0" w:firstRow="1" w:lastRow="0" w:firstColumn="1" w:lastColumn="0" w:noHBand="0" w:noVBand="1"/>
      </w:tblPr>
      <w:tblGrid>
        <w:gridCol w:w="9521"/>
      </w:tblGrid>
      <w:tr w:rsidR="00920235" w:rsidRPr="00057ED8" w14:paraId="2C4AC630" w14:textId="77777777" w:rsidTr="00C61B54">
        <w:trPr>
          <w:trHeight w:val="1625"/>
        </w:trPr>
        <w:tc>
          <w:tcPr>
            <w:tcW w:w="9521" w:type="dxa"/>
          </w:tcPr>
          <w:p w14:paraId="48665634" w14:textId="77777777" w:rsidR="006240E8" w:rsidRPr="00057ED8" w:rsidRDefault="006240E8" w:rsidP="00812D6D">
            <w:pPr>
              <w:pStyle w:val="Odsekzoznamu"/>
              <w:numPr>
                <w:ilvl w:val="0"/>
                <w:numId w:val="35"/>
              </w:numPr>
              <w:rPr>
                <w:szCs w:val="17"/>
                <w:lang w:val="en-GB"/>
              </w:rPr>
            </w:pPr>
            <w:r w:rsidRPr="00057ED8">
              <w:rPr>
                <w:szCs w:val="17"/>
                <w:lang w:val="en-GB"/>
              </w:rPr>
              <w:t xml:space="preserve">Broadly agree / broadly disagree / </w:t>
            </w:r>
            <w:r w:rsidRPr="00057ED8">
              <w:rPr>
                <w:szCs w:val="17"/>
                <w:highlight w:val="cyan"/>
                <w:lang w:val="en-GB"/>
              </w:rPr>
              <w:t>other</w:t>
            </w:r>
          </w:p>
          <w:p w14:paraId="0FEFC53E" w14:textId="561A0379" w:rsidR="003636B2" w:rsidRDefault="00AA447E" w:rsidP="007267C4">
            <w:pPr>
              <w:pStyle w:val="Odsekzoznamu"/>
              <w:ind w:left="720" w:firstLine="0"/>
              <w:rPr>
                <w:szCs w:val="17"/>
                <w:lang w:val="en-GB"/>
              </w:rPr>
            </w:pPr>
            <w:r>
              <w:rPr>
                <w:szCs w:val="17"/>
                <w:lang w:val="en-GB"/>
              </w:rPr>
              <w:t>Insurance Europ</w:t>
            </w:r>
            <w:r w:rsidR="005E04E8" w:rsidRPr="00057ED8">
              <w:rPr>
                <w:szCs w:val="17"/>
                <w:lang w:val="en-GB"/>
              </w:rPr>
              <w:t xml:space="preserve">e </w:t>
            </w:r>
            <w:r>
              <w:rPr>
                <w:szCs w:val="17"/>
                <w:lang w:val="en-GB"/>
              </w:rPr>
              <w:t>warm</w:t>
            </w:r>
            <w:r w:rsidR="005E04E8" w:rsidRPr="00057ED8">
              <w:rPr>
                <w:szCs w:val="17"/>
                <w:lang w:val="en-GB"/>
              </w:rPr>
              <w:t>ly welcome</w:t>
            </w:r>
            <w:r>
              <w:rPr>
                <w:szCs w:val="17"/>
                <w:lang w:val="en-GB"/>
              </w:rPr>
              <w:t>s</w:t>
            </w:r>
            <w:r w:rsidR="005E04E8" w:rsidRPr="00057ED8">
              <w:rPr>
                <w:szCs w:val="17"/>
                <w:lang w:val="en-GB"/>
              </w:rPr>
              <w:t xml:space="preserve"> the principles-based approach</w:t>
            </w:r>
            <w:r w:rsidR="00241421">
              <w:rPr>
                <w:szCs w:val="17"/>
                <w:lang w:val="en-GB"/>
              </w:rPr>
              <w:t>,</w:t>
            </w:r>
            <w:r w:rsidR="005E04E8" w:rsidRPr="00057ED8">
              <w:rPr>
                <w:szCs w:val="17"/>
                <w:lang w:val="en-GB"/>
              </w:rPr>
              <w:t xml:space="preserve"> as management is best </w:t>
            </w:r>
            <w:r w:rsidR="00CA33FE">
              <w:rPr>
                <w:szCs w:val="17"/>
                <w:lang w:val="en-GB"/>
              </w:rPr>
              <w:t>placed</w:t>
            </w:r>
            <w:r w:rsidR="00CA33FE" w:rsidRPr="00057ED8">
              <w:rPr>
                <w:szCs w:val="17"/>
                <w:lang w:val="en-GB"/>
              </w:rPr>
              <w:t xml:space="preserve"> </w:t>
            </w:r>
            <w:r w:rsidR="005E04E8" w:rsidRPr="00057ED8">
              <w:rPr>
                <w:szCs w:val="17"/>
                <w:lang w:val="en-GB"/>
              </w:rPr>
              <w:t xml:space="preserve">to make a meaningful assessment </w:t>
            </w:r>
            <w:r w:rsidR="00640128">
              <w:rPr>
                <w:szCs w:val="17"/>
                <w:lang w:val="en-GB"/>
              </w:rPr>
              <w:t>of</w:t>
            </w:r>
            <w:r w:rsidR="005E04E8" w:rsidRPr="00057ED8">
              <w:rPr>
                <w:szCs w:val="17"/>
                <w:lang w:val="en-GB"/>
              </w:rPr>
              <w:t xml:space="preserve"> which level of disaggregation is necessary and useful for users. </w:t>
            </w:r>
            <w:r w:rsidR="003636B2" w:rsidRPr="00057ED8">
              <w:rPr>
                <w:szCs w:val="17"/>
                <w:lang w:val="en-GB"/>
              </w:rPr>
              <w:t>At the same time, for requirements on aggregation, further specification</w:t>
            </w:r>
            <w:r w:rsidR="00EC536B">
              <w:rPr>
                <w:szCs w:val="17"/>
                <w:lang w:val="en-GB"/>
              </w:rPr>
              <w:t xml:space="preserve"> (</w:t>
            </w:r>
            <w:r w:rsidR="008B35E7">
              <w:rPr>
                <w:szCs w:val="17"/>
                <w:lang w:val="en-GB"/>
              </w:rPr>
              <w:t>such as</w:t>
            </w:r>
            <w:r w:rsidR="00EC536B">
              <w:rPr>
                <w:szCs w:val="17"/>
                <w:lang w:val="en-GB"/>
              </w:rPr>
              <w:t xml:space="preserve"> via examples)</w:t>
            </w:r>
            <w:r w:rsidR="003636B2" w:rsidRPr="00057ED8">
              <w:rPr>
                <w:szCs w:val="17"/>
                <w:lang w:val="en-GB"/>
              </w:rPr>
              <w:t xml:space="preserve"> would enhance comparability.</w:t>
            </w:r>
          </w:p>
          <w:p w14:paraId="36CA5E08" w14:textId="4D1D8CC3" w:rsidR="007267C4" w:rsidRPr="00057ED8" w:rsidRDefault="005E04E8" w:rsidP="007267C4">
            <w:pPr>
              <w:pStyle w:val="Odsekzoznamu"/>
              <w:ind w:left="720" w:firstLine="0"/>
              <w:rPr>
                <w:szCs w:val="17"/>
                <w:lang w:val="en-GB"/>
              </w:rPr>
            </w:pPr>
            <w:r w:rsidRPr="00057ED8">
              <w:rPr>
                <w:szCs w:val="17"/>
                <w:lang w:val="en-GB"/>
              </w:rPr>
              <w:t xml:space="preserve">Overall, </w:t>
            </w:r>
            <w:r w:rsidR="008B35E7">
              <w:rPr>
                <w:szCs w:val="17"/>
                <w:lang w:val="en-GB"/>
              </w:rPr>
              <w:t>Insuranc</w:t>
            </w:r>
            <w:r w:rsidRPr="00057ED8">
              <w:rPr>
                <w:szCs w:val="17"/>
                <w:lang w:val="en-GB"/>
              </w:rPr>
              <w:t xml:space="preserve">e </w:t>
            </w:r>
            <w:r w:rsidR="008B35E7">
              <w:rPr>
                <w:szCs w:val="17"/>
                <w:lang w:val="en-GB"/>
              </w:rPr>
              <w:t xml:space="preserve">Europe </w:t>
            </w:r>
            <w:r w:rsidRPr="00057ED8">
              <w:rPr>
                <w:szCs w:val="17"/>
                <w:lang w:val="en-GB"/>
              </w:rPr>
              <w:t>believe</w:t>
            </w:r>
            <w:r w:rsidR="008B35E7">
              <w:rPr>
                <w:szCs w:val="17"/>
                <w:lang w:val="en-GB"/>
              </w:rPr>
              <w:t>s</w:t>
            </w:r>
            <w:r w:rsidRPr="00057ED8">
              <w:rPr>
                <w:szCs w:val="17"/>
                <w:lang w:val="en-GB"/>
              </w:rPr>
              <w:t xml:space="preserve"> that the rebuttable assumption is that consolidated information at group</w:t>
            </w:r>
            <w:r w:rsidR="00616912">
              <w:rPr>
                <w:szCs w:val="17"/>
                <w:lang w:val="en-GB"/>
              </w:rPr>
              <w:t xml:space="preserve"> </w:t>
            </w:r>
            <w:r w:rsidRPr="00057ED8">
              <w:rPr>
                <w:szCs w:val="17"/>
                <w:lang w:val="en-GB"/>
              </w:rPr>
              <w:t>level is sufficient, acknowledging that more granularity may be needed, for example at region</w:t>
            </w:r>
            <w:r w:rsidR="00616912">
              <w:rPr>
                <w:szCs w:val="17"/>
                <w:lang w:val="en-GB"/>
              </w:rPr>
              <w:t>,</w:t>
            </w:r>
            <w:r w:rsidRPr="00057ED8">
              <w:rPr>
                <w:szCs w:val="17"/>
                <w:lang w:val="en-GB"/>
              </w:rPr>
              <w:t xml:space="preserve"> country, site or product</w:t>
            </w:r>
            <w:r w:rsidR="00616912">
              <w:rPr>
                <w:szCs w:val="17"/>
                <w:lang w:val="en-GB"/>
              </w:rPr>
              <w:t xml:space="preserve"> </w:t>
            </w:r>
            <w:r w:rsidRPr="00057ED8">
              <w:rPr>
                <w:szCs w:val="17"/>
                <w:lang w:val="en-GB"/>
              </w:rPr>
              <w:t>level, in exceptional cases.</w:t>
            </w:r>
            <w:r w:rsidR="003C760B">
              <w:rPr>
                <w:szCs w:val="17"/>
                <w:lang w:val="en-GB"/>
              </w:rPr>
              <w:t xml:space="preserve"> As an exception</w:t>
            </w:r>
            <w:r w:rsidR="0022084B">
              <w:rPr>
                <w:szCs w:val="17"/>
                <w:lang w:val="en-GB"/>
              </w:rPr>
              <w:t xml:space="preserve"> </w:t>
            </w:r>
            <w:r w:rsidR="004116BB">
              <w:rPr>
                <w:szCs w:val="17"/>
                <w:lang w:val="en-GB"/>
              </w:rPr>
              <w:t xml:space="preserve">to </w:t>
            </w:r>
            <w:r w:rsidR="0022084B">
              <w:rPr>
                <w:szCs w:val="17"/>
                <w:lang w:val="en-GB"/>
              </w:rPr>
              <w:t xml:space="preserve">this, </w:t>
            </w:r>
            <w:r w:rsidR="00595B06">
              <w:rPr>
                <w:szCs w:val="17"/>
                <w:lang w:val="en-GB"/>
              </w:rPr>
              <w:t xml:space="preserve">in many cases, </w:t>
            </w:r>
            <w:r w:rsidR="0022084B">
              <w:rPr>
                <w:szCs w:val="17"/>
                <w:lang w:val="en-GB"/>
              </w:rPr>
              <w:t>a segment-level view (based on segments defined under IFRS 8 for IFRS preparers) may be valuable for users</w:t>
            </w:r>
            <w:r w:rsidR="000B4AE8">
              <w:rPr>
                <w:szCs w:val="17"/>
                <w:lang w:val="en-GB"/>
              </w:rPr>
              <w:t>.</w:t>
            </w:r>
            <w:r w:rsidR="00AA68A1" w:rsidRPr="00057ED8">
              <w:rPr>
                <w:szCs w:val="17"/>
                <w:lang w:val="en-GB"/>
              </w:rPr>
              <w:t xml:space="preserve"> </w:t>
            </w:r>
          </w:p>
          <w:p w14:paraId="0EB46ECD" w14:textId="563D0CD5" w:rsidR="006240E8" w:rsidRPr="00057ED8" w:rsidRDefault="006240E8" w:rsidP="00812D6D">
            <w:pPr>
              <w:pStyle w:val="Odsekzoznamu"/>
              <w:numPr>
                <w:ilvl w:val="0"/>
                <w:numId w:val="35"/>
              </w:numPr>
              <w:rPr>
                <w:szCs w:val="17"/>
                <w:lang w:val="en-GB"/>
              </w:rPr>
            </w:pPr>
            <w:r w:rsidRPr="00057ED8">
              <w:rPr>
                <w:szCs w:val="17"/>
                <w:highlight w:val="cyan"/>
                <w:lang w:val="en-GB"/>
              </w:rPr>
              <w:t>Broadly agree</w:t>
            </w:r>
            <w:r w:rsidRPr="00057ED8">
              <w:rPr>
                <w:szCs w:val="17"/>
                <w:lang w:val="en-GB"/>
              </w:rPr>
              <w:t xml:space="preserve"> / broadly disagree / other</w:t>
            </w:r>
          </w:p>
          <w:p w14:paraId="15763ED4" w14:textId="580493D7" w:rsidR="007647EC" w:rsidRPr="00057ED8" w:rsidRDefault="005E04E8" w:rsidP="00785089">
            <w:pPr>
              <w:pStyle w:val="Odsekzoznamu"/>
              <w:ind w:left="720" w:firstLine="11"/>
              <w:rPr>
                <w:rFonts w:eastAsia="Times New Roman" w:cs="Times New Roman"/>
                <w:sz w:val="20"/>
                <w:szCs w:val="17"/>
                <w:lang w:val="en-GB"/>
              </w:rPr>
            </w:pPr>
            <w:r w:rsidRPr="00057ED8">
              <w:rPr>
                <w:szCs w:val="17"/>
                <w:lang w:val="en-GB"/>
              </w:rPr>
              <w:t xml:space="preserve">In general, </w:t>
            </w:r>
            <w:r w:rsidR="00422749">
              <w:rPr>
                <w:szCs w:val="17"/>
                <w:lang w:val="en-GB"/>
              </w:rPr>
              <w:t>insurers</w:t>
            </w:r>
            <w:r w:rsidRPr="00057ED8">
              <w:rPr>
                <w:szCs w:val="17"/>
                <w:lang w:val="en-GB"/>
              </w:rPr>
              <w:t>, as p</w:t>
            </w:r>
            <w:r w:rsidR="00657BED" w:rsidRPr="00057ED8">
              <w:rPr>
                <w:szCs w:val="17"/>
                <w:lang w:val="en-GB"/>
              </w:rPr>
              <w:t>reparers</w:t>
            </w:r>
            <w:r w:rsidR="001D6F3D" w:rsidRPr="00057ED8">
              <w:rPr>
                <w:szCs w:val="17"/>
                <w:lang w:val="en-GB"/>
              </w:rPr>
              <w:t>,</w:t>
            </w:r>
            <w:r w:rsidR="00657BED" w:rsidRPr="00057ED8">
              <w:rPr>
                <w:szCs w:val="17"/>
                <w:lang w:val="en-GB"/>
              </w:rPr>
              <w:t xml:space="preserve"> n</w:t>
            </w:r>
            <w:r w:rsidR="006234AD" w:rsidRPr="00057ED8">
              <w:rPr>
                <w:szCs w:val="17"/>
                <w:lang w:val="en-GB"/>
              </w:rPr>
              <w:t xml:space="preserve">eed a stable base </w:t>
            </w:r>
            <w:r w:rsidR="00810FAD">
              <w:rPr>
                <w:szCs w:val="17"/>
                <w:lang w:val="en-GB"/>
              </w:rPr>
              <w:t xml:space="preserve">from which </w:t>
            </w:r>
            <w:r w:rsidR="006234AD" w:rsidRPr="00057ED8">
              <w:rPr>
                <w:szCs w:val="17"/>
                <w:lang w:val="en-GB"/>
              </w:rPr>
              <w:t xml:space="preserve">to produce the </w:t>
            </w:r>
            <w:r w:rsidR="00CC073C" w:rsidRPr="00057ED8">
              <w:rPr>
                <w:szCs w:val="17"/>
                <w:lang w:val="en-GB"/>
              </w:rPr>
              <w:t xml:space="preserve">sustainability </w:t>
            </w:r>
            <w:r w:rsidR="006234AD" w:rsidRPr="00057ED8">
              <w:rPr>
                <w:szCs w:val="17"/>
                <w:lang w:val="en-GB"/>
              </w:rPr>
              <w:t xml:space="preserve">disclosures. </w:t>
            </w:r>
            <w:r w:rsidR="00810FAD">
              <w:rPr>
                <w:szCs w:val="17"/>
                <w:lang w:val="en-GB"/>
              </w:rPr>
              <w:t>Insurance Europe</w:t>
            </w:r>
            <w:r w:rsidR="00810FAD" w:rsidRPr="00057ED8">
              <w:rPr>
                <w:szCs w:val="17"/>
                <w:lang w:val="en-GB"/>
              </w:rPr>
              <w:t xml:space="preserve"> </w:t>
            </w:r>
            <w:r w:rsidR="00F95654" w:rsidRPr="00057ED8">
              <w:rPr>
                <w:szCs w:val="17"/>
                <w:lang w:val="en-GB"/>
              </w:rPr>
              <w:t>would</w:t>
            </w:r>
            <w:r w:rsidR="00AD0296" w:rsidRPr="00057ED8">
              <w:rPr>
                <w:szCs w:val="17"/>
                <w:lang w:val="en-GB"/>
              </w:rPr>
              <w:t xml:space="preserve"> therefore</w:t>
            </w:r>
            <w:r w:rsidR="00F95654" w:rsidRPr="00057ED8">
              <w:rPr>
                <w:szCs w:val="17"/>
                <w:lang w:val="en-GB"/>
              </w:rPr>
              <w:t xml:space="preserve"> argue that t</w:t>
            </w:r>
            <w:r w:rsidR="00657BED" w:rsidRPr="00057ED8">
              <w:rPr>
                <w:szCs w:val="17"/>
                <w:lang w:val="en-GB"/>
              </w:rPr>
              <w:t>he ISSB s</w:t>
            </w:r>
            <w:r w:rsidR="009A2168" w:rsidRPr="00057ED8">
              <w:rPr>
                <w:szCs w:val="17"/>
                <w:lang w:val="en-GB"/>
              </w:rPr>
              <w:t xml:space="preserve">hould </w:t>
            </w:r>
            <w:r w:rsidR="00D375FD" w:rsidRPr="00057ED8">
              <w:rPr>
                <w:szCs w:val="17"/>
                <w:lang w:val="en-GB"/>
              </w:rPr>
              <w:t>not require</w:t>
            </w:r>
            <w:r w:rsidR="007F3919" w:rsidRPr="00057ED8">
              <w:rPr>
                <w:szCs w:val="17"/>
                <w:lang w:val="en-GB"/>
              </w:rPr>
              <w:t xml:space="preserve"> </w:t>
            </w:r>
            <w:r w:rsidR="00A731A7" w:rsidRPr="00057ED8">
              <w:rPr>
                <w:szCs w:val="17"/>
                <w:lang w:val="en-GB"/>
              </w:rPr>
              <w:t>the use of</w:t>
            </w:r>
            <w:r w:rsidR="007F3919" w:rsidRPr="00057ED8">
              <w:rPr>
                <w:szCs w:val="17"/>
                <w:lang w:val="en-GB"/>
              </w:rPr>
              <w:t xml:space="preserve"> disclosure frameworks </w:t>
            </w:r>
            <w:r w:rsidR="00810FAD">
              <w:rPr>
                <w:szCs w:val="17"/>
                <w:lang w:val="en-GB"/>
              </w:rPr>
              <w:t>that</w:t>
            </w:r>
            <w:r w:rsidR="00810FAD" w:rsidRPr="00057ED8">
              <w:rPr>
                <w:szCs w:val="17"/>
                <w:lang w:val="en-GB"/>
              </w:rPr>
              <w:t xml:space="preserve"> </w:t>
            </w:r>
            <w:r w:rsidR="007F3919" w:rsidRPr="00057ED8">
              <w:rPr>
                <w:szCs w:val="17"/>
                <w:lang w:val="en-GB"/>
              </w:rPr>
              <w:t>have not yet been published and not yet endorsed in the IFRS</w:t>
            </w:r>
            <w:r w:rsidR="001839E4" w:rsidRPr="00057ED8">
              <w:rPr>
                <w:szCs w:val="17"/>
                <w:lang w:val="en-GB"/>
              </w:rPr>
              <w:t xml:space="preserve"> </w:t>
            </w:r>
            <w:r w:rsidR="00BA2B41" w:rsidRPr="00057ED8">
              <w:rPr>
                <w:szCs w:val="17"/>
                <w:lang w:val="en-GB"/>
              </w:rPr>
              <w:t>(</w:t>
            </w:r>
            <w:r w:rsidR="002D17C2" w:rsidRPr="00057ED8">
              <w:rPr>
                <w:szCs w:val="17"/>
                <w:lang w:val="en-GB"/>
              </w:rPr>
              <w:t>para. 53-54)</w:t>
            </w:r>
            <w:r w:rsidR="007B5C73" w:rsidRPr="00057ED8">
              <w:rPr>
                <w:szCs w:val="17"/>
                <w:lang w:val="en-GB"/>
              </w:rPr>
              <w:t xml:space="preserve"> and that</w:t>
            </w:r>
            <w:r w:rsidR="007F3919" w:rsidRPr="00057ED8">
              <w:rPr>
                <w:szCs w:val="17"/>
                <w:lang w:val="en-GB"/>
              </w:rPr>
              <w:t xml:space="preserve"> </w:t>
            </w:r>
            <w:r w:rsidR="007B5C73" w:rsidRPr="00057ED8">
              <w:rPr>
                <w:szCs w:val="17"/>
                <w:lang w:val="en-GB"/>
              </w:rPr>
              <w:t>s</w:t>
            </w:r>
            <w:r w:rsidR="007F3919" w:rsidRPr="00057ED8">
              <w:rPr>
                <w:szCs w:val="17"/>
                <w:lang w:val="en-GB"/>
              </w:rPr>
              <w:t xml:space="preserve">uch frameworks </w:t>
            </w:r>
            <w:r w:rsidR="007F3919" w:rsidRPr="00057ED8" w:rsidDel="009D3596">
              <w:rPr>
                <w:szCs w:val="17"/>
                <w:lang w:val="en-GB"/>
              </w:rPr>
              <w:t xml:space="preserve">should </w:t>
            </w:r>
            <w:r w:rsidR="007F3919" w:rsidRPr="00057ED8">
              <w:rPr>
                <w:szCs w:val="17"/>
                <w:lang w:val="en-GB"/>
              </w:rPr>
              <w:t xml:space="preserve">be </w:t>
            </w:r>
            <w:r w:rsidR="007C2182" w:rsidRPr="00057ED8">
              <w:rPr>
                <w:szCs w:val="17"/>
                <w:lang w:val="en-GB"/>
              </w:rPr>
              <w:t>first</w:t>
            </w:r>
            <w:r w:rsidR="007F3919" w:rsidRPr="00057ED8">
              <w:rPr>
                <w:szCs w:val="17"/>
                <w:lang w:val="en-GB"/>
              </w:rPr>
              <w:t xml:space="preserve"> integrated in</w:t>
            </w:r>
            <w:r w:rsidR="00810FAD">
              <w:rPr>
                <w:szCs w:val="17"/>
                <w:lang w:val="en-GB"/>
              </w:rPr>
              <w:t>to</w:t>
            </w:r>
            <w:r w:rsidR="007F3919" w:rsidRPr="00057ED8">
              <w:rPr>
                <w:szCs w:val="17"/>
                <w:lang w:val="en-GB"/>
              </w:rPr>
              <w:t xml:space="preserve"> the IFRS standard</w:t>
            </w:r>
            <w:r w:rsidR="002767EA" w:rsidRPr="00057ED8">
              <w:rPr>
                <w:szCs w:val="17"/>
                <w:lang w:val="en-GB"/>
              </w:rPr>
              <w:t>.</w:t>
            </w:r>
            <w:r w:rsidR="003A1AC8" w:rsidRPr="00057ED8">
              <w:rPr>
                <w:szCs w:val="17"/>
                <w:lang w:val="en-GB"/>
              </w:rPr>
              <w:t xml:space="preserve"> </w:t>
            </w:r>
            <w:r w:rsidR="00810FAD">
              <w:rPr>
                <w:szCs w:val="17"/>
                <w:lang w:val="en-GB"/>
              </w:rPr>
              <w:t>Insurance Europe</w:t>
            </w:r>
            <w:r w:rsidR="003A1AC8" w:rsidRPr="00057ED8">
              <w:rPr>
                <w:szCs w:val="17"/>
                <w:lang w:val="en-GB"/>
              </w:rPr>
              <w:t xml:space="preserve"> </w:t>
            </w:r>
            <w:r w:rsidR="00BC032C">
              <w:rPr>
                <w:szCs w:val="17"/>
                <w:lang w:val="en-GB"/>
              </w:rPr>
              <w:t>would the</w:t>
            </w:r>
            <w:r w:rsidR="00810FAD">
              <w:rPr>
                <w:szCs w:val="17"/>
                <w:lang w:val="en-GB"/>
              </w:rPr>
              <w:t>refore</w:t>
            </w:r>
            <w:r w:rsidR="00BC032C">
              <w:rPr>
                <w:szCs w:val="17"/>
                <w:lang w:val="en-GB"/>
              </w:rPr>
              <w:t xml:space="preserve"> </w:t>
            </w:r>
            <w:r w:rsidR="003A1AC8" w:rsidRPr="00057ED8">
              <w:rPr>
                <w:szCs w:val="17"/>
                <w:lang w:val="en-GB"/>
              </w:rPr>
              <w:t xml:space="preserve">support </w:t>
            </w:r>
            <w:r w:rsidR="003A458B" w:rsidRPr="00057ED8">
              <w:rPr>
                <w:szCs w:val="17"/>
                <w:lang w:val="en-GB"/>
              </w:rPr>
              <w:t xml:space="preserve">a </w:t>
            </w:r>
            <w:r w:rsidR="003A1AC8" w:rsidRPr="00057ED8">
              <w:rPr>
                <w:szCs w:val="17"/>
                <w:lang w:val="en-GB"/>
              </w:rPr>
              <w:t>reference</w:t>
            </w:r>
            <w:r w:rsidR="003A458B" w:rsidRPr="00057ED8">
              <w:rPr>
                <w:szCs w:val="17"/>
                <w:lang w:val="en-GB"/>
              </w:rPr>
              <w:t xml:space="preserve"> be</w:t>
            </w:r>
            <w:r w:rsidR="00C430F2">
              <w:rPr>
                <w:szCs w:val="17"/>
                <w:lang w:val="en-GB"/>
              </w:rPr>
              <w:t>ing</w:t>
            </w:r>
            <w:r w:rsidR="003A458B" w:rsidRPr="00057ED8">
              <w:rPr>
                <w:szCs w:val="17"/>
                <w:lang w:val="en-GB"/>
              </w:rPr>
              <w:t xml:space="preserve"> made</w:t>
            </w:r>
            <w:r w:rsidR="003A1AC8" w:rsidRPr="00057ED8">
              <w:rPr>
                <w:szCs w:val="17"/>
                <w:lang w:val="en-GB"/>
              </w:rPr>
              <w:t xml:space="preserve"> to these sources</w:t>
            </w:r>
            <w:r w:rsidR="00DC0579">
              <w:rPr>
                <w:szCs w:val="17"/>
                <w:lang w:val="en-GB"/>
              </w:rPr>
              <w:t>,</w:t>
            </w:r>
            <w:r w:rsidR="003A1AC8" w:rsidRPr="00057ED8">
              <w:rPr>
                <w:szCs w:val="17"/>
                <w:lang w:val="en-GB"/>
              </w:rPr>
              <w:t xml:space="preserve"> as other sustainability-related topics would otherwise be fully deprioriti</w:t>
            </w:r>
            <w:r w:rsidR="00DC0579">
              <w:rPr>
                <w:szCs w:val="17"/>
                <w:lang w:val="en-GB"/>
              </w:rPr>
              <w:t>s</w:t>
            </w:r>
            <w:r w:rsidR="003A1AC8" w:rsidRPr="00057ED8">
              <w:rPr>
                <w:szCs w:val="17"/>
                <w:lang w:val="en-GB"/>
              </w:rPr>
              <w:t>ed/delayed.</w:t>
            </w:r>
            <w:r w:rsidR="00E13803" w:rsidRPr="00057ED8">
              <w:rPr>
                <w:szCs w:val="17"/>
                <w:lang w:val="en-GB"/>
              </w:rPr>
              <w:t xml:space="preserve"> However, </w:t>
            </w:r>
            <w:r w:rsidR="00DC0579">
              <w:rPr>
                <w:szCs w:val="17"/>
                <w:lang w:val="en-GB"/>
              </w:rPr>
              <w:t xml:space="preserve">the audit </w:t>
            </w:r>
            <w:r w:rsidR="00E13803" w:rsidRPr="00057ED8">
              <w:rPr>
                <w:szCs w:val="17"/>
                <w:lang w:val="en-GB"/>
              </w:rPr>
              <w:t xml:space="preserve">limitations </w:t>
            </w:r>
            <w:r w:rsidR="00CA3F98" w:rsidRPr="00057ED8">
              <w:rPr>
                <w:szCs w:val="17"/>
                <w:lang w:val="en-GB"/>
              </w:rPr>
              <w:t>mentioned in Q1 will occur.</w:t>
            </w:r>
            <w:r w:rsidR="003A1AC8" w:rsidRPr="00057ED8">
              <w:rPr>
                <w:szCs w:val="17"/>
                <w:lang w:val="en-GB"/>
              </w:rPr>
              <w:t xml:space="preserve"> </w:t>
            </w:r>
            <w:r w:rsidR="003A1AC8" w:rsidRPr="00057ED8">
              <w:rPr>
                <w:szCs w:val="17"/>
                <w:lang w:val="en-GB"/>
              </w:rPr>
              <w:lastRenderedPageBreak/>
              <w:t xml:space="preserve">Furthermore, particular safeguards in terms of best effort should apply </w:t>
            </w:r>
            <w:r w:rsidR="004D6AC1">
              <w:rPr>
                <w:szCs w:val="17"/>
                <w:lang w:val="en-GB"/>
              </w:rPr>
              <w:t>to</w:t>
            </w:r>
            <w:r w:rsidR="004D6AC1" w:rsidRPr="00057ED8">
              <w:rPr>
                <w:szCs w:val="17"/>
                <w:lang w:val="en-GB"/>
              </w:rPr>
              <w:t xml:space="preserve"> </w:t>
            </w:r>
            <w:r w:rsidR="003A1AC8" w:rsidRPr="00057ED8">
              <w:rPr>
                <w:szCs w:val="17"/>
                <w:lang w:val="en-GB"/>
              </w:rPr>
              <w:t xml:space="preserve">the disclosure topics other than climate, </w:t>
            </w:r>
            <w:proofErr w:type="spellStart"/>
            <w:r w:rsidR="003A1AC8" w:rsidRPr="00057ED8">
              <w:rPr>
                <w:szCs w:val="17"/>
                <w:lang w:val="en-GB"/>
              </w:rPr>
              <w:t>ie</w:t>
            </w:r>
            <w:proofErr w:type="spellEnd"/>
            <w:r w:rsidR="004D6AC1">
              <w:rPr>
                <w:szCs w:val="17"/>
                <w:lang w:val="en-GB"/>
              </w:rPr>
              <w:t>,</w:t>
            </w:r>
            <w:r w:rsidR="003A1AC8" w:rsidRPr="00057ED8">
              <w:rPr>
                <w:szCs w:val="17"/>
                <w:lang w:val="en-GB"/>
              </w:rPr>
              <w:t xml:space="preserve"> companies should not be exposed to legal risks for not having disclosed under another framework.</w:t>
            </w:r>
            <w:r w:rsidR="00375FBB" w:rsidRPr="00057ED8">
              <w:rPr>
                <w:szCs w:val="17"/>
                <w:lang w:val="en-GB"/>
              </w:rPr>
              <w:t xml:space="preserve"> In addition, if the possibility to use such external sources</w:t>
            </w:r>
            <w:r w:rsidR="004D6AC1">
              <w:rPr>
                <w:szCs w:val="17"/>
                <w:lang w:val="en-GB"/>
              </w:rPr>
              <w:t xml:space="preserve"> is granted</w:t>
            </w:r>
            <w:r w:rsidR="00375FBB" w:rsidRPr="00057ED8">
              <w:rPr>
                <w:szCs w:val="17"/>
                <w:lang w:val="en-GB"/>
              </w:rPr>
              <w:t xml:space="preserve">, the ISSB should also commit to work hand in hand with them while further </w:t>
            </w:r>
            <w:r w:rsidR="00AF084B">
              <w:rPr>
                <w:szCs w:val="17"/>
                <w:lang w:val="en-GB"/>
              </w:rPr>
              <w:t xml:space="preserve">developing the </w:t>
            </w:r>
            <w:r w:rsidR="00375FBB" w:rsidRPr="00057ED8">
              <w:rPr>
                <w:szCs w:val="17"/>
                <w:lang w:val="en-GB"/>
              </w:rPr>
              <w:t>IFRS SDS</w:t>
            </w:r>
            <w:r w:rsidR="00AF084B">
              <w:rPr>
                <w:szCs w:val="17"/>
                <w:lang w:val="en-GB"/>
              </w:rPr>
              <w:t>.</w:t>
            </w:r>
          </w:p>
          <w:p w14:paraId="6B983030" w14:textId="77777777" w:rsidR="006F0665" w:rsidRPr="00057ED8" w:rsidRDefault="006F0665" w:rsidP="006F0665">
            <w:pPr>
              <w:rPr>
                <w:szCs w:val="17"/>
              </w:rPr>
            </w:pPr>
          </w:p>
          <w:p w14:paraId="7B0ACC72" w14:textId="34F5CFC3" w:rsidR="00241A73" w:rsidRPr="00057ED8" w:rsidRDefault="009C4176" w:rsidP="009779ED">
            <w:pPr>
              <w:spacing w:line="240" w:lineRule="auto"/>
              <w:ind w:left="317"/>
              <w:rPr>
                <w:sz w:val="17"/>
                <w:szCs w:val="17"/>
              </w:rPr>
            </w:pPr>
            <w:r>
              <w:rPr>
                <w:sz w:val="17"/>
                <w:szCs w:val="17"/>
              </w:rPr>
              <w:t>In addition</w:t>
            </w:r>
            <w:r w:rsidR="00DF6FEF" w:rsidRPr="00057ED8">
              <w:rPr>
                <w:sz w:val="17"/>
                <w:szCs w:val="17"/>
              </w:rPr>
              <w:t xml:space="preserve">, </w:t>
            </w:r>
            <w:r>
              <w:rPr>
                <w:sz w:val="17"/>
                <w:szCs w:val="17"/>
              </w:rPr>
              <w:t>Insurance Europ</w:t>
            </w:r>
            <w:r w:rsidR="00DF6FEF" w:rsidRPr="00057ED8">
              <w:rPr>
                <w:sz w:val="17"/>
                <w:szCs w:val="17"/>
              </w:rPr>
              <w:t xml:space="preserve">e would </w:t>
            </w:r>
            <w:r>
              <w:rPr>
                <w:sz w:val="17"/>
                <w:szCs w:val="17"/>
              </w:rPr>
              <w:t>offer</w:t>
            </w:r>
            <w:r w:rsidR="00DF6FEF" w:rsidRPr="00057ED8">
              <w:rPr>
                <w:sz w:val="17"/>
                <w:szCs w:val="17"/>
              </w:rPr>
              <w:t xml:space="preserve"> the following comments</w:t>
            </w:r>
            <w:r w:rsidR="00241A73" w:rsidRPr="00057ED8">
              <w:rPr>
                <w:sz w:val="17"/>
                <w:szCs w:val="17"/>
              </w:rPr>
              <w:t>:</w:t>
            </w:r>
          </w:p>
          <w:p w14:paraId="7A21AE53" w14:textId="553040A8" w:rsidR="00DF6FEF" w:rsidRPr="00057ED8" w:rsidRDefault="00DF6FEF" w:rsidP="009779ED">
            <w:pPr>
              <w:pStyle w:val="CEABullet-Level1"/>
              <w:spacing w:line="240" w:lineRule="auto"/>
              <w:ind w:right="1050"/>
            </w:pPr>
            <w:r w:rsidRPr="00057ED8">
              <w:t>The international applicability of the sources must be ensured and should form part of the ISSB’s initial workplan.</w:t>
            </w:r>
          </w:p>
          <w:p w14:paraId="21E76E17" w14:textId="396DD608" w:rsidR="00DF6FEF" w:rsidRPr="00057ED8" w:rsidRDefault="00DF6FEF" w:rsidP="009779ED">
            <w:pPr>
              <w:pStyle w:val="CEABullet-Level1"/>
              <w:spacing w:line="240" w:lineRule="auto"/>
              <w:ind w:right="1050"/>
            </w:pPr>
            <w:r w:rsidRPr="00057ED8">
              <w:t>Furthermore, under par</w:t>
            </w:r>
            <w:r w:rsidR="004D5E1F" w:rsidRPr="00057ED8">
              <w:t>a</w:t>
            </w:r>
            <w:r w:rsidRPr="00057ED8">
              <w:t>. 51(c), even proposals by standard-setters not focusing only on investors’ information demands, such as the GRI standards and the standards under development at EU level, may represent a valuable source. Indeed, they do not (solely) target investors, however this does not mean that they only prescribe disclosures that are not material for investors. Instead, they may be included because they are material for other stakeholders and investors</w:t>
            </w:r>
            <w:r w:rsidR="00375FBB" w:rsidRPr="00057ED8">
              <w:t xml:space="preserve"> </w:t>
            </w:r>
            <w:r w:rsidR="008966B3">
              <w:t>that</w:t>
            </w:r>
            <w:r w:rsidR="008966B3" w:rsidRPr="00057ED8">
              <w:t xml:space="preserve"> </w:t>
            </w:r>
            <w:r w:rsidR="00375FBB" w:rsidRPr="00057ED8">
              <w:t>pursue</w:t>
            </w:r>
            <w:r w:rsidR="00ED5580">
              <w:t>,</w:t>
            </w:r>
            <w:r w:rsidR="00375FBB" w:rsidRPr="00057ED8">
              <w:t xml:space="preserve"> for instance</w:t>
            </w:r>
            <w:r w:rsidR="00ED5580">
              <w:t>,</w:t>
            </w:r>
            <w:r w:rsidR="00375FBB" w:rsidRPr="00057ED8">
              <w:t xml:space="preserve"> ESG investment strategies</w:t>
            </w:r>
            <w:r w:rsidRPr="00057ED8">
              <w:t xml:space="preserve">. Also, some disclosures may indeed “only” be material for other stakeholders for some companies while being material for investors and enterprise value for other companies. </w:t>
            </w:r>
          </w:p>
          <w:p w14:paraId="5C7C2558" w14:textId="5A94FAFE" w:rsidR="00DF6FEF" w:rsidRPr="00057ED8" w:rsidRDefault="00DF6FEF" w:rsidP="009779ED">
            <w:pPr>
              <w:pStyle w:val="CEABullet-Level1"/>
              <w:spacing w:line="240" w:lineRule="auto"/>
              <w:ind w:right="1050"/>
            </w:pPr>
            <w:r w:rsidRPr="00057ED8">
              <w:t>Further</w:t>
            </w:r>
            <w:r w:rsidR="007A40B9">
              <w:t>more</w:t>
            </w:r>
            <w:r w:rsidRPr="00057ED8">
              <w:t xml:space="preserve">, companies should consider insights from their engagement with users of </w:t>
            </w:r>
            <w:proofErr w:type="gramStart"/>
            <w:r w:rsidRPr="00057ED8">
              <w:t>general purpose</w:t>
            </w:r>
            <w:proofErr w:type="gramEnd"/>
            <w:r w:rsidRPr="00057ED8">
              <w:t xml:space="preserve"> financial statements. </w:t>
            </w:r>
          </w:p>
          <w:p w14:paraId="4367A168" w14:textId="1E73BDCB" w:rsidR="00DF6FEF" w:rsidRPr="00057ED8" w:rsidRDefault="00DF6FEF" w:rsidP="009779ED">
            <w:pPr>
              <w:pStyle w:val="CEABullet-Level1"/>
              <w:spacing w:line="240" w:lineRule="auto"/>
              <w:ind w:right="1050"/>
            </w:pPr>
            <w:r w:rsidRPr="00057ED8">
              <w:t xml:space="preserve">Also, while </w:t>
            </w:r>
            <w:r w:rsidR="007A40B9">
              <w:t>Insurance Europe</w:t>
            </w:r>
            <w:r w:rsidR="007A40B9" w:rsidRPr="00057ED8">
              <w:t xml:space="preserve"> </w:t>
            </w:r>
            <w:r w:rsidRPr="00057ED8">
              <w:t>generally agree</w:t>
            </w:r>
            <w:r w:rsidR="007A40B9">
              <w:t>s</w:t>
            </w:r>
            <w:r w:rsidRPr="00057ED8">
              <w:t xml:space="preserve"> with the procedure as outlined in par</w:t>
            </w:r>
            <w:r w:rsidR="001F2F0D" w:rsidRPr="00057ED8">
              <w:t>a</w:t>
            </w:r>
            <w:r w:rsidRPr="00057ED8">
              <w:t>. 52</w:t>
            </w:r>
            <w:r w:rsidR="001F2F0D" w:rsidRPr="00057ED8">
              <w:t>-</w:t>
            </w:r>
            <w:r w:rsidRPr="00057ED8">
              <w:t>53, it is unclear why the sources presented under par</w:t>
            </w:r>
            <w:r w:rsidR="001F2F0D" w:rsidRPr="00057ED8">
              <w:t>a</w:t>
            </w:r>
            <w:r w:rsidRPr="00057ED8">
              <w:t xml:space="preserve">. 51 </w:t>
            </w:r>
            <w:r w:rsidR="00040A7E">
              <w:t>should</w:t>
            </w:r>
            <w:r w:rsidR="00040A7E" w:rsidRPr="00057ED8">
              <w:t xml:space="preserve"> </w:t>
            </w:r>
            <w:r w:rsidRPr="00057ED8">
              <w:t xml:space="preserve">only be used as guidance on which sustainability-related risks and opportunities may need to be reported, but not as guidance on disclosures related to those risks and opportunities (in the absence of an IFRS </w:t>
            </w:r>
            <w:r w:rsidR="00EE3DA0">
              <w:t>SDS</w:t>
            </w:r>
            <w:r w:rsidRPr="00057ED8">
              <w:t>). The criteria outlined in par</w:t>
            </w:r>
            <w:r w:rsidR="00852085" w:rsidRPr="00057ED8">
              <w:t>a</w:t>
            </w:r>
            <w:r w:rsidRPr="00057ED8">
              <w:t>. 53 could be applied to those in analogy. Indeed, par</w:t>
            </w:r>
            <w:r w:rsidR="001F2F0D" w:rsidRPr="00057ED8">
              <w:t>a</w:t>
            </w:r>
            <w:r w:rsidRPr="00057ED8">
              <w:t>. 54 suggests that such guidance should be used for metrics (only), but not disclosures (in general).</w:t>
            </w:r>
            <w:r w:rsidR="00EF2408" w:rsidRPr="00057ED8">
              <w:t xml:space="preserve"> Furthermore, a reference to market-led, science-based and government-endorsed frameworks (</w:t>
            </w:r>
            <w:proofErr w:type="spellStart"/>
            <w:r w:rsidR="00EF2408" w:rsidRPr="00057ED8">
              <w:t>eg</w:t>
            </w:r>
            <w:proofErr w:type="spellEnd"/>
            <w:r w:rsidR="004464C3">
              <w:t>,</w:t>
            </w:r>
            <w:r w:rsidR="00EF2408" w:rsidRPr="00057ED8">
              <w:t xml:space="preserve"> TCFD and T</w:t>
            </w:r>
            <w:r w:rsidR="00551D77">
              <w:t xml:space="preserve">askforce on </w:t>
            </w:r>
            <w:r w:rsidR="00EF2408" w:rsidRPr="00057ED8">
              <w:t>N</w:t>
            </w:r>
            <w:r w:rsidR="00551D77">
              <w:t xml:space="preserve">ature-related </w:t>
            </w:r>
            <w:r w:rsidR="00EF2408" w:rsidRPr="00057ED8">
              <w:t>F</w:t>
            </w:r>
            <w:r w:rsidR="00551D77">
              <w:t xml:space="preserve">inancial </w:t>
            </w:r>
            <w:r w:rsidR="00EF2408" w:rsidRPr="00057ED8">
              <w:t>D</w:t>
            </w:r>
            <w:r w:rsidR="00C377C5">
              <w:t>isclosures</w:t>
            </w:r>
            <w:r w:rsidR="00EF2408" w:rsidRPr="00057ED8">
              <w:t>) should be considered.</w:t>
            </w:r>
          </w:p>
          <w:p w14:paraId="6EC63DDD" w14:textId="79A7EA72" w:rsidR="00DF6FEF" w:rsidRPr="00057ED8" w:rsidRDefault="00DF6FEF" w:rsidP="000E69B5">
            <w:pPr>
              <w:pStyle w:val="Odsekzoznamu"/>
              <w:ind w:left="720" w:firstLine="0"/>
              <w:rPr>
                <w:szCs w:val="17"/>
                <w:lang w:val="en-GB"/>
              </w:rPr>
            </w:pPr>
          </w:p>
          <w:p w14:paraId="296F422F" w14:textId="46E68B2E" w:rsidR="00920235" w:rsidRPr="00057ED8" w:rsidRDefault="00920235" w:rsidP="00460E14">
            <w:pPr>
              <w:ind w:left="360"/>
              <w:rPr>
                <w:szCs w:val="17"/>
              </w:rPr>
            </w:pPr>
          </w:p>
        </w:tc>
      </w:tr>
    </w:tbl>
    <w:p w14:paraId="6E414119" w14:textId="77777777" w:rsidR="00152882" w:rsidRPr="00057ED8" w:rsidRDefault="00152882" w:rsidP="00F768D9">
      <w:pPr>
        <w:rPr>
          <w:sz w:val="17"/>
          <w:szCs w:val="17"/>
        </w:rPr>
      </w:pPr>
    </w:p>
    <w:p w14:paraId="586B46A1" w14:textId="77777777" w:rsidR="00152882" w:rsidRPr="00057ED8" w:rsidRDefault="00152882" w:rsidP="00F768D9">
      <w:pPr>
        <w:rPr>
          <w:sz w:val="17"/>
          <w:szCs w:val="17"/>
        </w:rPr>
      </w:pPr>
    </w:p>
    <w:p w14:paraId="268173B8" w14:textId="22778C9D" w:rsidR="00152882" w:rsidRPr="00057ED8" w:rsidRDefault="00674A5C" w:rsidP="00F768D9">
      <w:pPr>
        <w:rPr>
          <w:b/>
          <w:bCs/>
          <w:sz w:val="17"/>
          <w:szCs w:val="17"/>
        </w:rPr>
      </w:pPr>
      <w:r w:rsidRPr="00057ED8">
        <w:rPr>
          <w:b/>
          <w:bCs/>
          <w:sz w:val="17"/>
          <w:szCs w:val="17"/>
        </w:rPr>
        <w:t>Question 8—Materiality (paragraphs 56–62)</w:t>
      </w:r>
    </w:p>
    <w:p w14:paraId="29552277" w14:textId="77777777" w:rsidR="00E05846" w:rsidRPr="00057ED8" w:rsidRDefault="00E05846" w:rsidP="00F768D9">
      <w:pPr>
        <w:rPr>
          <w:sz w:val="17"/>
          <w:szCs w:val="17"/>
        </w:rPr>
      </w:pPr>
      <w:r w:rsidRPr="00057ED8">
        <w:rPr>
          <w:sz w:val="17"/>
          <w:szCs w:val="17"/>
        </w:rPr>
        <w:t xml:space="preserve">The Exposure Draft defines material information in alignment with the definition in IASB’s Conceptual Framework for General Purpose Financial Reporting and IAS 1. Information ‘is material if omitting, misstating or obscuring that information could reasonably be expected to influence decisions that the primary users of </w:t>
      </w:r>
      <w:proofErr w:type="gramStart"/>
      <w:r w:rsidRPr="00057ED8">
        <w:rPr>
          <w:sz w:val="17"/>
          <w:szCs w:val="17"/>
        </w:rPr>
        <w:t>general purpose</w:t>
      </w:r>
      <w:proofErr w:type="gramEnd"/>
      <w:r w:rsidRPr="00057ED8">
        <w:rPr>
          <w:sz w:val="17"/>
          <w:szCs w:val="17"/>
        </w:rPr>
        <w:t xml:space="preserve"> financial reporting make on the basis of that reporting, which provides information about a specific reporting entity’.</w:t>
      </w:r>
    </w:p>
    <w:p w14:paraId="1B34993F" w14:textId="77777777" w:rsidR="00DE42D4" w:rsidRPr="00057ED8" w:rsidRDefault="00DE42D4" w:rsidP="00F768D9">
      <w:pPr>
        <w:rPr>
          <w:sz w:val="17"/>
          <w:szCs w:val="17"/>
        </w:rPr>
      </w:pPr>
    </w:p>
    <w:p w14:paraId="4217F00B" w14:textId="77777777" w:rsidR="00E05846" w:rsidRPr="00057ED8" w:rsidRDefault="00E05846" w:rsidP="00F768D9">
      <w:pPr>
        <w:rPr>
          <w:sz w:val="17"/>
          <w:szCs w:val="17"/>
        </w:rPr>
      </w:pPr>
      <w:r w:rsidRPr="00057ED8">
        <w:rPr>
          <w:sz w:val="17"/>
          <w:szCs w:val="17"/>
        </w:rPr>
        <w:t>However, the materiality judgements will vary because the nature of sustainability- related financial information is different to information included in financial statements. Whether information is material also needs to be assessed in relation to enterprise value.</w:t>
      </w:r>
    </w:p>
    <w:p w14:paraId="40B359B2" w14:textId="77777777" w:rsidR="00DE42D4" w:rsidRPr="00057ED8" w:rsidRDefault="00DE42D4" w:rsidP="00F768D9">
      <w:pPr>
        <w:rPr>
          <w:sz w:val="17"/>
          <w:szCs w:val="17"/>
        </w:rPr>
      </w:pPr>
    </w:p>
    <w:p w14:paraId="2B60B468" w14:textId="77777777" w:rsidR="00E05846" w:rsidRPr="00057ED8" w:rsidRDefault="00E05846" w:rsidP="00F768D9">
      <w:pPr>
        <w:rPr>
          <w:sz w:val="17"/>
          <w:szCs w:val="17"/>
        </w:rPr>
      </w:pPr>
      <w:r w:rsidRPr="00057ED8">
        <w:rPr>
          <w:sz w:val="17"/>
          <w:szCs w:val="17"/>
        </w:rPr>
        <w:t>Material sustainability-related financial information disclosed by an entity may change from one reporting period to another as circumstances and assumptions change, and as expectations from the primary users of reporting change. Therefore, an entity would be required to use judgement to identify what is material, and materiality judgements are reassessed at each reporting date. The Exposure Draft proposes that even if a specific IFRS Sustainability Disclosure Standard contained specific disclosure requirements, an entity would need not to provide that disclosure if the resulting information was not material. Equally, when the specific requirements would be insufficient to meet users’ information needs, an entity would be required to consider whether to disclose additional information. This approach is consistent with the requirements of IAS 1.</w:t>
      </w:r>
    </w:p>
    <w:p w14:paraId="606F579B" w14:textId="77777777" w:rsidR="00DE42D4" w:rsidRPr="00057ED8" w:rsidRDefault="00DE42D4" w:rsidP="00F768D9">
      <w:pPr>
        <w:rPr>
          <w:sz w:val="17"/>
          <w:szCs w:val="17"/>
        </w:rPr>
      </w:pPr>
    </w:p>
    <w:p w14:paraId="37F5CE87" w14:textId="77777777" w:rsidR="00E05846" w:rsidRPr="00057ED8" w:rsidRDefault="00E05846" w:rsidP="00F768D9">
      <w:pPr>
        <w:rPr>
          <w:sz w:val="17"/>
          <w:szCs w:val="17"/>
        </w:rPr>
      </w:pPr>
      <w:r w:rsidRPr="00057ED8">
        <w:rPr>
          <w:sz w:val="17"/>
          <w:szCs w:val="17"/>
        </w:rPr>
        <w:t>The Exposure Draft also proposes that an entity need not disclose information otherwise required by the Exposure Draft if local laws or regulations prohibit the entity from disclosing that information. In such a case, an entity shall identify the type of information not disclosed and explain the source of the restriction.</w:t>
      </w:r>
    </w:p>
    <w:p w14:paraId="66BF0736" w14:textId="77777777" w:rsidR="00DE42D4" w:rsidRPr="00057ED8" w:rsidRDefault="00DE42D4" w:rsidP="00A754C6">
      <w:pPr>
        <w:pStyle w:val="Odsekzoznamu"/>
        <w:spacing w:before="0" w:line="288" w:lineRule="auto"/>
        <w:ind w:left="720" w:firstLine="0"/>
        <w:rPr>
          <w:szCs w:val="17"/>
          <w:lang w:val="en-GB"/>
        </w:rPr>
      </w:pPr>
    </w:p>
    <w:p w14:paraId="6C00D53A" w14:textId="77777777" w:rsidR="00E05846" w:rsidRPr="00057ED8" w:rsidRDefault="00E05846" w:rsidP="006945DC">
      <w:pPr>
        <w:pStyle w:val="Odsekzoznamu"/>
        <w:numPr>
          <w:ilvl w:val="0"/>
          <w:numId w:val="10"/>
        </w:numPr>
        <w:spacing w:before="0" w:line="288" w:lineRule="auto"/>
        <w:rPr>
          <w:szCs w:val="17"/>
          <w:lang w:val="en-GB"/>
        </w:rPr>
      </w:pPr>
      <w:r w:rsidRPr="00057ED8">
        <w:rPr>
          <w:szCs w:val="17"/>
          <w:lang w:val="en-GB"/>
        </w:rPr>
        <w:t xml:space="preserve">Is the definition and application of materiality clear in the context of sustainability-related </w:t>
      </w:r>
      <w:r w:rsidRPr="00057ED8">
        <w:rPr>
          <w:szCs w:val="17"/>
          <w:lang w:val="en-GB"/>
        </w:rPr>
        <w:lastRenderedPageBreak/>
        <w:t>financial information? Why or why not?</w:t>
      </w:r>
    </w:p>
    <w:p w14:paraId="1F2CC45D" w14:textId="77777777" w:rsidR="00A754C6" w:rsidRPr="00057ED8" w:rsidRDefault="00A754C6" w:rsidP="00A754C6">
      <w:pPr>
        <w:pStyle w:val="Odsekzoznamu"/>
        <w:spacing w:before="0" w:line="288" w:lineRule="auto"/>
        <w:ind w:left="720" w:firstLine="0"/>
        <w:rPr>
          <w:szCs w:val="17"/>
          <w:lang w:val="en-GB"/>
        </w:rPr>
      </w:pPr>
    </w:p>
    <w:p w14:paraId="7700F725" w14:textId="77777777" w:rsidR="00E05846" w:rsidRPr="00057ED8" w:rsidRDefault="00E05846" w:rsidP="006945DC">
      <w:pPr>
        <w:pStyle w:val="Odsekzoznamu"/>
        <w:numPr>
          <w:ilvl w:val="0"/>
          <w:numId w:val="10"/>
        </w:numPr>
        <w:spacing w:before="0" w:line="288" w:lineRule="auto"/>
        <w:rPr>
          <w:szCs w:val="17"/>
          <w:lang w:val="en-GB"/>
        </w:rPr>
      </w:pPr>
      <w:r w:rsidRPr="00057ED8">
        <w:rPr>
          <w:szCs w:val="17"/>
          <w:lang w:val="en-GB"/>
        </w:rPr>
        <w:t>Do you consider that the proposed definition and application of materiality will capture the breadth of sustainability-related risks and opportunities relevant to the enterprise value of a specific entity, including over time? Why or why not?</w:t>
      </w:r>
    </w:p>
    <w:p w14:paraId="0E424372" w14:textId="77777777" w:rsidR="00A754C6" w:rsidRPr="00057ED8" w:rsidRDefault="00A754C6" w:rsidP="00A754C6">
      <w:pPr>
        <w:pStyle w:val="Odsekzoznamu"/>
        <w:rPr>
          <w:szCs w:val="17"/>
          <w:lang w:val="en-GB"/>
        </w:rPr>
      </w:pPr>
    </w:p>
    <w:p w14:paraId="7B1647FD" w14:textId="77777777" w:rsidR="00E05846" w:rsidRPr="00057ED8" w:rsidRDefault="00E05846" w:rsidP="006945DC">
      <w:pPr>
        <w:pStyle w:val="Odsekzoznamu"/>
        <w:numPr>
          <w:ilvl w:val="0"/>
          <w:numId w:val="10"/>
        </w:numPr>
        <w:spacing w:before="0" w:line="288" w:lineRule="auto"/>
        <w:rPr>
          <w:szCs w:val="17"/>
          <w:lang w:val="en-GB"/>
        </w:rPr>
      </w:pPr>
      <w:r w:rsidRPr="00057ED8">
        <w:rPr>
          <w:szCs w:val="17"/>
          <w:lang w:val="en-GB"/>
        </w:rPr>
        <w:t>Is the Exposure Draft and related Illustrative Guidance useful for identifying material sustainability-related financial information? Why or why not? If not, what additional guidance is needed and why?</w:t>
      </w:r>
    </w:p>
    <w:p w14:paraId="3248CA23" w14:textId="77777777" w:rsidR="00A754C6" w:rsidRPr="00057ED8" w:rsidRDefault="00A754C6" w:rsidP="00A754C6">
      <w:pPr>
        <w:pStyle w:val="Odsekzoznamu"/>
        <w:rPr>
          <w:szCs w:val="17"/>
          <w:lang w:val="en-GB"/>
        </w:rPr>
      </w:pPr>
    </w:p>
    <w:p w14:paraId="1F4C43AF" w14:textId="5C7DEF33" w:rsidR="00674A5C" w:rsidRPr="00057ED8" w:rsidRDefault="00E05846" w:rsidP="006945DC">
      <w:pPr>
        <w:pStyle w:val="Odsekzoznamu"/>
        <w:numPr>
          <w:ilvl w:val="0"/>
          <w:numId w:val="10"/>
        </w:numPr>
        <w:spacing w:before="0" w:line="288" w:lineRule="auto"/>
        <w:rPr>
          <w:szCs w:val="17"/>
          <w:lang w:val="en-GB"/>
        </w:rPr>
      </w:pPr>
      <w:r w:rsidRPr="00057ED8">
        <w:rPr>
          <w:szCs w:val="17"/>
          <w:lang w:val="en-GB"/>
        </w:rPr>
        <w:t>Do you agree with the proposal to relieve an entity from disclosing information otherwise required by the Exposure Draft if local laws or regulations prohibit the entity from disclosing that information? Why or why not? If not, why?</w:t>
      </w:r>
    </w:p>
    <w:p w14:paraId="24F4275E" w14:textId="77777777" w:rsidR="00152882" w:rsidRPr="00057ED8" w:rsidRDefault="00152882" w:rsidP="00F768D9">
      <w:pPr>
        <w:rPr>
          <w:sz w:val="17"/>
          <w:szCs w:val="17"/>
        </w:rPr>
      </w:pPr>
    </w:p>
    <w:tbl>
      <w:tblPr>
        <w:tblStyle w:val="Mriekatabuky"/>
        <w:tblW w:w="0" w:type="auto"/>
        <w:tblLook w:val="04A0" w:firstRow="1" w:lastRow="0" w:firstColumn="1" w:lastColumn="0" w:noHBand="0" w:noVBand="1"/>
      </w:tblPr>
      <w:tblGrid>
        <w:gridCol w:w="9521"/>
      </w:tblGrid>
      <w:tr w:rsidR="00920235" w:rsidRPr="00057ED8" w14:paraId="6D797454" w14:textId="77777777" w:rsidTr="00C61B54">
        <w:trPr>
          <w:trHeight w:val="1625"/>
        </w:trPr>
        <w:tc>
          <w:tcPr>
            <w:tcW w:w="9521" w:type="dxa"/>
          </w:tcPr>
          <w:p w14:paraId="69E11D43" w14:textId="77777777" w:rsidR="006240E8" w:rsidRPr="00057ED8" w:rsidRDefault="006240E8" w:rsidP="00812D6D">
            <w:pPr>
              <w:pStyle w:val="Odsekzoznamu"/>
              <w:numPr>
                <w:ilvl w:val="0"/>
                <w:numId w:val="36"/>
              </w:numPr>
              <w:rPr>
                <w:szCs w:val="17"/>
                <w:lang w:val="en-GB"/>
              </w:rPr>
            </w:pPr>
            <w:r w:rsidRPr="00057ED8">
              <w:rPr>
                <w:szCs w:val="17"/>
                <w:lang w:val="en-GB"/>
              </w:rPr>
              <w:t xml:space="preserve">Broadly agree / broadly disagree / </w:t>
            </w:r>
            <w:r w:rsidRPr="00057ED8">
              <w:rPr>
                <w:szCs w:val="17"/>
                <w:highlight w:val="cyan"/>
                <w:lang w:val="en-GB"/>
              </w:rPr>
              <w:t>other</w:t>
            </w:r>
          </w:p>
          <w:p w14:paraId="706C0AD2" w14:textId="43680ED7" w:rsidR="00E4564B" w:rsidRPr="00057ED8" w:rsidRDefault="00BC45F4" w:rsidP="00E4564B">
            <w:pPr>
              <w:pStyle w:val="Odsekzoznamu"/>
              <w:ind w:left="720" w:firstLine="0"/>
              <w:rPr>
                <w:szCs w:val="17"/>
                <w:lang w:val="en-GB"/>
              </w:rPr>
            </w:pPr>
            <w:r>
              <w:rPr>
                <w:szCs w:val="17"/>
                <w:lang w:val="en-GB"/>
              </w:rPr>
              <w:t>Insurance Europ</w:t>
            </w:r>
            <w:r w:rsidR="00E4564B" w:rsidRPr="00057ED8">
              <w:rPr>
                <w:szCs w:val="17"/>
                <w:lang w:val="en-GB"/>
              </w:rPr>
              <w:t>e agree</w:t>
            </w:r>
            <w:r>
              <w:rPr>
                <w:szCs w:val="17"/>
                <w:lang w:val="en-GB"/>
              </w:rPr>
              <w:t>s</w:t>
            </w:r>
            <w:r w:rsidR="00E4564B" w:rsidRPr="00057ED8">
              <w:rPr>
                <w:szCs w:val="17"/>
                <w:lang w:val="en-GB"/>
              </w:rPr>
              <w:t xml:space="preserve"> that materiality should be an entity-specific assessment and should rely on entity’s judgement. Yet, to make such </w:t>
            </w:r>
            <w:r w:rsidR="002716A3">
              <w:rPr>
                <w:szCs w:val="17"/>
                <w:lang w:val="en-GB"/>
              </w:rPr>
              <w:t xml:space="preserve">an </w:t>
            </w:r>
            <w:r w:rsidR="00E4564B" w:rsidRPr="00057ED8">
              <w:rPr>
                <w:szCs w:val="17"/>
                <w:lang w:val="en-GB"/>
              </w:rPr>
              <w:t xml:space="preserve">assessment clear, transparent and available for primary users, the IFRS SDSs should require the publication of a materiality matrix as </w:t>
            </w:r>
            <w:r w:rsidR="00B93FB8">
              <w:rPr>
                <w:szCs w:val="17"/>
                <w:lang w:val="en-GB"/>
              </w:rPr>
              <w:t>is</w:t>
            </w:r>
            <w:r w:rsidR="005551A2">
              <w:rPr>
                <w:szCs w:val="17"/>
                <w:lang w:val="en-GB"/>
              </w:rPr>
              <w:t xml:space="preserve"> </w:t>
            </w:r>
            <w:r w:rsidR="00E4564B" w:rsidRPr="00057ED8">
              <w:rPr>
                <w:szCs w:val="17"/>
                <w:lang w:val="en-GB"/>
              </w:rPr>
              <w:t xml:space="preserve">currently done by most entities reporting on sustainability issues. Such </w:t>
            </w:r>
            <w:r w:rsidR="005551A2">
              <w:rPr>
                <w:szCs w:val="17"/>
                <w:lang w:val="en-GB"/>
              </w:rPr>
              <w:t xml:space="preserve">a </w:t>
            </w:r>
            <w:r w:rsidR="00E4564B" w:rsidRPr="00057ED8">
              <w:rPr>
                <w:szCs w:val="17"/>
                <w:lang w:val="en-GB"/>
              </w:rPr>
              <w:t>matrix is central to provid</w:t>
            </w:r>
            <w:r w:rsidR="00E979E2">
              <w:rPr>
                <w:szCs w:val="17"/>
                <w:lang w:val="en-GB"/>
              </w:rPr>
              <w:t>ing</w:t>
            </w:r>
            <w:r w:rsidR="00E4564B" w:rsidRPr="00057ED8">
              <w:rPr>
                <w:szCs w:val="17"/>
                <w:lang w:val="en-GB"/>
              </w:rPr>
              <w:t xml:space="preserve"> a better understanding of how entities are identifying and assessing sustainability risks and opportunities.</w:t>
            </w:r>
          </w:p>
          <w:p w14:paraId="6D8D1971" w14:textId="2A31610B" w:rsidR="00A50DFF" w:rsidRPr="00057ED8" w:rsidRDefault="00630267" w:rsidP="00A50DFF">
            <w:pPr>
              <w:pStyle w:val="Odsekzoznamu"/>
              <w:ind w:left="720" w:firstLine="0"/>
              <w:rPr>
                <w:szCs w:val="17"/>
                <w:lang w:val="en-GB"/>
              </w:rPr>
            </w:pPr>
            <w:r w:rsidRPr="00057ED8">
              <w:rPr>
                <w:szCs w:val="17"/>
                <w:lang w:val="en-GB"/>
              </w:rPr>
              <w:t>Furthermore, i</w:t>
            </w:r>
            <w:r w:rsidR="00A50DFF" w:rsidRPr="00057ED8">
              <w:rPr>
                <w:szCs w:val="17"/>
                <w:lang w:val="en-GB"/>
              </w:rPr>
              <w:t>t</w:t>
            </w:r>
            <w:r w:rsidR="009F3F33" w:rsidRPr="00057ED8">
              <w:rPr>
                <w:szCs w:val="17"/>
                <w:lang w:val="en-GB"/>
              </w:rPr>
              <w:t xml:space="preserve"> is</w:t>
            </w:r>
            <w:r w:rsidR="00A50DFF" w:rsidRPr="00057ED8">
              <w:rPr>
                <w:szCs w:val="17"/>
                <w:lang w:val="en-GB"/>
              </w:rPr>
              <w:t xml:space="preserve"> essential that the ISSB’s materiality concept is generally broadly defined, </w:t>
            </w:r>
            <w:proofErr w:type="spellStart"/>
            <w:r w:rsidR="00A50DFF" w:rsidRPr="00057ED8">
              <w:rPr>
                <w:szCs w:val="17"/>
                <w:lang w:val="en-GB"/>
              </w:rPr>
              <w:t>ie</w:t>
            </w:r>
            <w:proofErr w:type="spellEnd"/>
            <w:r w:rsidR="00A50DFF" w:rsidRPr="00057ED8">
              <w:rPr>
                <w:szCs w:val="17"/>
                <w:lang w:val="en-GB"/>
              </w:rPr>
              <w:t xml:space="preserve">, with the aim </w:t>
            </w:r>
            <w:r w:rsidR="003B3850">
              <w:rPr>
                <w:szCs w:val="17"/>
                <w:lang w:val="en-GB"/>
              </w:rPr>
              <w:t>of</w:t>
            </w:r>
            <w:r w:rsidR="003B3850" w:rsidRPr="00057ED8">
              <w:rPr>
                <w:szCs w:val="17"/>
                <w:lang w:val="en-GB"/>
              </w:rPr>
              <w:t xml:space="preserve"> </w:t>
            </w:r>
            <w:r w:rsidR="00A50DFF" w:rsidRPr="00057ED8">
              <w:rPr>
                <w:szCs w:val="17"/>
                <w:lang w:val="en-GB"/>
              </w:rPr>
              <w:t>captur</w:t>
            </w:r>
            <w:r w:rsidR="003B3850">
              <w:rPr>
                <w:szCs w:val="17"/>
                <w:lang w:val="en-GB"/>
              </w:rPr>
              <w:t>ing</w:t>
            </w:r>
            <w:r w:rsidR="00A50DFF" w:rsidRPr="00057ED8">
              <w:rPr>
                <w:szCs w:val="17"/>
                <w:lang w:val="en-GB"/>
              </w:rPr>
              <w:t xml:space="preserve"> investors’ information demands in their entirety, which is not currently sufficiently clear. </w:t>
            </w:r>
          </w:p>
          <w:p w14:paraId="5D663382" w14:textId="599DA8A5" w:rsidR="00512713" w:rsidRDefault="00322427" w:rsidP="00512713">
            <w:pPr>
              <w:pStyle w:val="Odsekzoznamu"/>
              <w:ind w:left="720" w:firstLine="0"/>
              <w:rPr>
                <w:szCs w:val="17"/>
              </w:rPr>
            </w:pPr>
            <w:r w:rsidRPr="00057ED8">
              <w:rPr>
                <w:szCs w:val="17"/>
                <w:lang w:val="en-GB"/>
              </w:rPr>
              <w:t>T</w:t>
            </w:r>
            <w:r w:rsidR="00541D8A" w:rsidRPr="00057ED8">
              <w:rPr>
                <w:szCs w:val="17"/>
                <w:lang w:val="en-GB"/>
              </w:rPr>
              <w:t xml:space="preserve">o make the intended </w:t>
            </w:r>
            <w:r w:rsidR="008E508F" w:rsidRPr="00057ED8">
              <w:rPr>
                <w:szCs w:val="17"/>
                <w:lang w:val="en-GB"/>
              </w:rPr>
              <w:t>materiality</w:t>
            </w:r>
            <w:r w:rsidR="00541D8A" w:rsidRPr="00057ED8">
              <w:rPr>
                <w:szCs w:val="17"/>
                <w:lang w:val="en-GB"/>
              </w:rPr>
              <w:t xml:space="preserve"> concept </w:t>
            </w:r>
            <w:r w:rsidR="00C84408" w:rsidRPr="00057ED8">
              <w:rPr>
                <w:szCs w:val="17"/>
                <w:lang w:val="en-GB"/>
              </w:rPr>
              <w:t>clearer</w:t>
            </w:r>
            <w:r w:rsidR="00541D8A" w:rsidRPr="00057ED8">
              <w:rPr>
                <w:szCs w:val="17"/>
                <w:lang w:val="en-GB"/>
              </w:rPr>
              <w:t xml:space="preserve">, </w:t>
            </w:r>
            <w:r w:rsidR="005E333D">
              <w:rPr>
                <w:szCs w:val="17"/>
                <w:lang w:val="en-GB"/>
              </w:rPr>
              <w:t>Insurance Europ</w:t>
            </w:r>
            <w:r w:rsidR="00541D8A" w:rsidRPr="00057ED8">
              <w:rPr>
                <w:szCs w:val="17"/>
                <w:lang w:val="en-GB"/>
              </w:rPr>
              <w:t xml:space="preserve">e would </w:t>
            </w:r>
            <w:r w:rsidR="00E4564B" w:rsidRPr="00057ED8">
              <w:rPr>
                <w:szCs w:val="17"/>
                <w:lang w:val="en-GB"/>
              </w:rPr>
              <w:t xml:space="preserve">also </w:t>
            </w:r>
            <w:r w:rsidR="00541D8A" w:rsidRPr="00057ED8">
              <w:rPr>
                <w:szCs w:val="17"/>
                <w:lang w:val="en-GB"/>
              </w:rPr>
              <w:t xml:space="preserve">strongly suggest that the ISSB adds </w:t>
            </w:r>
            <w:r w:rsidR="005E333D">
              <w:rPr>
                <w:szCs w:val="17"/>
                <w:lang w:val="en-GB"/>
              </w:rPr>
              <w:t>“</w:t>
            </w:r>
            <w:r w:rsidR="00541D8A" w:rsidRPr="00057ED8">
              <w:rPr>
                <w:szCs w:val="17"/>
                <w:lang w:val="en-GB"/>
              </w:rPr>
              <w:t>negative examples</w:t>
            </w:r>
            <w:r w:rsidR="0053575B">
              <w:rPr>
                <w:szCs w:val="17"/>
                <w:lang w:val="en-GB"/>
              </w:rPr>
              <w:t>”</w:t>
            </w:r>
            <w:r w:rsidR="00541D8A" w:rsidRPr="00057ED8">
              <w:rPr>
                <w:szCs w:val="17"/>
                <w:lang w:val="en-GB"/>
              </w:rPr>
              <w:t>, namely examples of impacts on the planet and people (</w:t>
            </w:r>
            <w:r w:rsidR="0046065B">
              <w:rPr>
                <w:szCs w:val="17"/>
                <w:lang w:val="en-GB"/>
              </w:rPr>
              <w:t>“</w:t>
            </w:r>
            <w:r w:rsidR="00541D8A" w:rsidRPr="00057ED8">
              <w:rPr>
                <w:szCs w:val="17"/>
                <w:lang w:val="en-GB"/>
              </w:rPr>
              <w:t>inside-out view</w:t>
            </w:r>
            <w:r w:rsidR="0046065B">
              <w:rPr>
                <w:szCs w:val="17"/>
                <w:lang w:val="en-GB"/>
              </w:rPr>
              <w:t>”</w:t>
            </w:r>
            <w:r w:rsidR="00541D8A" w:rsidRPr="00057ED8">
              <w:rPr>
                <w:szCs w:val="17"/>
                <w:lang w:val="en-GB"/>
              </w:rPr>
              <w:t>) that would not be deemed material by the ISSB</w:t>
            </w:r>
            <w:r w:rsidR="00296049">
              <w:rPr>
                <w:szCs w:val="17"/>
                <w:lang w:val="en-GB"/>
              </w:rPr>
              <w:t>, including the rationale as to why the ISSB does not consider them material from an investor’s perspective</w:t>
            </w:r>
            <w:r w:rsidR="00541D8A" w:rsidRPr="00057ED8">
              <w:rPr>
                <w:szCs w:val="17"/>
                <w:lang w:val="en-GB"/>
              </w:rPr>
              <w:t xml:space="preserve">. Otherwise, </w:t>
            </w:r>
            <w:r w:rsidR="00C93F6B">
              <w:rPr>
                <w:szCs w:val="17"/>
                <w:lang w:val="en-GB"/>
              </w:rPr>
              <w:t>Insuranc</w:t>
            </w:r>
            <w:r w:rsidR="00541D8A" w:rsidRPr="00057ED8">
              <w:rPr>
                <w:szCs w:val="17"/>
                <w:lang w:val="en-GB"/>
              </w:rPr>
              <w:t xml:space="preserve">e </w:t>
            </w:r>
            <w:r w:rsidR="00C93F6B">
              <w:rPr>
                <w:szCs w:val="17"/>
                <w:lang w:val="en-GB"/>
              </w:rPr>
              <w:t xml:space="preserve">Europe </w:t>
            </w:r>
            <w:r w:rsidR="00541D8A" w:rsidRPr="00057ED8">
              <w:rPr>
                <w:szCs w:val="17"/>
                <w:lang w:val="en-GB"/>
              </w:rPr>
              <w:t>believe</w:t>
            </w:r>
            <w:r w:rsidR="00C93F6B">
              <w:rPr>
                <w:szCs w:val="17"/>
                <w:lang w:val="en-GB"/>
              </w:rPr>
              <w:t>s</w:t>
            </w:r>
            <w:r w:rsidR="00541D8A" w:rsidRPr="00057ED8">
              <w:rPr>
                <w:szCs w:val="17"/>
                <w:lang w:val="en-GB"/>
              </w:rPr>
              <w:t xml:space="preserve"> there is a high risk of inconsistent application, and the decisions will require significant judgment. Besides concrete examples, potentially, a corresponding Practice Statement could be developed for this, similar to the one on financial materiality, or the existing Practice Statement could be expanded to include sustainability aspects. Another solution to further specify the intended outcome and enable consistent application within a specific sector or across sectors would be to require reporting on the process to follow to identify material sustainability-related financial information in relation to enterprise value.</w:t>
            </w:r>
          </w:p>
          <w:p w14:paraId="309D4719" w14:textId="4179CA90" w:rsidR="00512713" w:rsidRPr="00BA0302" w:rsidRDefault="00512713" w:rsidP="00512713">
            <w:pPr>
              <w:pStyle w:val="Odsekzoznamu"/>
              <w:ind w:left="720" w:firstLine="0"/>
              <w:rPr>
                <w:szCs w:val="17"/>
                <w:lang w:val="en-GB"/>
              </w:rPr>
            </w:pPr>
            <w:r w:rsidRPr="00574087">
              <w:rPr>
                <w:szCs w:val="17"/>
              </w:rPr>
              <w:t>Further</w:t>
            </w:r>
            <w:r w:rsidR="00FF3C98">
              <w:rPr>
                <w:szCs w:val="17"/>
              </w:rPr>
              <w:t>more</w:t>
            </w:r>
            <w:r w:rsidRPr="00574087">
              <w:rPr>
                <w:szCs w:val="17"/>
              </w:rPr>
              <w:t>, regarding definitions</w:t>
            </w:r>
            <w:r>
              <w:rPr>
                <w:szCs w:val="17"/>
              </w:rPr>
              <w:t>,</w:t>
            </w:r>
            <w:r w:rsidRPr="00574087">
              <w:rPr>
                <w:szCs w:val="17"/>
              </w:rPr>
              <w:t xml:space="preserve"> it might also be worthwhile for the ISSB to define </w:t>
            </w:r>
            <w:r>
              <w:rPr>
                <w:szCs w:val="17"/>
              </w:rPr>
              <w:t>“</w:t>
            </w:r>
            <w:r w:rsidRPr="00574087">
              <w:rPr>
                <w:szCs w:val="17"/>
              </w:rPr>
              <w:t>significant</w:t>
            </w:r>
            <w:r w:rsidR="00B2492C">
              <w:rPr>
                <w:szCs w:val="17"/>
              </w:rPr>
              <w:t>”</w:t>
            </w:r>
            <w:r w:rsidRPr="00574087">
              <w:rPr>
                <w:szCs w:val="17"/>
              </w:rPr>
              <w:t xml:space="preserve"> when speaking of </w:t>
            </w:r>
            <w:r>
              <w:rPr>
                <w:szCs w:val="17"/>
              </w:rPr>
              <w:t>“</w:t>
            </w:r>
            <w:r w:rsidRPr="00574087">
              <w:rPr>
                <w:szCs w:val="17"/>
              </w:rPr>
              <w:t>significant” risks and opportunities and to explain the difference between significant and material. As currently drafted, the impression could be that “significant” is an additional layer of materiality that would lead to a limited set of disclosures (</w:t>
            </w:r>
            <w:proofErr w:type="spellStart"/>
            <w:r w:rsidRPr="00574087">
              <w:rPr>
                <w:szCs w:val="17"/>
              </w:rPr>
              <w:t>ie</w:t>
            </w:r>
            <w:proofErr w:type="spellEnd"/>
            <w:r w:rsidRPr="00574087">
              <w:rPr>
                <w:szCs w:val="17"/>
              </w:rPr>
              <w:t xml:space="preserve">. </w:t>
            </w:r>
            <w:r w:rsidRPr="00BA0302">
              <w:rPr>
                <w:szCs w:val="17"/>
                <w:lang w:val="en-GB"/>
              </w:rPr>
              <w:t xml:space="preserve">rather than disclosure of all material information) which </w:t>
            </w:r>
            <w:r w:rsidR="00C25FF3" w:rsidRPr="00C25FF3">
              <w:rPr>
                <w:szCs w:val="17"/>
                <w:lang w:val="en-GB"/>
              </w:rPr>
              <w:t>—</w:t>
            </w:r>
            <w:r w:rsidRPr="00BA0302">
              <w:rPr>
                <w:szCs w:val="17"/>
                <w:lang w:val="en-GB"/>
              </w:rPr>
              <w:t xml:space="preserve"> from a user perspective </w:t>
            </w:r>
            <w:proofErr w:type="gramStart"/>
            <w:r w:rsidR="00C25FF3" w:rsidRPr="00C25FF3">
              <w:rPr>
                <w:szCs w:val="17"/>
                <w:lang w:val="en-GB"/>
              </w:rPr>
              <w:t xml:space="preserve">— </w:t>
            </w:r>
            <w:r w:rsidRPr="00BA0302">
              <w:rPr>
                <w:szCs w:val="17"/>
                <w:lang w:val="en-GB"/>
              </w:rPr>
              <w:t xml:space="preserve"> cannot</w:t>
            </w:r>
            <w:proofErr w:type="gramEnd"/>
            <w:r w:rsidRPr="00BA0302">
              <w:rPr>
                <w:szCs w:val="17"/>
                <w:lang w:val="en-GB"/>
              </w:rPr>
              <w:t xml:space="preserve"> be supported. Also, further guidance on the definition of enterprise value (</w:t>
            </w:r>
            <w:proofErr w:type="spellStart"/>
            <w:r w:rsidRPr="00BA0302">
              <w:rPr>
                <w:szCs w:val="17"/>
                <w:lang w:val="en-GB"/>
              </w:rPr>
              <w:t>eg</w:t>
            </w:r>
            <w:proofErr w:type="spellEnd"/>
            <w:r w:rsidR="00601DFE">
              <w:rPr>
                <w:szCs w:val="17"/>
                <w:lang w:val="en-GB"/>
              </w:rPr>
              <w:t>,</w:t>
            </w:r>
            <w:r w:rsidRPr="00BA0302">
              <w:rPr>
                <w:szCs w:val="17"/>
                <w:lang w:val="en-GB"/>
              </w:rPr>
              <w:t xml:space="preserve"> role of possible monetari</w:t>
            </w:r>
            <w:r w:rsidR="00EB2F52" w:rsidRPr="00BA0302">
              <w:rPr>
                <w:szCs w:val="17"/>
                <w:lang w:val="en-GB"/>
              </w:rPr>
              <w:t>s</w:t>
            </w:r>
            <w:r w:rsidRPr="00BA0302">
              <w:rPr>
                <w:szCs w:val="17"/>
                <w:lang w:val="en-GB"/>
              </w:rPr>
              <w:t>ation) might be valuable.</w:t>
            </w:r>
          </w:p>
          <w:p w14:paraId="1CBD5E4E" w14:textId="77777777" w:rsidR="00512713" w:rsidRPr="00485C85" w:rsidRDefault="00512713" w:rsidP="00512713">
            <w:pPr>
              <w:pStyle w:val="Odsekzoznamu"/>
              <w:ind w:left="720" w:firstLine="0"/>
              <w:rPr>
                <w:szCs w:val="17"/>
              </w:rPr>
            </w:pPr>
            <w:r w:rsidRPr="00BA0302">
              <w:rPr>
                <w:szCs w:val="17"/>
                <w:lang w:val="en-GB"/>
              </w:rPr>
              <w:t>Another aspect that could be clarified is the link between the materiality concept and the requirement to cover the short-, medium- and long-term</w:t>
            </w:r>
            <w:r w:rsidRPr="00574087">
              <w:rPr>
                <w:szCs w:val="17"/>
              </w:rPr>
              <w:t xml:space="preserve"> time horizon. This could ensure that a dynamic materiality perspective is used, requiring the disclosure of at least all inside-out impacts that may elicit material second-tier effects on enterprise value in the future (which would ensure a broad view).</w:t>
            </w:r>
          </w:p>
          <w:p w14:paraId="7C2F8047" w14:textId="024ED9C0" w:rsidR="00072AB6" w:rsidRPr="00AB3A48" w:rsidRDefault="00072AB6" w:rsidP="00197208">
            <w:pPr>
              <w:rPr>
                <w:szCs w:val="17"/>
              </w:rPr>
            </w:pPr>
          </w:p>
          <w:p w14:paraId="5C47170C" w14:textId="73EBEFA7" w:rsidR="00A53224" w:rsidRPr="00057ED8" w:rsidRDefault="006240E8" w:rsidP="00812D6D">
            <w:pPr>
              <w:pStyle w:val="Odsekzoznamu"/>
              <w:numPr>
                <w:ilvl w:val="0"/>
                <w:numId w:val="36"/>
              </w:numPr>
              <w:rPr>
                <w:szCs w:val="17"/>
                <w:lang w:val="en-GB"/>
              </w:rPr>
            </w:pPr>
            <w:r w:rsidRPr="00057ED8">
              <w:rPr>
                <w:szCs w:val="17"/>
                <w:lang w:val="en-GB"/>
              </w:rPr>
              <w:t xml:space="preserve">Broadly agree / </w:t>
            </w:r>
            <w:r w:rsidRPr="00057ED8">
              <w:rPr>
                <w:szCs w:val="17"/>
                <w:highlight w:val="cyan"/>
                <w:lang w:val="en-GB"/>
              </w:rPr>
              <w:t>broadly disagree</w:t>
            </w:r>
            <w:r w:rsidRPr="00057ED8">
              <w:rPr>
                <w:szCs w:val="17"/>
                <w:lang w:val="en-GB"/>
              </w:rPr>
              <w:t xml:space="preserve"> / other</w:t>
            </w:r>
          </w:p>
          <w:p w14:paraId="35FB3D6F" w14:textId="785CC85B" w:rsidR="00A53224" w:rsidRPr="00057ED8" w:rsidRDefault="001C6FAA" w:rsidP="009779ED">
            <w:pPr>
              <w:pStyle w:val="Odsekzoznamu"/>
              <w:ind w:left="720" w:firstLine="0"/>
              <w:rPr>
                <w:szCs w:val="17"/>
                <w:lang w:val="en-GB"/>
              </w:rPr>
            </w:pPr>
            <w:r>
              <w:rPr>
                <w:szCs w:val="17"/>
                <w:lang w:val="en-GB"/>
              </w:rPr>
              <w:t>Insurance Europ</w:t>
            </w:r>
            <w:r w:rsidR="00A53224" w:rsidRPr="00057ED8">
              <w:rPr>
                <w:szCs w:val="17"/>
                <w:lang w:val="en-GB"/>
              </w:rPr>
              <w:t>e welcome</w:t>
            </w:r>
            <w:r>
              <w:rPr>
                <w:szCs w:val="17"/>
                <w:lang w:val="en-GB"/>
              </w:rPr>
              <w:t>s the fact</w:t>
            </w:r>
            <w:r w:rsidR="00A53224" w:rsidRPr="00057ED8">
              <w:rPr>
                <w:szCs w:val="17"/>
                <w:lang w:val="en-GB"/>
              </w:rPr>
              <w:t xml:space="preserve"> that:</w:t>
            </w:r>
          </w:p>
          <w:p w14:paraId="6D714663" w14:textId="1A7F474B" w:rsidR="00A53224" w:rsidRPr="00057ED8" w:rsidRDefault="002201A6" w:rsidP="009779ED">
            <w:pPr>
              <w:pStyle w:val="CEABullet-Level1"/>
              <w:numPr>
                <w:ilvl w:val="1"/>
                <w:numId w:val="1"/>
              </w:numPr>
              <w:spacing w:line="240" w:lineRule="auto"/>
              <w:ind w:right="1050"/>
            </w:pPr>
            <w:r>
              <w:t>M</w:t>
            </w:r>
            <w:r w:rsidR="00A53224" w:rsidRPr="00057ED8">
              <w:t>ateriality is an entity-specific assessment. It is the responsibility of the entities to identify and disclose their own material sustainability-related financial information (para. 58-59)</w:t>
            </w:r>
            <w:r>
              <w:t>.</w:t>
            </w:r>
          </w:p>
          <w:p w14:paraId="34ABE1F1" w14:textId="3FC5EF04" w:rsidR="00A53224" w:rsidRPr="00057ED8" w:rsidRDefault="002201A6" w:rsidP="009779ED">
            <w:pPr>
              <w:pStyle w:val="CEABullet-Level1"/>
              <w:numPr>
                <w:ilvl w:val="1"/>
                <w:numId w:val="1"/>
              </w:numPr>
              <w:spacing w:line="240" w:lineRule="auto"/>
              <w:ind w:right="1050"/>
            </w:pPr>
            <w:r>
              <w:lastRenderedPageBreak/>
              <w:t>E</w:t>
            </w:r>
            <w:r w:rsidR="00A53224" w:rsidRPr="00057ED8">
              <w:t>ntities are not required to</w:t>
            </w:r>
            <w:r w:rsidR="009C3BB1" w:rsidRPr="00057ED8">
              <w:t xml:space="preserve"> provide</w:t>
            </w:r>
            <w:r w:rsidR="00A53224" w:rsidRPr="00057ED8">
              <w:t xml:space="preserve"> information that is not material, including regarding IFRS </w:t>
            </w:r>
            <w:r>
              <w:t>SDS</w:t>
            </w:r>
            <w:r w:rsidR="00A53224" w:rsidRPr="00057ED8">
              <w:t xml:space="preserve"> specific requirements (para. 60), allowing for a limitation of data overload</w:t>
            </w:r>
            <w:r>
              <w:t>.</w:t>
            </w:r>
          </w:p>
          <w:p w14:paraId="3DA3C6DF" w14:textId="276F44F2" w:rsidR="00F85993" w:rsidRPr="00057ED8" w:rsidRDefault="002201A6" w:rsidP="009779ED">
            <w:pPr>
              <w:pStyle w:val="CEABullet-Level1"/>
              <w:numPr>
                <w:ilvl w:val="1"/>
                <w:numId w:val="1"/>
              </w:numPr>
              <w:spacing w:line="240" w:lineRule="auto"/>
              <w:ind w:right="1050"/>
            </w:pPr>
            <w:r>
              <w:t>T</w:t>
            </w:r>
            <w:r w:rsidR="00F85993" w:rsidRPr="00057ED8">
              <w:t>he materiality concept is aligned as much as possible with the materiality concept under IFRS</w:t>
            </w:r>
            <w:r>
              <w:t>.</w:t>
            </w:r>
          </w:p>
          <w:p w14:paraId="604638F9" w14:textId="17089A29" w:rsidR="00F85993" w:rsidRPr="00057ED8" w:rsidRDefault="002201A6" w:rsidP="009779ED">
            <w:pPr>
              <w:pStyle w:val="CEABullet-Level1"/>
              <w:numPr>
                <w:ilvl w:val="1"/>
                <w:numId w:val="1"/>
              </w:numPr>
              <w:spacing w:line="240" w:lineRule="auto"/>
              <w:ind w:right="1050"/>
            </w:pPr>
            <w:r>
              <w:t>I</w:t>
            </w:r>
            <w:r w:rsidR="00F85993" w:rsidRPr="00057ED8">
              <w:t>t is clarified that information that could be relevant to the assessment of enterprise value, is broader than information reported in the financial statements</w:t>
            </w:r>
            <w:r w:rsidR="009F1E2F" w:rsidRPr="00057ED8">
              <w:t xml:space="preserve"> and that </w:t>
            </w:r>
            <w:r w:rsidR="00F85993" w:rsidRPr="00057ED8">
              <w:t>this includes information about a company’s impacts and dependencies on people, the planet and the economy when relevant to the assessment of the company</w:t>
            </w:r>
            <w:r w:rsidR="00942849">
              <w:t>’</w:t>
            </w:r>
            <w:r w:rsidR="00F85993" w:rsidRPr="00057ED8">
              <w:t>s enterprise value.</w:t>
            </w:r>
          </w:p>
          <w:p w14:paraId="7C4542D3" w14:textId="77777777" w:rsidR="00AB54D7" w:rsidRDefault="00AB54D7" w:rsidP="00AB3A48">
            <w:pPr>
              <w:pStyle w:val="CEABullet-Level1"/>
              <w:numPr>
                <w:ilvl w:val="0"/>
                <w:numId w:val="0"/>
              </w:numPr>
              <w:spacing w:line="240" w:lineRule="auto"/>
              <w:ind w:left="742" w:right="1050"/>
            </w:pPr>
          </w:p>
          <w:p w14:paraId="70A1ED9E" w14:textId="67498EE4" w:rsidR="00AB3A48" w:rsidRDefault="00AB3A48" w:rsidP="00A04BA6">
            <w:pPr>
              <w:pStyle w:val="CEABullet-Level1"/>
              <w:numPr>
                <w:ilvl w:val="0"/>
                <w:numId w:val="0"/>
              </w:numPr>
              <w:spacing w:line="240" w:lineRule="auto"/>
              <w:ind w:left="742" w:right="1050"/>
            </w:pPr>
            <w:r>
              <w:t xml:space="preserve">However, as stated in response to Q3, </w:t>
            </w:r>
            <w:r w:rsidR="00AB54D7">
              <w:t>while</w:t>
            </w:r>
            <w:r>
              <w:t xml:space="preserve"> focussing on investors’ needs, the ISSB should consider the investors’ information demands in their entirety. </w:t>
            </w:r>
            <w:r w:rsidR="00BF2C3D">
              <w:t>T</w:t>
            </w:r>
            <w:r>
              <w:t>his goes beyond the outside-in view</w:t>
            </w:r>
            <w:r w:rsidR="0036645B">
              <w:t>,</w:t>
            </w:r>
            <w:r>
              <w:t xml:space="preserve"> as investors are </w:t>
            </w:r>
            <w:r w:rsidR="00074252">
              <w:t xml:space="preserve">already </w:t>
            </w:r>
            <w:r>
              <w:t xml:space="preserve">interested in many inside-out impacts </w:t>
            </w:r>
            <w:r w:rsidR="00862EEA">
              <w:t>and</w:t>
            </w:r>
            <w:r>
              <w:t xml:space="preserve"> </w:t>
            </w:r>
            <w:r w:rsidR="00616AC4">
              <w:t xml:space="preserve">are </w:t>
            </w:r>
            <w:r>
              <w:t xml:space="preserve">likely </w:t>
            </w:r>
            <w:r w:rsidR="00616AC4">
              <w:t xml:space="preserve">to be </w:t>
            </w:r>
            <w:r>
              <w:t>even more so in the future.</w:t>
            </w:r>
          </w:p>
          <w:p w14:paraId="21181683" w14:textId="276805A2" w:rsidR="00A53224" w:rsidRPr="00057ED8" w:rsidRDefault="002D2E97" w:rsidP="009779ED">
            <w:pPr>
              <w:pStyle w:val="Odsekzoznamu"/>
              <w:ind w:left="720" w:firstLine="0"/>
              <w:rPr>
                <w:szCs w:val="17"/>
                <w:lang w:val="en-GB"/>
              </w:rPr>
            </w:pPr>
            <w:r>
              <w:t>Here</w:t>
            </w:r>
            <w:r w:rsidR="00AB3A48">
              <w:t xml:space="preserve">, </w:t>
            </w:r>
            <w:r>
              <w:t>Insurance Europ</w:t>
            </w:r>
            <w:r w:rsidR="00AB3A48">
              <w:t>e welcome</w:t>
            </w:r>
            <w:r>
              <w:t>s</w:t>
            </w:r>
            <w:r w:rsidR="00AB3A48">
              <w:t xml:space="preserve"> the ongoing close cooperation between the ISSB and </w:t>
            </w:r>
            <w:r w:rsidR="00C51F54">
              <w:t xml:space="preserve">the </w:t>
            </w:r>
            <w:r w:rsidR="00AB3A48">
              <w:t xml:space="preserve">GRI as this could be a valuable way to achieve a building blocks approach </w:t>
            </w:r>
            <w:r>
              <w:t xml:space="preserve">in which </w:t>
            </w:r>
            <w:r w:rsidR="00AB3A48">
              <w:t>the ISSB covers investors</w:t>
            </w:r>
            <w:r w:rsidR="00A04BA6">
              <w:t>’</w:t>
            </w:r>
            <w:r w:rsidR="00AB3A48">
              <w:t xml:space="preserve"> information demands (at best in their entirety, as outlined above) while </w:t>
            </w:r>
            <w:r w:rsidR="00C51F54">
              <w:t xml:space="preserve">the </w:t>
            </w:r>
            <w:r w:rsidR="00AB3A48">
              <w:t xml:space="preserve">GRI covers </w:t>
            </w:r>
            <w:r w:rsidR="00571A03">
              <w:t xml:space="preserve">the </w:t>
            </w:r>
            <w:r w:rsidR="00AB3A48">
              <w:t>remaining information demands by stakeholders</w:t>
            </w:r>
            <w:r w:rsidR="0032360B">
              <w:t xml:space="preserve"> more broadly</w:t>
            </w:r>
            <w:r w:rsidR="00AB3A48">
              <w:t>.</w:t>
            </w:r>
          </w:p>
          <w:p w14:paraId="524E13E5" w14:textId="77777777" w:rsidR="006240E8" w:rsidRPr="00057ED8" w:rsidRDefault="006240E8" w:rsidP="00812D6D">
            <w:pPr>
              <w:pStyle w:val="Odsekzoznamu"/>
              <w:numPr>
                <w:ilvl w:val="0"/>
                <w:numId w:val="36"/>
              </w:numPr>
              <w:rPr>
                <w:szCs w:val="17"/>
                <w:lang w:val="en-GB"/>
              </w:rPr>
            </w:pPr>
            <w:r w:rsidRPr="00057ED8">
              <w:rPr>
                <w:szCs w:val="17"/>
                <w:lang w:val="en-GB"/>
              </w:rPr>
              <w:t xml:space="preserve">Broadly agree / broadly disagree / </w:t>
            </w:r>
            <w:r w:rsidRPr="00057ED8">
              <w:rPr>
                <w:szCs w:val="17"/>
                <w:highlight w:val="cyan"/>
                <w:lang w:val="en-GB"/>
              </w:rPr>
              <w:t>other</w:t>
            </w:r>
          </w:p>
          <w:p w14:paraId="52D976B5" w14:textId="6C998055" w:rsidR="009138A2" w:rsidRPr="00057ED8" w:rsidRDefault="009779ED" w:rsidP="009138A2">
            <w:pPr>
              <w:pStyle w:val="Odsekzoznamu"/>
              <w:ind w:left="720" w:firstLine="0"/>
              <w:rPr>
                <w:szCs w:val="17"/>
                <w:lang w:val="en-GB"/>
              </w:rPr>
            </w:pPr>
            <w:r w:rsidRPr="00057ED8">
              <w:rPr>
                <w:szCs w:val="17"/>
                <w:lang w:val="en-GB"/>
              </w:rPr>
              <w:t>Generally, the Exposure Draft and related Illustrative Guidance are useful for identifying material sustainability-related financial information.</w:t>
            </w:r>
            <w:r w:rsidR="004B0CDA" w:rsidRPr="00057ED8">
              <w:rPr>
                <w:szCs w:val="17"/>
                <w:lang w:val="en-GB"/>
              </w:rPr>
              <w:t xml:space="preserve"> However, they would be even more useful if concrete examples were added (see </w:t>
            </w:r>
            <w:r w:rsidR="0032360B">
              <w:rPr>
                <w:szCs w:val="17"/>
                <w:lang w:val="en-GB"/>
              </w:rPr>
              <w:t>the</w:t>
            </w:r>
            <w:r w:rsidR="0032360B" w:rsidRPr="00057ED8">
              <w:rPr>
                <w:szCs w:val="17"/>
                <w:lang w:val="en-GB"/>
              </w:rPr>
              <w:t xml:space="preserve"> </w:t>
            </w:r>
            <w:r w:rsidR="004B0CDA" w:rsidRPr="00057ED8">
              <w:rPr>
                <w:szCs w:val="17"/>
                <w:lang w:val="en-GB"/>
              </w:rPr>
              <w:t>answer to 8a).</w:t>
            </w:r>
            <w:r w:rsidR="009138A2" w:rsidRPr="00057ED8">
              <w:rPr>
                <w:szCs w:val="17"/>
                <w:lang w:val="en-GB"/>
              </w:rPr>
              <w:t xml:space="preserve"> Besides this, the most relevant information should be included in the standard itself. Currently there remain uncertainties, </w:t>
            </w:r>
            <w:r w:rsidR="0032360B">
              <w:rPr>
                <w:szCs w:val="17"/>
                <w:lang w:val="en-GB"/>
              </w:rPr>
              <w:t>such as</w:t>
            </w:r>
            <w:r w:rsidR="009138A2" w:rsidRPr="00057ED8">
              <w:rPr>
                <w:szCs w:val="17"/>
                <w:lang w:val="en-GB"/>
              </w:rPr>
              <w:t xml:space="preserve"> what is meant by: “This guidance accompanies, but is not part of, [draft] IFRS S1. It illustrates aspects of [draft] IFRS S1 but is not intended to provide an interpretation.” </w:t>
            </w:r>
          </w:p>
          <w:p w14:paraId="7BABEFCB" w14:textId="4D05241C" w:rsidR="009138A2" w:rsidRPr="00057ED8" w:rsidRDefault="009138A2" w:rsidP="009138A2">
            <w:pPr>
              <w:pStyle w:val="Odsekzoznamu"/>
              <w:ind w:left="720" w:firstLine="0"/>
              <w:rPr>
                <w:szCs w:val="17"/>
                <w:lang w:val="en-GB"/>
              </w:rPr>
            </w:pPr>
            <w:r w:rsidRPr="00057ED8">
              <w:rPr>
                <w:szCs w:val="17"/>
                <w:lang w:val="en-GB"/>
              </w:rPr>
              <w:t>It remains unclear where the technical protocols can be found [IG19: Each of these metrics is supported by technical protocols that provide detailed guidance on definitions, scope, accounting, compilation and disclosure]</w:t>
            </w:r>
            <w:r w:rsidR="004F6B0B">
              <w:rPr>
                <w:szCs w:val="17"/>
                <w:lang w:val="en-GB"/>
              </w:rPr>
              <w:t>.</w:t>
            </w:r>
          </w:p>
          <w:p w14:paraId="4CFF3355" w14:textId="0E1B2A1F" w:rsidR="009779ED" w:rsidRPr="00057ED8" w:rsidRDefault="009779ED" w:rsidP="009779ED">
            <w:pPr>
              <w:pStyle w:val="Odsekzoznamu"/>
              <w:ind w:left="720" w:firstLine="0"/>
              <w:rPr>
                <w:szCs w:val="17"/>
                <w:lang w:val="en-GB"/>
              </w:rPr>
            </w:pPr>
          </w:p>
          <w:p w14:paraId="6D0601A5" w14:textId="77777777" w:rsidR="006240E8" w:rsidRPr="00057ED8" w:rsidRDefault="006240E8" w:rsidP="00812D6D">
            <w:pPr>
              <w:pStyle w:val="Odsekzoznamu"/>
              <w:numPr>
                <w:ilvl w:val="0"/>
                <w:numId w:val="36"/>
              </w:numPr>
              <w:rPr>
                <w:szCs w:val="17"/>
                <w:lang w:val="en-GB"/>
              </w:rPr>
            </w:pPr>
            <w:r w:rsidRPr="00057ED8">
              <w:rPr>
                <w:szCs w:val="17"/>
                <w:highlight w:val="cyan"/>
                <w:lang w:val="en-GB"/>
              </w:rPr>
              <w:t>Broadly agree</w:t>
            </w:r>
            <w:r w:rsidRPr="00057ED8">
              <w:rPr>
                <w:szCs w:val="17"/>
                <w:lang w:val="en-GB"/>
              </w:rPr>
              <w:t xml:space="preserve"> / broadly disagree / other</w:t>
            </w:r>
          </w:p>
          <w:p w14:paraId="3EFF7D4A" w14:textId="7C5C42F5" w:rsidR="002F068B" w:rsidRPr="00057ED8" w:rsidRDefault="002F068B" w:rsidP="002F068B">
            <w:pPr>
              <w:pStyle w:val="Odsekzoznamu"/>
              <w:ind w:left="720" w:firstLine="0"/>
              <w:rPr>
                <w:szCs w:val="17"/>
                <w:lang w:val="en-GB"/>
              </w:rPr>
            </w:pPr>
            <w:r w:rsidRPr="00057ED8">
              <w:rPr>
                <w:szCs w:val="17"/>
                <w:lang w:val="en-GB"/>
              </w:rPr>
              <w:t xml:space="preserve">Yes, </w:t>
            </w:r>
            <w:r w:rsidR="004F6B0B">
              <w:rPr>
                <w:szCs w:val="17"/>
                <w:lang w:val="en-GB"/>
              </w:rPr>
              <w:t>Insurance Europ</w:t>
            </w:r>
            <w:r w:rsidRPr="00057ED8">
              <w:rPr>
                <w:szCs w:val="17"/>
                <w:lang w:val="en-GB"/>
              </w:rPr>
              <w:t>e fully agree</w:t>
            </w:r>
            <w:r w:rsidR="004F6B0B">
              <w:rPr>
                <w:szCs w:val="17"/>
                <w:lang w:val="en-GB"/>
              </w:rPr>
              <w:t>s</w:t>
            </w:r>
            <w:r w:rsidRPr="00057ED8">
              <w:rPr>
                <w:szCs w:val="17"/>
                <w:lang w:val="en-GB"/>
              </w:rPr>
              <w:t xml:space="preserve"> with this approach as it </w:t>
            </w:r>
            <w:r w:rsidR="00414551">
              <w:rPr>
                <w:szCs w:val="17"/>
                <w:lang w:val="en-GB"/>
              </w:rPr>
              <w:t>makes it possible</w:t>
            </w:r>
            <w:r w:rsidR="00414551" w:rsidRPr="00057ED8">
              <w:rPr>
                <w:szCs w:val="17"/>
                <w:lang w:val="en-GB"/>
              </w:rPr>
              <w:t xml:space="preserve"> </w:t>
            </w:r>
            <w:r w:rsidRPr="00057ED8">
              <w:rPr>
                <w:szCs w:val="17"/>
                <w:lang w:val="en-GB"/>
              </w:rPr>
              <w:t xml:space="preserve">to cover a broad range of topics and matters and to pursue an ambitious approach, without requiring different jurisdictions’ legal </w:t>
            </w:r>
            <w:r w:rsidR="004070C1">
              <w:rPr>
                <w:szCs w:val="17"/>
                <w:lang w:val="en-GB"/>
              </w:rPr>
              <w:t>characteristics</w:t>
            </w:r>
            <w:r w:rsidR="004070C1" w:rsidRPr="00057ED8">
              <w:rPr>
                <w:szCs w:val="17"/>
                <w:lang w:val="en-GB"/>
              </w:rPr>
              <w:t xml:space="preserve"> </w:t>
            </w:r>
            <w:r w:rsidRPr="00057ED8">
              <w:rPr>
                <w:szCs w:val="17"/>
                <w:lang w:val="en-GB"/>
              </w:rPr>
              <w:t>and restrictions</w:t>
            </w:r>
            <w:r w:rsidR="004070C1">
              <w:rPr>
                <w:szCs w:val="17"/>
                <w:lang w:val="en-GB"/>
              </w:rPr>
              <w:t xml:space="preserve"> to be taken into account</w:t>
            </w:r>
            <w:r w:rsidRPr="00057ED8">
              <w:rPr>
                <w:szCs w:val="17"/>
                <w:lang w:val="en-GB"/>
              </w:rPr>
              <w:t>. Also, this fits the building blocks approach and is likely to increase global relevance and acceptance.</w:t>
            </w:r>
          </w:p>
          <w:p w14:paraId="4FCFAF00" w14:textId="1E05120D" w:rsidR="00920235" w:rsidRPr="00057ED8" w:rsidRDefault="00920235" w:rsidP="003933C3">
            <w:pPr>
              <w:pStyle w:val="CEABullet-Level1"/>
              <w:numPr>
                <w:ilvl w:val="0"/>
                <w:numId w:val="0"/>
              </w:numPr>
            </w:pPr>
          </w:p>
        </w:tc>
      </w:tr>
    </w:tbl>
    <w:p w14:paraId="4596F48D" w14:textId="77777777" w:rsidR="00152882" w:rsidRPr="00057ED8" w:rsidRDefault="00152882" w:rsidP="00F768D9">
      <w:pPr>
        <w:rPr>
          <w:sz w:val="17"/>
          <w:szCs w:val="17"/>
        </w:rPr>
      </w:pPr>
    </w:p>
    <w:p w14:paraId="4B308FED" w14:textId="77777777" w:rsidR="00152882" w:rsidRPr="00057ED8" w:rsidRDefault="00152882" w:rsidP="00F768D9">
      <w:pPr>
        <w:rPr>
          <w:b/>
          <w:bCs/>
          <w:sz w:val="17"/>
          <w:szCs w:val="17"/>
        </w:rPr>
      </w:pPr>
    </w:p>
    <w:p w14:paraId="591A8DED" w14:textId="77777777" w:rsidR="007F3CE1" w:rsidRPr="00057ED8" w:rsidRDefault="007F3CE1" w:rsidP="00F768D9">
      <w:pPr>
        <w:rPr>
          <w:b/>
          <w:bCs/>
          <w:sz w:val="17"/>
          <w:szCs w:val="17"/>
        </w:rPr>
      </w:pPr>
      <w:r w:rsidRPr="00057ED8">
        <w:rPr>
          <w:b/>
          <w:bCs/>
          <w:sz w:val="17"/>
          <w:szCs w:val="17"/>
        </w:rPr>
        <w:t>Question 9—Frequency of reporting (paragraphs 66–71)</w:t>
      </w:r>
    </w:p>
    <w:p w14:paraId="55975819" w14:textId="77777777" w:rsidR="0097045B" w:rsidRPr="00057ED8" w:rsidRDefault="0097045B" w:rsidP="00F768D9">
      <w:pPr>
        <w:rPr>
          <w:sz w:val="17"/>
          <w:szCs w:val="17"/>
        </w:rPr>
      </w:pPr>
      <w:r w:rsidRPr="00057ED8">
        <w:rPr>
          <w:sz w:val="17"/>
          <w:szCs w:val="17"/>
        </w:rPr>
        <w:t>The Exposure Draft proposes that an entity be required to report its sustainability- related financial disclosures at the same time as its related financial statements, and the sustainability-related financial disclosures shall be for the same reporting period as the financial statements.</w:t>
      </w:r>
    </w:p>
    <w:p w14:paraId="3370D4AE" w14:textId="77777777" w:rsidR="00A754C6" w:rsidRPr="00057ED8" w:rsidRDefault="00A754C6" w:rsidP="00F768D9">
      <w:pPr>
        <w:rPr>
          <w:sz w:val="17"/>
          <w:szCs w:val="17"/>
        </w:rPr>
      </w:pPr>
    </w:p>
    <w:p w14:paraId="2A1B8DB3" w14:textId="77777777" w:rsidR="0097045B" w:rsidRPr="00057ED8" w:rsidRDefault="0097045B" w:rsidP="00F768D9">
      <w:pPr>
        <w:rPr>
          <w:sz w:val="17"/>
          <w:szCs w:val="17"/>
        </w:rPr>
      </w:pPr>
      <w:r w:rsidRPr="00057ED8">
        <w:rPr>
          <w:sz w:val="17"/>
          <w:szCs w:val="17"/>
        </w:rPr>
        <w:t>Do you agree with the proposal that the sustainability-related financial disclosures would be required to be provided at the same time as the financial statements to which they relate? Why or why not?</w:t>
      </w:r>
    </w:p>
    <w:p w14:paraId="210E549C" w14:textId="77777777" w:rsidR="00152882" w:rsidRPr="00057ED8" w:rsidRDefault="00152882" w:rsidP="00F768D9">
      <w:pPr>
        <w:rPr>
          <w:sz w:val="17"/>
          <w:szCs w:val="17"/>
        </w:rPr>
      </w:pPr>
    </w:p>
    <w:tbl>
      <w:tblPr>
        <w:tblStyle w:val="Mriekatabuky"/>
        <w:tblW w:w="0" w:type="auto"/>
        <w:tblLook w:val="04A0" w:firstRow="1" w:lastRow="0" w:firstColumn="1" w:lastColumn="0" w:noHBand="0" w:noVBand="1"/>
      </w:tblPr>
      <w:tblGrid>
        <w:gridCol w:w="9521"/>
      </w:tblGrid>
      <w:tr w:rsidR="00920235" w:rsidRPr="00057ED8" w14:paraId="501C472E" w14:textId="77777777" w:rsidTr="00C61B54">
        <w:trPr>
          <w:trHeight w:val="1625"/>
        </w:trPr>
        <w:tc>
          <w:tcPr>
            <w:tcW w:w="9521" w:type="dxa"/>
          </w:tcPr>
          <w:p w14:paraId="4CB0F5F2" w14:textId="77777777" w:rsidR="006240E8" w:rsidRPr="00057ED8" w:rsidRDefault="006240E8" w:rsidP="006240E8">
            <w:pPr>
              <w:pStyle w:val="Odsekzoznamu"/>
              <w:ind w:left="0" w:firstLine="0"/>
              <w:rPr>
                <w:szCs w:val="17"/>
                <w:lang w:val="en-GB"/>
              </w:rPr>
            </w:pPr>
            <w:r w:rsidRPr="00057ED8">
              <w:rPr>
                <w:szCs w:val="17"/>
                <w:highlight w:val="cyan"/>
                <w:lang w:val="en-GB"/>
              </w:rPr>
              <w:t>Broadly agree</w:t>
            </w:r>
            <w:r w:rsidRPr="00057ED8">
              <w:rPr>
                <w:szCs w:val="17"/>
                <w:lang w:val="en-GB"/>
              </w:rPr>
              <w:t xml:space="preserve"> / broadly disagree / other</w:t>
            </w:r>
          </w:p>
          <w:p w14:paraId="474BF7BA" w14:textId="3BD82BB7" w:rsidR="006240E8" w:rsidRPr="00057ED8" w:rsidRDefault="006240E8" w:rsidP="000C31D1">
            <w:pPr>
              <w:rPr>
                <w:sz w:val="17"/>
                <w:szCs w:val="17"/>
              </w:rPr>
            </w:pPr>
          </w:p>
          <w:p w14:paraId="34931CD1" w14:textId="78C561F5" w:rsidR="000C31D1" w:rsidRPr="00057ED8" w:rsidRDefault="000C31D1" w:rsidP="00AF3A28">
            <w:pPr>
              <w:spacing w:line="240" w:lineRule="auto"/>
              <w:rPr>
                <w:sz w:val="17"/>
                <w:szCs w:val="17"/>
              </w:rPr>
            </w:pPr>
            <w:r w:rsidRPr="00057ED8">
              <w:rPr>
                <w:sz w:val="17"/>
                <w:szCs w:val="17"/>
              </w:rPr>
              <w:t>The production of sustainability information requires the involvement of a much wider group of stakeholders and relies more heavily on qualitative assessments, which are more resource intensive than for financial reporting.</w:t>
            </w:r>
          </w:p>
          <w:p w14:paraId="29F89012" w14:textId="50739236" w:rsidR="00920235" w:rsidRPr="00057ED8" w:rsidRDefault="00920235" w:rsidP="00AF3A28">
            <w:pPr>
              <w:spacing w:line="240" w:lineRule="auto"/>
              <w:rPr>
                <w:sz w:val="17"/>
                <w:szCs w:val="17"/>
              </w:rPr>
            </w:pPr>
          </w:p>
          <w:p w14:paraId="5B56B6C1" w14:textId="597E5259" w:rsidR="00162C7C" w:rsidRDefault="00E411B8" w:rsidP="00CB3255">
            <w:pPr>
              <w:spacing w:line="240" w:lineRule="auto"/>
              <w:rPr>
                <w:sz w:val="17"/>
                <w:szCs w:val="17"/>
              </w:rPr>
            </w:pPr>
            <w:r w:rsidRPr="00057ED8">
              <w:rPr>
                <w:sz w:val="17"/>
                <w:szCs w:val="17"/>
              </w:rPr>
              <w:t xml:space="preserve">However, </w:t>
            </w:r>
            <w:r w:rsidR="00B5581D">
              <w:rPr>
                <w:sz w:val="17"/>
                <w:szCs w:val="17"/>
              </w:rPr>
              <w:t>Insurance Europ</w:t>
            </w:r>
            <w:r w:rsidRPr="00057ED8">
              <w:rPr>
                <w:sz w:val="17"/>
                <w:szCs w:val="17"/>
              </w:rPr>
              <w:t>e acknowledge</w:t>
            </w:r>
            <w:r w:rsidR="00B5581D">
              <w:rPr>
                <w:sz w:val="17"/>
                <w:szCs w:val="17"/>
              </w:rPr>
              <w:t>s</w:t>
            </w:r>
            <w:r w:rsidRPr="00057ED8">
              <w:rPr>
                <w:sz w:val="17"/>
                <w:szCs w:val="17"/>
              </w:rPr>
              <w:t xml:space="preserve"> that investors are interested in data that is published simultaneously with financial information. Therefore, </w:t>
            </w:r>
            <w:r w:rsidR="0048009F">
              <w:rPr>
                <w:sz w:val="17"/>
                <w:szCs w:val="17"/>
              </w:rPr>
              <w:t>it</w:t>
            </w:r>
            <w:r w:rsidR="0048009F" w:rsidRPr="00057ED8">
              <w:rPr>
                <w:sz w:val="17"/>
                <w:szCs w:val="17"/>
              </w:rPr>
              <w:t xml:space="preserve"> </w:t>
            </w:r>
            <w:r w:rsidRPr="00057ED8">
              <w:rPr>
                <w:sz w:val="17"/>
                <w:szCs w:val="17"/>
              </w:rPr>
              <w:t>agree</w:t>
            </w:r>
            <w:r w:rsidR="0048009F">
              <w:rPr>
                <w:sz w:val="17"/>
                <w:szCs w:val="17"/>
              </w:rPr>
              <w:t>s</w:t>
            </w:r>
            <w:r w:rsidRPr="00057ED8">
              <w:rPr>
                <w:sz w:val="17"/>
                <w:szCs w:val="17"/>
              </w:rPr>
              <w:t xml:space="preserve"> that the sustainability-related financial </w:t>
            </w:r>
            <w:r w:rsidRPr="00057ED8">
              <w:rPr>
                <w:sz w:val="17"/>
                <w:szCs w:val="17"/>
              </w:rPr>
              <w:lastRenderedPageBreak/>
              <w:t>disclosures should be required to be provided at the same time as the financial statements to which they relate. In particular, if a common understanding exists that both types of information are necessary and equally important to understand a company’s development, performance and position, it seems indispensable that both types of information are made publicly available at the same point in time (also given that they are strongly interlinked and that interconnectivity is, thus, key).</w:t>
            </w:r>
            <w:r w:rsidR="00777B33" w:rsidRPr="00057ED8">
              <w:rPr>
                <w:sz w:val="17"/>
                <w:szCs w:val="17"/>
              </w:rPr>
              <w:t xml:space="preserve"> </w:t>
            </w:r>
          </w:p>
          <w:p w14:paraId="357B91DE" w14:textId="77777777" w:rsidR="00162C7C" w:rsidRDefault="00162C7C" w:rsidP="00CB3255">
            <w:pPr>
              <w:spacing w:line="240" w:lineRule="auto"/>
              <w:rPr>
                <w:sz w:val="17"/>
                <w:szCs w:val="17"/>
              </w:rPr>
            </w:pPr>
          </w:p>
          <w:p w14:paraId="7DB26314" w14:textId="5E29F347" w:rsidR="00E411B8" w:rsidRPr="00057ED8" w:rsidRDefault="00777B33" w:rsidP="00AF3A28">
            <w:pPr>
              <w:spacing w:line="240" w:lineRule="auto"/>
              <w:rPr>
                <w:sz w:val="17"/>
                <w:szCs w:val="17"/>
              </w:rPr>
            </w:pPr>
            <w:r w:rsidRPr="00057ED8">
              <w:rPr>
                <w:sz w:val="17"/>
                <w:szCs w:val="17"/>
              </w:rPr>
              <w:t xml:space="preserve">Besides this, from a cost-benefit perspective, </w:t>
            </w:r>
            <w:r w:rsidR="00CE54AA">
              <w:rPr>
                <w:sz w:val="17"/>
                <w:szCs w:val="17"/>
              </w:rPr>
              <w:t>Insurance Europ</w:t>
            </w:r>
            <w:r w:rsidR="00FA05A5">
              <w:rPr>
                <w:sz w:val="17"/>
                <w:szCs w:val="17"/>
              </w:rPr>
              <w:t>e support</w:t>
            </w:r>
            <w:r w:rsidR="00CE54AA">
              <w:rPr>
                <w:sz w:val="17"/>
                <w:szCs w:val="17"/>
              </w:rPr>
              <w:t>s</w:t>
            </w:r>
            <w:r w:rsidR="00FA05A5">
              <w:rPr>
                <w:sz w:val="17"/>
                <w:szCs w:val="17"/>
              </w:rPr>
              <w:t xml:space="preserve"> </w:t>
            </w:r>
            <w:r w:rsidR="00CE54AA">
              <w:rPr>
                <w:sz w:val="17"/>
                <w:szCs w:val="17"/>
              </w:rPr>
              <w:t xml:space="preserve">the fact </w:t>
            </w:r>
            <w:r w:rsidR="00872772">
              <w:rPr>
                <w:sz w:val="17"/>
                <w:szCs w:val="17"/>
              </w:rPr>
              <w:t>th</w:t>
            </w:r>
            <w:r w:rsidR="00A87387">
              <w:rPr>
                <w:sz w:val="17"/>
                <w:szCs w:val="17"/>
              </w:rPr>
              <w:t>at annual reporting is proposed as an obligation.</w:t>
            </w:r>
            <w:r w:rsidR="0080180C">
              <w:rPr>
                <w:sz w:val="17"/>
                <w:szCs w:val="17"/>
              </w:rPr>
              <w:t xml:space="preserve"> The</w:t>
            </w:r>
            <w:r w:rsidRPr="00057ED8">
              <w:rPr>
                <w:sz w:val="17"/>
                <w:szCs w:val="17"/>
              </w:rPr>
              <w:t xml:space="preserve"> obligation to report on </w:t>
            </w:r>
            <w:r w:rsidR="00BE4E2C">
              <w:rPr>
                <w:sz w:val="17"/>
                <w:szCs w:val="17"/>
              </w:rPr>
              <w:t xml:space="preserve">a </w:t>
            </w:r>
            <w:r w:rsidRPr="00057ED8">
              <w:rPr>
                <w:sz w:val="17"/>
                <w:szCs w:val="17"/>
              </w:rPr>
              <w:t>half-year</w:t>
            </w:r>
            <w:r w:rsidR="00BE4E2C">
              <w:rPr>
                <w:sz w:val="17"/>
                <w:szCs w:val="17"/>
              </w:rPr>
              <w:t>ly</w:t>
            </w:r>
            <w:r w:rsidRPr="00057ED8">
              <w:rPr>
                <w:sz w:val="17"/>
                <w:szCs w:val="17"/>
              </w:rPr>
              <w:t xml:space="preserve"> or even quarterly basis </w:t>
            </w:r>
            <w:r w:rsidR="00872772">
              <w:rPr>
                <w:sz w:val="17"/>
                <w:szCs w:val="17"/>
              </w:rPr>
              <w:t>would</w:t>
            </w:r>
            <w:r w:rsidR="00872772" w:rsidRPr="00057ED8">
              <w:rPr>
                <w:sz w:val="17"/>
                <w:szCs w:val="17"/>
              </w:rPr>
              <w:t xml:space="preserve"> </w:t>
            </w:r>
            <w:r w:rsidRPr="00057ED8">
              <w:rPr>
                <w:sz w:val="17"/>
                <w:szCs w:val="17"/>
              </w:rPr>
              <w:t>hardly be justified</w:t>
            </w:r>
            <w:r w:rsidR="0080180C">
              <w:rPr>
                <w:sz w:val="17"/>
                <w:szCs w:val="17"/>
              </w:rPr>
              <w:t xml:space="preserve"> from a cost-benefit </w:t>
            </w:r>
            <w:r w:rsidR="00AF3A28">
              <w:rPr>
                <w:sz w:val="17"/>
                <w:szCs w:val="17"/>
              </w:rPr>
              <w:t>perspective</w:t>
            </w:r>
            <w:r w:rsidRPr="00057ED8">
              <w:rPr>
                <w:sz w:val="17"/>
                <w:szCs w:val="17"/>
              </w:rPr>
              <w:t>.</w:t>
            </w:r>
          </w:p>
          <w:p w14:paraId="201BFA9C" w14:textId="77777777" w:rsidR="00DF3839" w:rsidRPr="00057ED8" w:rsidRDefault="00DF3839" w:rsidP="00C61B54">
            <w:pPr>
              <w:rPr>
                <w:sz w:val="17"/>
                <w:szCs w:val="17"/>
              </w:rPr>
            </w:pPr>
          </w:p>
          <w:p w14:paraId="2829367E" w14:textId="32043159" w:rsidR="00DF3839" w:rsidRPr="00057ED8" w:rsidRDefault="00DF3839" w:rsidP="00C61B54">
            <w:pPr>
              <w:rPr>
                <w:sz w:val="17"/>
                <w:szCs w:val="17"/>
              </w:rPr>
            </w:pPr>
          </w:p>
        </w:tc>
      </w:tr>
    </w:tbl>
    <w:p w14:paraId="0A7E0FE1" w14:textId="77777777" w:rsidR="00A754C6" w:rsidRPr="00057ED8" w:rsidRDefault="00A754C6" w:rsidP="00F768D9">
      <w:pPr>
        <w:rPr>
          <w:sz w:val="17"/>
          <w:szCs w:val="17"/>
        </w:rPr>
      </w:pPr>
    </w:p>
    <w:p w14:paraId="0F692715" w14:textId="77777777" w:rsidR="00A754C6" w:rsidRPr="00057ED8" w:rsidRDefault="00A754C6" w:rsidP="00F768D9">
      <w:pPr>
        <w:rPr>
          <w:b/>
          <w:bCs/>
          <w:sz w:val="17"/>
          <w:szCs w:val="17"/>
        </w:rPr>
      </w:pPr>
    </w:p>
    <w:p w14:paraId="3DD0B286" w14:textId="10435601" w:rsidR="00152882" w:rsidRPr="00057ED8" w:rsidRDefault="00DB13B1" w:rsidP="00F768D9">
      <w:pPr>
        <w:rPr>
          <w:b/>
          <w:bCs/>
          <w:sz w:val="17"/>
          <w:szCs w:val="17"/>
        </w:rPr>
      </w:pPr>
      <w:r w:rsidRPr="00057ED8">
        <w:rPr>
          <w:b/>
          <w:bCs/>
          <w:sz w:val="17"/>
          <w:szCs w:val="17"/>
        </w:rPr>
        <w:t>Question 10—Location of information (paragraphs 72–78)</w:t>
      </w:r>
    </w:p>
    <w:p w14:paraId="2DEA7D85" w14:textId="77777777" w:rsidR="001B23B2" w:rsidRPr="00057ED8" w:rsidRDefault="001B23B2" w:rsidP="00F768D9">
      <w:pPr>
        <w:rPr>
          <w:sz w:val="17"/>
          <w:szCs w:val="17"/>
        </w:rPr>
      </w:pPr>
      <w:r w:rsidRPr="00057ED8">
        <w:rPr>
          <w:sz w:val="17"/>
          <w:szCs w:val="17"/>
        </w:rPr>
        <w:t xml:space="preserve">The Exposure Draft proposes that an entity be required to disclose information required by the IFRS Sustainability Disclosure Standards as part of its </w:t>
      </w:r>
      <w:proofErr w:type="gramStart"/>
      <w:r w:rsidRPr="00057ED8">
        <w:rPr>
          <w:sz w:val="17"/>
          <w:szCs w:val="17"/>
        </w:rPr>
        <w:t>general purpose</w:t>
      </w:r>
      <w:proofErr w:type="gramEnd"/>
      <w:r w:rsidRPr="00057ED8">
        <w:rPr>
          <w:sz w:val="17"/>
          <w:szCs w:val="17"/>
        </w:rPr>
        <w:t xml:space="preserve"> financial reporting—</w:t>
      </w:r>
      <w:proofErr w:type="spellStart"/>
      <w:r w:rsidRPr="00057ED8">
        <w:rPr>
          <w:sz w:val="17"/>
          <w:szCs w:val="17"/>
        </w:rPr>
        <w:t>ie</w:t>
      </w:r>
      <w:proofErr w:type="spellEnd"/>
      <w:r w:rsidRPr="00057ED8">
        <w:rPr>
          <w:sz w:val="17"/>
          <w:szCs w:val="17"/>
        </w:rPr>
        <w:t xml:space="preserve"> as part of the same package of reporting that is targeted at investors and other providers of financial capital.</w:t>
      </w:r>
    </w:p>
    <w:p w14:paraId="520769A5" w14:textId="77777777" w:rsidR="00A754C6" w:rsidRPr="00057ED8" w:rsidRDefault="00A754C6" w:rsidP="00F768D9">
      <w:pPr>
        <w:rPr>
          <w:sz w:val="17"/>
          <w:szCs w:val="17"/>
        </w:rPr>
      </w:pPr>
    </w:p>
    <w:p w14:paraId="17DE1EE0" w14:textId="77777777" w:rsidR="001B23B2" w:rsidRPr="00057ED8" w:rsidRDefault="001B23B2" w:rsidP="00F768D9">
      <w:pPr>
        <w:rPr>
          <w:sz w:val="17"/>
          <w:szCs w:val="17"/>
        </w:rPr>
      </w:pPr>
      <w:r w:rsidRPr="00057ED8">
        <w:rPr>
          <w:sz w:val="17"/>
          <w:szCs w:val="17"/>
        </w:rPr>
        <w:t xml:space="preserve">However, the Exposure Draft deliberately avoids requiring the information to be provided in a particular location within the </w:t>
      </w:r>
      <w:proofErr w:type="gramStart"/>
      <w:r w:rsidRPr="00057ED8">
        <w:rPr>
          <w:sz w:val="17"/>
          <w:szCs w:val="17"/>
        </w:rPr>
        <w:t>general purpose</w:t>
      </w:r>
      <w:proofErr w:type="gramEnd"/>
      <w:r w:rsidRPr="00057ED8">
        <w:rPr>
          <w:sz w:val="17"/>
          <w:szCs w:val="17"/>
        </w:rPr>
        <w:t xml:space="preserve"> financial reporting so as not to limit an entity’s ability to communicate information in an effective and coherent manner, and to prevent conflicts with specific jurisdictional regulatory requirements on general purpose financial reporting.</w:t>
      </w:r>
    </w:p>
    <w:p w14:paraId="38FFDE29" w14:textId="77777777" w:rsidR="00A754C6" w:rsidRPr="00057ED8" w:rsidRDefault="00A754C6" w:rsidP="00F768D9">
      <w:pPr>
        <w:rPr>
          <w:sz w:val="17"/>
          <w:szCs w:val="17"/>
        </w:rPr>
      </w:pPr>
    </w:p>
    <w:p w14:paraId="3F533CC2" w14:textId="77777777" w:rsidR="001B23B2" w:rsidRPr="00057ED8" w:rsidRDefault="001B23B2" w:rsidP="00F768D9">
      <w:pPr>
        <w:rPr>
          <w:sz w:val="17"/>
          <w:szCs w:val="17"/>
        </w:rPr>
      </w:pPr>
      <w:r w:rsidRPr="00057ED8">
        <w:rPr>
          <w:sz w:val="17"/>
          <w:szCs w:val="17"/>
        </w:rPr>
        <w:t>The proposal permits an entity to disclose information required by an IFRS Sustainability Disclosure Standard in the same location as information disclosed to meet other requirements, such as information required by regulators. However, the entity would be required to ensure that the sustainability-related financial disclosures are clearly identifiable and not obscured by that additional information.</w:t>
      </w:r>
    </w:p>
    <w:p w14:paraId="5B0CA5E3" w14:textId="77777777" w:rsidR="00A754C6" w:rsidRPr="00057ED8" w:rsidRDefault="00A754C6" w:rsidP="00F768D9">
      <w:pPr>
        <w:rPr>
          <w:sz w:val="17"/>
          <w:szCs w:val="17"/>
        </w:rPr>
      </w:pPr>
    </w:p>
    <w:p w14:paraId="774EBFF5" w14:textId="77777777" w:rsidR="001B23B2" w:rsidRPr="00057ED8" w:rsidRDefault="001B23B2" w:rsidP="00F768D9">
      <w:pPr>
        <w:rPr>
          <w:sz w:val="17"/>
          <w:szCs w:val="17"/>
        </w:rPr>
      </w:pPr>
      <w:r w:rsidRPr="00057ED8">
        <w:rPr>
          <w:sz w:val="17"/>
          <w:szCs w:val="17"/>
        </w:rPr>
        <w:t xml:space="preserve">Information required by an IFRS Sustainability Disclosure Standard could also be included by cross-reference, provided that the information is available to users of </w:t>
      </w:r>
      <w:proofErr w:type="gramStart"/>
      <w:r w:rsidRPr="00057ED8">
        <w:rPr>
          <w:sz w:val="17"/>
          <w:szCs w:val="17"/>
        </w:rPr>
        <w:t>general purpose</w:t>
      </w:r>
      <w:proofErr w:type="gramEnd"/>
      <w:r w:rsidRPr="00057ED8">
        <w:rPr>
          <w:sz w:val="17"/>
          <w:szCs w:val="17"/>
        </w:rPr>
        <w:t xml:space="preserve"> financial reporting on the same terms and at the same time as the information to which it is cross-referenced. For example, information required by an IFRS Sustainability Disclosure Standard could be disclosed in the related financial statements.</w:t>
      </w:r>
    </w:p>
    <w:p w14:paraId="794B1FE6" w14:textId="77777777" w:rsidR="00A754C6" w:rsidRPr="00057ED8" w:rsidRDefault="00A754C6" w:rsidP="00F768D9">
      <w:pPr>
        <w:rPr>
          <w:sz w:val="17"/>
          <w:szCs w:val="17"/>
        </w:rPr>
      </w:pPr>
    </w:p>
    <w:p w14:paraId="2326FFE9" w14:textId="77777777" w:rsidR="001B23B2" w:rsidRPr="00057ED8" w:rsidRDefault="001B23B2" w:rsidP="00F768D9">
      <w:pPr>
        <w:rPr>
          <w:sz w:val="17"/>
          <w:szCs w:val="17"/>
        </w:rPr>
      </w:pPr>
      <w:r w:rsidRPr="00057ED8">
        <w:rPr>
          <w:sz w:val="17"/>
          <w:szCs w:val="17"/>
        </w:rPr>
        <w:t>The Exposure Draft also proposes that when IFRS Sustainability Disclosure Standards require a disclosure of common items of information, an entity shall avoid unnecessary duplication.</w:t>
      </w:r>
    </w:p>
    <w:p w14:paraId="3581C979" w14:textId="77777777" w:rsidR="00A754C6" w:rsidRPr="00057ED8" w:rsidRDefault="00A754C6" w:rsidP="00F768D9">
      <w:pPr>
        <w:rPr>
          <w:sz w:val="17"/>
          <w:szCs w:val="17"/>
        </w:rPr>
      </w:pPr>
    </w:p>
    <w:p w14:paraId="2A344252" w14:textId="77777777" w:rsidR="001B23B2" w:rsidRPr="00057ED8" w:rsidRDefault="001B23B2" w:rsidP="006945DC">
      <w:pPr>
        <w:pStyle w:val="Odsekzoznamu"/>
        <w:numPr>
          <w:ilvl w:val="0"/>
          <w:numId w:val="11"/>
        </w:numPr>
        <w:spacing w:before="0" w:line="288" w:lineRule="auto"/>
        <w:rPr>
          <w:szCs w:val="17"/>
          <w:lang w:val="en-GB"/>
        </w:rPr>
      </w:pPr>
      <w:r w:rsidRPr="00057ED8">
        <w:rPr>
          <w:szCs w:val="17"/>
          <w:lang w:val="en-GB"/>
        </w:rPr>
        <w:t>Do you agree with the proposals about the location of sustainability-related financial disclosures? Why or why not?</w:t>
      </w:r>
    </w:p>
    <w:p w14:paraId="5605FA63" w14:textId="77777777" w:rsidR="00A754C6" w:rsidRPr="00057ED8" w:rsidRDefault="00A754C6" w:rsidP="00A754C6">
      <w:pPr>
        <w:pStyle w:val="Odsekzoznamu"/>
        <w:spacing w:before="0" w:line="288" w:lineRule="auto"/>
        <w:ind w:left="720" w:firstLine="0"/>
        <w:rPr>
          <w:szCs w:val="17"/>
          <w:lang w:val="en-GB"/>
        </w:rPr>
      </w:pPr>
    </w:p>
    <w:p w14:paraId="31E111DE" w14:textId="21D3D102" w:rsidR="001B23B2" w:rsidRPr="00057ED8" w:rsidRDefault="001B23B2" w:rsidP="006945DC">
      <w:pPr>
        <w:pStyle w:val="Odsekzoznamu"/>
        <w:numPr>
          <w:ilvl w:val="0"/>
          <w:numId w:val="11"/>
        </w:numPr>
        <w:spacing w:before="0" w:line="288" w:lineRule="auto"/>
        <w:rPr>
          <w:szCs w:val="17"/>
          <w:lang w:val="en-GB"/>
        </w:rPr>
      </w:pPr>
      <w:r w:rsidRPr="00057ED8">
        <w:rPr>
          <w:szCs w:val="17"/>
          <w:lang w:val="en-GB"/>
        </w:rPr>
        <w:t>Are you aware of any jurisdiction-specific requirements that would make it difficult for an entity to provide the information required by the Exposure Draft despite the proposals on location?</w:t>
      </w:r>
    </w:p>
    <w:p w14:paraId="45039185" w14:textId="77777777" w:rsidR="00A754C6" w:rsidRPr="00057ED8" w:rsidRDefault="00A754C6" w:rsidP="00A754C6">
      <w:pPr>
        <w:pStyle w:val="Odsekzoznamu"/>
        <w:rPr>
          <w:szCs w:val="17"/>
          <w:lang w:val="en-GB"/>
        </w:rPr>
      </w:pPr>
    </w:p>
    <w:p w14:paraId="22772F77" w14:textId="77777777" w:rsidR="001B23B2" w:rsidRPr="00057ED8" w:rsidRDefault="001B23B2" w:rsidP="006945DC">
      <w:pPr>
        <w:pStyle w:val="Odsekzoznamu"/>
        <w:numPr>
          <w:ilvl w:val="0"/>
          <w:numId w:val="11"/>
        </w:numPr>
        <w:spacing w:before="0" w:line="288" w:lineRule="auto"/>
        <w:rPr>
          <w:szCs w:val="17"/>
          <w:lang w:val="en-GB"/>
        </w:rPr>
      </w:pPr>
      <w:r w:rsidRPr="00057ED8">
        <w:rPr>
          <w:szCs w:val="17"/>
          <w:lang w:val="en-GB"/>
        </w:rPr>
        <w:t xml:space="preserve">Do you agree with the proposal that information required by IFRS Sustainability Disclosure Standards can be included by cross-reference provided that the information is available to users of </w:t>
      </w:r>
      <w:proofErr w:type="gramStart"/>
      <w:r w:rsidRPr="00057ED8">
        <w:rPr>
          <w:szCs w:val="17"/>
          <w:lang w:val="en-GB"/>
        </w:rPr>
        <w:t>general purpose</w:t>
      </w:r>
      <w:proofErr w:type="gramEnd"/>
      <w:r w:rsidRPr="00057ED8">
        <w:rPr>
          <w:szCs w:val="17"/>
          <w:lang w:val="en-GB"/>
        </w:rPr>
        <w:t xml:space="preserve"> financial reporting on the same terms and at the same time as the information to which it is cross- referenced? Why or why not?</w:t>
      </w:r>
    </w:p>
    <w:p w14:paraId="07C89715" w14:textId="77777777" w:rsidR="00A754C6" w:rsidRPr="00057ED8" w:rsidRDefault="00A754C6" w:rsidP="00A754C6">
      <w:pPr>
        <w:pStyle w:val="Odsekzoznamu"/>
        <w:rPr>
          <w:szCs w:val="17"/>
          <w:lang w:val="en-GB"/>
        </w:rPr>
      </w:pPr>
    </w:p>
    <w:p w14:paraId="421BAA39" w14:textId="5164BC73" w:rsidR="00152882" w:rsidRPr="00057ED8" w:rsidRDefault="001B23B2" w:rsidP="006945DC">
      <w:pPr>
        <w:pStyle w:val="Odsekzoznamu"/>
        <w:numPr>
          <w:ilvl w:val="0"/>
          <w:numId w:val="11"/>
        </w:numPr>
        <w:spacing w:before="0" w:line="288" w:lineRule="auto"/>
        <w:rPr>
          <w:szCs w:val="17"/>
          <w:lang w:val="en-GB"/>
        </w:rPr>
      </w:pPr>
      <w:r w:rsidRPr="00057ED8">
        <w:rPr>
          <w:szCs w:val="17"/>
          <w:lang w:val="en-GB"/>
        </w:rPr>
        <w:t>Is it clear that entities are not required to make separate disclosures on each aspect of governance, strategy and risk management for individual sustainability-related risks and opportunities, but are encouraged to make integrated disclosures, especially where the relevant sustainability issues are managed through the same approach and/or in an integrated way? Why or why not?</w:t>
      </w:r>
    </w:p>
    <w:p w14:paraId="3A5E2BB7" w14:textId="77777777" w:rsidR="00152882" w:rsidRPr="00057ED8" w:rsidRDefault="00152882" w:rsidP="00F768D9">
      <w:pPr>
        <w:rPr>
          <w:sz w:val="17"/>
          <w:szCs w:val="17"/>
        </w:rPr>
      </w:pPr>
    </w:p>
    <w:tbl>
      <w:tblPr>
        <w:tblStyle w:val="Mriekatabuky"/>
        <w:tblW w:w="0" w:type="auto"/>
        <w:tblLook w:val="04A0" w:firstRow="1" w:lastRow="0" w:firstColumn="1" w:lastColumn="0" w:noHBand="0" w:noVBand="1"/>
      </w:tblPr>
      <w:tblGrid>
        <w:gridCol w:w="9521"/>
      </w:tblGrid>
      <w:tr w:rsidR="00920235" w:rsidRPr="00057ED8" w14:paraId="3D62D68A" w14:textId="77777777" w:rsidTr="00C61B54">
        <w:trPr>
          <w:trHeight w:val="1625"/>
        </w:trPr>
        <w:tc>
          <w:tcPr>
            <w:tcW w:w="9521" w:type="dxa"/>
          </w:tcPr>
          <w:p w14:paraId="3AF1821A" w14:textId="77777777" w:rsidR="006240E8" w:rsidRPr="00057ED8" w:rsidRDefault="006240E8" w:rsidP="00812D6D">
            <w:pPr>
              <w:pStyle w:val="Odsekzoznamu"/>
              <w:numPr>
                <w:ilvl w:val="0"/>
                <w:numId w:val="37"/>
              </w:numPr>
              <w:rPr>
                <w:szCs w:val="17"/>
                <w:lang w:val="en-GB"/>
              </w:rPr>
            </w:pPr>
            <w:r w:rsidRPr="00057ED8">
              <w:rPr>
                <w:szCs w:val="17"/>
                <w:highlight w:val="cyan"/>
                <w:lang w:val="en-GB"/>
              </w:rPr>
              <w:lastRenderedPageBreak/>
              <w:t>Broadly agree</w:t>
            </w:r>
            <w:r w:rsidRPr="00057ED8">
              <w:rPr>
                <w:szCs w:val="17"/>
                <w:lang w:val="en-GB"/>
              </w:rPr>
              <w:t xml:space="preserve"> / broadly disagree / other</w:t>
            </w:r>
          </w:p>
          <w:p w14:paraId="2494C550" w14:textId="2402677B" w:rsidR="00070BC5" w:rsidRDefault="0062779A" w:rsidP="002107E1">
            <w:pPr>
              <w:pStyle w:val="Odsekzoznamu"/>
              <w:ind w:left="720" w:firstLine="0"/>
              <w:rPr>
                <w:szCs w:val="17"/>
                <w:lang w:val="en-GB"/>
              </w:rPr>
            </w:pPr>
            <w:r>
              <w:rPr>
                <w:szCs w:val="17"/>
                <w:lang w:val="en-GB"/>
              </w:rPr>
              <w:t>Insurance Europ</w:t>
            </w:r>
            <w:r w:rsidR="002107E1" w:rsidRPr="00057ED8">
              <w:rPr>
                <w:szCs w:val="17"/>
                <w:lang w:val="en-GB"/>
              </w:rPr>
              <w:t>e welcome</w:t>
            </w:r>
            <w:r>
              <w:rPr>
                <w:szCs w:val="17"/>
                <w:lang w:val="en-GB"/>
              </w:rPr>
              <w:t>s</w:t>
            </w:r>
            <w:r w:rsidR="002107E1" w:rsidRPr="00057ED8">
              <w:rPr>
                <w:szCs w:val="17"/>
                <w:lang w:val="en-GB"/>
              </w:rPr>
              <w:t xml:space="preserve"> the option for entities to choose where within their package of reporting to include the sustainability-related financial information in order to achieve coherent and clear communication (para. 73).</w:t>
            </w:r>
            <w:r w:rsidR="007F7366" w:rsidRPr="00057ED8">
              <w:rPr>
                <w:szCs w:val="17"/>
                <w:lang w:val="en-GB"/>
              </w:rPr>
              <w:t xml:space="preserve"> </w:t>
            </w:r>
            <w:r w:rsidR="00F35617" w:rsidRPr="00057ED8">
              <w:rPr>
                <w:szCs w:val="17"/>
                <w:lang w:val="en-GB"/>
              </w:rPr>
              <w:t>E</w:t>
            </w:r>
            <w:r w:rsidR="007F7366" w:rsidRPr="00057ED8">
              <w:rPr>
                <w:szCs w:val="17"/>
                <w:lang w:val="en-GB"/>
              </w:rPr>
              <w:t xml:space="preserve">ase </w:t>
            </w:r>
            <w:r w:rsidR="00E51C65">
              <w:rPr>
                <w:szCs w:val="17"/>
                <w:lang w:val="en-GB"/>
              </w:rPr>
              <w:t xml:space="preserve">of </w:t>
            </w:r>
            <w:r w:rsidR="007F7366" w:rsidRPr="00057ED8">
              <w:rPr>
                <w:szCs w:val="17"/>
                <w:lang w:val="en-GB"/>
              </w:rPr>
              <w:t>access by primary users should be the key criteri</w:t>
            </w:r>
            <w:r w:rsidR="00E51C65">
              <w:rPr>
                <w:szCs w:val="17"/>
                <w:lang w:val="en-GB"/>
              </w:rPr>
              <w:t>on</w:t>
            </w:r>
            <w:r w:rsidR="007F7366" w:rsidRPr="00057ED8">
              <w:rPr>
                <w:szCs w:val="17"/>
                <w:lang w:val="en-GB"/>
              </w:rPr>
              <w:t xml:space="preserve"> when deciding where the information should be disclosed</w:t>
            </w:r>
            <w:r w:rsidR="00F35617" w:rsidRPr="00057ED8">
              <w:rPr>
                <w:szCs w:val="17"/>
                <w:lang w:val="en-GB"/>
              </w:rPr>
              <w:t xml:space="preserve">. </w:t>
            </w:r>
          </w:p>
          <w:p w14:paraId="6297ADD8" w14:textId="2FF8E1D5" w:rsidR="00070BC5" w:rsidRDefault="00070BC5" w:rsidP="002107E1">
            <w:pPr>
              <w:pStyle w:val="Odsekzoznamu"/>
              <w:ind w:left="720" w:firstLine="0"/>
              <w:rPr>
                <w:szCs w:val="17"/>
                <w:lang w:val="en-GB"/>
              </w:rPr>
            </w:pPr>
            <w:r w:rsidRPr="00C77942">
              <w:t xml:space="preserve">While </w:t>
            </w:r>
            <w:r w:rsidR="00E51C65">
              <w:t>Insurance Europ</w:t>
            </w:r>
            <w:r w:rsidRPr="00C77942">
              <w:t>e support</w:t>
            </w:r>
            <w:r w:rsidR="00E51C65">
              <w:t>s</w:t>
            </w:r>
            <w:r w:rsidRPr="00C77942">
              <w:t xml:space="preserve"> the ISSB</w:t>
            </w:r>
            <w:r w:rsidR="00297227">
              <w:t>’s</w:t>
            </w:r>
            <w:r w:rsidRPr="00C77942">
              <w:t xml:space="preserve"> encourage</w:t>
            </w:r>
            <w:r w:rsidR="00297227">
              <w:t>ment of</w:t>
            </w:r>
            <w:r w:rsidRPr="00C77942">
              <w:t xml:space="preserve"> integrated reporting, both within sustainability information and between sustainability information and financial information, </w:t>
            </w:r>
            <w:r w:rsidR="00F610F4">
              <w:t>it</w:t>
            </w:r>
            <w:r w:rsidR="00F610F4" w:rsidRPr="00C77942">
              <w:t xml:space="preserve"> </w:t>
            </w:r>
            <w:r w:rsidRPr="00C77942">
              <w:t>regret</w:t>
            </w:r>
            <w:r w:rsidR="00F610F4">
              <w:t>s</w:t>
            </w:r>
            <w:r w:rsidRPr="00C77942">
              <w:t xml:space="preserve"> that European legislation (</w:t>
            </w:r>
            <w:r w:rsidR="009C2D62">
              <w:t xml:space="preserve">the </w:t>
            </w:r>
            <w:r w:rsidRPr="00C77942">
              <w:t>C</w:t>
            </w:r>
            <w:r w:rsidR="009C2D62">
              <w:t xml:space="preserve">orporate </w:t>
            </w:r>
            <w:r w:rsidRPr="00C77942">
              <w:t>S</w:t>
            </w:r>
            <w:r w:rsidR="009C2D62">
              <w:t xml:space="preserve">ustainability </w:t>
            </w:r>
            <w:r w:rsidRPr="00C77942">
              <w:t>R</w:t>
            </w:r>
            <w:r w:rsidR="009C2D62">
              <w:t xml:space="preserve">eporting </w:t>
            </w:r>
            <w:r w:rsidRPr="00C77942">
              <w:t>D</w:t>
            </w:r>
            <w:r w:rsidR="009C2D62">
              <w:t>irective (CSRD</w:t>
            </w:r>
            <w:r w:rsidRPr="00C77942">
              <w:t>)</w:t>
            </w:r>
            <w:r w:rsidR="009F4F99">
              <w:t xml:space="preserve"> does not seem to fully allow for it</w:t>
            </w:r>
            <w:r w:rsidRPr="00C77942">
              <w:t xml:space="preserve">. Having this in mind, it is essential for EFRAG and the ISSB to work together on how this inconsistency </w:t>
            </w:r>
            <w:r w:rsidR="00711A5E">
              <w:t>should</w:t>
            </w:r>
            <w:r w:rsidR="00711A5E" w:rsidRPr="00C77942">
              <w:t xml:space="preserve"> </w:t>
            </w:r>
            <w:r w:rsidRPr="00C77942">
              <w:t>be dealt with by preparers to still allow for compliance with the ISSB global baseline when complying with the ESRS (at be</w:t>
            </w:r>
            <w:r w:rsidR="008844EC">
              <w:t>st).</w:t>
            </w:r>
          </w:p>
          <w:p w14:paraId="0304B70C" w14:textId="49405D0E" w:rsidR="002107E1" w:rsidRPr="00057ED8" w:rsidRDefault="003969D4" w:rsidP="002107E1">
            <w:pPr>
              <w:pStyle w:val="Odsekzoznamu"/>
              <w:ind w:left="720" w:firstLine="0"/>
              <w:rPr>
                <w:szCs w:val="17"/>
                <w:lang w:val="en-GB"/>
              </w:rPr>
            </w:pPr>
            <w:r>
              <w:rPr>
                <w:lang w:val="en-GB"/>
              </w:rPr>
              <w:t xml:space="preserve">In </w:t>
            </w:r>
            <w:r w:rsidR="008844EC">
              <w:rPr>
                <w:lang w:val="en-GB"/>
              </w:rPr>
              <w:t>general</w:t>
            </w:r>
            <w:r w:rsidR="00411E45" w:rsidRPr="00057ED8">
              <w:rPr>
                <w:lang w:val="en-GB"/>
              </w:rPr>
              <w:t xml:space="preserve">, </w:t>
            </w:r>
            <w:r w:rsidR="00397200">
              <w:rPr>
                <w:lang w:val="en-GB"/>
              </w:rPr>
              <w:t>Insurance Europe</w:t>
            </w:r>
            <w:r w:rsidR="00411E45" w:rsidRPr="00057ED8">
              <w:rPr>
                <w:lang w:val="en-GB"/>
              </w:rPr>
              <w:t xml:space="preserve"> strongly recommend</w:t>
            </w:r>
            <w:r w:rsidR="00397200">
              <w:rPr>
                <w:lang w:val="en-GB"/>
              </w:rPr>
              <w:t>s</w:t>
            </w:r>
            <w:r w:rsidR="00411E45" w:rsidRPr="00057ED8">
              <w:rPr>
                <w:lang w:val="en-GB"/>
              </w:rPr>
              <w:t xml:space="preserve"> that the IFRS </w:t>
            </w:r>
            <w:r>
              <w:rPr>
                <w:lang w:val="en-GB"/>
              </w:rPr>
              <w:t>SDS</w:t>
            </w:r>
            <w:r w:rsidR="00BC3ED6">
              <w:rPr>
                <w:lang w:val="en-GB"/>
              </w:rPr>
              <w:t>s</w:t>
            </w:r>
            <w:r w:rsidR="00411E45" w:rsidRPr="00057ED8">
              <w:rPr>
                <w:lang w:val="en-GB"/>
              </w:rPr>
              <w:t xml:space="preserve"> and the ESRS are aligned and at least do not contain contradictions.</w:t>
            </w:r>
          </w:p>
          <w:p w14:paraId="58EDED65" w14:textId="6DABC69B" w:rsidR="006240E8" w:rsidRPr="00057ED8" w:rsidRDefault="006E6550" w:rsidP="00812D6D">
            <w:pPr>
              <w:pStyle w:val="Odsekzoznamu"/>
              <w:numPr>
                <w:ilvl w:val="0"/>
                <w:numId w:val="37"/>
              </w:numPr>
              <w:rPr>
                <w:szCs w:val="17"/>
                <w:lang w:val="en-GB"/>
              </w:rPr>
            </w:pPr>
            <w:r w:rsidRPr="00057ED8">
              <w:rPr>
                <w:szCs w:val="17"/>
                <w:lang w:val="en-GB"/>
              </w:rPr>
              <w:t>Yes / no</w:t>
            </w:r>
            <w:r w:rsidR="006240E8" w:rsidRPr="00057ED8">
              <w:rPr>
                <w:szCs w:val="17"/>
                <w:lang w:val="en-GB"/>
              </w:rPr>
              <w:t xml:space="preserve"> / </w:t>
            </w:r>
            <w:r w:rsidR="006240E8" w:rsidRPr="00057ED8">
              <w:rPr>
                <w:szCs w:val="17"/>
                <w:highlight w:val="cyan"/>
                <w:lang w:val="en-GB"/>
              </w:rPr>
              <w:t>other</w:t>
            </w:r>
          </w:p>
          <w:p w14:paraId="21FD0442" w14:textId="1531C873" w:rsidR="00237E69" w:rsidRPr="00057ED8" w:rsidRDefault="00237E69" w:rsidP="00237E69">
            <w:pPr>
              <w:pStyle w:val="Odsekzoznamu"/>
              <w:ind w:left="720" w:firstLine="0"/>
              <w:rPr>
                <w:szCs w:val="17"/>
                <w:lang w:val="en-GB"/>
              </w:rPr>
            </w:pPr>
            <w:r w:rsidRPr="00057ED8">
              <w:rPr>
                <w:rFonts w:cs="Arial"/>
                <w:lang w:val="en-GB"/>
              </w:rPr>
              <w:t xml:space="preserve">Clarification is needed </w:t>
            </w:r>
            <w:r w:rsidR="003969D4">
              <w:rPr>
                <w:rFonts w:cs="Arial"/>
                <w:lang w:val="en-GB"/>
              </w:rPr>
              <w:t>of</w:t>
            </w:r>
            <w:r w:rsidRPr="00057ED8">
              <w:rPr>
                <w:rFonts w:cs="Arial"/>
                <w:lang w:val="en-GB"/>
              </w:rPr>
              <w:t xml:space="preserve"> the location for companies that do not (need to) publicly disclose general purpose financial statements. For example, as per the current </w:t>
            </w:r>
            <w:r w:rsidR="008F67CD">
              <w:rPr>
                <w:rFonts w:cs="Arial"/>
                <w:lang w:val="en-GB"/>
              </w:rPr>
              <w:t>EU</w:t>
            </w:r>
            <w:r w:rsidR="008F67CD" w:rsidRPr="00057ED8">
              <w:rPr>
                <w:rFonts w:cs="Arial"/>
                <w:lang w:val="en-GB"/>
              </w:rPr>
              <w:t xml:space="preserve"> </w:t>
            </w:r>
            <w:r w:rsidRPr="00057ED8">
              <w:rPr>
                <w:rFonts w:cs="Arial"/>
                <w:lang w:val="en-GB"/>
              </w:rPr>
              <w:t>CSRD, not all companies that will be required to provide sustainability information are currently publishing general purpose financial statements</w:t>
            </w:r>
            <w:r w:rsidR="00340150" w:rsidRPr="00057ED8">
              <w:rPr>
                <w:rFonts w:cs="Arial"/>
                <w:lang w:val="en-GB"/>
              </w:rPr>
              <w:t>.</w:t>
            </w:r>
          </w:p>
          <w:p w14:paraId="6DE5253D" w14:textId="77777777" w:rsidR="006240E8" w:rsidRPr="00057ED8" w:rsidRDefault="006240E8" w:rsidP="00812D6D">
            <w:pPr>
              <w:pStyle w:val="Odsekzoznamu"/>
              <w:numPr>
                <w:ilvl w:val="0"/>
                <w:numId w:val="37"/>
              </w:numPr>
              <w:rPr>
                <w:szCs w:val="17"/>
                <w:lang w:val="en-GB"/>
              </w:rPr>
            </w:pPr>
            <w:r w:rsidRPr="00057ED8">
              <w:rPr>
                <w:szCs w:val="17"/>
                <w:highlight w:val="cyan"/>
                <w:lang w:val="en-GB"/>
              </w:rPr>
              <w:t>Broadly agree</w:t>
            </w:r>
            <w:r w:rsidRPr="00057ED8">
              <w:rPr>
                <w:szCs w:val="17"/>
                <w:lang w:val="en-GB"/>
              </w:rPr>
              <w:t xml:space="preserve"> / broadly disagree / other</w:t>
            </w:r>
          </w:p>
          <w:p w14:paraId="10597F2F" w14:textId="47939E52" w:rsidR="00DF29A7" w:rsidRPr="00057ED8" w:rsidRDefault="00DF29A7" w:rsidP="00DF29A7">
            <w:pPr>
              <w:pStyle w:val="Odsekzoznamu"/>
              <w:ind w:left="720" w:firstLine="0"/>
              <w:rPr>
                <w:szCs w:val="17"/>
                <w:lang w:val="en-GB"/>
              </w:rPr>
            </w:pPr>
            <w:r w:rsidRPr="00057ED8">
              <w:rPr>
                <w:szCs w:val="17"/>
                <w:lang w:val="en-GB"/>
              </w:rPr>
              <w:t xml:space="preserve">Yes, </w:t>
            </w:r>
            <w:r w:rsidR="007E1E37" w:rsidRPr="00057ED8">
              <w:rPr>
                <w:szCs w:val="17"/>
                <w:lang w:val="en-GB"/>
              </w:rPr>
              <w:t xml:space="preserve">the </w:t>
            </w:r>
            <w:r w:rsidRPr="00057ED8">
              <w:rPr>
                <w:szCs w:val="17"/>
                <w:lang w:val="en-GB"/>
              </w:rPr>
              <w:t xml:space="preserve">option to cross-reference </w:t>
            </w:r>
            <w:r w:rsidR="00080336" w:rsidRPr="00080336">
              <w:rPr>
                <w:szCs w:val="17"/>
                <w:lang w:val="en-GB"/>
              </w:rPr>
              <w:t xml:space="preserve">— </w:t>
            </w:r>
            <w:r w:rsidRPr="00057ED8">
              <w:rPr>
                <w:szCs w:val="17"/>
                <w:lang w:val="en-GB"/>
              </w:rPr>
              <w:t xml:space="preserve">for instance to CSRD information </w:t>
            </w:r>
            <w:r w:rsidR="00080336" w:rsidRPr="00080336">
              <w:rPr>
                <w:szCs w:val="17"/>
                <w:lang w:val="en-GB"/>
              </w:rPr>
              <w:t xml:space="preserve">— </w:t>
            </w:r>
            <w:r w:rsidRPr="00057ED8">
              <w:rPr>
                <w:szCs w:val="17"/>
                <w:lang w:val="en-GB"/>
              </w:rPr>
              <w:t>is welcomed. It also shows the need for alignment between IFRS standards and ESRS</w:t>
            </w:r>
            <w:r w:rsidR="00EF35A2" w:rsidRPr="00057ED8">
              <w:rPr>
                <w:szCs w:val="17"/>
                <w:lang w:val="en-GB"/>
              </w:rPr>
              <w:t>. Such cross-referencing should be a tool for primary users to facilitate access to sustainability information.</w:t>
            </w:r>
          </w:p>
          <w:p w14:paraId="4A18155C" w14:textId="77777777" w:rsidR="006240E8" w:rsidRPr="00057ED8" w:rsidRDefault="006240E8" w:rsidP="00812D6D">
            <w:pPr>
              <w:pStyle w:val="Odsekzoznamu"/>
              <w:numPr>
                <w:ilvl w:val="0"/>
                <w:numId w:val="37"/>
              </w:numPr>
              <w:rPr>
                <w:szCs w:val="17"/>
                <w:lang w:val="en-GB"/>
              </w:rPr>
            </w:pPr>
            <w:r w:rsidRPr="00057ED8">
              <w:rPr>
                <w:szCs w:val="17"/>
                <w:highlight w:val="cyan"/>
                <w:lang w:val="en-GB"/>
              </w:rPr>
              <w:t>Broadly agree</w:t>
            </w:r>
            <w:r w:rsidRPr="00057ED8">
              <w:rPr>
                <w:szCs w:val="17"/>
                <w:lang w:val="en-GB"/>
              </w:rPr>
              <w:t xml:space="preserve"> / broadly disagree / other</w:t>
            </w:r>
          </w:p>
          <w:p w14:paraId="514C2743" w14:textId="3DE053FF" w:rsidR="00D30DF6" w:rsidRPr="00057ED8" w:rsidRDefault="00E8210F" w:rsidP="004003F9">
            <w:pPr>
              <w:pStyle w:val="Odsekzoznamu"/>
              <w:ind w:left="720" w:firstLine="0"/>
              <w:rPr>
                <w:szCs w:val="17"/>
                <w:lang w:val="en-GB"/>
              </w:rPr>
            </w:pPr>
            <w:r>
              <w:rPr>
                <w:szCs w:val="17"/>
                <w:lang w:val="en-GB"/>
              </w:rPr>
              <w:t>Insurance Europe</w:t>
            </w:r>
            <w:r w:rsidRPr="00057ED8">
              <w:rPr>
                <w:szCs w:val="17"/>
                <w:lang w:val="en-GB"/>
              </w:rPr>
              <w:t xml:space="preserve"> </w:t>
            </w:r>
            <w:r w:rsidR="004003F9" w:rsidRPr="00057ED8">
              <w:rPr>
                <w:szCs w:val="17"/>
                <w:lang w:val="en-GB"/>
              </w:rPr>
              <w:t>fully support</w:t>
            </w:r>
            <w:r>
              <w:rPr>
                <w:szCs w:val="17"/>
                <w:lang w:val="en-GB"/>
              </w:rPr>
              <w:t>s</w:t>
            </w:r>
            <w:r w:rsidR="004003F9" w:rsidRPr="00057ED8">
              <w:rPr>
                <w:szCs w:val="17"/>
                <w:lang w:val="en-GB"/>
              </w:rPr>
              <w:t xml:space="preserve"> the fact that entities are encouraged to make integrated disclosures, especially where the relevant sustainability issues are managed through the same approach and/or in an integrated way</w:t>
            </w:r>
            <w:r w:rsidR="00BE1580" w:rsidRPr="00057ED8">
              <w:rPr>
                <w:szCs w:val="17"/>
                <w:lang w:val="en-GB"/>
              </w:rPr>
              <w:t>. T</w:t>
            </w:r>
            <w:r w:rsidR="004003F9" w:rsidRPr="00057ED8">
              <w:rPr>
                <w:szCs w:val="17"/>
                <w:lang w:val="en-GB"/>
              </w:rPr>
              <w:t>his becomes clear from par</w:t>
            </w:r>
            <w:r w:rsidR="00BE1580" w:rsidRPr="00057ED8">
              <w:rPr>
                <w:szCs w:val="17"/>
                <w:lang w:val="en-GB"/>
              </w:rPr>
              <w:t>a</w:t>
            </w:r>
            <w:r w:rsidR="004003F9" w:rsidRPr="00057ED8">
              <w:rPr>
                <w:szCs w:val="17"/>
                <w:lang w:val="en-GB"/>
              </w:rPr>
              <w:t xml:space="preserve">. 78. Instead of repeating the principle in the Topical Standards (such as in IFRS S2), it could potentially be strengthened in IFRS S1 by, </w:t>
            </w:r>
            <w:r w:rsidR="00BC0F91">
              <w:rPr>
                <w:szCs w:val="17"/>
                <w:lang w:val="en-GB"/>
              </w:rPr>
              <w:t>for instance</w:t>
            </w:r>
            <w:r w:rsidR="004003F9" w:rsidRPr="00057ED8">
              <w:rPr>
                <w:szCs w:val="17"/>
                <w:lang w:val="en-GB"/>
              </w:rPr>
              <w:t>, explicitly adding a) further examples o</w:t>
            </w:r>
            <w:r w:rsidR="00951A15">
              <w:rPr>
                <w:szCs w:val="17"/>
                <w:lang w:val="en-GB"/>
              </w:rPr>
              <w:t>f</w:t>
            </w:r>
            <w:r w:rsidR="004003F9" w:rsidRPr="00057ED8">
              <w:rPr>
                <w:szCs w:val="17"/>
                <w:lang w:val="en-GB"/>
              </w:rPr>
              <w:t xml:space="preserve"> where this is expected and b) a clarification that this principle applies across sustainability topics and matters.</w:t>
            </w:r>
          </w:p>
          <w:p w14:paraId="5B649988" w14:textId="67D77FBB" w:rsidR="00920235" w:rsidRPr="00057ED8" w:rsidRDefault="00920235" w:rsidP="007516F2">
            <w:pPr>
              <w:ind w:left="360"/>
              <w:rPr>
                <w:szCs w:val="17"/>
              </w:rPr>
            </w:pPr>
          </w:p>
        </w:tc>
      </w:tr>
    </w:tbl>
    <w:p w14:paraId="49BFF19C" w14:textId="77777777" w:rsidR="00152882" w:rsidRPr="00057ED8" w:rsidRDefault="00152882" w:rsidP="00F768D9">
      <w:pPr>
        <w:rPr>
          <w:sz w:val="17"/>
          <w:szCs w:val="17"/>
        </w:rPr>
      </w:pPr>
    </w:p>
    <w:p w14:paraId="24E043BA" w14:textId="77777777" w:rsidR="002D5B55" w:rsidRPr="00057ED8" w:rsidRDefault="002D5B55" w:rsidP="00F768D9">
      <w:pPr>
        <w:rPr>
          <w:sz w:val="17"/>
          <w:szCs w:val="17"/>
        </w:rPr>
      </w:pPr>
    </w:p>
    <w:p w14:paraId="3346C459" w14:textId="77777777" w:rsidR="0027140B" w:rsidRPr="00057ED8" w:rsidRDefault="0027140B" w:rsidP="00F768D9">
      <w:pPr>
        <w:rPr>
          <w:b/>
          <w:bCs/>
          <w:sz w:val="17"/>
          <w:szCs w:val="17"/>
        </w:rPr>
      </w:pPr>
      <w:r w:rsidRPr="00057ED8">
        <w:rPr>
          <w:b/>
          <w:bCs/>
          <w:sz w:val="17"/>
          <w:szCs w:val="17"/>
        </w:rPr>
        <w:t>Question 11—Comparative information, sources of estimation and outcome uncertainty, and errors (paragraphs 63–65, 79–83 and 84–90)</w:t>
      </w:r>
    </w:p>
    <w:p w14:paraId="7A089931" w14:textId="77777777" w:rsidR="00375193" w:rsidRPr="00057ED8" w:rsidRDefault="00375193" w:rsidP="00F768D9">
      <w:pPr>
        <w:rPr>
          <w:sz w:val="17"/>
          <w:szCs w:val="17"/>
        </w:rPr>
      </w:pPr>
      <w:r w:rsidRPr="00057ED8">
        <w:rPr>
          <w:sz w:val="17"/>
          <w:szCs w:val="17"/>
        </w:rPr>
        <w:t>The Exposure Draft sets out proposed requirements for comparative information, sources of estimation and outcome uncertainty, and errors. These proposals are based on corresponding concepts for financial statements contained in IAS 1 and IAS 8.</w:t>
      </w:r>
    </w:p>
    <w:p w14:paraId="425F4B48" w14:textId="77777777" w:rsidR="003110D9" w:rsidRPr="00057ED8" w:rsidRDefault="003110D9" w:rsidP="00F768D9">
      <w:pPr>
        <w:rPr>
          <w:sz w:val="17"/>
          <w:szCs w:val="17"/>
        </w:rPr>
      </w:pPr>
    </w:p>
    <w:p w14:paraId="43703C90" w14:textId="7C846CCD" w:rsidR="00375193" w:rsidRPr="00057ED8" w:rsidRDefault="00375193" w:rsidP="00F768D9">
      <w:pPr>
        <w:rPr>
          <w:sz w:val="17"/>
          <w:szCs w:val="17"/>
        </w:rPr>
      </w:pPr>
      <w:r w:rsidRPr="00057ED8">
        <w:rPr>
          <w:sz w:val="17"/>
          <w:szCs w:val="17"/>
        </w:rPr>
        <w:t>However, rather than requiring a change in estimate to be reported as part of the current period disclosures, the Exposure Draft proposes that comparative information which reflects updated estimates be disclosed, except when this would be impracticable</w:t>
      </w:r>
      <w:r w:rsidR="003110D9" w:rsidRPr="00057ED8">
        <w:rPr>
          <w:sz w:val="17"/>
          <w:szCs w:val="17"/>
        </w:rPr>
        <w:t xml:space="preserve"> </w:t>
      </w:r>
      <w:r w:rsidRPr="00057ED8">
        <w:rPr>
          <w:sz w:val="17"/>
          <w:szCs w:val="17"/>
        </w:rPr>
        <w:t>—</w:t>
      </w:r>
      <w:proofErr w:type="spellStart"/>
      <w:proofErr w:type="gramStart"/>
      <w:r w:rsidRPr="00057ED8">
        <w:rPr>
          <w:sz w:val="17"/>
          <w:szCs w:val="17"/>
        </w:rPr>
        <w:t>ie</w:t>
      </w:r>
      <w:proofErr w:type="spellEnd"/>
      <w:proofErr w:type="gramEnd"/>
      <w:r w:rsidRPr="00057ED8">
        <w:rPr>
          <w:sz w:val="17"/>
          <w:szCs w:val="17"/>
        </w:rPr>
        <w:t xml:space="preserve"> the comparatives would be restated to reflect the better estimate.</w:t>
      </w:r>
    </w:p>
    <w:p w14:paraId="223B40A8" w14:textId="77777777" w:rsidR="00080E34" w:rsidRPr="00057ED8" w:rsidRDefault="00080E34" w:rsidP="00F768D9">
      <w:pPr>
        <w:rPr>
          <w:sz w:val="17"/>
          <w:szCs w:val="17"/>
        </w:rPr>
      </w:pPr>
    </w:p>
    <w:p w14:paraId="43D04444" w14:textId="77777777" w:rsidR="00375193" w:rsidRPr="00057ED8" w:rsidRDefault="00375193" w:rsidP="00F768D9">
      <w:pPr>
        <w:rPr>
          <w:sz w:val="17"/>
          <w:szCs w:val="17"/>
        </w:rPr>
      </w:pPr>
      <w:r w:rsidRPr="00057ED8">
        <w:rPr>
          <w:sz w:val="17"/>
          <w:szCs w:val="17"/>
        </w:rPr>
        <w:t>The Exposure Draft also includes a proposed requirement that financial data and assumptions within sustainability-related financial disclosures be consistent with corresponding financial data and assumptions used in the entity’s financial statements, to the extent possible.</w:t>
      </w:r>
    </w:p>
    <w:p w14:paraId="21804C41" w14:textId="77777777" w:rsidR="00080E34" w:rsidRPr="00057ED8" w:rsidRDefault="00080E34" w:rsidP="00F768D9">
      <w:pPr>
        <w:rPr>
          <w:sz w:val="17"/>
          <w:szCs w:val="17"/>
        </w:rPr>
      </w:pPr>
    </w:p>
    <w:p w14:paraId="27D7CA62" w14:textId="77777777" w:rsidR="00375193" w:rsidRPr="00057ED8" w:rsidRDefault="00375193" w:rsidP="006945DC">
      <w:pPr>
        <w:pStyle w:val="Odsekzoznamu"/>
        <w:numPr>
          <w:ilvl w:val="0"/>
          <w:numId w:val="12"/>
        </w:numPr>
        <w:spacing w:before="0" w:line="288" w:lineRule="auto"/>
        <w:rPr>
          <w:szCs w:val="17"/>
          <w:lang w:val="en-GB"/>
        </w:rPr>
      </w:pPr>
      <w:r w:rsidRPr="00057ED8">
        <w:rPr>
          <w:szCs w:val="17"/>
          <w:lang w:val="en-GB"/>
        </w:rPr>
        <w:t>Have these general features been adapted appropriately into the proposals? If not, what should be changed?</w:t>
      </w:r>
    </w:p>
    <w:p w14:paraId="249BB386" w14:textId="77777777" w:rsidR="00080E34" w:rsidRPr="00057ED8" w:rsidRDefault="00080E34" w:rsidP="00F768D9">
      <w:pPr>
        <w:rPr>
          <w:sz w:val="17"/>
          <w:szCs w:val="17"/>
        </w:rPr>
      </w:pPr>
    </w:p>
    <w:p w14:paraId="1C7BD7BD" w14:textId="77777777" w:rsidR="00375193" w:rsidRPr="00057ED8" w:rsidRDefault="00375193" w:rsidP="006945DC">
      <w:pPr>
        <w:pStyle w:val="Odsekzoznamu"/>
        <w:numPr>
          <w:ilvl w:val="0"/>
          <w:numId w:val="12"/>
        </w:numPr>
        <w:spacing w:before="0" w:line="288" w:lineRule="auto"/>
        <w:rPr>
          <w:szCs w:val="17"/>
          <w:lang w:val="en-GB"/>
        </w:rPr>
      </w:pPr>
      <w:r w:rsidRPr="00057ED8">
        <w:rPr>
          <w:szCs w:val="17"/>
          <w:lang w:val="en-GB"/>
        </w:rPr>
        <w:t>Do you agree that if an entity has a better measure of a metric reported in the prior year that it should disclose the revised metric in its comparatives?</w:t>
      </w:r>
    </w:p>
    <w:p w14:paraId="651C0C66" w14:textId="77777777" w:rsidR="00080E34" w:rsidRPr="00057ED8" w:rsidRDefault="00080E34" w:rsidP="00080E34">
      <w:pPr>
        <w:pStyle w:val="Odsekzoznamu"/>
        <w:spacing w:before="0" w:line="288" w:lineRule="auto"/>
        <w:ind w:left="720" w:firstLine="0"/>
        <w:rPr>
          <w:szCs w:val="17"/>
          <w:lang w:val="en-GB"/>
        </w:rPr>
      </w:pPr>
    </w:p>
    <w:p w14:paraId="561021BC" w14:textId="77777777" w:rsidR="00375193" w:rsidRPr="00057ED8" w:rsidRDefault="00375193" w:rsidP="006945DC">
      <w:pPr>
        <w:pStyle w:val="Odsekzoznamu"/>
        <w:numPr>
          <w:ilvl w:val="0"/>
          <w:numId w:val="12"/>
        </w:numPr>
        <w:spacing w:before="0" w:line="288" w:lineRule="auto"/>
        <w:rPr>
          <w:szCs w:val="17"/>
          <w:lang w:val="en-GB"/>
        </w:rPr>
      </w:pPr>
      <w:r w:rsidRPr="00057ED8">
        <w:rPr>
          <w:szCs w:val="17"/>
          <w:lang w:val="en-GB"/>
        </w:rPr>
        <w:t>Do you agree with the proposal that financial data and assumptions within sustainability-related financial disclosures be consistent with corresponding financial data and assumptions used in the entity’s financial statements to the extent possible? Are you aware of any circumstances for which this requirement will not be able to be applied?</w:t>
      </w:r>
    </w:p>
    <w:p w14:paraId="4116FA53" w14:textId="77777777" w:rsidR="00152882" w:rsidRPr="00057ED8" w:rsidRDefault="00152882" w:rsidP="00F768D9">
      <w:pPr>
        <w:rPr>
          <w:sz w:val="17"/>
          <w:szCs w:val="17"/>
        </w:rPr>
      </w:pPr>
    </w:p>
    <w:tbl>
      <w:tblPr>
        <w:tblStyle w:val="Mriekatabuky"/>
        <w:tblW w:w="0" w:type="auto"/>
        <w:tblLook w:val="04A0" w:firstRow="1" w:lastRow="0" w:firstColumn="1" w:lastColumn="0" w:noHBand="0" w:noVBand="1"/>
      </w:tblPr>
      <w:tblGrid>
        <w:gridCol w:w="9521"/>
      </w:tblGrid>
      <w:tr w:rsidR="00920235" w:rsidRPr="00057ED8" w14:paraId="7DD95C36" w14:textId="77777777" w:rsidTr="00C61B54">
        <w:trPr>
          <w:trHeight w:val="1625"/>
        </w:trPr>
        <w:tc>
          <w:tcPr>
            <w:tcW w:w="9521" w:type="dxa"/>
          </w:tcPr>
          <w:p w14:paraId="69C87264" w14:textId="77777777" w:rsidR="006240E8" w:rsidRPr="00057ED8" w:rsidRDefault="006240E8" w:rsidP="00812D6D">
            <w:pPr>
              <w:pStyle w:val="Odsekzoznamu"/>
              <w:numPr>
                <w:ilvl w:val="0"/>
                <w:numId w:val="38"/>
              </w:numPr>
              <w:rPr>
                <w:szCs w:val="17"/>
                <w:lang w:val="en-GB"/>
              </w:rPr>
            </w:pPr>
            <w:r w:rsidRPr="00057ED8">
              <w:rPr>
                <w:szCs w:val="17"/>
                <w:highlight w:val="cyan"/>
                <w:lang w:val="en-GB"/>
              </w:rPr>
              <w:t>Broadly agree</w:t>
            </w:r>
            <w:r w:rsidRPr="00057ED8">
              <w:rPr>
                <w:szCs w:val="17"/>
                <w:lang w:val="en-GB"/>
              </w:rPr>
              <w:t xml:space="preserve"> / broadly disagree / other</w:t>
            </w:r>
          </w:p>
          <w:p w14:paraId="7E54FB6A" w14:textId="30855438" w:rsidR="009129FE" w:rsidRPr="00057ED8" w:rsidRDefault="00077372" w:rsidP="009129FE">
            <w:pPr>
              <w:pStyle w:val="Odsekzoznamu"/>
              <w:ind w:left="720" w:firstLine="0"/>
              <w:rPr>
                <w:szCs w:val="17"/>
                <w:lang w:val="en-GB"/>
              </w:rPr>
            </w:pPr>
            <w:r>
              <w:rPr>
                <w:szCs w:val="17"/>
                <w:lang w:val="en-GB"/>
              </w:rPr>
              <w:t>Insurance Europ</w:t>
            </w:r>
            <w:r w:rsidR="009129FE" w:rsidRPr="00057ED8">
              <w:rPr>
                <w:szCs w:val="17"/>
                <w:lang w:val="en-GB"/>
              </w:rPr>
              <w:t>e welcome</w:t>
            </w:r>
            <w:r>
              <w:rPr>
                <w:szCs w:val="17"/>
                <w:lang w:val="en-GB"/>
              </w:rPr>
              <w:t>s</w:t>
            </w:r>
            <w:r w:rsidR="009129FE" w:rsidRPr="00057ED8">
              <w:rPr>
                <w:szCs w:val="17"/>
                <w:lang w:val="en-GB"/>
              </w:rPr>
              <w:t xml:space="preserve"> the possibility to use reasonable estimates (para. 79) given the current low level of sustainability information publicly disclosed</w:t>
            </w:r>
            <w:r w:rsidR="00ED12D5" w:rsidRPr="00057ED8">
              <w:rPr>
                <w:szCs w:val="17"/>
                <w:lang w:val="en-GB"/>
              </w:rPr>
              <w:t xml:space="preserve">. </w:t>
            </w:r>
            <w:r w:rsidR="004955A5">
              <w:rPr>
                <w:szCs w:val="17"/>
                <w:lang w:val="en-GB"/>
              </w:rPr>
              <w:t>It</w:t>
            </w:r>
            <w:r w:rsidR="004955A5" w:rsidRPr="00057ED8">
              <w:rPr>
                <w:szCs w:val="17"/>
                <w:lang w:val="en-GB"/>
              </w:rPr>
              <w:t xml:space="preserve"> </w:t>
            </w:r>
            <w:r w:rsidR="00ED12D5" w:rsidRPr="00057ED8">
              <w:rPr>
                <w:szCs w:val="17"/>
                <w:lang w:val="en-GB"/>
              </w:rPr>
              <w:t>also note</w:t>
            </w:r>
            <w:r w:rsidR="004955A5">
              <w:rPr>
                <w:szCs w:val="17"/>
                <w:lang w:val="en-GB"/>
              </w:rPr>
              <w:t>s</w:t>
            </w:r>
            <w:r w:rsidR="00ED12D5" w:rsidRPr="00057ED8">
              <w:rPr>
                <w:szCs w:val="17"/>
                <w:lang w:val="en-GB"/>
              </w:rPr>
              <w:t xml:space="preserve"> that determining opportunities under a long</w:t>
            </w:r>
            <w:r w:rsidR="00411E45" w:rsidRPr="00057ED8">
              <w:rPr>
                <w:szCs w:val="17"/>
                <w:lang w:val="en-GB"/>
              </w:rPr>
              <w:t>-</w:t>
            </w:r>
            <w:r w:rsidR="00ED12D5" w:rsidRPr="00057ED8">
              <w:rPr>
                <w:szCs w:val="17"/>
                <w:lang w:val="en-GB"/>
              </w:rPr>
              <w:t>term time horizon credibly and reliably will be particularly challenging and a subjective exercise.</w:t>
            </w:r>
            <w:r w:rsidR="00AA2D41">
              <w:rPr>
                <w:szCs w:val="17"/>
                <w:lang w:val="en-GB"/>
              </w:rPr>
              <w:t xml:space="preserve"> Furthermore, it should be noted that the disclosing</w:t>
            </w:r>
            <w:r w:rsidR="00FA2729">
              <w:rPr>
                <w:szCs w:val="17"/>
                <w:lang w:val="en-GB"/>
              </w:rPr>
              <w:t xml:space="preserve"> of certain type</w:t>
            </w:r>
            <w:r w:rsidR="00406620">
              <w:rPr>
                <w:szCs w:val="17"/>
                <w:lang w:val="en-GB"/>
              </w:rPr>
              <w:t>s</w:t>
            </w:r>
            <w:r w:rsidR="00FA2729">
              <w:rPr>
                <w:szCs w:val="17"/>
                <w:lang w:val="en-GB"/>
              </w:rPr>
              <w:t xml:space="preserve"> of information could prove challenging due to existing rules and policies regarding professional secrecy or the dissemination of </w:t>
            </w:r>
            <w:r w:rsidR="001C155E">
              <w:rPr>
                <w:szCs w:val="17"/>
                <w:lang w:val="en-GB"/>
              </w:rPr>
              <w:t>commercially</w:t>
            </w:r>
            <w:r w:rsidR="00FA2729">
              <w:rPr>
                <w:szCs w:val="17"/>
                <w:lang w:val="en-GB"/>
              </w:rPr>
              <w:t xml:space="preserve"> sensitive information.</w:t>
            </w:r>
          </w:p>
          <w:p w14:paraId="38AF7058" w14:textId="77777777" w:rsidR="006240E8" w:rsidRPr="00057ED8" w:rsidRDefault="006240E8" w:rsidP="00812D6D">
            <w:pPr>
              <w:pStyle w:val="Odsekzoznamu"/>
              <w:numPr>
                <w:ilvl w:val="0"/>
                <w:numId w:val="38"/>
              </w:numPr>
              <w:rPr>
                <w:szCs w:val="17"/>
                <w:lang w:val="en-GB"/>
              </w:rPr>
            </w:pPr>
            <w:r w:rsidRPr="00057ED8">
              <w:rPr>
                <w:szCs w:val="17"/>
                <w:lang w:val="en-GB"/>
              </w:rPr>
              <w:t xml:space="preserve">Broadly agree / broadly disagree / </w:t>
            </w:r>
            <w:r w:rsidRPr="00057ED8">
              <w:rPr>
                <w:szCs w:val="17"/>
                <w:highlight w:val="cyan"/>
                <w:lang w:val="en-GB"/>
              </w:rPr>
              <w:t>other</w:t>
            </w:r>
          </w:p>
          <w:p w14:paraId="6DD7ED54" w14:textId="2F44CFC9" w:rsidR="0098114A" w:rsidRPr="00344811" w:rsidRDefault="00E24DC7" w:rsidP="0098114A">
            <w:pPr>
              <w:pStyle w:val="Odsekzoznamu"/>
              <w:ind w:left="720" w:firstLine="0"/>
            </w:pPr>
            <w:r>
              <w:rPr>
                <w:lang w:val="en-GB"/>
              </w:rPr>
              <w:t>Insurance Europ</w:t>
            </w:r>
            <w:r w:rsidR="004538EF" w:rsidRPr="00057ED8">
              <w:rPr>
                <w:lang w:val="en-GB"/>
              </w:rPr>
              <w:t>e agree</w:t>
            </w:r>
            <w:r>
              <w:rPr>
                <w:lang w:val="en-GB"/>
              </w:rPr>
              <w:t>s</w:t>
            </w:r>
            <w:r w:rsidR="004538EF" w:rsidRPr="00057ED8">
              <w:rPr>
                <w:lang w:val="en-GB"/>
              </w:rPr>
              <w:t xml:space="preserve"> that if a company has a better measure of a metric reported in the prior year</w:t>
            </w:r>
            <w:r w:rsidR="00ED12D5" w:rsidRPr="00057ED8">
              <w:rPr>
                <w:lang w:val="en-GB"/>
              </w:rPr>
              <w:t xml:space="preserve"> </w:t>
            </w:r>
            <w:r w:rsidR="00F972D3">
              <w:rPr>
                <w:lang w:val="en-GB"/>
              </w:rPr>
              <w:t>that</w:t>
            </w:r>
            <w:r w:rsidR="00F972D3" w:rsidRPr="00057ED8">
              <w:rPr>
                <w:lang w:val="en-GB"/>
              </w:rPr>
              <w:t xml:space="preserve"> </w:t>
            </w:r>
            <w:r w:rsidR="00ED12D5" w:rsidRPr="00057ED8">
              <w:rPr>
                <w:lang w:val="en-GB"/>
              </w:rPr>
              <w:t xml:space="preserve">is materially different </w:t>
            </w:r>
            <w:r w:rsidR="00F972D3">
              <w:rPr>
                <w:lang w:val="en-GB"/>
              </w:rPr>
              <w:t>to</w:t>
            </w:r>
            <w:r w:rsidR="00F972D3" w:rsidRPr="00057ED8">
              <w:rPr>
                <w:lang w:val="en-GB"/>
              </w:rPr>
              <w:t xml:space="preserve"> </w:t>
            </w:r>
            <w:r w:rsidR="00ED12D5" w:rsidRPr="00057ED8">
              <w:rPr>
                <w:lang w:val="en-GB"/>
              </w:rPr>
              <w:t>the one reported</w:t>
            </w:r>
            <w:r w:rsidR="004538EF" w:rsidRPr="00057ED8">
              <w:rPr>
                <w:lang w:val="en-GB"/>
              </w:rPr>
              <w:t>, it should disclose the revised metric in its comparatives</w:t>
            </w:r>
            <w:r w:rsidR="00E31B15" w:rsidRPr="00057ED8">
              <w:rPr>
                <w:lang w:val="en-GB"/>
              </w:rPr>
              <w:t xml:space="preserve"> within </w:t>
            </w:r>
            <w:r w:rsidR="00F972D3">
              <w:rPr>
                <w:lang w:val="en-GB"/>
              </w:rPr>
              <w:t xml:space="preserve">the bounds of </w:t>
            </w:r>
            <w:r w:rsidR="00E31B15" w:rsidRPr="00057ED8">
              <w:rPr>
                <w:lang w:val="en-GB"/>
              </w:rPr>
              <w:t>reasonable effort and following the exemptions allowed under</w:t>
            </w:r>
            <w:r w:rsidR="004538EF" w:rsidRPr="00057ED8">
              <w:rPr>
                <w:lang w:val="en-GB"/>
              </w:rPr>
              <w:t xml:space="preserve"> par</w:t>
            </w:r>
            <w:r w:rsidR="00E31B15" w:rsidRPr="00057ED8">
              <w:rPr>
                <w:lang w:val="en-GB"/>
              </w:rPr>
              <w:t>agraph</w:t>
            </w:r>
            <w:r w:rsidR="004538EF" w:rsidRPr="00057ED8">
              <w:rPr>
                <w:lang w:val="en-GB"/>
              </w:rPr>
              <w:t xml:space="preserve"> 65.</w:t>
            </w:r>
            <w:r w:rsidR="00946D6E" w:rsidRPr="00057ED8">
              <w:rPr>
                <w:lang w:val="en-GB"/>
              </w:rPr>
              <w:t xml:space="preserve"> </w:t>
            </w:r>
            <w:r w:rsidR="001F4427" w:rsidRPr="00057ED8">
              <w:rPr>
                <w:lang w:val="en-GB"/>
              </w:rPr>
              <w:t>Indeed, w</w:t>
            </w:r>
            <w:r w:rsidR="00800E72" w:rsidRPr="00057ED8">
              <w:rPr>
                <w:lang w:val="en-GB"/>
              </w:rPr>
              <w:t>hile back-testing and restating may bring relevant information to users, it might also come with significant efforts for companies to produce such information</w:t>
            </w:r>
            <w:r w:rsidR="00927D94" w:rsidRPr="00057ED8">
              <w:rPr>
                <w:lang w:val="en-GB"/>
              </w:rPr>
              <w:t>. It should not be an obstacle that prevents companies from testing new</w:t>
            </w:r>
            <w:r w:rsidR="003E046B">
              <w:rPr>
                <w:lang w:val="en-GB"/>
              </w:rPr>
              <w:t>,</w:t>
            </w:r>
            <w:r w:rsidR="00927D94" w:rsidRPr="00057ED8">
              <w:rPr>
                <w:lang w:val="en-GB"/>
              </w:rPr>
              <w:t xml:space="preserve"> innovative quantitative methodologies.</w:t>
            </w:r>
            <w:r w:rsidR="00C87D7B" w:rsidRPr="00057ED8">
              <w:rPr>
                <w:lang w:val="en-GB"/>
              </w:rPr>
              <w:t xml:space="preserve"> Innovation is key in the ESG field</w:t>
            </w:r>
            <w:r w:rsidR="003E046B">
              <w:rPr>
                <w:lang w:val="en-GB"/>
              </w:rPr>
              <w:t>,</w:t>
            </w:r>
            <w:r w:rsidR="00C87D7B" w:rsidRPr="00057ED8">
              <w:rPr>
                <w:lang w:val="en-GB"/>
              </w:rPr>
              <w:t xml:space="preserve"> where research is still needed.</w:t>
            </w:r>
            <w:r w:rsidR="004538EF" w:rsidRPr="00057ED8">
              <w:rPr>
                <w:lang w:val="en-GB"/>
              </w:rPr>
              <w:t xml:space="preserve"> </w:t>
            </w:r>
            <w:r w:rsidR="00C86FD4" w:rsidRPr="00057ED8">
              <w:rPr>
                <w:lang w:val="en-GB"/>
              </w:rPr>
              <w:t xml:space="preserve">In this regard, </w:t>
            </w:r>
            <w:r w:rsidR="003E046B">
              <w:rPr>
                <w:lang w:val="en-GB"/>
              </w:rPr>
              <w:t>Insurance Europe</w:t>
            </w:r>
            <w:r w:rsidR="003E046B" w:rsidRPr="00057ED8">
              <w:rPr>
                <w:lang w:val="en-GB"/>
              </w:rPr>
              <w:t xml:space="preserve"> </w:t>
            </w:r>
            <w:r w:rsidR="00C86FD4" w:rsidRPr="00057ED8">
              <w:rPr>
                <w:lang w:val="en-GB"/>
              </w:rPr>
              <w:t xml:space="preserve">would like </w:t>
            </w:r>
            <w:r w:rsidR="00310DDF" w:rsidRPr="00057ED8">
              <w:rPr>
                <w:lang w:val="en-GB"/>
              </w:rPr>
              <w:t xml:space="preserve">to </w:t>
            </w:r>
            <w:r w:rsidR="001B062A" w:rsidRPr="00057ED8">
              <w:rPr>
                <w:lang w:val="en-GB"/>
              </w:rPr>
              <w:t>suggest the following change</w:t>
            </w:r>
            <w:r w:rsidR="00C86FD4" w:rsidRPr="00057ED8">
              <w:rPr>
                <w:lang w:val="en-GB"/>
              </w:rPr>
              <w:t xml:space="preserve">: “When it is impracticable </w:t>
            </w:r>
            <w:r w:rsidR="00BF62DB">
              <w:rPr>
                <w:bCs/>
                <w:lang w:val="en-GB"/>
              </w:rPr>
              <w:t>under</w:t>
            </w:r>
            <w:r w:rsidR="00BF62DB" w:rsidRPr="00DA06FC">
              <w:rPr>
                <w:bCs/>
                <w:lang w:val="en-GB"/>
              </w:rPr>
              <w:t xml:space="preserve"> </w:t>
            </w:r>
            <w:r w:rsidR="00C86FD4" w:rsidRPr="00DA06FC">
              <w:rPr>
                <w:bCs/>
                <w:lang w:val="en-GB"/>
              </w:rPr>
              <w:t>a best-effort approach</w:t>
            </w:r>
            <w:r w:rsidR="00C86FD4" w:rsidRPr="00057ED8">
              <w:rPr>
                <w:lang w:val="en-GB"/>
              </w:rPr>
              <w:t xml:space="preserve"> to adjust comparative information for one or more prior periods, an entity shall disclose that fact.</w:t>
            </w:r>
            <w:r w:rsidR="00BF62DB">
              <w:rPr>
                <w:lang w:val="en-GB"/>
              </w:rPr>
              <w:t>”</w:t>
            </w:r>
            <w:r w:rsidR="008B6815">
              <w:rPr>
                <w:lang w:val="en-GB"/>
              </w:rPr>
              <w:t xml:space="preserve"> </w:t>
            </w:r>
            <w:r w:rsidR="007679BF">
              <w:t>A</w:t>
            </w:r>
            <w:r w:rsidR="0098114A" w:rsidRPr="0098114A">
              <w:t>s regards par</w:t>
            </w:r>
            <w:r w:rsidR="0098114A">
              <w:t>a</w:t>
            </w:r>
            <w:r w:rsidR="0098114A" w:rsidRPr="0098114A">
              <w:t xml:space="preserve">. 65, </w:t>
            </w:r>
            <w:r w:rsidR="00012B59">
              <w:t>Insurance Europ</w:t>
            </w:r>
            <w:r w:rsidR="0098114A" w:rsidRPr="0098114A">
              <w:t xml:space="preserve">e </w:t>
            </w:r>
            <w:r w:rsidR="00012B59">
              <w:t xml:space="preserve">does, however, </w:t>
            </w:r>
            <w:r w:rsidR="0098114A" w:rsidRPr="0098114A">
              <w:t>suggest requir</w:t>
            </w:r>
            <w:r w:rsidR="0098114A">
              <w:t>ing</w:t>
            </w:r>
            <w:r w:rsidR="0098114A" w:rsidRPr="0098114A">
              <w:t xml:space="preserve"> information on a) why the comparative information should have been changed, even if computing new data is impracticable</w:t>
            </w:r>
            <w:r w:rsidR="001E4CCD">
              <w:t>,</w:t>
            </w:r>
            <w:r w:rsidR="0098114A" w:rsidRPr="0098114A">
              <w:t xml:space="preserve"> and b) the likely impact that the revision would have had (via a qualitative/narrative disclosure or a range estimate)</w:t>
            </w:r>
            <w:r w:rsidR="0098114A">
              <w:t>.</w:t>
            </w:r>
          </w:p>
          <w:p w14:paraId="2037179F" w14:textId="35C98E10" w:rsidR="009D294A" w:rsidRPr="00057ED8" w:rsidRDefault="007A68BC" w:rsidP="009129FE">
            <w:pPr>
              <w:pStyle w:val="Odsekzoznamu"/>
              <w:ind w:left="720" w:firstLine="0"/>
              <w:rPr>
                <w:szCs w:val="17"/>
                <w:lang w:val="en-GB"/>
              </w:rPr>
            </w:pPr>
            <w:r w:rsidRPr="00057ED8">
              <w:rPr>
                <w:szCs w:val="17"/>
                <w:lang w:val="en-GB"/>
              </w:rPr>
              <w:t>The requirement to provide information on the entity’s future</w:t>
            </w:r>
            <w:r w:rsidR="009752C5" w:rsidRPr="00057ED8">
              <w:rPr>
                <w:szCs w:val="17"/>
                <w:lang w:val="en-GB"/>
              </w:rPr>
              <w:t xml:space="preserve"> cash flows in the long-term horizon (para. 81) </w:t>
            </w:r>
            <w:r w:rsidR="00552379">
              <w:rPr>
                <w:szCs w:val="17"/>
                <w:lang w:val="en-GB"/>
              </w:rPr>
              <w:t xml:space="preserve">is subject to significant uncertainty and judgment, especially if intended to be addressed via quantitative disclosures, </w:t>
            </w:r>
            <w:r w:rsidR="009752C5" w:rsidRPr="00057ED8">
              <w:rPr>
                <w:szCs w:val="17"/>
                <w:lang w:val="en-GB"/>
              </w:rPr>
              <w:t xml:space="preserve">given the difficulty of projecting potential future material events and thus </w:t>
            </w:r>
            <w:r w:rsidR="00B75A45">
              <w:rPr>
                <w:szCs w:val="17"/>
                <w:lang w:val="en-GB"/>
              </w:rPr>
              <w:t>of</w:t>
            </w:r>
            <w:r w:rsidR="00B75A45" w:rsidRPr="00057ED8">
              <w:rPr>
                <w:szCs w:val="17"/>
                <w:lang w:val="en-GB"/>
              </w:rPr>
              <w:t xml:space="preserve"> </w:t>
            </w:r>
            <w:r w:rsidR="009752C5" w:rsidRPr="00057ED8">
              <w:rPr>
                <w:szCs w:val="17"/>
                <w:lang w:val="en-GB"/>
              </w:rPr>
              <w:t>produc</w:t>
            </w:r>
            <w:r w:rsidR="00B75A45">
              <w:rPr>
                <w:szCs w:val="17"/>
                <w:lang w:val="en-GB"/>
              </w:rPr>
              <w:t>ing</w:t>
            </w:r>
            <w:r w:rsidR="009752C5" w:rsidRPr="00057ED8">
              <w:rPr>
                <w:szCs w:val="17"/>
                <w:lang w:val="en-GB"/>
              </w:rPr>
              <w:t xml:space="preserve"> such information in a credible and reliable manner.</w:t>
            </w:r>
            <w:r w:rsidR="00EE4410">
              <w:rPr>
                <w:szCs w:val="17"/>
                <w:lang w:val="en-GB"/>
              </w:rPr>
              <w:t xml:space="preserve"> Companies should not be required to report non-reliable information and appropriate safeguards need to apply for any forward-looking information.</w:t>
            </w:r>
          </w:p>
          <w:p w14:paraId="2849AABC" w14:textId="77777777" w:rsidR="00294F9E" w:rsidRPr="00057ED8" w:rsidRDefault="006240E8" w:rsidP="00812D6D">
            <w:pPr>
              <w:pStyle w:val="Odsekzoznamu"/>
              <w:numPr>
                <w:ilvl w:val="0"/>
                <w:numId w:val="38"/>
              </w:numPr>
              <w:rPr>
                <w:szCs w:val="17"/>
                <w:lang w:val="en-GB"/>
              </w:rPr>
            </w:pPr>
            <w:r w:rsidRPr="00057ED8">
              <w:rPr>
                <w:szCs w:val="17"/>
                <w:highlight w:val="cyan"/>
                <w:lang w:val="en-GB"/>
              </w:rPr>
              <w:t>Broadly agree</w:t>
            </w:r>
            <w:r w:rsidRPr="00057ED8">
              <w:rPr>
                <w:szCs w:val="17"/>
                <w:lang w:val="en-GB"/>
              </w:rPr>
              <w:t xml:space="preserve"> / broadly disagree / other</w:t>
            </w:r>
          </w:p>
          <w:p w14:paraId="493E1ADE" w14:textId="105BC04D" w:rsidR="004B2716" w:rsidRPr="00057ED8" w:rsidRDefault="009A2573" w:rsidP="00294F9E">
            <w:pPr>
              <w:pStyle w:val="Odsekzoznamu"/>
              <w:ind w:left="720" w:firstLine="0"/>
              <w:rPr>
                <w:szCs w:val="17"/>
                <w:lang w:val="en-GB"/>
              </w:rPr>
            </w:pPr>
            <w:r>
              <w:rPr>
                <w:szCs w:val="17"/>
                <w:lang w:val="en-GB"/>
              </w:rPr>
              <w:t>Insurance Europ</w:t>
            </w:r>
            <w:r w:rsidR="00294F9E" w:rsidRPr="00057ED8">
              <w:rPr>
                <w:szCs w:val="17"/>
                <w:lang w:val="en-GB"/>
              </w:rPr>
              <w:t>e fully agree</w:t>
            </w:r>
            <w:r>
              <w:rPr>
                <w:szCs w:val="17"/>
                <w:lang w:val="en-GB"/>
              </w:rPr>
              <w:t>s</w:t>
            </w:r>
            <w:r w:rsidR="00294F9E" w:rsidRPr="00057ED8">
              <w:rPr>
                <w:szCs w:val="17"/>
                <w:lang w:val="en-GB"/>
              </w:rPr>
              <w:t xml:space="preserve">. Where this is not possible, there should be a disclosure, including the rationale for any respective inconsistencies. </w:t>
            </w:r>
          </w:p>
          <w:p w14:paraId="415F3DF9" w14:textId="2AECFE33" w:rsidR="00294F9E" w:rsidRPr="00057ED8" w:rsidRDefault="006821CE" w:rsidP="00CF2ED4">
            <w:pPr>
              <w:pStyle w:val="CEABullet-Level1"/>
              <w:numPr>
                <w:ilvl w:val="0"/>
                <w:numId w:val="0"/>
              </w:numPr>
              <w:spacing w:line="240" w:lineRule="auto"/>
              <w:ind w:left="731" w:right="1056"/>
              <w:rPr>
                <w:szCs w:val="17"/>
              </w:rPr>
            </w:pPr>
            <w:r>
              <w:rPr>
                <w:szCs w:val="17"/>
              </w:rPr>
              <w:t>T</w:t>
            </w:r>
            <w:r w:rsidR="00111907" w:rsidRPr="00057ED8">
              <w:rPr>
                <w:szCs w:val="17"/>
              </w:rPr>
              <w:t>here might be difficulties</w:t>
            </w:r>
            <w:r w:rsidR="00663642">
              <w:rPr>
                <w:szCs w:val="17"/>
              </w:rPr>
              <w:t>,</w:t>
            </w:r>
            <w:r w:rsidR="00111907" w:rsidRPr="00057ED8">
              <w:rPr>
                <w:szCs w:val="17"/>
              </w:rPr>
              <w:t xml:space="preserve"> </w:t>
            </w:r>
            <w:r>
              <w:rPr>
                <w:szCs w:val="17"/>
              </w:rPr>
              <w:t xml:space="preserve">as connectivity may not be achievable </w:t>
            </w:r>
            <w:r w:rsidR="00663642">
              <w:rPr>
                <w:szCs w:val="17"/>
              </w:rPr>
              <w:t>for</w:t>
            </w:r>
            <w:r>
              <w:rPr>
                <w:szCs w:val="17"/>
              </w:rPr>
              <w:t xml:space="preserve"> all reported information. </w:t>
            </w:r>
          </w:p>
        </w:tc>
      </w:tr>
    </w:tbl>
    <w:p w14:paraId="11770565" w14:textId="77777777" w:rsidR="002D5B55" w:rsidRPr="00057ED8" w:rsidRDefault="002D5B55" w:rsidP="00F768D9">
      <w:pPr>
        <w:rPr>
          <w:sz w:val="17"/>
          <w:szCs w:val="17"/>
        </w:rPr>
      </w:pPr>
    </w:p>
    <w:p w14:paraId="298E2775" w14:textId="77777777" w:rsidR="00152882" w:rsidRPr="00057ED8" w:rsidRDefault="00152882" w:rsidP="00F768D9">
      <w:pPr>
        <w:rPr>
          <w:sz w:val="17"/>
          <w:szCs w:val="17"/>
        </w:rPr>
      </w:pPr>
    </w:p>
    <w:p w14:paraId="35ABDF81" w14:textId="77777777" w:rsidR="00CF324C" w:rsidRPr="00057ED8" w:rsidRDefault="00CF324C" w:rsidP="00F768D9">
      <w:pPr>
        <w:rPr>
          <w:b/>
          <w:bCs/>
          <w:sz w:val="17"/>
          <w:szCs w:val="17"/>
        </w:rPr>
      </w:pPr>
      <w:r w:rsidRPr="00057ED8">
        <w:rPr>
          <w:b/>
          <w:bCs/>
          <w:sz w:val="17"/>
          <w:szCs w:val="17"/>
        </w:rPr>
        <w:t>Question 12—Statement of compliance (paragraphs 91-92)</w:t>
      </w:r>
    </w:p>
    <w:p w14:paraId="334CB332" w14:textId="77777777" w:rsidR="009F7037" w:rsidRPr="00057ED8" w:rsidRDefault="009F7037" w:rsidP="00F768D9">
      <w:pPr>
        <w:rPr>
          <w:sz w:val="17"/>
          <w:szCs w:val="17"/>
        </w:rPr>
      </w:pPr>
      <w:r w:rsidRPr="00057ED8">
        <w:rPr>
          <w:sz w:val="17"/>
          <w:szCs w:val="17"/>
        </w:rPr>
        <w:t>The Exposure Draft proposes that for an entity to claim compliance with IFRS Sustainability Disclosure Standards, it would be required to comply with the proposals in the Exposure Draft and all of the requirements of applicable IFRS Sustainability Disclosure Standards. Furthermore, the entity would be required to include an explicit and unqualified statement that it has complied with all of these requirements.</w:t>
      </w:r>
    </w:p>
    <w:p w14:paraId="6786536C" w14:textId="77777777" w:rsidR="009D608B" w:rsidRPr="00057ED8" w:rsidRDefault="009D608B" w:rsidP="00F768D9">
      <w:pPr>
        <w:rPr>
          <w:sz w:val="17"/>
          <w:szCs w:val="17"/>
        </w:rPr>
      </w:pPr>
    </w:p>
    <w:p w14:paraId="20834694" w14:textId="77777777" w:rsidR="009F7037" w:rsidRPr="00057ED8" w:rsidRDefault="009F7037" w:rsidP="00F768D9">
      <w:pPr>
        <w:rPr>
          <w:sz w:val="17"/>
          <w:szCs w:val="17"/>
        </w:rPr>
      </w:pPr>
      <w:r w:rsidRPr="00057ED8">
        <w:rPr>
          <w:sz w:val="17"/>
          <w:szCs w:val="17"/>
        </w:rPr>
        <w:t>The Exposure Draft proposes a relief for an entity. It would not be required to disclose information otherwise required by an IFRS Sustainability Disclosure Standard if local laws or regulations prohibit the entity from disclosing that information. An entity using that relief is not prevented from asserting compliance with IFRS Sustainability Disclosure Standards.</w:t>
      </w:r>
    </w:p>
    <w:p w14:paraId="7E3D950E" w14:textId="77777777" w:rsidR="009D608B" w:rsidRPr="00057ED8" w:rsidRDefault="009D608B" w:rsidP="00F768D9">
      <w:pPr>
        <w:rPr>
          <w:sz w:val="17"/>
          <w:szCs w:val="17"/>
        </w:rPr>
      </w:pPr>
    </w:p>
    <w:p w14:paraId="67376531" w14:textId="77777777" w:rsidR="009F7037" w:rsidRPr="00057ED8" w:rsidRDefault="009F7037" w:rsidP="00F768D9">
      <w:pPr>
        <w:rPr>
          <w:sz w:val="17"/>
          <w:szCs w:val="17"/>
        </w:rPr>
      </w:pPr>
      <w:r w:rsidRPr="00057ED8">
        <w:rPr>
          <w:sz w:val="17"/>
          <w:szCs w:val="17"/>
        </w:rPr>
        <w:t>Do you agree with this proposal? Why or why not? If not, what would you suggest and why?</w:t>
      </w:r>
    </w:p>
    <w:p w14:paraId="21AA5694" w14:textId="77777777" w:rsidR="00152882" w:rsidRPr="00057ED8" w:rsidRDefault="00152882" w:rsidP="00F768D9">
      <w:pPr>
        <w:rPr>
          <w:sz w:val="17"/>
          <w:szCs w:val="17"/>
        </w:rPr>
      </w:pPr>
    </w:p>
    <w:tbl>
      <w:tblPr>
        <w:tblStyle w:val="Mriekatabuky"/>
        <w:tblW w:w="0" w:type="auto"/>
        <w:tblLook w:val="04A0" w:firstRow="1" w:lastRow="0" w:firstColumn="1" w:lastColumn="0" w:noHBand="0" w:noVBand="1"/>
      </w:tblPr>
      <w:tblGrid>
        <w:gridCol w:w="9521"/>
      </w:tblGrid>
      <w:tr w:rsidR="00920235" w:rsidRPr="00057ED8" w14:paraId="4269C7FA" w14:textId="77777777" w:rsidTr="00C61B54">
        <w:trPr>
          <w:trHeight w:val="1625"/>
        </w:trPr>
        <w:tc>
          <w:tcPr>
            <w:tcW w:w="9521" w:type="dxa"/>
          </w:tcPr>
          <w:p w14:paraId="39D07277" w14:textId="67387FEB" w:rsidR="006240E8" w:rsidRPr="00057ED8" w:rsidRDefault="006240E8" w:rsidP="000068EC">
            <w:pPr>
              <w:spacing w:line="240" w:lineRule="auto"/>
              <w:ind w:left="458" w:right="1050"/>
              <w:rPr>
                <w:rFonts w:eastAsia="Bookman Old Style" w:cs="Bookman Old Style"/>
                <w:sz w:val="17"/>
                <w:szCs w:val="17"/>
              </w:rPr>
            </w:pPr>
            <w:r w:rsidRPr="00057ED8">
              <w:rPr>
                <w:rFonts w:eastAsia="Bookman Old Style" w:cs="Bookman Old Style"/>
                <w:sz w:val="17"/>
                <w:szCs w:val="17"/>
              </w:rPr>
              <w:lastRenderedPageBreak/>
              <w:t xml:space="preserve">Broadly agree / broadly disagree / </w:t>
            </w:r>
            <w:r w:rsidRPr="00057ED8">
              <w:rPr>
                <w:rFonts w:eastAsia="Bookman Old Style" w:cs="Bookman Old Style"/>
                <w:sz w:val="17"/>
                <w:szCs w:val="17"/>
                <w:highlight w:val="cyan"/>
              </w:rPr>
              <w:t>other</w:t>
            </w:r>
          </w:p>
          <w:p w14:paraId="7E515208" w14:textId="77777777" w:rsidR="00651F8F" w:rsidRPr="00057ED8" w:rsidRDefault="00651F8F" w:rsidP="000068EC">
            <w:pPr>
              <w:spacing w:line="240" w:lineRule="auto"/>
              <w:ind w:left="458" w:right="1050"/>
              <w:rPr>
                <w:rFonts w:eastAsia="Bookman Old Style" w:cs="Bookman Old Style"/>
                <w:sz w:val="17"/>
                <w:szCs w:val="17"/>
              </w:rPr>
            </w:pPr>
          </w:p>
          <w:p w14:paraId="5A639A76" w14:textId="60E0B527" w:rsidR="00A63756" w:rsidRPr="00057ED8" w:rsidRDefault="00A63756" w:rsidP="00A63756">
            <w:pPr>
              <w:spacing w:line="240" w:lineRule="auto"/>
              <w:ind w:left="458" w:right="1050"/>
              <w:rPr>
                <w:rFonts w:eastAsia="Bookman Old Style" w:cs="Bookman Old Style"/>
                <w:sz w:val="17"/>
                <w:szCs w:val="17"/>
              </w:rPr>
            </w:pPr>
            <w:r w:rsidRPr="00057ED8">
              <w:rPr>
                <w:rFonts w:eastAsia="Bookman Old Style" w:cs="Bookman Old Style"/>
                <w:sz w:val="17"/>
                <w:szCs w:val="17"/>
              </w:rPr>
              <w:t xml:space="preserve">As data related to sustainability issues is complex and sometimes flawed, </w:t>
            </w:r>
            <w:r w:rsidR="008B098F">
              <w:rPr>
                <w:rFonts w:eastAsia="Bookman Old Style" w:cs="Bookman Old Style"/>
                <w:sz w:val="17"/>
                <w:szCs w:val="17"/>
              </w:rPr>
              <w:t>Insurance Europe</w:t>
            </w:r>
            <w:r w:rsidR="008B098F" w:rsidRPr="00057ED8">
              <w:rPr>
                <w:rFonts w:eastAsia="Bookman Old Style" w:cs="Bookman Old Style"/>
                <w:sz w:val="17"/>
                <w:szCs w:val="17"/>
              </w:rPr>
              <w:t xml:space="preserve"> </w:t>
            </w:r>
            <w:r w:rsidRPr="00057ED8">
              <w:rPr>
                <w:rFonts w:eastAsia="Bookman Old Style" w:cs="Bookman Old Style"/>
                <w:sz w:val="17"/>
                <w:szCs w:val="17"/>
              </w:rPr>
              <w:t xml:space="preserve">would highly welcome some degree of </w:t>
            </w:r>
            <w:r w:rsidR="002E052F">
              <w:rPr>
                <w:rFonts w:eastAsia="Bookman Old Style" w:cs="Bookman Old Style"/>
                <w:sz w:val="17"/>
                <w:szCs w:val="17"/>
              </w:rPr>
              <w:t>safeguards</w:t>
            </w:r>
            <w:r w:rsidR="002E052F" w:rsidRPr="00057ED8">
              <w:rPr>
                <w:rFonts w:eastAsia="Bookman Old Style" w:cs="Bookman Old Style"/>
                <w:sz w:val="17"/>
                <w:szCs w:val="17"/>
              </w:rPr>
              <w:t xml:space="preserve"> </w:t>
            </w:r>
            <w:r w:rsidRPr="00057ED8">
              <w:rPr>
                <w:rFonts w:eastAsia="Bookman Old Style" w:cs="Bookman Old Style"/>
                <w:sz w:val="17"/>
                <w:szCs w:val="17"/>
              </w:rPr>
              <w:t xml:space="preserve">that would provide more comfort to primary users while assessing the information. </w:t>
            </w:r>
          </w:p>
          <w:p w14:paraId="222E4F6F" w14:textId="77777777" w:rsidR="000068EC" w:rsidRPr="00057ED8" w:rsidRDefault="000068EC" w:rsidP="000068EC">
            <w:pPr>
              <w:spacing w:line="240" w:lineRule="auto"/>
              <w:ind w:left="458" w:right="1050"/>
              <w:rPr>
                <w:rFonts w:eastAsia="Bookman Old Style" w:cs="Bookman Old Style"/>
                <w:sz w:val="17"/>
                <w:szCs w:val="17"/>
              </w:rPr>
            </w:pPr>
          </w:p>
          <w:p w14:paraId="2FE36A17" w14:textId="77F0E845" w:rsidR="000068EC" w:rsidRPr="00057ED8" w:rsidRDefault="00200767" w:rsidP="000068EC">
            <w:pPr>
              <w:spacing w:line="240" w:lineRule="auto"/>
              <w:ind w:left="458" w:right="1050"/>
              <w:rPr>
                <w:sz w:val="17"/>
                <w:szCs w:val="17"/>
              </w:rPr>
            </w:pPr>
            <w:r>
              <w:rPr>
                <w:rFonts w:eastAsia="Bookman Old Style" w:cs="Bookman Old Style"/>
                <w:sz w:val="17"/>
                <w:szCs w:val="17"/>
              </w:rPr>
              <w:t>It</w:t>
            </w:r>
            <w:r w:rsidRPr="00057ED8">
              <w:rPr>
                <w:rFonts w:eastAsia="Bookman Old Style" w:cs="Bookman Old Style"/>
                <w:sz w:val="17"/>
                <w:szCs w:val="17"/>
              </w:rPr>
              <w:t xml:space="preserve"> </w:t>
            </w:r>
            <w:r w:rsidR="000068EC" w:rsidRPr="00057ED8">
              <w:rPr>
                <w:rFonts w:eastAsia="Bookman Old Style" w:cs="Bookman Old Style"/>
                <w:sz w:val="17"/>
                <w:szCs w:val="17"/>
              </w:rPr>
              <w:t xml:space="preserve">would like to refer to </w:t>
            </w:r>
            <w:r>
              <w:rPr>
                <w:rFonts w:eastAsia="Bookman Old Style" w:cs="Bookman Old Style"/>
                <w:sz w:val="17"/>
                <w:szCs w:val="17"/>
              </w:rPr>
              <w:t>the</w:t>
            </w:r>
            <w:r w:rsidRPr="00057ED8">
              <w:rPr>
                <w:rFonts w:eastAsia="Bookman Old Style" w:cs="Bookman Old Style"/>
                <w:sz w:val="17"/>
                <w:szCs w:val="17"/>
              </w:rPr>
              <w:t xml:space="preserve"> </w:t>
            </w:r>
            <w:r w:rsidR="000068EC" w:rsidRPr="00057ED8">
              <w:rPr>
                <w:rFonts w:eastAsia="Bookman Old Style" w:cs="Bookman Old Style"/>
                <w:sz w:val="17"/>
                <w:szCs w:val="17"/>
              </w:rPr>
              <w:t xml:space="preserve">above concerns </w:t>
            </w:r>
            <w:r w:rsidR="002F119A" w:rsidRPr="00057ED8">
              <w:rPr>
                <w:rFonts w:eastAsia="Bookman Old Style" w:cs="Bookman Old Style"/>
                <w:sz w:val="17"/>
                <w:szCs w:val="17"/>
              </w:rPr>
              <w:t xml:space="preserve">in relation </w:t>
            </w:r>
            <w:r w:rsidR="000068EC" w:rsidRPr="00057ED8">
              <w:rPr>
                <w:rFonts w:eastAsia="Bookman Old Style" w:cs="Bookman Old Style"/>
                <w:sz w:val="17"/>
                <w:szCs w:val="17"/>
              </w:rPr>
              <w:t>to connected information (</w:t>
            </w:r>
            <w:r w:rsidR="001C660F" w:rsidRPr="00057ED8">
              <w:rPr>
                <w:rFonts w:eastAsia="Bookman Old Style" w:cs="Bookman Old Style"/>
                <w:sz w:val="17"/>
                <w:szCs w:val="17"/>
              </w:rPr>
              <w:t>see answers to Q3 and Q6</w:t>
            </w:r>
            <w:r w:rsidR="000068EC" w:rsidRPr="00057ED8">
              <w:rPr>
                <w:rFonts w:eastAsia="Bookman Old Style" w:cs="Bookman Old Style"/>
                <w:sz w:val="17"/>
                <w:szCs w:val="17"/>
              </w:rPr>
              <w:t>) and location (</w:t>
            </w:r>
            <w:r w:rsidR="001C660F" w:rsidRPr="00057ED8">
              <w:rPr>
                <w:rFonts w:eastAsia="Bookman Old Style" w:cs="Bookman Old Style"/>
                <w:sz w:val="17"/>
                <w:szCs w:val="17"/>
              </w:rPr>
              <w:t>see answer to Q</w:t>
            </w:r>
            <w:r w:rsidR="000068EC" w:rsidRPr="00057ED8">
              <w:rPr>
                <w:rFonts w:eastAsia="Bookman Old Style" w:cs="Bookman Old Style"/>
                <w:sz w:val="17"/>
                <w:szCs w:val="17"/>
              </w:rPr>
              <w:t>10).</w:t>
            </w:r>
          </w:p>
        </w:tc>
      </w:tr>
    </w:tbl>
    <w:p w14:paraId="16FE2953" w14:textId="77777777" w:rsidR="002D5B55" w:rsidRPr="00057ED8" w:rsidRDefault="002D5B55" w:rsidP="00F768D9">
      <w:pPr>
        <w:rPr>
          <w:sz w:val="17"/>
          <w:szCs w:val="17"/>
        </w:rPr>
      </w:pPr>
    </w:p>
    <w:p w14:paraId="1EC82696" w14:textId="77777777" w:rsidR="00152882" w:rsidRPr="00057ED8" w:rsidRDefault="00152882" w:rsidP="00F768D9">
      <w:pPr>
        <w:rPr>
          <w:sz w:val="17"/>
          <w:szCs w:val="17"/>
        </w:rPr>
      </w:pPr>
    </w:p>
    <w:p w14:paraId="2D19D499" w14:textId="77777777" w:rsidR="00F84143" w:rsidRPr="00BB4FB0" w:rsidRDefault="00F84143" w:rsidP="00F768D9">
      <w:pPr>
        <w:rPr>
          <w:b/>
          <w:bCs/>
          <w:sz w:val="17"/>
          <w:szCs w:val="17"/>
          <w:lang w:val="fr-BE"/>
        </w:rPr>
      </w:pPr>
      <w:r w:rsidRPr="00BB4FB0">
        <w:rPr>
          <w:b/>
          <w:bCs/>
          <w:sz w:val="17"/>
          <w:szCs w:val="17"/>
          <w:lang w:val="fr-BE"/>
        </w:rPr>
        <w:t>Question 13—Effective date (Appendix B)</w:t>
      </w:r>
    </w:p>
    <w:p w14:paraId="550B50FB" w14:textId="77777777" w:rsidR="00FF6697" w:rsidRPr="00057ED8" w:rsidRDefault="00FF6697" w:rsidP="00F768D9">
      <w:pPr>
        <w:rPr>
          <w:sz w:val="17"/>
          <w:szCs w:val="17"/>
        </w:rPr>
      </w:pPr>
      <w:r w:rsidRPr="00057ED8">
        <w:rPr>
          <w:sz w:val="17"/>
          <w:szCs w:val="17"/>
        </w:rPr>
        <w:t>The Exposure Draft proposes allowing entities to apply the Standard before the effective date to be set by the ISSB. It also proposes relief from the requirement to present comparative information in the first year the requirements would be applied to facilitate timely application of the Standard.</w:t>
      </w:r>
    </w:p>
    <w:p w14:paraId="006040D4" w14:textId="77777777" w:rsidR="00905E99" w:rsidRPr="00057ED8" w:rsidRDefault="00905E99" w:rsidP="00F768D9">
      <w:pPr>
        <w:rPr>
          <w:sz w:val="17"/>
          <w:szCs w:val="17"/>
        </w:rPr>
      </w:pPr>
    </w:p>
    <w:p w14:paraId="2E2E8E71" w14:textId="77777777" w:rsidR="00FF6697" w:rsidRPr="00057ED8" w:rsidRDefault="00FF6697" w:rsidP="006945DC">
      <w:pPr>
        <w:pStyle w:val="Odsekzoznamu"/>
        <w:numPr>
          <w:ilvl w:val="0"/>
          <w:numId w:val="13"/>
        </w:numPr>
        <w:spacing w:before="0" w:line="288" w:lineRule="auto"/>
        <w:rPr>
          <w:szCs w:val="17"/>
          <w:lang w:val="en-GB"/>
        </w:rPr>
      </w:pPr>
      <w:r w:rsidRPr="00057ED8">
        <w:rPr>
          <w:szCs w:val="17"/>
          <w:lang w:val="en-GB"/>
        </w:rPr>
        <w:t>When the ISSB sets the effective date, how long does this need to be after a final Standard is issued? Please explain the reason for your answer, including specific information about the preparation that will be required by entities applying the proposals, those using the sustainability-related financial disclosures and others.</w:t>
      </w:r>
    </w:p>
    <w:p w14:paraId="31C0B827" w14:textId="77777777" w:rsidR="00AA513B" w:rsidRPr="00057ED8" w:rsidRDefault="00AA513B" w:rsidP="00AA513B">
      <w:pPr>
        <w:pStyle w:val="Odsekzoznamu"/>
        <w:spacing w:before="0" w:line="288" w:lineRule="auto"/>
        <w:ind w:left="720" w:firstLine="0"/>
        <w:rPr>
          <w:szCs w:val="17"/>
          <w:lang w:val="en-GB"/>
        </w:rPr>
      </w:pPr>
    </w:p>
    <w:p w14:paraId="4B1B560C" w14:textId="77777777" w:rsidR="00FF6697" w:rsidRPr="00057ED8" w:rsidRDefault="00FF6697" w:rsidP="006945DC">
      <w:pPr>
        <w:pStyle w:val="Odsekzoznamu"/>
        <w:numPr>
          <w:ilvl w:val="0"/>
          <w:numId w:val="13"/>
        </w:numPr>
        <w:spacing w:before="0" w:line="288" w:lineRule="auto"/>
        <w:rPr>
          <w:szCs w:val="17"/>
          <w:lang w:val="en-GB"/>
        </w:rPr>
      </w:pPr>
      <w:r w:rsidRPr="00057ED8">
        <w:rPr>
          <w:szCs w:val="17"/>
          <w:lang w:val="en-GB"/>
        </w:rPr>
        <w:t>Do you agree with the ISSB providing the proposed relief from disclosing comparatives in the first year of application? If not, why not?</w:t>
      </w:r>
    </w:p>
    <w:p w14:paraId="1C921B25" w14:textId="77777777" w:rsidR="00FF6697" w:rsidRPr="00057ED8" w:rsidRDefault="00FF6697" w:rsidP="00F768D9">
      <w:pPr>
        <w:rPr>
          <w:sz w:val="17"/>
          <w:szCs w:val="17"/>
        </w:rPr>
      </w:pPr>
    </w:p>
    <w:tbl>
      <w:tblPr>
        <w:tblStyle w:val="Mriekatabuky"/>
        <w:tblW w:w="0" w:type="auto"/>
        <w:tblLook w:val="04A0" w:firstRow="1" w:lastRow="0" w:firstColumn="1" w:lastColumn="0" w:noHBand="0" w:noVBand="1"/>
      </w:tblPr>
      <w:tblGrid>
        <w:gridCol w:w="9521"/>
      </w:tblGrid>
      <w:tr w:rsidR="00920235" w:rsidRPr="00057ED8" w14:paraId="5635CC82" w14:textId="77777777" w:rsidTr="00C61B54">
        <w:trPr>
          <w:trHeight w:val="1625"/>
        </w:trPr>
        <w:tc>
          <w:tcPr>
            <w:tcW w:w="9521" w:type="dxa"/>
          </w:tcPr>
          <w:p w14:paraId="3283A4C5" w14:textId="44545670" w:rsidR="00C16736" w:rsidRPr="00057ED8" w:rsidRDefault="00001289" w:rsidP="00C16736">
            <w:pPr>
              <w:pStyle w:val="Odsekzoznamu"/>
              <w:numPr>
                <w:ilvl w:val="0"/>
                <w:numId w:val="28"/>
              </w:numPr>
              <w:rPr>
                <w:szCs w:val="17"/>
                <w:lang w:val="en-GB"/>
              </w:rPr>
            </w:pPr>
            <w:r w:rsidRPr="00057ED8">
              <w:rPr>
                <w:szCs w:val="17"/>
                <w:lang w:val="en-GB"/>
              </w:rPr>
              <w:t>From an investor point of view</w:t>
            </w:r>
            <w:r w:rsidR="004E44D9" w:rsidRPr="00057ED8">
              <w:rPr>
                <w:szCs w:val="17"/>
                <w:lang w:val="en-GB"/>
              </w:rPr>
              <w:t xml:space="preserve">, given the urgent need for globally consistent and comparable sustainability-related data, </w:t>
            </w:r>
            <w:r w:rsidR="00651C6C">
              <w:rPr>
                <w:szCs w:val="17"/>
                <w:lang w:val="en-GB"/>
              </w:rPr>
              <w:t>Insurance Europ</w:t>
            </w:r>
            <w:r w:rsidR="004E44D9" w:rsidRPr="00057ED8">
              <w:rPr>
                <w:szCs w:val="17"/>
                <w:lang w:val="en-GB"/>
              </w:rPr>
              <w:t xml:space="preserve">e </w:t>
            </w:r>
            <w:r w:rsidRPr="00057ED8">
              <w:rPr>
                <w:szCs w:val="17"/>
                <w:lang w:val="en-GB"/>
              </w:rPr>
              <w:t>recommend</w:t>
            </w:r>
            <w:r w:rsidR="00651C6C">
              <w:rPr>
                <w:szCs w:val="17"/>
                <w:lang w:val="en-GB"/>
              </w:rPr>
              <w:t>s</w:t>
            </w:r>
            <w:r w:rsidRPr="00057ED8">
              <w:rPr>
                <w:szCs w:val="17"/>
                <w:lang w:val="en-GB"/>
              </w:rPr>
              <w:t xml:space="preserve"> </w:t>
            </w:r>
            <w:r w:rsidR="00485A07">
              <w:rPr>
                <w:szCs w:val="17"/>
                <w:lang w:val="en-GB"/>
              </w:rPr>
              <w:t xml:space="preserve">that </w:t>
            </w:r>
            <w:r w:rsidR="004E44D9" w:rsidRPr="00057ED8">
              <w:rPr>
                <w:szCs w:val="17"/>
                <w:lang w:val="en-GB"/>
              </w:rPr>
              <w:t>the ISSB pursue</w:t>
            </w:r>
            <w:r w:rsidR="00900315">
              <w:rPr>
                <w:szCs w:val="17"/>
                <w:lang w:val="en-GB"/>
              </w:rPr>
              <w:t>s</w:t>
            </w:r>
            <w:r w:rsidR="004E44D9" w:rsidRPr="00057ED8">
              <w:rPr>
                <w:szCs w:val="17"/>
                <w:lang w:val="en-GB"/>
              </w:rPr>
              <w:t xml:space="preserve"> an ambitious timeline. At the same time, the ISSB must ensure an appropriate due process to avoid achieving pace at the expense of quality. In general, preparers should be given at least 18 months between the adoption of a standard and its application. The ISSB should also consider aligning its application date with the EU’s CSRD.</w:t>
            </w:r>
            <w:r w:rsidR="005E2A98">
              <w:rPr>
                <w:szCs w:val="17"/>
                <w:lang w:val="en-GB"/>
              </w:rPr>
              <w:t xml:space="preserve"> </w:t>
            </w:r>
            <w:r w:rsidR="005E2A98" w:rsidRPr="00EC4A61">
              <w:rPr>
                <w:szCs w:val="17"/>
              </w:rPr>
              <w:t xml:space="preserve">Furthermore, given the complex and jurisdiction-specific sustainability reporting landscape, </w:t>
            </w:r>
            <w:r w:rsidR="002A3249">
              <w:rPr>
                <w:szCs w:val="17"/>
              </w:rPr>
              <w:t>Insurance Europe</w:t>
            </w:r>
            <w:r w:rsidR="002A3249" w:rsidRPr="00EC4A61">
              <w:rPr>
                <w:szCs w:val="17"/>
              </w:rPr>
              <w:t xml:space="preserve"> </w:t>
            </w:r>
            <w:r w:rsidR="005E2A98" w:rsidRPr="00EC4A61">
              <w:rPr>
                <w:szCs w:val="17"/>
              </w:rPr>
              <w:t>fully support</w:t>
            </w:r>
            <w:r w:rsidR="002A3249">
              <w:rPr>
                <w:szCs w:val="17"/>
              </w:rPr>
              <w:t>s</w:t>
            </w:r>
            <w:r w:rsidR="005E2A98" w:rsidRPr="00EC4A61">
              <w:rPr>
                <w:szCs w:val="17"/>
              </w:rPr>
              <w:t xml:space="preserve"> earlier application be</w:t>
            </w:r>
            <w:r w:rsidR="009378EB">
              <w:rPr>
                <w:szCs w:val="17"/>
              </w:rPr>
              <w:t>ing</w:t>
            </w:r>
            <w:r w:rsidR="005E2A98" w:rsidRPr="00EC4A61">
              <w:rPr>
                <w:szCs w:val="17"/>
              </w:rPr>
              <w:t xml:space="preserve"> allowed and deem</w:t>
            </w:r>
            <w:r w:rsidR="009378EB">
              <w:rPr>
                <w:szCs w:val="17"/>
              </w:rPr>
              <w:t>s</w:t>
            </w:r>
            <w:r w:rsidR="005E2A98" w:rsidRPr="00EC4A61">
              <w:rPr>
                <w:szCs w:val="17"/>
              </w:rPr>
              <w:t xml:space="preserve"> this essential.</w:t>
            </w:r>
          </w:p>
          <w:p w14:paraId="551A0DB0" w14:textId="5E31AB40" w:rsidR="004C553C" w:rsidRPr="00057ED8" w:rsidRDefault="006240E8" w:rsidP="00C16736">
            <w:pPr>
              <w:pStyle w:val="Odsekzoznamu"/>
              <w:numPr>
                <w:ilvl w:val="0"/>
                <w:numId w:val="28"/>
              </w:numPr>
              <w:rPr>
                <w:szCs w:val="17"/>
                <w:lang w:val="en-GB"/>
              </w:rPr>
            </w:pPr>
            <w:r w:rsidRPr="00057ED8">
              <w:rPr>
                <w:szCs w:val="17"/>
                <w:highlight w:val="cyan"/>
                <w:lang w:val="en-GB"/>
              </w:rPr>
              <w:t>Broadly agree</w:t>
            </w:r>
            <w:r w:rsidRPr="00057ED8">
              <w:rPr>
                <w:szCs w:val="17"/>
                <w:lang w:val="en-GB"/>
              </w:rPr>
              <w:t xml:space="preserve"> / broadly disagree / other</w:t>
            </w:r>
          </w:p>
          <w:p w14:paraId="6055CA11" w14:textId="7284E146" w:rsidR="00920235" w:rsidRPr="00057ED8" w:rsidRDefault="00DF3122" w:rsidP="004C553C">
            <w:pPr>
              <w:pStyle w:val="Odsekzoznamu"/>
              <w:ind w:left="720" w:firstLine="0"/>
              <w:rPr>
                <w:szCs w:val="17"/>
                <w:lang w:val="en-GB"/>
              </w:rPr>
            </w:pPr>
            <w:r w:rsidRPr="00057ED8">
              <w:rPr>
                <w:szCs w:val="17"/>
                <w:lang w:val="en-GB"/>
              </w:rPr>
              <w:t>Yes</w:t>
            </w:r>
            <w:r w:rsidR="00E8441C" w:rsidRPr="00057ED8">
              <w:rPr>
                <w:szCs w:val="17"/>
                <w:lang w:val="en-GB"/>
              </w:rPr>
              <w:t xml:space="preserve">, </w:t>
            </w:r>
            <w:r w:rsidR="009378EB">
              <w:rPr>
                <w:szCs w:val="17"/>
                <w:lang w:val="en-GB"/>
              </w:rPr>
              <w:t>Insurance Europe</w:t>
            </w:r>
            <w:r w:rsidR="009378EB" w:rsidRPr="00057ED8">
              <w:rPr>
                <w:szCs w:val="17"/>
                <w:lang w:val="en-GB"/>
              </w:rPr>
              <w:t xml:space="preserve"> </w:t>
            </w:r>
            <w:r w:rsidR="00E8441C" w:rsidRPr="00057ED8">
              <w:rPr>
                <w:szCs w:val="17"/>
                <w:lang w:val="en-GB"/>
              </w:rPr>
              <w:t>agree with the ISSB providing the proposed relief from disclosing comparatives in the first year of application</w:t>
            </w:r>
          </w:p>
        </w:tc>
      </w:tr>
    </w:tbl>
    <w:p w14:paraId="68F25417" w14:textId="77777777" w:rsidR="002D5B55" w:rsidRPr="00057ED8" w:rsidRDefault="002D5B55" w:rsidP="00F768D9">
      <w:pPr>
        <w:rPr>
          <w:sz w:val="17"/>
          <w:szCs w:val="17"/>
        </w:rPr>
      </w:pPr>
    </w:p>
    <w:p w14:paraId="547F4B0C" w14:textId="77777777" w:rsidR="00FF6697" w:rsidRPr="00057ED8" w:rsidRDefault="00FF6697" w:rsidP="00F768D9">
      <w:pPr>
        <w:rPr>
          <w:sz w:val="17"/>
          <w:szCs w:val="17"/>
        </w:rPr>
      </w:pPr>
    </w:p>
    <w:p w14:paraId="430CD4C3" w14:textId="77777777" w:rsidR="000719DF" w:rsidRPr="00057ED8" w:rsidRDefault="000719DF" w:rsidP="00F768D9">
      <w:pPr>
        <w:rPr>
          <w:b/>
          <w:bCs/>
          <w:sz w:val="17"/>
          <w:szCs w:val="17"/>
        </w:rPr>
      </w:pPr>
      <w:r w:rsidRPr="00057ED8">
        <w:rPr>
          <w:b/>
          <w:bCs/>
          <w:sz w:val="17"/>
          <w:szCs w:val="17"/>
        </w:rPr>
        <w:t>Question 14—Global baseline</w:t>
      </w:r>
    </w:p>
    <w:p w14:paraId="6D09ED10" w14:textId="77777777" w:rsidR="00EC4546" w:rsidRPr="00057ED8" w:rsidRDefault="00EC4546" w:rsidP="00F768D9">
      <w:pPr>
        <w:rPr>
          <w:sz w:val="17"/>
          <w:szCs w:val="17"/>
        </w:rPr>
      </w:pPr>
      <w:r w:rsidRPr="00057ED8">
        <w:rPr>
          <w:sz w:val="17"/>
          <w:szCs w:val="17"/>
        </w:rPr>
        <w:t xml:space="preserve">IFRS Sustainability Disclosure Standards are intended to meet the needs of the users of </w:t>
      </w:r>
      <w:proofErr w:type="gramStart"/>
      <w:r w:rsidRPr="00057ED8">
        <w:rPr>
          <w:sz w:val="17"/>
          <w:szCs w:val="17"/>
        </w:rPr>
        <w:t>general purpose</w:t>
      </w:r>
      <w:proofErr w:type="gramEnd"/>
      <w:r w:rsidRPr="00057ED8">
        <w:rPr>
          <w:sz w:val="17"/>
          <w:szCs w:val="17"/>
        </w:rPr>
        <w:t xml:space="preserve"> financial reporting to enable them to make assessments of enterprise value, providing a comprehensive global baseline for the assessment of enterprise value. Other stakeholders are also interested in the effects of sustainability-related risks and opportunities. Those needs may be met by requirements set by others, including regulators and jurisdictions. The ISSB intends that such requirements by others could build on the comprehensive global baseline established by the IFRS Sustainability Disclosure Standards.</w:t>
      </w:r>
    </w:p>
    <w:p w14:paraId="3946E069" w14:textId="77777777" w:rsidR="00AA513B" w:rsidRPr="00057ED8" w:rsidRDefault="00AA513B" w:rsidP="00F768D9">
      <w:pPr>
        <w:rPr>
          <w:sz w:val="17"/>
          <w:szCs w:val="17"/>
        </w:rPr>
      </w:pPr>
    </w:p>
    <w:p w14:paraId="734908BA" w14:textId="30D86F5B" w:rsidR="00FF6697" w:rsidRPr="00057ED8" w:rsidRDefault="00EC4546" w:rsidP="00F768D9">
      <w:pPr>
        <w:rPr>
          <w:sz w:val="17"/>
          <w:szCs w:val="17"/>
        </w:rPr>
      </w:pPr>
      <w:r w:rsidRPr="00057ED8">
        <w:rPr>
          <w:sz w:val="17"/>
          <w:szCs w:val="17"/>
        </w:rPr>
        <w:t>Are there any particular aspects of the proposals in the Exposure Draft that you believe would limit the ability of IFRS Sustainability Disclosure Standards to be used in this manner? If so, what aspects and why? What would you suggest instead and why?</w:t>
      </w:r>
    </w:p>
    <w:p w14:paraId="475E0652" w14:textId="77777777" w:rsidR="00FF6697" w:rsidRPr="00057ED8" w:rsidRDefault="00FF6697" w:rsidP="00F768D9">
      <w:pPr>
        <w:rPr>
          <w:sz w:val="17"/>
          <w:szCs w:val="17"/>
        </w:rPr>
      </w:pPr>
    </w:p>
    <w:tbl>
      <w:tblPr>
        <w:tblStyle w:val="Mriekatabuky"/>
        <w:tblW w:w="0" w:type="auto"/>
        <w:tblLook w:val="04A0" w:firstRow="1" w:lastRow="0" w:firstColumn="1" w:lastColumn="0" w:noHBand="0" w:noVBand="1"/>
      </w:tblPr>
      <w:tblGrid>
        <w:gridCol w:w="9521"/>
      </w:tblGrid>
      <w:tr w:rsidR="00920235" w:rsidRPr="00057ED8" w14:paraId="4167C248" w14:textId="77777777" w:rsidTr="00C61B54">
        <w:trPr>
          <w:trHeight w:val="1625"/>
        </w:trPr>
        <w:tc>
          <w:tcPr>
            <w:tcW w:w="9521" w:type="dxa"/>
          </w:tcPr>
          <w:p w14:paraId="4CA2B787" w14:textId="235C1332" w:rsidR="006240E8" w:rsidRPr="00057ED8" w:rsidRDefault="003C2278" w:rsidP="00E225FA">
            <w:pPr>
              <w:rPr>
                <w:sz w:val="17"/>
                <w:szCs w:val="17"/>
              </w:rPr>
            </w:pPr>
            <w:r w:rsidRPr="00057ED8">
              <w:rPr>
                <w:sz w:val="17"/>
                <w:szCs w:val="17"/>
                <w:highlight w:val="cyan"/>
              </w:rPr>
              <w:t>Yes</w:t>
            </w:r>
            <w:r w:rsidRPr="00057ED8">
              <w:rPr>
                <w:sz w:val="17"/>
                <w:szCs w:val="17"/>
              </w:rPr>
              <w:t xml:space="preserve"> / no / other</w:t>
            </w:r>
          </w:p>
          <w:p w14:paraId="254D29DD" w14:textId="5065A4C7" w:rsidR="00920235" w:rsidRPr="00057ED8" w:rsidRDefault="00E225FA" w:rsidP="00812D6D">
            <w:pPr>
              <w:spacing w:line="240" w:lineRule="auto"/>
              <w:rPr>
                <w:sz w:val="17"/>
                <w:szCs w:val="17"/>
              </w:rPr>
            </w:pPr>
            <w:r w:rsidRPr="00057ED8">
              <w:rPr>
                <w:sz w:val="17"/>
                <w:szCs w:val="17"/>
              </w:rPr>
              <w:t xml:space="preserve">European </w:t>
            </w:r>
            <w:r w:rsidR="007A523F" w:rsidRPr="00057ED8">
              <w:rPr>
                <w:sz w:val="17"/>
                <w:szCs w:val="17"/>
              </w:rPr>
              <w:t>i</w:t>
            </w:r>
            <w:r w:rsidRPr="00057ED8">
              <w:rPr>
                <w:sz w:val="17"/>
                <w:szCs w:val="17"/>
              </w:rPr>
              <w:t>nsurers support the ISSB</w:t>
            </w:r>
            <w:r w:rsidR="00267248">
              <w:rPr>
                <w:sz w:val="17"/>
                <w:szCs w:val="17"/>
              </w:rPr>
              <w:t>’s</w:t>
            </w:r>
            <w:r w:rsidRPr="00057ED8">
              <w:rPr>
                <w:sz w:val="17"/>
                <w:szCs w:val="17"/>
              </w:rPr>
              <w:t xml:space="preserve"> objective of promoting the convergence of national and regional sustainability reporting standards and IFRS sustainability reporting standards</w:t>
            </w:r>
            <w:r w:rsidR="008F0433">
              <w:rPr>
                <w:sz w:val="17"/>
                <w:szCs w:val="17"/>
              </w:rPr>
              <w:t xml:space="preserve"> by creating a global baseline</w:t>
            </w:r>
            <w:r w:rsidRPr="00057ED8">
              <w:rPr>
                <w:sz w:val="17"/>
                <w:szCs w:val="17"/>
              </w:rPr>
              <w:t xml:space="preserve">. Indeed, cooperation with existing initiatives is key: global standards should be based as much as possible on relevant and </w:t>
            </w:r>
            <w:r w:rsidR="00FB701B" w:rsidRPr="00057ED8">
              <w:rPr>
                <w:sz w:val="17"/>
                <w:szCs w:val="17"/>
              </w:rPr>
              <w:t>well-established</w:t>
            </w:r>
            <w:r w:rsidRPr="00057ED8">
              <w:rPr>
                <w:sz w:val="17"/>
                <w:szCs w:val="17"/>
              </w:rPr>
              <w:t xml:space="preserve"> existing sustainability reporting guidance (</w:t>
            </w:r>
            <w:proofErr w:type="spellStart"/>
            <w:r w:rsidRPr="00057ED8">
              <w:rPr>
                <w:sz w:val="17"/>
                <w:szCs w:val="17"/>
              </w:rPr>
              <w:t>eg</w:t>
            </w:r>
            <w:proofErr w:type="spellEnd"/>
            <w:r w:rsidR="00D071C8">
              <w:rPr>
                <w:sz w:val="17"/>
                <w:szCs w:val="17"/>
              </w:rPr>
              <w:t>,</w:t>
            </w:r>
            <w:r w:rsidRPr="00057ED8">
              <w:rPr>
                <w:sz w:val="17"/>
                <w:szCs w:val="17"/>
              </w:rPr>
              <w:t xml:space="preserve"> principles and definitions) that have already reached a high level of maturity, such as the TCFD framework for climate-related reporting.</w:t>
            </w:r>
          </w:p>
          <w:p w14:paraId="1FBEA2F9" w14:textId="77777777" w:rsidR="004D7493" w:rsidRPr="00057ED8" w:rsidRDefault="004D7493" w:rsidP="00812D6D">
            <w:pPr>
              <w:spacing w:line="240" w:lineRule="auto"/>
              <w:rPr>
                <w:sz w:val="17"/>
                <w:szCs w:val="17"/>
              </w:rPr>
            </w:pPr>
          </w:p>
          <w:p w14:paraId="49F3D41F" w14:textId="666F3856" w:rsidR="00920235" w:rsidRPr="00057ED8" w:rsidRDefault="004D7493" w:rsidP="00812D6D">
            <w:pPr>
              <w:spacing w:line="240" w:lineRule="auto"/>
              <w:rPr>
                <w:sz w:val="17"/>
                <w:szCs w:val="17"/>
              </w:rPr>
            </w:pPr>
            <w:r w:rsidRPr="00057ED8">
              <w:rPr>
                <w:sz w:val="17"/>
                <w:szCs w:val="17"/>
              </w:rPr>
              <w:lastRenderedPageBreak/>
              <w:t>Insurers welcome the fact that the IFRS Foundation intends to collaborate with regional initiatives</w:t>
            </w:r>
            <w:r w:rsidR="00241FF2" w:rsidRPr="00057ED8">
              <w:rPr>
                <w:sz w:val="17"/>
                <w:szCs w:val="17"/>
              </w:rPr>
              <w:t xml:space="preserve"> and </w:t>
            </w:r>
            <w:r w:rsidR="00C60AE3" w:rsidRPr="00057ED8">
              <w:rPr>
                <w:sz w:val="17"/>
                <w:szCs w:val="17"/>
              </w:rPr>
              <w:t>has</w:t>
            </w:r>
            <w:r w:rsidR="00241FF2" w:rsidRPr="00057ED8">
              <w:rPr>
                <w:sz w:val="17"/>
                <w:szCs w:val="17"/>
              </w:rPr>
              <w:t xml:space="preserve"> the objective of creating a global baseline for sustainability reporting</w:t>
            </w:r>
            <w:r w:rsidRPr="00057ED8">
              <w:rPr>
                <w:sz w:val="17"/>
                <w:szCs w:val="17"/>
              </w:rPr>
              <w:t>. It is key that the set-up of the ISSB allows for jurisdictions and their standard</w:t>
            </w:r>
            <w:r w:rsidR="00A122D0">
              <w:rPr>
                <w:sz w:val="17"/>
                <w:szCs w:val="17"/>
              </w:rPr>
              <w:t>-</w:t>
            </w:r>
            <w:r w:rsidRPr="00057ED8">
              <w:rPr>
                <w:sz w:val="17"/>
                <w:szCs w:val="17"/>
              </w:rPr>
              <w:t>setters to get involved and contribute to the standardisation initiative at global level through constructive two-way cooperation.</w:t>
            </w:r>
            <w:r w:rsidR="00294024" w:rsidRPr="00057ED8">
              <w:rPr>
                <w:sz w:val="17"/>
                <w:szCs w:val="17"/>
              </w:rPr>
              <w:t xml:space="preserve"> </w:t>
            </w:r>
            <w:r w:rsidR="00086805" w:rsidRPr="00057ED8">
              <w:rPr>
                <w:sz w:val="17"/>
                <w:szCs w:val="17"/>
              </w:rPr>
              <w:t>Interoperability with existing and upcoming sustainability reporting standards developed by national and regional standard-setters worldwide is essential.</w:t>
            </w:r>
          </w:p>
          <w:p w14:paraId="20E58713" w14:textId="77777777" w:rsidR="00754C30" w:rsidRPr="00057ED8" w:rsidRDefault="00754C30" w:rsidP="00812D6D">
            <w:pPr>
              <w:spacing w:line="240" w:lineRule="auto"/>
              <w:rPr>
                <w:sz w:val="17"/>
                <w:szCs w:val="17"/>
              </w:rPr>
            </w:pPr>
          </w:p>
          <w:p w14:paraId="19BA5973" w14:textId="7A07DB80" w:rsidR="00434EC0" w:rsidRPr="00057ED8" w:rsidRDefault="00086805" w:rsidP="00812D6D">
            <w:pPr>
              <w:spacing w:line="240" w:lineRule="auto"/>
              <w:rPr>
                <w:sz w:val="17"/>
                <w:szCs w:val="17"/>
              </w:rPr>
            </w:pPr>
            <w:r w:rsidRPr="00057ED8">
              <w:rPr>
                <w:sz w:val="17"/>
                <w:szCs w:val="17"/>
              </w:rPr>
              <w:t>Furthermore, w</w:t>
            </w:r>
            <w:r w:rsidR="00E203F4" w:rsidRPr="00057ED8">
              <w:rPr>
                <w:sz w:val="17"/>
                <w:szCs w:val="17"/>
              </w:rPr>
              <w:t xml:space="preserve">ith the ongoing development of EU </w:t>
            </w:r>
            <w:r w:rsidR="000E13F9">
              <w:rPr>
                <w:sz w:val="17"/>
                <w:szCs w:val="17"/>
              </w:rPr>
              <w:t>SRSs</w:t>
            </w:r>
            <w:r w:rsidR="00E203F4" w:rsidRPr="00057ED8">
              <w:rPr>
                <w:sz w:val="17"/>
                <w:szCs w:val="17"/>
              </w:rPr>
              <w:t xml:space="preserve">, </w:t>
            </w:r>
            <w:r w:rsidR="007457DE" w:rsidRPr="00057ED8">
              <w:rPr>
                <w:sz w:val="17"/>
                <w:szCs w:val="17"/>
              </w:rPr>
              <w:t xml:space="preserve">it is essential that </w:t>
            </w:r>
            <w:r w:rsidR="004E14C4" w:rsidRPr="00057ED8">
              <w:rPr>
                <w:sz w:val="17"/>
                <w:szCs w:val="17"/>
              </w:rPr>
              <w:t>the ISSB and the EU standard-setter work on a reasonable level of alignment</w:t>
            </w:r>
            <w:r w:rsidR="00702A55">
              <w:rPr>
                <w:sz w:val="17"/>
                <w:szCs w:val="17"/>
              </w:rPr>
              <w:t xml:space="preserve"> and full</w:t>
            </w:r>
            <w:r w:rsidR="004E14C4" w:rsidRPr="00057ED8">
              <w:rPr>
                <w:sz w:val="17"/>
                <w:szCs w:val="17"/>
              </w:rPr>
              <w:t xml:space="preserve"> compatibility</w:t>
            </w:r>
            <w:r w:rsidR="00EB0D7D">
              <w:rPr>
                <w:sz w:val="17"/>
                <w:szCs w:val="17"/>
              </w:rPr>
              <w:t xml:space="preserve"> and </w:t>
            </w:r>
            <w:r w:rsidR="00AB0451">
              <w:rPr>
                <w:sz w:val="17"/>
                <w:szCs w:val="17"/>
              </w:rPr>
              <w:t>interoperability</w:t>
            </w:r>
            <w:r w:rsidR="004E14C4" w:rsidRPr="00057ED8">
              <w:rPr>
                <w:sz w:val="17"/>
                <w:szCs w:val="17"/>
              </w:rPr>
              <w:t xml:space="preserve"> of their standards</w:t>
            </w:r>
            <w:r w:rsidR="00643C86" w:rsidRPr="00057ED8">
              <w:rPr>
                <w:sz w:val="17"/>
                <w:szCs w:val="17"/>
              </w:rPr>
              <w:t>.</w:t>
            </w:r>
            <w:r w:rsidR="00D31E0B" w:rsidRPr="00057ED8">
              <w:rPr>
                <w:sz w:val="17"/>
                <w:szCs w:val="17"/>
              </w:rPr>
              <w:t xml:space="preserve"> Ultimately, European insurers active </w:t>
            </w:r>
            <w:r w:rsidR="00A35D89">
              <w:rPr>
                <w:sz w:val="17"/>
                <w:szCs w:val="17"/>
              </w:rPr>
              <w:t>i</w:t>
            </w:r>
            <w:r w:rsidR="00D31E0B" w:rsidRPr="00057ED8">
              <w:rPr>
                <w:sz w:val="17"/>
                <w:szCs w:val="17"/>
              </w:rPr>
              <w:t xml:space="preserve">n international markets should fully comply with ISSB requirements by applying the EU </w:t>
            </w:r>
            <w:r w:rsidR="00B81E72">
              <w:rPr>
                <w:sz w:val="17"/>
                <w:szCs w:val="17"/>
              </w:rPr>
              <w:t>SRS</w:t>
            </w:r>
            <w:r w:rsidR="00D31E0B" w:rsidRPr="00057ED8">
              <w:rPr>
                <w:sz w:val="17"/>
                <w:szCs w:val="17"/>
              </w:rPr>
              <w:t xml:space="preserve">s. </w:t>
            </w:r>
            <w:r w:rsidR="00643C86" w:rsidRPr="00057ED8">
              <w:rPr>
                <w:sz w:val="17"/>
                <w:szCs w:val="17"/>
              </w:rPr>
              <w:t>Close dialogue is needed to prevent a situation in which EU preparers are required to report under both standard</w:t>
            </w:r>
            <w:r w:rsidR="000E6D43" w:rsidRPr="00057ED8">
              <w:rPr>
                <w:sz w:val="17"/>
                <w:szCs w:val="17"/>
              </w:rPr>
              <w:t>s t</w:t>
            </w:r>
            <w:r w:rsidR="00C85388" w:rsidRPr="00057ED8">
              <w:rPr>
                <w:sz w:val="17"/>
                <w:szCs w:val="17"/>
              </w:rPr>
              <w:t xml:space="preserve">o, on </w:t>
            </w:r>
            <w:r w:rsidR="00B8206D" w:rsidRPr="00057ED8">
              <w:rPr>
                <w:sz w:val="17"/>
                <w:szCs w:val="17"/>
              </w:rPr>
              <w:t xml:space="preserve">the one hand, comply with EU </w:t>
            </w:r>
            <w:r w:rsidR="00BE7B32" w:rsidRPr="00057ED8">
              <w:rPr>
                <w:sz w:val="17"/>
                <w:szCs w:val="17"/>
              </w:rPr>
              <w:t>legislation</w:t>
            </w:r>
            <w:r w:rsidR="00B8206D" w:rsidRPr="00057ED8">
              <w:rPr>
                <w:sz w:val="17"/>
                <w:szCs w:val="17"/>
              </w:rPr>
              <w:t xml:space="preserve"> (</w:t>
            </w:r>
            <w:proofErr w:type="spellStart"/>
            <w:r w:rsidR="00B8206D" w:rsidRPr="00057ED8">
              <w:rPr>
                <w:sz w:val="17"/>
                <w:szCs w:val="17"/>
              </w:rPr>
              <w:t>ie</w:t>
            </w:r>
            <w:proofErr w:type="spellEnd"/>
            <w:r w:rsidR="008E132E">
              <w:rPr>
                <w:sz w:val="17"/>
                <w:szCs w:val="17"/>
              </w:rPr>
              <w:t>,</w:t>
            </w:r>
            <w:r w:rsidR="00B8206D" w:rsidRPr="00057ED8">
              <w:rPr>
                <w:sz w:val="17"/>
                <w:szCs w:val="17"/>
              </w:rPr>
              <w:t xml:space="preserve"> the </w:t>
            </w:r>
            <w:r w:rsidR="008E132E">
              <w:rPr>
                <w:sz w:val="17"/>
                <w:szCs w:val="17"/>
              </w:rPr>
              <w:t>CSRD</w:t>
            </w:r>
            <w:r w:rsidR="00BE7B32" w:rsidRPr="00057ED8">
              <w:rPr>
                <w:sz w:val="17"/>
                <w:szCs w:val="17"/>
              </w:rPr>
              <w:t>) and, on the other hand, respond to market expectations of ISSB compliance.</w:t>
            </w:r>
            <w:r w:rsidR="00255475" w:rsidRPr="00057ED8">
              <w:rPr>
                <w:sz w:val="17"/>
                <w:szCs w:val="17"/>
              </w:rPr>
              <w:t xml:space="preserve"> </w:t>
            </w:r>
          </w:p>
          <w:p w14:paraId="3114499D" w14:textId="77777777" w:rsidR="00434EC0" w:rsidRPr="00057ED8" w:rsidRDefault="00434EC0" w:rsidP="00812D6D">
            <w:pPr>
              <w:spacing w:line="240" w:lineRule="auto"/>
              <w:rPr>
                <w:sz w:val="17"/>
                <w:szCs w:val="17"/>
              </w:rPr>
            </w:pPr>
          </w:p>
          <w:p w14:paraId="2311829A" w14:textId="6304227A" w:rsidR="00255475" w:rsidRPr="00057ED8" w:rsidRDefault="00744ACE" w:rsidP="00812D6D">
            <w:pPr>
              <w:spacing w:line="240" w:lineRule="auto"/>
              <w:rPr>
                <w:sz w:val="17"/>
                <w:szCs w:val="17"/>
              </w:rPr>
            </w:pPr>
            <w:r>
              <w:rPr>
                <w:sz w:val="17"/>
                <w:szCs w:val="17"/>
              </w:rPr>
              <w:t xml:space="preserve">While </w:t>
            </w:r>
            <w:r w:rsidR="000C0360">
              <w:rPr>
                <w:sz w:val="17"/>
                <w:szCs w:val="17"/>
              </w:rPr>
              <w:t>Insurance Europ</w:t>
            </w:r>
            <w:r>
              <w:rPr>
                <w:sz w:val="17"/>
                <w:szCs w:val="17"/>
              </w:rPr>
              <w:t>e appreciate</w:t>
            </w:r>
            <w:r w:rsidR="000C0360">
              <w:rPr>
                <w:sz w:val="17"/>
                <w:szCs w:val="17"/>
              </w:rPr>
              <w:t>s</w:t>
            </w:r>
            <w:r w:rsidR="005F5B74">
              <w:rPr>
                <w:sz w:val="17"/>
                <w:szCs w:val="17"/>
              </w:rPr>
              <w:t xml:space="preserve"> that</w:t>
            </w:r>
            <w:r>
              <w:rPr>
                <w:sz w:val="17"/>
                <w:szCs w:val="17"/>
              </w:rPr>
              <w:t xml:space="preserve"> the ISSB’s initial level of ambition and objectives</w:t>
            </w:r>
            <w:r w:rsidR="00574E29">
              <w:rPr>
                <w:sz w:val="17"/>
                <w:szCs w:val="17"/>
              </w:rPr>
              <w:t xml:space="preserve"> are different from th</w:t>
            </w:r>
            <w:r w:rsidR="000662B7">
              <w:rPr>
                <w:sz w:val="17"/>
                <w:szCs w:val="17"/>
              </w:rPr>
              <w:t>ose of the</w:t>
            </w:r>
            <w:r w:rsidR="00574E29">
              <w:rPr>
                <w:sz w:val="17"/>
                <w:szCs w:val="17"/>
              </w:rPr>
              <w:t xml:space="preserve"> EU,</w:t>
            </w:r>
            <w:r w:rsidR="00255475" w:rsidRPr="00057ED8">
              <w:rPr>
                <w:sz w:val="17"/>
                <w:szCs w:val="17"/>
              </w:rPr>
              <w:t xml:space="preserve"> </w:t>
            </w:r>
            <w:r w:rsidR="000662B7">
              <w:rPr>
                <w:sz w:val="17"/>
                <w:szCs w:val="17"/>
              </w:rPr>
              <w:t>it</w:t>
            </w:r>
            <w:r w:rsidR="00574E29">
              <w:rPr>
                <w:sz w:val="17"/>
                <w:szCs w:val="17"/>
              </w:rPr>
              <w:t xml:space="preserve"> note</w:t>
            </w:r>
            <w:r w:rsidR="000662B7">
              <w:rPr>
                <w:sz w:val="17"/>
                <w:szCs w:val="17"/>
              </w:rPr>
              <w:t>s</w:t>
            </w:r>
            <w:r w:rsidR="00574E29">
              <w:rPr>
                <w:sz w:val="17"/>
                <w:szCs w:val="17"/>
              </w:rPr>
              <w:t xml:space="preserve"> that t</w:t>
            </w:r>
            <w:r w:rsidR="00255475" w:rsidRPr="00057ED8">
              <w:rPr>
                <w:sz w:val="17"/>
                <w:szCs w:val="17"/>
              </w:rPr>
              <w:t xml:space="preserve">he EU does not limit its materiality perspective to what is material for investors to assess enterprise value, but also requires </w:t>
            </w:r>
            <w:r w:rsidR="0091271A">
              <w:rPr>
                <w:sz w:val="17"/>
                <w:szCs w:val="17"/>
              </w:rPr>
              <w:t xml:space="preserve">the </w:t>
            </w:r>
            <w:r w:rsidR="00255475" w:rsidRPr="00057ED8">
              <w:rPr>
                <w:sz w:val="17"/>
                <w:szCs w:val="17"/>
              </w:rPr>
              <w:t xml:space="preserve">embracing </w:t>
            </w:r>
            <w:r w:rsidR="0091271A">
              <w:rPr>
                <w:sz w:val="17"/>
                <w:szCs w:val="17"/>
              </w:rPr>
              <w:t xml:space="preserve">of </w:t>
            </w:r>
            <w:r w:rsidR="00255475" w:rsidRPr="00057ED8">
              <w:rPr>
                <w:sz w:val="17"/>
                <w:szCs w:val="17"/>
              </w:rPr>
              <w:t>the inside-out view</w:t>
            </w:r>
            <w:r w:rsidR="008E6232" w:rsidRPr="00057ED8">
              <w:rPr>
                <w:sz w:val="17"/>
                <w:szCs w:val="17"/>
              </w:rPr>
              <w:t xml:space="preserve"> (on impact materiality</w:t>
            </w:r>
            <w:r w:rsidR="00300028">
              <w:rPr>
                <w:sz w:val="17"/>
                <w:szCs w:val="17"/>
              </w:rPr>
              <w:t xml:space="preserve">, even where </w:t>
            </w:r>
            <w:r w:rsidR="00831E9A">
              <w:rPr>
                <w:sz w:val="17"/>
                <w:szCs w:val="17"/>
              </w:rPr>
              <w:t>that has</w:t>
            </w:r>
            <w:r w:rsidR="00300028">
              <w:rPr>
                <w:sz w:val="17"/>
                <w:szCs w:val="17"/>
              </w:rPr>
              <w:t xml:space="preserve"> no expected financial effects</w:t>
            </w:r>
            <w:r w:rsidR="008E6232" w:rsidRPr="00057ED8">
              <w:rPr>
                <w:sz w:val="17"/>
                <w:szCs w:val="17"/>
              </w:rPr>
              <w:t>)</w:t>
            </w:r>
            <w:r w:rsidR="00255475" w:rsidRPr="00057ED8">
              <w:rPr>
                <w:sz w:val="17"/>
                <w:szCs w:val="17"/>
              </w:rPr>
              <w:t xml:space="preserve">. This concept is already widely applied by certain large European companies. Moreover, according to the European Commission </w:t>
            </w:r>
            <w:r w:rsidR="00026868">
              <w:rPr>
                <w:sz w:val="17"/>
                <w:szCs w:val="17"/>
              </w:rPr>
              <w:t xml:space="preserve">legislative proposal </w:t>
            </w:r>
            <w:r w:rsidR="00255475" w:rsidRPr="00057ED8">
              <w:rPr>
                <w:sz w:val="17"/>
                <w:szCs w:val="17"/>
              </w:rPr>
              <w:t>on the CSRD, the scope of the CSRD will be extended to all large companies, listed SMEs, and third-country issuers. These companies will have to apply the broader European materiality concept.</w:t>
            </w:r>
            <w:r w:rsidR="00911D98" w:rsidRPr="00057ED8">
              <w:rPr>
                <w:sz w:val="17"/>
                <w:szCs w:val="17"/>
              </w:rPr>
              <w:t xml:space="preserve"> Furthermore, as already explained in Q2a, from an investor’s point of view, the inside-out view helps to capture investors’ information demands more in their entirety.</w:t>
            </w:r>
            <w:r w:rsidR="00193630">
              <w:rPr>
                <w:sz w:val="17"/>
                <w:szCs w:val="17"/>
              </w:rPr>
              <w:t xml:space="preserve"> </w:t>
            </w:r>
            <w:r w:rsidR="00193630" w:rsidRPr="00CD7A11">
              <w:rPr>
                <w:sz w:val="17"/>
                <w:szCs w:val="17"/>
              </w:rPr>
              <w:t>As such, to limit the gap,</w:t>
            </w:r>
            <w:r w:rsidR="008735DF">
              <w:rPr>
                <w:sz w:val="17"/>
                <w:szCs w:val="17"/>
              </w:rPr>
              <w:t xml:space="preserve"> </w:t>
            </w:r>
            <w:r w:rsidR="00193630" w:rsidRPr="00CD7A11">
              <w:rPr>
                <w:sz w:val="17"/>
                <w:szCs w:val="17"/>
              </w:rPr>
              <w:t xml:space="preserve">it needs </w:t>
            </w:r>
            <w:r w:rsidR="00310E66">
              <w:rPr>
                <w:sz w:val="17"/>
                <w:szCs w:val="17"/>
              </w:rPr>
              <w:t>at least</w:t>
            </w:r>
            <w:r w:rsidR="00310E66" w:rsidRPr="00CD7A11">
              <w:rPr>
                <w:sz w:val="17"/>
                <w:szCs w:val="17"/>
              </w:rPr>
              <w:t xml:space="preserve"> </w:t>
            </w:r>
            <w:r w:rsidR="00193630" w:rsidRPr="00CD7A11">
              <w:rPr>
                <w:sz w:val="17"/>
                <w:szCs w:val="17"/>
              </w:rPr>
              <w:t>to be ensured that the ISSB’s materiality concept will cover all information demands of investors, including on inside-out impacts of interest to them (</w:t>
            </w:r>
            <w:proofErr w:type="spellStart"/>
            <w:r w:rsidR="00193630" w:rsidRPr="00CD7A11">
              <w:rPr>
                <w:sz w:val="17"/>
                <w:szCs w:val="17"/>
              </w:rPr>
              <w:t>eg</w:t>
            </w:r>
            <w:proofErr w:type="spellEnd"/>
            <w:r w:rsidR="00694E97">
              <w:rPr>
                <w:sz w:val="17"/>
                <w:szCs w:val="17"/>
              </w:rPr>
              <w:t>,</w:t>
            </w:r>
            <w:r w:rsidR="00193630" w:rsidRPr="00CD7A11">
              <w:rPr>
                <w:sz w:val="17"/>
                <w:szCs w:val="17"/>
              </w:rPr>
              <w:t xml:space="preserve"> due to specific sustainability preferences or ESG strategies).</w:t>
            </w:r>
          </w:p>
          <w:p w14:paraId="71CC1905" w14:textId="77777777" w:rsidR="00255475" w:rsidRPr="00057ED8" w:rsidRDefault="00255475" w:rsidP="00812D6D">
            <w:pPr>
              <w:spacing w:line="240" w:lineRule="auto"/>
              <w:rPr>
                <w:sz w:val="17"/>
                <w:szCs w:val="17"/>
              </w:rPr>
            </w:pPr>
          </w:p>
          <w:p w14:paraId="23AD10BC" w14:textId="3E3A08DC" w:rsidR="004D7493" w:rsidRPr="00057ED8" w:rsidRDefault="00255475" w:rsidP="00812D6D">
            <w:pPr>
              <w:spacing w:line="240" w:lineRule="auto"/>
              <w:rPr>
                <w:sz w:val="17"/>
                <w:szCs w:val="17"/>
              </w:rPr>
            </w:pPr>
            <w:r w:rsidRPr="00057ED8">
              <w:rPr>
                <w:sz w:val="17"/>
                <w:szCs w:val="17"/>
              </w:rPr>
              <w:t>Irrespective of the degree of overlap/actual alignment, ensuring a sound basis for interoperability with existing and upcoming sustainability reporting standards developed by national and regional standard-setters worldwide is absolutely essential.</w:t>
            </w:r>
          </w:p>
        </w:tc>
      </w:tr>
    </w:tbl>
    <w:p w14:paraId="181BD56A" w14:textId="77777777" w:rsidR="002D5B55" w:rsidRPr="00057ED8" w:rsidRDefault="002D5B55" w:rsidP="00F768D9">
      <w:pPr>
        <w:rPr>
          <w:sz w:val="17"/>
          <w:szCs w:val="17"/>
        </w:rPr>
      </w:pPr>
    </w:p>
    <w:p w14:paraId="492548F3" w14:textId="77777777" w:rsidR="00E45D12" w:rsidRPr="00057ED8" w:rsidRDefault="00E45D12" w:rsidP="00F768D9">
      <w:pPr>
        <w:rPr>
          <w:b/>
          <w:bCs/>
          <w:sz w:val="17"/>
          <w:szCs w:val="17"/>
        </w:rPr>
      </w:pPr>
    </w:p>
    <w:p w14:paraId="6875D623" w14:textId="77777777" w:rsidR="00E45D12" w:rsidRPr="00057ED8" w:rsidRDefault="00E45D12" w:rsidP="00F768D9">
      <w:pPr>
        <w:rPr>
          <w:b/>
          <w:bCs/>
          <w:sz w:val="17"/>
          <w:szCs w:val="17"/>
        </w:rPr>
      </w:pPr>
      <w:r w:rsidRPr="00057ED8">
        <w:rPr>
          <w:b/>
          <w:bCs/>
          <w:sz w:val="17"/>
          <w:szCs w:val="17"/>
        </w:rPr>
        <w:t>Question 15—Digital reporting</w:t>
      </w:r>
    </w:p>
    <w:p w14:paraId="4AE1E7F4" w14:textId="77777777" w:rsidR="00236A85" w:rsidRPr="00057ED8" w:rsidRDefault="00236A85" w:rsidP="00F768D9">
      <w:pPr>
        <w:rPr>
          <w:sz w:val="17"/>
          <w:szCs w:val="17"/>
        </w:rPr>
      </w:pPr>
      <w:r w:rsidRPr="00057ED8">
        <w:rPr>
          <w:sz w:val="17"/>
          <w:szCs w:val="17"/>
        </w:rPr>
        <w:t>The ISSB plans to prioritise enabling digital consumption of sustainability-related financial information prepared in accordance with IFRS Sustainability Disclosure Standards from the outset of its work. The primary benefit of digital consumption as compared to paper-based consumption is improved accessibility, enabling easier extraction and comparison of information. To facilitate digital consumption of information provided in accordance with IFRS Sustainability Disclosure Standards, an IFRS Sustainability Disclosures Taxonomy is being developed by the IFRS Foundation. The Exposure Draft and [draft] IFRS S2 Climate-related Disclosures Standards are the sources for the Taxonomy.</w:t>
      </w:r>
    </w:p>
    <w:p w14:paraId="1454A1F9" w14:textId="77777777" w:rsidR="00AA513B" w:rsidRPr="00057ED8" w:rsidRDefault="00AA513B" w:rsidP="00F768D9">
      <w:pPr>
        <w:rPr>
          <w:sz w:val="17"/>
          <w:szCs w:val="17"/>
        </w:rPr>
      </w:pPr>
    </w:p>
    <w:p w14:paraId="578C575A" w14:textId="77777777" w:rsidR="00236A85" w:rsidRPr="00057ED8" w:rsidRDefault="00236A85" w:rsidP="00F768D9">
      <w:pPr>
        <w:rPr>
          <w:sz w:val="17"/>
          <w:szCs w:val="17"/>
        </w:rPr>
      </w:pPr>
      <w:r w:rsidRPr="00057ED8">
        <w:rPr>
          <w:sz w:val="17"/>
          <w:szCs w:val="17"/>
        </w:rPr>
        <w:t>It is intended that a staff draft of the Taxonomy will be published shortly after the release of the Exposure Draft, accompanied by a staff paper which will include an overview of the essential proposals for the Taxonomy. At a later date, an Exposure Draft of Taxonomy proposals is planned to be published by the ISSB for public consultation.</w:t>
      </w:r>
    </w:p>
    <w:p w14:paraId="0985FECC" w14:textId="77777777" w:rsidR="00AA513B" w:rsidRPr="00057ED8" w:rsidRDefault="00AA513B" w:rsidP="00F768D9">
      <w:pPr>
        <w:rPr>
          <w:sz w:val="17"/>
          <w:szCs w:val="17"/>
        </w:rPr>
      </w:pPr>
    </w:p>
    <w:p w14:paraId="3DFFFE1F" w14:textId="77777777" w:rsidR="00236A85" w:rsidRPr="00057ED8" w:rsidRDefault="00236A85" w:rsidP="00F768D9">
      <w:pPr>
        <w:rPr>
          <w:sz w:val="17"/>
          <w:szCs w:val="17"/>
        </w:rPr>
      </w:pPr>
      <w:r w:rsidRPr="00057ED8">
        <w:rPr>
          <w:sz w:val="17"/>
          <w:szCs w:val="17"/>
        </w:rPr>
        <w:t>Do you have any comments or suggestions relating to the drafting of the Exposure Draft that would facilitate the development of a Taxonomy and digital reporting (for example, any particular disclosure requirements that could be difficult to tag digitally)?</w:t>
      </w:r>
    </w:p>
    <w:p w14:paraId="5B2D4E6D" w14:textId="77777777" w:rsidR="00E45D12" w:rsidRPr="00057ED8" w:rsidRDefault="00E45D12" w:rsidP="00F768D9">
      <w:pPr>
        <w:rPr>
          <w:sz w:val="17"/>
          <w:szCs w:val="17"/>
        </w:rPr>
      </w:pPr>
    </w:p>
    <w:tbl>
      <w:tblPr>
        <w:tblStyle w:val="Mriekatabuky"/>
        <w:tblW w:w="0" w:type="auto"/>
        <w:tblLook w:val="04A0" w:firstRow="1" w:lastRow="0" w:firstColumn="1" w:lastColumn="0" w:noHBand="0" w:noVBand="1"/>
      </w:tblPr>
      <w:tblGrid>
        <w:gridCol w:w="9521"/>
      </w:tblGrid>
      <w:tr w:rsidR="00920235" w:rsidRPr="00057ED8" w14:paraId="0754448D" w14:textId="77777777" w:rsidTr="00C61B54">
        <w:trPr>
          <w:trHeight w:val="1625"/>
        </w:trPr>
        <w:tc>
          <w:tcPr>
            <w:tcW w:w="9521" w:type="dxa"/>
          </w:tcPr>
          <w:p w14:paraId="6045BF2B" w14:textId="06CF732D" w:rsidR="00124C33" w:rsidRPr="00057ED8" w:rsidRDefault="00B573CC" w:rsidP="00812D6D">
            <w:pPr>
              <w:spacing w:line="240" w:lineRule="auto"/>
              <w:rPr>
                <w:sz w:val="17"/>
                <w:szCs w:val="17"/>
              </w:rPr>
            </w:pPr>
            <w:r w:rsidRPr="00057ED8">
              <w:rPr>
                <w:sz w:val="17"/>
                <w:szCs w:val="17"/>
              </w:rPr>
              <w:t xml:space="preserve">To ensure compatibility with the EU reporting landscape, on the one hand, and to contribute to </w:t>
            </w:r>
            <w:r w:rsidR="00497183">
              <w:rPr>
                <w:sz w:val="17"/>
                <w:szCs w:val="17"/>
              </w:rPr>
              <w:t xml:space="preserve">the </w:t>
            </w:r>
            <w:r w:rsidRPr="00057ED8">
              <w:rPr>
                <w:sz w:val="17"/>
                <w:szCs w:val="17"/>
              </w:rPr>
              <w:t xml:space="preserve">global availability and accessibility of data more generally, on the other, </w:t>
            </w:r>
            <w:r w:rsidR="004673F6">
              <w:rPr>
                <w:sz w:val="17"/>
                <w:szCs w:val="17"/>
              </w:rPr>
              <w:t>Insurance Europe</w:t>
            </w:r>
            <w:r w:rsidR="004673F6" w:rsidRPr="00057ED8">
              <w:rPr>
                <w:sz w:val="17"/>
                <w:szCs w:val="17"/>
              </w:rPr>
              <w:t xml:space="preserve"> </w:t>
            </w:r>
            <w:r w:rsidRPr="00057ED8">
              <w:rPr>
                <w:sz w:val="17"/>
                <w:szCs w:val="17"/>
              </w:rPr>
              <w:t>would strongly support the ISSB develop</w:t>
            </w:r>
            <w:r w:rsidR="004673F6">
              <w:rPr>
                <w:sz w:val="17"/>
                <w:szCs w:val="17"/>
              </w:rPr>
              <w:t>ing</w:t>
            </w:r>
            <w:r w:rsidRPr="00057ED8">
              <w:rPr>
                <w:sz w:val="17"/>
                <w:szCs w:val="17"/>
              </w:rPr>
              <w:t xml:space="preserve"> a digital taxonomy in parallel </w:t>
            </w:r>
            <w:r w:rsidR="00857B4D">
              <w:rPr>
                <w:sz w:val="17"/>
                <w:szCs w:val="17"/>
              </w:rPr>
              <w:t>with</w:t>
            </w:r>
            <w:r w:rsidR="00857B4D" w:rsidRPr="00057ED8">
              <w:rPr>
                <w:sz w:val="17"/>
                <w:szCs w:val="17"/>
              </w:rPr>
              <w:t xml:space="preserve"> </w:t>
            </w:r>
            <w:r w:rsidRPr="00057ED8">
              <w:rPr>
                <w:sz w:val="17"/>
                <w:szCs w:val="17"/>
              </w:rPr>
              <w:t xml:space="preserve">the development of the IFRS </w:t>
            </w:r>
            <w:r w:rsidR="00857B4D">
              <w:rPr>
                <w:sz w:val="17"/>
                <w:szCs w:val="17"/>
              </w:rPr>
              <w:t>SDS</w:t>
            </w:r>
            <w:r w:rsidRPr="00057ED8">
              <w:rPr>
                <w:sz w:val="17"/>
                <w:szCs w:val="17"/>
              </w:rPr>
              <w:t xml:space="preserve">s from the beginning. In </w:t>
            </w:r>
            <w:r w:rsidR="00857B4D">
              <w:rPr>
                <w:sz w:val="17"/>
                <w:szCs w:val="17"/>
              </w:rPr>
              <w:t>Insurance Europe’s</w:t>
            </w:r>
            <w:r w:rsidR="00857B4D" w:rsidRPr="00057ED8">
              <w:rPr>
                <w:sz w:val="17"/>
                <w:szCs w:val="17"/>
              </w:rPr>
              <w:t xml:space="preserve"> </w:t>
            </w:r>
            <w:r w:rsidRPr="00057ED8">
              <w:rPr>
                <w:sz w:val="17"/>
                <w:szCs w:val="17"/>
              </w:rPr>
              <w:t xml:space="preserve">view, this is essential to establish an efficient and standardised global reporting regime. </w:t>
            </w:r>
          </w:p>
          <w:p w14:paraId="61BA36BE" w14:textId="77777777" w:rsidR="00124C33" w:rsidRPr="00057ED8" w:rsidRDefault="00124C33" w:rsidP="00812D6D">
            <w:pPr>
              <w:spacing w:line="240" w:lineRule="auto"/>
              <w:rPr>
                <w:sz w:val="17"/>
                <w:szCs w:val="17"/>
              </w:rPr>
            </w:pPr>
          </w:p>
          <w:p w14:paraId="1DA613DA" w14:textId="3113CF5F" w:rsidR="00920235" w:rsidRPr="00057ED8" w:rsidRDefault="00B573CC" w:rsidP="00812D6D">
            <w:pPr>
              <w:spacing w:line="240" w:lineRule="auto"/>
              <w:rPr>
                <w:sz w:val="17"/>
                <w:szCs w:val="17"/>
              </w:rPr>
            </w:pPr>
            <w:r w:rsidRPr="00057ED8">
              <w:rPr>
                <w:sz w:val="17"/>
                <w:szCs w:val="17"/>
              </w:rPr>
              <w:t>Further</w:t>
            </w:r>
            <w:r w:rsidR="00D31E0B" w:rsidRPr="00057ED8">
              <w:rPr>
                <w:sz w:val="17"/>
                <w:szCs w:val="17"/>
              </w:rPr>
              <w:t>more</w:t>
            </w:r>
            <w:r w:rsidRPr="00057ED8">
              <w:rPr>
                <w:sz w:val="17"/>
                <w:szCs w:val="17"/>
              </w:rPr>
              <w:t xml:space="preserve">, </w:t>
            </w:r>
            <w:r w:rsidR="00857B4D">
              <w:rPr>
                <w:sz w:val="17"/>
                <w:szCs w:val="17"/>
              </w:rPr>
              <w:t>it</w:t>
            </w:r>
            <w:r w:rsidR="00857B4D" w:rsidRPr="00057ED8">
              <w:rPr>
                <w:sz w:val="17"/>
                <w:szCs w:val="17"/>
              </w:rPr>
              <w:t xml:space="preserve"> </w:t>
            </w:r>
            <w:r w:rsidR="00D31E0B" w:rsidRPr="00057ED8">
              <w:rPr>
                <w:sz w:val="17"/>
                <w:szCs w:val="17"/>
              </w:rPr>
              <w:t>recommend</w:t>
            </w:r>
            <w:r w:rsidR="00857B4D">
              <w:rPr>
                <w:sz w:val="17"/>
                <w:szCs w:val="17"/>
              </w:rPr>
              <w:t>s</w:t>
            </w:r>
            <w:r w:rsidR="00D31E0B" w:rsidRPr="00057ED8">
              <w:rPr>
                <w:sz w:val="17"/>
                <w:szCs w:val="17"/>
              </w:rPr>
              <w:t xml:space="preserve"> that </w:t>
            </w:r>
            <w:r w:rsidRPr="00057ED8">
              <w:rPr>
                <w:sz w:val="17"/>
                <w:szCs w:val="17"/>
              </w:rPr>
              <w:t>t</w:t>
            </w:r>
            <w:r w:rsidR="003320E9" w:rsidRPr="00057ED8">
              <w:rPr>
                <w:sz w:val="17"/>
                <w:szCs w:val="17"/>
              </w:rPr>
              <w:t xml:space="preserve">he ISSB </w:t>
            </w:r>
            <w:r w:rsidR="00383713" w:rsidRPr="00057ED8">
              <w:rPr>
                <w:sz w:val="17"/>
                <w:szCs w:val="17"/>
              </w:rPr>
              <w:t>work</w:t>
            </w:r>
            <w:r w:rsidR="00857B4D">
              <w:rPr>
                <w:sz w:val="17"/>
                <w:szCs w:val="17"/>
              </w:rPr>
              <w:t>s</w:t>
            </w:r>
            <w:r w:rsidR="00383713" w:rsidRPr="00057ED8">
              <w:rPr>
                <w:sz w:val="17"/>
                <w:szCs w:val="17"/>
              </w:rPr>
              <w:t xml:space="preserve"> hand in hand with the EU, which has significant experience </w:t>
            </w:r>
            <w:r w:rsidR="00BC64EF">
              <w:rPr>
                <w:sz w:val="17"/>
                <w:szCs w:val="17"/>
              </w:rPr>
              <w:t>i</w:t>
            </w:r>
            <w:r w:rsidR="00383713" w:rsidRPr="00057ED8">
              <w:rPr>
                <w:sz w:val="17"/>
                <w:szCs w:val="17"/>
              </w:rPr>
              <w:t xml:space="preserve">n </w:t>
            </w:r>
            <w:r w:rsidR="00BC64EF">
              <w:rPr>
                <w:sz w:val="17"/>
                <w:szCs w:val="17"/>
              </w:rPr>
              <w:t xml:space="preserve">the </w:t>
            </w:r>
            <w:r w:rsidR="00383713" w:rsidRPr="00057ED8">
              <w:rPr>
                <w:sz w:val="17"/>
                <w:szCs w:val="17"/>
              </w:rPr>
              <w:t xml:space="preserve">digitalisation of reporting (through </w:t>
            </w:r>
            <w:r w:rsidR="0073398A">
              <w:rPr>
                <w:sz w:val="17"/>
                <w:szCs w:val="17"/>
              </w:rPr>
              <w:t xml:space="preserve">the </w:t>
            </w:r>
            <w:r w:rsidR="00383713" w:rsidRPr="00057ED8">
              <w:rPr>
                <w:sz w:val="17"/>
                <w:szCs w:val="17"/>
              </w:rPr>
              <w:t xml:space="preserve">ESEF and </w:t>
            </w:r>
            <w:r w:rsidR="001C3996" w:rsidRPr="00057ED8">
              <w:rPr>
                <w:sz w:val="17"/>
                <w:szCs w:val="17"/>
              </w:rPr>
              <w:t xml:space="preserve">its expanding work through the ESAP), to </w:t>
            </w:r>
            <w:r w:rsidR="004D60F5" w:rsidRPr="00057ED8">
              <w:rPr>
                <w:sz w:val="17"/>
                <w:szCs w:val="17"/>
              </w:rPr>
              <w:t xml:space="preserve">align </w:t>
            </w:r>
            <w:r w:rsidR="00D31E0B" w:rsidRPr="00057ED8">
              <w:rPr>
                <w:sz w:val="17"/>
                <w:szCs w:val="17"/>
              </w:rPr>
              <w:t xml:space="preserve">the digital format of </w:t>
            </w:r>
            <w:r w:rsidR="00DB6A63">
              <w:rPr>
                <w:sz w:val="17"/>
                <w:szCs w:val="17"/>
              </w:rPr>
              <w:t>its</w:t>
            </w:r>
            <w:r w:rsidR="00DB6A63" w:rsidRPr="00057ED8">
              <w:rPr>
                <w:sz w:val="17"/>
                <w:szCs w:val="17"/>
              </w:rPr>
              <w:t xml:space="preserve"> </w:t>
            </w:r>
            <w:r w:rsidR="00D31E0B" w:rsidRPr="00057ED8">
              <w:rPr>
                <w:sz w:val="17"/>
                <w:szCs w:val="17"/>
              </w:rPr>
              <w:t xml:space="preserve">digital taxonomy </w:t>
            </w:r>
            <w:r w:rsidR="004D60F5" w:rsidRPr="00057ED8">
              <w:rPr>
                <w:sz w:val="17"/>
                <w:szCs w:val="17"/>
              </w:rPr>
              <w:t xml:space="preserve">with </w:t>
            </w:r>
            <w:r w:rsidR="001C3996" w:rsidRPr="00057ED8">
              <w:rPr>
                <w:sz w:val="17"/>
                <w:szCs w:val="17"/>
              </w:rPr>
              <w:t>such</w:t>
            </w:r>
            <w:r w:rsidR="006A7DB2" w:rsidRPr="00057ED8">
              <w:rPr>
                <w:sz w:val="17"/>
                <w:szCs w:val="17"/>
              </w:rPr>
              <w:t xml:space="preserve"> </w:t>
            </w:r>
            <w:r w:rsidR="004D60F5" w:rsidRPr="00057ED8">
              <w:rPr>
                <w:sz w:val="17"/>
                <w:szCs w:val="17"/>
              </w:rPr>
              <w:t>EU initiative</w:t>
            </w:r>
            <w:r w:rsidR="00C37CC6" w:rsidRPr="00057ED8">
              <w:rPr>
                <w:sz w:val="17"/>
                <w:szCs w:val="17"/>
              </w:rPr>
              <w:t>s</w:t>
            </w:r>
            <w:r w:rsidR="004D60F5" w:rsidRPr="00057ED8">
              <w:rPr>
                <w:sz w:val="17"/>
                <w:szCs w:val="17"/>
              </w:rPr>
              <w:t>.</w:t>
            </w:r>
          </w:p>
        </w:tc>
      </w:tr>
    </w:tbl>
    <w:p w14:paraId="0457207A" w14:textId="77777777" w:rsidR="0017624C" w:rsidRPr="00057ED8" w:rsidRDefault="0017624C" w:rsidP="00F768D9">
      <w:pPr>
        <w:rPr>
          <w:sz w:val="17"/>
          <w:szCs w:val="17"/>
        </w:rPr>
      </w:pPr>
    </w:p>
    <w:p w14:paraId="0E4B43F2" w14:textId="77777777" w:rsidR="002D5B55" w:rsidRPr="00057ED8" w:rsidRDefault="002D5B55" w:rsidP="00F768D9">
      <w:pPr>
        <w:rPr>
          <w:sz w:val="17"/>
          <w:szCs w:val="17"/>
        </w:rPr>
      </w:pPr>
    </w:p>
    <w:p w14:paraId="162AFA40" w14:textId="77777777" w:rsidR="0017624C" w:rsidRPr="00057ED8" w:rsidRDefault="0017624C" w:rsidP="00F768D9">
      <w:pPr>
        <w:rPr>
          <w:b/>
          <w:bCs/>
          <w:sz w:val="17"/>
          <w:szCs w:val="17"/>
        </w:rPr>
      </w:pPr>
      <w:r w:rsidRPr="00057ED8">
        <w:rPr>
          <w:b/>
          <w:bCs/>
          <w:sz w:val="17"/>
          <w:szCs w:val="17"/>
        </w:rPr>
        <w:t>Question 16—Costs, benefits and likely effects</w:t>
      </w:r>
    </w:p>
    <w:p w14:paraId="4EDE4338" w14:textId="77777777" w:rsidR="00E10C00" w:rsidRPr="00057ED8" w:rsidRDefault="00E10C00" w:rsidP="00F768D9">
      <w:pPr>
        <w:rPr>
          <w:sz w:val="17"/>
          <w:szCs w:val="17"/>
        </w:rPr>
      </w:pPr>
      <w:r w:rsidRPr="00057ED8">
        <w:rPr>
          <w:sz w:val="17"/>
          <w:szCs w:val="17"/>
        </w:rPr>
        <w:lastRenderedPageBreak/>
        <w:t>The ISSB is committed to ensuring that implementing the Exposure Draft proposals appropriately balances costs and benefits.</w:t>
      </w:r>
    </w:p>
    <w:p w14:paraId="12545DEC" w14:textId="77777777" w:rsidR="00AA513B" w:rsidRPr="00057ED8" w:rsidRDefault="00AA513B" w:rsidP="00F768D9">
      <w:pPr>
        <w:rPr>
          <w:sz w:val="17"/>
          <w:szCs w:val="17"/>
        </w:rPr>
      </w:pPr>
    </w:p>
    <w:p w14:paraId="3FC59B67" w14:textId="77777777" w:rsidR="00E10C00" w:rsidRPr="00057ED8" w:rsidRDefault="00E10C00" w:rsidP="006945DC">
      <w:pPr>
        <w:pStyle w:val="Odsekzoznamu"/>
        <w:numPr>
          <w:ilvl w:val="0"/>
          <w:numId w:val="14"/>
        </w:numPr>
        <w:spacing w:before="0" w:line="288" w:lineRule="auto"/>
        <w:rPr>
          <w:szCs w:val="17"/>
          <w:lang w:val="en-GB"/>
        </w:rPr>
      </w:pPr>
      <w:r w:rsidRPr="00057ED8">
        <w:rPr>
          <w:szCs w:val="17"/>
          <w:lang w:val="en-GB"/>
        </w:rPr>
        <w:t>Do you have any comments on the likely benefits of implementing the proposals and the likely costs of implementing them that the ISSB should consider in analysing the likely effects of these proposals?</w:t>
      </w:r>
    </w:p>
    <w:p w14:paraId="358D09FA" w14:textId="77777777" w:rsidR="00AA513B" w:rsidRPr="00057ED8" w:rsidRDefault="00AA513B" w:rsidP="00AA513B">
      <w:pPr>
        <w:pStyle w:val="Odsekzoznamu"/>
        <w:spacing w:before="0" w:line="288" w:lineRule="auto"/>
        <w:ind w:left="720" w:firstLine="0"/>
        <w:rPr>
          <w:szCs w:val="17"/>
          <w:lang w:val="en-GB"/>
        </w:rPr>
      </w:pPr>
    </w:p>
    <w:p w14:paraId="1AE79304" w14:textId="77777777" w:rsidR="00E10C00" w:rsidRPr="00057ED8" w:rsidRDefault="00E10C00" w:rsidP="006945DC">
      <w:pPr>
        <w:pStyle w:val="Odsekzoznamu"/>
        <w:numPr>
          <w:ilvl w:val="0"/>
          <w:numId w:val="14"/>
        </w:numPr>
        <w:spacing w:before="0" w:line="288" w:lineRule="auto"/>
        <w:rPr>
          <w:szCs w:val="17"/>
          <w:lang w:val="en-GB"/>
        </w:rPr>
      </w:pPr>
      <w:r w:rsidRPr="00057ED8">
        <w:rPr>
          <w:szCs w:val="17"/>
          <w:lang w:val="en-GB"/>
        </w:rPr>
        <w:t>Do you have any comments on the costs of ongoing application of the proposals that the ISSB should consider?</w:t>
      </w:r>
    </w:p>
    <w:p w14:paraId="2373EF14" w14:textId="77777777" w:rsidR="0017624C" w:rsidRPr="00057ED8" w:rsidRDefault="0017624C" w:rsidP="00F768D9">
      <w:pPr>
        <w:rPr>
          <w:sz w:val="17"/>
          <w:szCs w:val="17"/>
        </w:rPr>
      </w:pPr>
    </w:p>
    <w:tbl>
      <w:tblPr>
        <w:tblStyle w:val="Mriekatabuky"/>
        <w:tblW w:w="0" w:type="auto"/>
        <w:tblLook w:val="04A0" w:firstRow="1" w:lastRow="0" w:firstColumn="1" w:lastColumn="0" w:noHBand="0" w:noVBand="1"/>
      </w:tblPr>
      <w:tblGrid>
        <w:gridCol w:w="9521"/>
      </w:tblGrid>
      <w:tr w:rsidR="00920235" w:rsidRPr="00057ED8" w14:paraId="5D108641" w14:textId="77777777" w:rsidTr="00C61B54">
        <w:trPr>
          <w:trHeight w:val="1625"/>
        </w:trPr>
        <w:tc>
          <w:tcPr>
            <w:tcW w:w="9521" w:type="dxa"/>
          </w:tcPr>
          <w:p w14:paraId="275B6981" w14:textId="78A60504" w:rsidR="00920235" w:rsidRPr="00057ED8" w:rsidRDefault="003547D2" w:rsidP="00812D6D">
            <w:pPr>
              <w:pStyle w:val="Odsekzoznamu"/>
              <w:numPr>
                <w:ilvl w:val="0"/>
                <w:numId w:val="29"/>
              </w:numPr>
              <w:rPr>
                <w:szCs w:val="17"/>
                <w:lang w:val="en-GB"/>
              </w:rPr>
            </w:pPr>
            <w:r w:rsidRPr="00057ED8">
              <w:rPr>
                <w:lang w:val="en-GB"/>
              </w:rPr>
              <w:t xml:space="preserve">European insurers </w:t>
            </w:r>
            <w:r w:rsidR="00667D4B" w:rsidRPr="00057ED8">
              <w:rPr>
                <w:lang w:val="en-GB"/>
              </w:rPr>
              <w:t xml:space="preserve">would like to stress the importance of </w:t>
            </w:r>
            <w:r w:rsidR="008130B8" w:rsidRPr="00057ED8">
              <w:rPr>
                <w:lang w:val="en-GB"/>
              </w:rPr>
              <w:t xml:space="preserve">compatibility with </w:t>
            </w:r>
            <w:r w:rsidR="00F67824" w:rsidRPr="00057ED8">
              <w:rPr>
                <w:lang w:val="en-GB"/>
              </w:rPr>
              <w:t xml:space="preserve">the </w:t>
            </w:r>
            <w:r w:rsidR="00D620C0" w:rsidRPr="00057ED8">
              <w:rPr>
                <w:lang w:val="en-GB"/>
              </w:rPr>
              <w:t xml:space="preserve">EU </w:t>
            </w:r>
            <w:r w:rsidR="00933210">
              <w:rPr>
                <w:lang w:val="en-GB"/>
              </w:rPr>
              <w:t>SRS</w:t>
            </w:r>
            <w:r w:rsidR="00D620C0" w:rsidRPr="00057ED8">
              <w:rPr>
                <w:lang w:val="en-GB"/>
              </w:rPr>
              <w:t xml:space="preserve">s currently </w:t>
            </w:r>
            <w:r w:rsidR="00801391" w:rsidRPr="00057ED8">
              <w:rPr>
                <w:lang w:val="en-GB"/>
              </w:rPr>
              <w:t xml:space="preserve">under development by EFRAG. </w:t>
            </w:r>
            <w:r w:rsidR="005114DC" w:rsidRPr="00057ED8">
              <w:rPr>
                <w:lang w:val="en-GB"/>
              </w:rPr>
              <w:t>T</w:t>
            </w:r>
            <w:r w:rsidR="00243D0A" w:rsidRPr="00057ED8">
              <w:rPr>
                <w:lang w:val="en-GB"/>
              </w:rPr>
              <w:t xml:space="preserve">he EU </w:t>
            </w:r>
            <w:r w:rsidR="00085223" w:rsidRPr="00057ED8">
              <w:rPr>
                <w:lang w:val="en-GB"/>
              </w:rPr>
              <w:t xml:space="preserve">CSRD </w:t>
            </w:r>
            <w:r w:rsidR="004F23A7" w:rsidRPr="00057ED8">
              <w:rPr>
                <w:lang w:val="en-GB"/>
              </w:rPr>
              <w:t>will</w:t>
            </w:r>
            <w:r w:rsidR="00B749CF" w:rsidRPr="00057ED8">
              <w:rPr>
                <w:lang w:val="en-GB"/>
              </w:rPr>
              <w:t xml:space="preserve"> require</w:t>
            </w:r>
            <w:r w:rsidR="00243D0A" w:rsidRPr="00057ED8">
              <w:rPr>
                <w:lang w:val="en-GB"/>
              </w:rPr>
              <w:t xml:space="preserve"> </w:t>
            </w:r>
            <w:r w:rsidR="00C95656" w:rsidRPr="00057ED8">
              <w:rPr>
                <w:lang w:val="en-GB"/>
              </w:rPr>
              <w:t>large companies</w:t>
            </w:r>
            <w:r w:rsidR="00FD65B1" w:rsidRPr="00057ED8">
              <w:rPr>
                <w:lang w:val="en-GB"/>
              </w:rPr>
              <w:t xml:space="preserve">, listed SMEs and </w:t>
            </w:r>
            <w:r w:rsidR="00301D45" w:rsidRPr="00057ED8">
              <w:rPr>
                <w:lang w:val="en-GB"/>
              </w:rPr>
              <w:t xml:space="preserve">EU subsidiaries </w:t>
            </w:r>
            <w:r w:rsidR="006374EF" w:rsidRPr="00057ED8">
              <w:rPr>
                <w:lang w:val="en-GB"/>
              </w:rPr>
              <w:t xml:space="preserve">to </w:t>
            </w:r>
            <w:r w:rsidR="00E21AD2" w:rsidRPr="00057ED8">
              <w:rPr>
                <w:lang w:val="en-GB"/>
              </w:rPr>
              <w:t xml:space="preserve">report on </w:t>
            </w:r>
            <w:r w:rsidR="004F23A7" w:rsidRPr="00057ED8">
              <w:rPr>
                <w:lang w:val="en-GB"/>
              </w:rPr>
              <w:t xml:space="preserve">a broad range of </w:t>
            </w:r>
            <w:r w:rsidR="00952119" w:rsidRPr="00057ED8">
              <w:rPr>
                <w:lang w:val="en-GB"/>
              </w:rPr>
              <w:t>sustainability themes</w:t>
            </w:r>
            <w:r w:rsidR="0015185C" w:rsidRPr="00057ED8">
              <w:rPr>
                <w:lang w:val="en-GB"/>
              </w:rPr>
              <w:t xml:space="preserve"> </w:t>
            </w:r>
            <w:r w:rsidR="00682648" w:rsidRPr="00057ED8">
              <w:rPr>
                <w:lang w:val="en-GB"/>
              </w:rPr>
              <w:t>through the use of standards.</w:t>
            </w:r>
            <w:r w:rsidR="008B36F5" w:rsidRPr="00057ED8">
              <w:rPr>
                <w:lang w:val="en-GB"/>
              </w:rPr>
              <w:t xml:space="preserve"> </w:t>
            </w:r>
            <w:r w:rsidR="003477AE" w:rsidRPr="00057ED8">
              <w:rPr>
                <w:lang w:val="en-GB"/>
              </w:rPr>
              <w:t xml:space="preserve">It is </w:t>
            </w:r>
            <w:r w:rsidR="005F46A0" w:rsidRPr="00057ED8">
              <w:rPr>
                <w:lang w:val="en-GB"/>
              </w:rPr>
              <w:t>necessary for EU preparers</w:t>
            </w:r>
            <w:r w:rsidR="007A70EB" w:rsidRPr="00057ED8">
              <w:rPr>
                <w:lang w:val="en-GB"/>
              </w:rPr>
              <w:t xml:space="preserve"> that the</w:t>
            </w:r>
            <w:r w:rsidR="00136977" w:rsidRPr="00057ED8">
              <w:rPr>
                <w:lang w:val="en-GB"/>
              </w:rPr>
              <w:t xml:space="preserve"> EU regulatory </w:t>
            </w:r>
            <w:r w:rsidR="000D7DD3" w:rsidRPr="00057ED8">
              <w:rPr>
                <w:lang w:val="en-GB"/>
              </w:rPr>
              <w:t xml:space="preserve">sustainability </w:t>
            </w:r>
            <w:r w:rsidR="00136977" w:rsidRPr="00057ED8">
              <w:rPr>
                <w:lang w:val="en-GB"/>
              </w:rPr>
              <w:t xml:space="preserve">reporting </w:t>
            </w:r>
            <w:r w:rsidR="004854A1" w:rsidRPr="00057ED8">
              <w:rPr>
                <w:lang w:val="en-GB"/>
              </w:rPr>
              <w:t xml:space="preserve">required </w:t>
            </w:r>
            <w:r w:rsidR="000D7DD3" w:rsidRPr="00057ED8">
              <w:rPr>
                <w:lang w:val="en-GB"/>
              </w:rPr>
              <w:t>under</w:t>
            </w:r>
            <w:r w:rsidR="004854A1" w:rsidRPr="00057ED8">
              <w:rPr>
                <w:lang w:val="en-GB"/>
              </w:rPr>
              <w:t xml:space="preserve"> the</w:t>
            </w:r>
            <w:r w:rsidR="00DF2251" w:rsidRPr="00057ED8">
              <w:rPr>
                <w:lang w:val="en-GB"/>
              </w:rPr>
              <w:t xml:space="preserve"> CSRD </w:t>
            </w:r>
            <w:r w:rsidR="00F523C2">
              <w:rPr>
                <w:lang w:val="en-GB"/>
              </w:rPr>
              <w:t xml:space="preserve">is </w:t>
            </w:r>
            <w:r w:rsidR="001D0D47" w:rsidRPr="00057ED8">
              <w:rPr>
                <w:lang w:val="en-GB"/>
              </w:rPr>
              <w:t>ali</w:t>
            </w:r>
            <w:r w:rsidR="009B177D" w:rsidRPr="00057ED8">
              <w:rPr>
                <w:lang w:val="en-GB"/>
              </w:rPr>
              <w:t>gn</w:t>
            </w:r>
            <w:r w:rsidR="00F523C2">
              <w:rPr>
                <w:lang w:val="en-GB"/>
              </w:rPr>
              <w:t>ed</w:t>
            </w:r>
            <w:r w:rsidR="009B177D" w:rsidRPr="00057ED8">
              <w:rPr>
                <w:lang w:val="en-GB"/>
              </w:rPr>
              <w:t xml:space="preserve"> and compli</w:t>
            </w:r>
            <w:r w:rsidR="00F523C2">
              <w:rPr>
                <w:lang w:val="en-GB"/>
              </w:rPr>
              <w:t>es</w:t>
            </w:r>
            <w:r w:rsidR="009B177D" w:rsidRPr="00057ED8">
              <w:rPr>
                <w:lang w:val="en-GB"/>
              </w:rPr>
              <w:t xml:space="preserve"> with the </w:t>
            </w:r>
            <w:r w:rsidR="008533FE" w:rsidRPr="00057ED8">
              <w:rPr>
                <w:lang w:val="en-GB"/>
              </w:rPr>
              <w:t xml:space="preserve">global baseline of the </w:t>
            </w:r>
            <w:r w:rsidR="009B177D" w:rsidRPr="00057ED8">
              <w:rPr>
                <w:lang w:val="en-GB"/>
              </w:rPr>
              <w:t xml:space="preserve">IFRS </w:t>
            </w:r>
            <w:r w:rsidR="00F523C2">
              <w:rPr>
                <w:lang w:val="en-GB"/>
              </w:rPr>
              <w:t>SDSs</w:t>
            </w:r>
            <w:r w:rsidR="00EB4B07" w:rsidRPr="00057ED8">
              <w:rPr>
                <w:lang w:val="en-GB"/>
              </w:rPr>
              <w:t xml:space="preserve">. This is </w:t>
            </w:r>
            <w:r w:rsidR="00F523C2">
              <w:rPr>
                <w:lang w:val="en-GB"/>
              </w:rPr>
              <w:t>vital</w:t>
            </w:r>
            <w:r w:rsidR="00F523C2" w:rsidRPr="00057ED8">
              <w:rPr>
                <w:lang w:val="en-GB"/>
              </w:rPr>
              <w:t xml:space="preserve"> </w:t>
            </w:r>
            <w:r w:rsidR="00EB4B07" w:rsidRPr="00057ED8">
              <w:rPr>
                <w:lang w:val="en-GB"/>
              </w:rPr>
              <w:t xml:space="preserve">to avoid a double reporting effort </w:t>
            </w:r>
            <w:r w:rsidR="002C475A" w:rsidRPr="00057ED8">
              <w:rPr>
                <w:lang w:val="en-GB"/>
              </w:rPr>
              <w:t>to comply with EU law and respond to market expectations.</w:t>
            </w:r>
            <w:r w:rsidR="00304393" w:rsidRPr="00057ED8">
              <w:rPr>
                <w:lang w:val="en-GB"/>
              </w:rPr>
              <w:t xml:space="preserve"> Otherwise, the ISSB risk</w:t>
            </w:r>
            <w:r w:rsidR="00B263A0">
              <w:rPr>
                <w:lang w:val="en-GB"/>
              </w:rPr>
              <w:t>s</w:t>
            </w:r>
            <w:r w:rsidR="00304393" w:rsidRPr="00057ED8">
              <w:rPr>
                <w:lang w:val="en-GB"/>
              </w:rPr>
              <w:t xml:space="preserve"> its standards not being accepted as a global baseline if the EU goes its own way. Therefore, </w:t>
            </w:r>
            <w:r w:rsidR="00B263A0">
              <w:rPr>
                <w:lang w:val="en-GB"/>
              </w:rPr>
              <w:t>Insurance Europe</w:t>
            </w:r>
            <w:r w:rsidR="00B263A0" w:rsidRPr="00057ED8">
              <w:rPr>
                <w:lang w:val="en-GB"/>
              </w:rPr>
              <w:t xml:space="preserve"> </w:t>
            </w:r>
            <w:r w:rsidR="00304393" w:rsidRPr="00057ED8">
              <w:rPr>
                <w:lang w:val="en-GB"/>
              </w:rPr>
              <w:t>urge</w:t>
            </w:r>
            <w:r w:rsidR="00B263A0">
              <w:rPr>
                <w:lang w:val="en-GB"/>
              </w:rPr>
              <w:t>s</w:t>
            </w:r>
            <w:r w:rsidR="00304393" w:rsidRPr="00057ED8">
              <w:rPr>
                <w:lang w:val="en-GB"/>
              </w:rPr>
              <w:t xml:space="preserve"> the ISSB to </w:t>
            </w:r>
            <w:r w:rsidR="009F5FB3">
              <w:rPr>
                <w:lang w:val="en-GB"/>
              </w:rPr>
              <w:t>ensure</w:t>
            </w:r>
            <w:r w:rsidR="00304393" w:rsidRPr="00057ED8">
              <w:rPr>
                <w:lang w:val="en-GB"/>
              </w:rPr>
              <w:t xml:space="preserve"> such a scenario</w:t>
            </w:r>
            <w:r w:rsidR="009F5FB3">
              <w:rPr>
                <w:lang w:val="en-GB"/>
              </w:rPr>
              <w:t xml:space="preserve"> is avoided</w:t>
            </w:r>
            <w:r w:rsidR="00304393" w:rsidRPr="00057ED8">
              <w:rPr>
                <w:lang w:val="en-GB"/>
              </w:rPr>
              <w:t>. Otherwise, the costs would be significant, both for preparers and users. Only global acceptance can prevent those costs from arising.</w:t>
            </w:r>
          </w:p>
          <w:p w14:paraId="4FA3BF01" w14:textId="77777777" w:rsidR="002161CB" w:rsidRPr="00057ED8" w:rsidRDefault="002161CB" w:rsidP="002161CB">
            <w:pPr>
              <w:pStyle w:val="CEABullet-Level1"/>
              <w:numPr>
                <w:ilvl w:val="0"/>
                <w:numId w:val="0"/>
              </w:numPr>
              <w:spacing w:line="240" w:lineRule="auto"/>
              <w:ind w:left="360" w:right="1050"/>
              <w:rPr>
                <w:szCs w:val="17"/>
              </w:rPr>
            </w:pPr>
          </w:p>
          <w:p w14:paraId="34427B54" w14:textId="3D08DDFE" w:rsidR="002161CB" w:rsidRPr="00057ED8" w:rsidRDefault="00757AEC" w:rsidP="00400EA8">
            <w:pPr>
              <w:pStyle w:val="CEABullet-Level1"/>
              <w:numPr>
                <w:ilvl w:val="0"/>
                <w:numId w:val="29"/>
              </w:numPr>
              <w:spacing w:line="240" w:lineRule="auto"/>
              <w:ind w:right="1050"/>
            </w:pPr>
            <w:r w:rsidRPr="00057ED8">
              <w:rPr>
                <w:szCs w:val="17"/>
              </w:rPr>
              <w:t>As to the operating implications, significant one-off implementation cost</w:t>
            </w:r>
            <w:r w:rsidR="00E30622">
              <w:rPr>
                <w:szCs w:val="17"/>
              </w:rPr>
              <w:t>s</w:t>
            </w:r>
            <w:r w:rsidRPr="00057ED8">
              <w:rPr>
                <w:szCs w:val="17"/>
              </w:rPr>
              <w:t xml:space="preserve"> and effort </w:t>
            </w:r>
            <w:r w:rsidR="00E30622">
              <w:rPr>
                <w:szCs w:val="17"/>
              </w:rPr>
              <w:t xml:space="preserve">would </w:t>
            </w:r>
            <w:r w:rsidR="00333171">
              <w:rPr>
                <w:szCs w:val="17"/>
              </w:rPr>
              <w:t>be required to set</w:t>
            </w:r>
            <w:r w:rsidRPr="00057ED8">
              <w:rPr>
                <w:szCs w:val="17"/>
              </w:rPr>
              <w:t xml:space="preserve"> up IT systems and processes</w:t>
            </w:r>
            <w:r w:rsidR="00FC5B31">
              <w:rPr>
                <w:szCs w:val="17"/>
              </w:rPr>
              <w:t>,</w:t>
            </w:r>
            <w:r w:rsidRPr="00057ED8">
              <w:rPr>
                <w:szCs w:val="17"/>
              </w:rPr>
              <w:t xml:space="preserve"> as well as for the </w:t>
            </w:r>
            <w:r w:rsidR="000B243F">
              <w:rPr>
                <w:szCs w:val="17"/>
              </w:rPr>
              <w:t>recurring</w:t>
            </w:r>
            <w:r w:rsidR="00FB3C37" w:rsidRPr="00057ED8">
              <w:rPr>
                <w:szCs w:val="17"/>
              </w:rPr>
              <w:t xml:space="preserve"> </w:t>
            </w:r>
            <w:r w:rsidRPr="00057ED8">
              <w:rPr>
                <w:szCs w:val="17"/>
              </w:rPr>
              <w:t xml:space="preserve">analysis, quality assurance and audit procedures, especially for companies that do not prepare sustainability information at this stage or that do so only to a limited extent. </w:t>
            </w:r>
          </w:p>
          <w:p w14:paraId="4511DB5D" w14:textId="77777777" w:rsidR="00C22ADB" w:rsidRDefault="00C22ADB" w:rsidP="00DF180C">
            <w:pPr>
              <w:pStyle w:val="CEABullet-Level1"/>
              <w:numPr>
                <w:ilvl w:val="0"/>
                <w:numId w:val="0"/>
              </w:numPr>
              <w:spacing w:line="240" w:lineRule="auto"/>
              <w:ind w:left="720" w:right="1050" w:hanging="360"/>
              <w:rPr>
                <w:szCs w:val="17"/>
              </w:rPr>
            </w:pPr>
          </w:p>
          <w:p w14:paraId="378F28AC" w14:textId="50B079E7" w:rsidR="00920235" w:rsidRPr="00057ED8" w:rsidRDefault="00205EC6" w:rsidP="00BB4FB0">
            <w:pPr>
              <w:pStyle w:val="CEABullet-Level1"/>
              <w:numPr>
                <w:ilvl w:val="0"/>
                <w:numId w:val="0"/>
              </w:numPr>
              <w:spacing w:line="240" w:lineRule="auto"/>
              <w:ind w:left="720" w:right="1050" w:hanging="360"/>
            </w:pPr>
            <w:r w:rsidRPr="00057ED8">
              <w:rPr>
                <w:szCs w:val="17"/>
              </w:rPr>
              <w:t>R</w:t>
            </w:r>
            <w:r w:rsidR="00446171" w:rsidRPr="00057ED8">
              <w:rPr>
                <w:szCs w:val="17"/>
              </w:rPr>
              <w:t xml:space="preserve">eporting on sustainability-related risks and opportunities plays an important role in shaping sustainability transformation and thereby gives benefits for users of </w:t>
            </w:r>
            <w:proofErr w:type="gramStart"/>
            <w:r w:rsidR="00446171" w:rsidRPr="00057ED8">
              <w:rPr>
                <w:szCs w:val="17"/>
              </w:rPr>
              <w:t>general purpose</w:t>
            </w:r>
            <w:proofErr w:type="gramEnd"/>
            <w:r w:rsidR="00446171" w:rsidRPr="00057ED8">
              <w:rPr>
                <w:szCs w:val="17"/>
              </w:rPr>
              <w:t xml:space="preserve"> financial statements, who clearly and urgently need globally available sustainability-related financial information that is of high quality, comparability and reliability. However, a reasonable cost-benefit ratio should guide decisions </w:t>
            </w:r>
            <w:r w:rsidR="006D206B">
              <w:rPr>
                <w:szCs w:val="17"/>
              </w:rPr>
              <w:t>on</w:t>
            </w:r>
            <w:r w:rsidR="006D206B" w:rsidRPr="00057ED8">
              <w:rPr>
                <w:szCs w:val="17"/>
              </w:rPr>
              <w:t xml:space="preserve"> </w:t>
            </w:r>
            <w:r w:rsidR="00446171" w:rsidRPr="00057ED8">
              <w:rPr>
                <w:szCs w:val="17"/>
              </w:rPr>
              <w:t xml:space="preserve">reporting requirements. </w:t>
            </w:r>
            <w:r w:rsidR="006E56D4" w:rsidRPr="00057ED8">
              <w:t xml:space="preserve">For the costs to remain reasonable, the ISSB should </w:t>
            </w:r>
            <w:r w:rsidR="0019421E">
              <w:t>continue to</w:t>
            </w:r>
            <w:r w:rsidR="0019421E" w:rsidRPr="00057ED8">
              <w:t xml:space="preserve"> </w:t>
            </w:r>
            <w:r w:rsidR="006E56D4" w:rsidRPr="00057ED8">
              <w:t>consider well</w:t>
            </w:r>
            <w:r w:rsidR="00010CE3" w:rsidRPr="00057ED8">
              <w:t>-</w:t>
            </w:r>
            <w:r w:rsidR="006E56D4" w:rsidRPr="00057ED8">
              <w:t xml:space="preserve">established international frameworks or work from other </w:t>
            </w:r>
            <w:r w:rsidR="00C22ADB">
              <w:t xml:space="preserve">relevant </w:t>
            </w:r>
            <w:r w:rsidR="006E56D4" w:rsidRPr="00057ED8">
              <w:t xml:space="preserve">jurisdictions while elaborating further standards on other sustainability issues. </w:t>
            </w:r>
            <w:r w:rsidR="00446171" w:rsidRPr="00057ED8">
              <w:rPr>
                <w:szCs w:val="17"/>
              </w:rPr>
              <w:t xml:space="preserve">This includes reporting that is compatible with </w:t>
            </w:r>
            <w:r w:rsidR="007B3D7B">
              <w:rPr>
                <w:szCs w:val="17"/>
              </w:rPr>
              <w:t>that</w:t>
            </w:r>
            <w:r w:rsidR="007B3D7B" w:rsidRPr="00057ED8">
              <w:rPr>
                <w:szCs w:val="17"/>
              </w:rPr>
              <w:t xml:space="preserve"> </w:t>
            </w:r>
            <w:r w:rsidR="00446171" w:rsidRPr="00057ED8">
              <w:rPr>
                <w:szCs w:val="17"/>
              </w:rPr>
              <w:t>intended by other standard-setters (</w:t>
            </w:r>
            <w:proofErr w:type="spellStart"/>
            <w:r w:rsidR="00446171" w:rsidRPr="00057ED8">
              <w:rPr>
                <w:szCs w:val="17"/>
              </w:rPr>
              <w:t>eg</w:t>
            </w:r>
            <w:proofErr w:type="spellEnd"/>
            <w:r w:rsidR="007B3D7B">
              <w:rPr>
                <w:szCs w:val="17"/>
              </w:rPr>
              <w:t>,</w:t>
            </w:r>
            <w:r w:rsidR="00446171" w:rsidRPr="00057ED8">
              <w:rPr>
                <w:szCs w:val="17"/>
              </w:rPr>
              <w:t xml:space="preserve"> EFRAG).</w:t>
            </w:r>
            <w:r w:rsidR="00757AEC" w:rsidRPr="00057ED8">
              <w:t xml:space="preserve"> </w:t>
            </w:r>
          </w:p>
          <w:p w14:paraId="5F586466" w14:textId="0749DC25" w:rsidR="004C456D" w:rsidRPr="00057ED8" w:rsidRDefault="004C456D" w:rsidP="002161CB">
            <w:pPr>
              <w:pStyle w:val="CEABullet-Level1"/>
              <w:numPr>
                <w:ilvl w:val="0"/>
                <w:numId w:val="0"/>
              </w:numPr>
              <w:spacing w:line="240" w:lineRule="auto"/>
              <w:ind w:left="720" w:right="1050" w:hanging="360"/>
            </w:pPr>
          </w:p>
        </w:tc>
      </w:tr>
    </w:tbl>
    <w:p w14:paraId="2784124B" w14:textId="77777777" w:rsidR="00E27573" w:rsidRPr="00057ED8" w:rsidRDefault="00E27573" w:rsidP="00F768D9">
      <w:pPr>
        <w:rPr>
          <w:sz w:val="17"/>
          <w:szCs w:val="17"/>
        </w:rPr>
      </w:pPr>
    </w:p>
    <w:p w14:paraId="6F81BF17" w14:textId="77777777" w:rsidR="00E27573" w:rsidRPr="00057ED8" w:rsidRDefault="00E27573" w:rsidP="00F768D9">
      <w:pPr>
        <w:rPr>
          <w:sz w:val="17"/>
          <w:szCs w:val="17"/>
        </w:rPr>
      </w:pPr>
    </w:p>
    <w:p w14:paraId="4077730D" w14:textId="77777777" w:rsidR="00E27573" w:rsidRPr="00057ED8" w:rsidRDefault="00E27573" w:rsidP="00F768D9">
      <w:pPr>
        <w:rPr>
          <w:b/>
          <w:bCs/>
          <w:sz w:val="17"/>
          <w:szCs w:val="17"/>
        </w:rPr>
      </w:pPr>
      <w:r w:rsidRPr="00057ED8">
        <w:rPr>
          <w:b/>
          <w:bCs/>
          <w:sz w:val="17"/>
          <w:szCs w:val="17"/>
        </w:rPr>
        <w:t>Question 17—Other comments</w:t>
      </w:r>
    </w:p>
    <w:p w14:paraId="09BCB668" w14:textId="77777777" w:rsidR="00380395" w:rsidRPr="00057ED8" w:rsidRDefault="00380395" w:rsidP="00F768D9">
      <w:pPr>
        <w:rPr>
          <w:sz w:val="17"/>
          <w:szCs w:val="17"/>
        </w:rPr>
      </w:pPr>
      <w:r w:rsidRPr="00057ED8">
        <w:rPr>
          <w:sz w:val="17"/>
          <w:szCs w:val="17"/>
        </w:rPr>
        <w:t>Do you have any other comments on the proposals set out in the Exposure Draft?</w:t>
      </w:r>
    </w:p>
    <w:p w14:paraId="59F18492" w14:textId="77777777" w:rsidR="00E27573" w:rsidRPr="00057ED8" w:rsidRDefault="00E27573" w:rsidP="00F768D9">
      <w:pPr>
        <w:rPr>
          <w:sz w:val="17"/>
          <w:szCs w:val="17"/>
        </w:rPr>
      </w:pPr>
    </w:p>
    <w:tbl>
      <w:tblPr>
        <w:tblStyle w:val="Mriekatabuky"/>
        <w:tblW w:w="0" w:type="auto"/>
        <w:tblLook w:val="04A0" w:firstRow="1" w:lastRow="0" w:firstColumn="1" w:lastColumn="0" w:noHBand="0" w:noVBand="1"/>
      </w:tblPr>
      <w:tblGrid>
        <w:gridCol w:w="9521"/>
      </w:tblGrid>
      <w:tr w:rsidR="00920235" w:rsidRPr="00057ED8" w14:paraId="377D4014" w14:textId="77777777" w:rsidTr="00C61B54">
        <w:trPr>
          <w:trHeight w:val="1625"/>
        </w:trPr>
        <w:tc>
          <w:tcPr>
            <w:tcW w:w="9521" w:type="dxa"/>
          </w:tcPr>
          <w:p w14:paraId="0DE446D7" w14:textId="237D49F0" w:rsidR="00006B2E" w:rsidRPr="00057ED8" w:rsidRDefault="00151BF6" w:rsidP="002762E5">
            <w:pPr>
              <w:spacing w:line="240" w:lineRule="auto"/>
              <w:rPr>
                <w:sz w:val="17"/>
                <w:szCs w:val="17"/>
              </w:rPr>
            </w:pPr>
            <w:r>
              <w:rPr>
                <w:sz w:val="17"/>
                <w:szCs w:val="17"/>
              </w:rPr>
              <w:t>Insurance Europ</w:t>
            </w:r>
            <w:r w:rsidR="00006B2E" w:rsidRPr="00057ED8">
              <w:rPr>
                <w:sz w:val="17"/>
                <w:szCs w:val="17"/>
              </w:rPr>
              <w:t xml:space="preserve">e would like to </w:t>
            </w:r>
            <w:r>
              <w:rPr>
                <w:sz w:val="17"/>
                <w:szCs w:val="17"/>
              </w:rPr>
              <w:t>stress</w:t>
            </w:r>
            <w:r w:rsidRPr="00057ED8">
              <w:rPr>
                <w:sz w:val="17"/>
                <w:szCs w:val="17"/>
              </w:rPr>
              <w:t xml:space="preserve"> </w:t>
            </w:r>
            <w:r w:rsidR="00006B2E" w:rsidRPr="00057ED8">
              <w:rPr>
                <w:sz w:val="17"/>
                <w:szCs w:val="17"/>
              </w:rPr>
              <w:t xml:space="preserve">the need for close cooperation between the ISSB and the IASB. This will help to create a common understanding </w:t>
            </w:r>
            <w:r>
              <w:rPr>
                <w:sz w:val="17"/>
                <w:szCs w:val="17"/>
              </w:rPr>
              <w:t>of</w:t>
            </w:r>
            <w:r w:rsidRPr="00057ED8">
              <w:rPr>
                <w:sz w:val="17"/>
                <w:szCs w:val="17"/>
              </w:rPr>
              <w:t xml:space="preserve"> </w:t>
            </w:r>
            <w:r w:rsidR="00006B2E" w:rsidRPr="00057ED8">
              <w:rPr>
                <w:sz w:val="17"/>
                <w:szCs w:val="17"/>
              </w:rPr>
              <w:t xml:space="preserve">the comprehensive baseline </w:t>
            </w:r>
            <w:r>
              <w:rPr>
                <w:sz w:val="17"/>
                <w:szCs w:val="17"/>
              </w:rPr>
              <w:t>for</w:t>
            </w:r>
            <w:r w:rsidRPr="00057ED8">
              <w:rPr>
                <w:sz w:val="17"/>
                <w:szCs w:val="17"/>
              </w:rPr>
              <w:t xml:space="preserve"> </w:t>
            </w:r>
            <w:r w:rsidR="00006B2E" w:rsidRPr="00057ED8">
              <w:rPr>
                <w:sz w:val="17"/>
                <w:szCs w:val="17"/>
              </w:rPr>
              <w:t>ESG matters, to which reporting entities it would refer and which reporting design might be set up. In this regard</w:t>
            </w:r>
            <w:r>
              <w:rPr>
                <w:sz w:val="17"/>
                <w:szCs w:val="17"/>
              </w:rPr>
              <w:t>,</w:t>
            </w:r>
            <w:r w:rsidR="00006B2E" w:rsidRPr="00057ED8">
              <w:rPr>
                <w:sz w:val="17"/>
                <w:szCs w:val="17"/>
              </w:rPr>
              <w:t xml:space="preserve"> </w:t>
            </w:r>
            <w:r>
              <w:rPr>
                <w:sz w:val="17"/>
                <w:szCs w:val="17"/>
              </w:rPr>
              <w:t>Insurance Europ</w:t>
            </w:r>
            <w:r w:rsidR="00006B2E" w:rsidRPr="00057ED8">
              <w:rPr>
                <w:sz w:val="17"/>
                <w:szCs w:val="17"/>
              </w:rPr>
              <w:t>e believe</w:t>
            </w:r>
            <w:r>
              <w:rPr>
                <w:sz w:val="17"/>
                <w:szCs w:val="17"/>
              </w:rPr>
              <w:t>s</w:t>
            </w:r>
            <w:r w:rsidR="00006B2E" w:rsidRPr="00057ED8">
              <w:rPr>
                <w:sz w:val="17"/>
                <w:szCs w:val="17"/>
              </w:rPr>
              <w:t xml:space="preserve"> that the IASB’</w:t>
            </w:r>
            <w:r>
              <w:rPr>
                <w:sz w:val="17"/>
                <w:szCs w:val="17"/>
              </w:rPr>
              <w:t>s</w:t>
            </w:r>
            <w:r w:rsidR="00006B2E" w:rsidRPr="00057ED8">
              <w:rPr>
                <w:sz w:val="17"/>
                <w:szCs w:val="17"/>
              </w:rPr>
              <w:t xml:space="preserve"> ongoing work on the review and update of the Practice Statement on management commentary </w:t>
            </w:r>
            <w:r w:rsidR="00642EAF" w:rsidRPr="00057ED8">
              <w:rPr>
                <w:sz w:val="17"/>
                <w:szCs w:val="17"/>
              </w:rPr>
              <w:t xml:space="preserve">could be a </w:t>
            </w:r>
            <w:r w:rsidR="00006B2E" w:rsidRPr="00057ED8">
              <w:rPr>
                <w:sz w:val="17"/>
                <w:szCs w:val="17"/>
              </w:rPr>
              <w:t xml:space="preserve">suitable project </w:t>
            </w:r>
            <w:r>
              <w:rPr>
                <w:sz w:val="17"/>
                <w:szCs w:val="17"/>
              </w:rPr>
              <w:t>in which</w:t>
            </w:r>
            <w:r w:rsidRPr="00057ED8">
              <w:rPr>
                <w:sz w:val="17"/>
                <w:szCs w:val="17"/>
              </w:rPr>
              <w:t xml:space="preserve"> </w:t>
            </w:r>
            <w:r w:rsidR="00006B2E" w:rsidRPr="00057ED8">
              <w:rPr>
                <w:sz w:val="17"/>
                <w:szCs w:val="17"/>
              </w:rPr>
              <w:t>both Boards could cooperate very closely when the IASB’s work progresses to ensure consistent corporate reporting on ESG matters.</w:t>
            </w:r>
          </w:p>
          <w:p w14:paraId="097E6CB1" w14:textId="77777777" w:rsidR="00006B2E" w:rsidRPr="00057ED8" w:rsidRDefault="00006B2E" w:rsidP="002762E5">
            <w:pPr>
              <w:spacing w:line="240" w:lineRule="auto"/>
              <w:rPr>
                <w:sz w:val="17"/>
                <w:szCs w:val="17"/>
              </w:rPr>
            </w:pPr>
          </w:p>
          <w:p w14:paraId="47DE555A" w14:textId="3624DA8E" w:rsidR="00920235" w:rsidRPr="00057ED8" w:rsidRDefault="00151BF6" w:rsidP="002762E5">
            <w:pPr>
              <w:spacing w:line="240" w:lineRule="auto"/>
              <w:rPr>
                <w:sz w:val="17"/>
                <w:szCs w:val="17"/>
              </w:rPr>
            </w:pPr>
            <w:r>
              <w:rPr>
                <w:sz w:val="17"/>
                <w:szCs w:val="17"/>
              </w:rPr>
              <w:t>Insurance Europ</w:t>
            </w:r>
            <w:r w:rsidR="002762E5" w:rsidRPr="00057ED8">
              <w:rPr>
                <w:sz w:val="17"/>
                <w:szCs w:val="17"/>
              </w:rPr>
              <w:t>e</w:t>
            </w:r>
            <w:r w:rsidR="00006B2E" w:rsidRPr="00057ED8">
              <w:rPr>
                <w:sz w:val="17"/>
                <w:szCs w:val="17"/>
              </w:rPr>
              <w:t xml:space="preserve"> would also like to raise the issue of field testing. While this should not generally be a mandatory step in the sustainability reporting standard-setting process, it should be systematically considered in order to test and provide evidence of practicability, proportionality and feasibility. Experience of standard-setting in financial reporting has shown the importance of appropriate field-testing, and this may be even more relevant for sustainability reporting, which is less mature. Insurance Europe therefore </w:t>
            </w:r>
            <w:r w:rsidR="008B68D2" w:rsidRPr="00057ED8">
              <w:rPr>
                <w:sz w:val="17"/>
                <w:szCs w:val="17"/>
              </w:rPr>
              <w:t>call</w:t>
            </w:r>
            <w:r>
              <w:rPr>
                <w:sz w:val="17"/>
                <w:szCs w:val="17"/>
              </w:rPr>
              <w:t>s on</w:t>
            </w:r>
            <w:r w:rsidR="008B68D2" w:rsidRPr="00057ED8">
              <w:rPr>
                <w:sz w:val="17"/>
                <w:szCs w:val="17"/>
              </w:rPr>
              <w:t xml:space="preserve"> the</w:t>
            </w:r>
            <w:r w:rsidR="00006B2E" w:rsidRPr="00057ED8">
              <w:rPr>
                <w:sz w:val="17"/>
                <w:szCs w:val="17"/>
              </w:rPr>
              <w:t xml:space="preserve"> ISSB to include the need to consider for each standard or set of standards whether fieldwork should be conducted</w:t>
            </w:r>
            <w:r w:rsidR="008B68D2" w:rsidRPr="00057ED8">
              <w:rPr>
                <w:sz w:val="17"/>
                <w:szCs w:val="17"/>
              </w:rPr>
              <w:t xml:space="preserve"> as a principle</w:t>
            </w:r>
            <w:r w:rsidR="00006B2E" w:rsidRPr="00057ED8">
              <w:rPr>
                <w:sz w:val="17"/>
                <w:szCs w:val="17"/>
              </w:rPr>
              <w:t xml:space="preserve"> and, if in doubt, to canvas the views of users and preparers via public consultation. Here, it should be emphasi</w:t>
            </w:r>
            <w:r>
              <w:rPr>
                <w:sz w:val="17"/>
                <w:szCs w:val="17"/>
              </w:rPr>
              <w:t>s</w:t>
            </w:r>
            <w:r w:rsidR="00006B2E" w:rsidRPr="00057ED8">
              <w:rPr>
                <w:sz w:val="17"/>
                <w:szCs w:val="17"/>
              </w:rPr>
              <w:t xml:space="preserve">ed that fieldwork can take different forms and </w:t>
            </w:r>
            <w:r>
              <w:rPr>
                <w:sz w:val="17"/>
                <w:szCs w:val="17"/>
              </w:rPr>
              <w:t>does</w:t>
            </w:r>
            <w:r w:rsidRPr="00057ED8">
              <w:rPr>
                <w:sz w:val="17"/>
                <w:szCs w:val="17"/>
              </w:rPr>
              <w:t xml:space="preserve"> </w:t>
            </w:r>
            <w:r w:rsidR="00006B2E" w:rsidRPr="00057ED8">
              <w:rPr>
                <w:sz w:val="17"/>
                <w:szCs w:val="17"/>
              </w:rPr>
              <w:t>not necessarily always involve case studies/simulations, which require a considerable amount of time.</w:t>
            </w:r>
          </w:p>
        </w:tc>
      </w:tr>
    </w:tbl>
    <w:p w14:paraId="7C3C63D6" w14:textId="3D1FEE2E" w:rsidR="00152882" w:rsidRPr="00057ED8" w:rsidRDefault="00152882" w:rsidP="003D0236">
      <w:pPr>
        <w:autoSpaceDE w:val="0"/>
        <w:autoSpaceDN w:val="0"/>
        <w:adjustRightInd w:val="0"/>
        <w:rPr>
          <w:sz w:val="17"/>
          <w:szCs w:val="17"/>
        </w:rPr>
      </w:pPr>
    </w:p>
    <w:p w14:paraId="76FC14EC" w14:textId="77777777" w:rsidR="00262FA3" w:rsidRPr="00057ED8" w:rsidRDefault="00262FA3" w:rsidP="003D0236">
      <w:pPr>
        <w:autoSpaceDE w:val="0"/>
        <w:autoSpaceDN w:val="0"/>
        <w:adjustRightInd w:val="0"/>
        <w:rPr>
          <w:sz w:val="17"/>
          <w:szCs w:val="17"/>
        </w:rPr>
      </w:pPr>
    </w:p>
    <w:p w14:paraId="00436C79" w14:textId="77777777" w:rsidR="0020685A" w:rsidRPr="00057ED8" w:rsidRDefault="0020685A">
      <w:pPr>
        <w:spacing w:after="200" w:line="276" w:lineRule="auto"/>
        <w:jc w:val="left"/>
        <w:rPr>
          <w:b/>
          <w:color w:val="002957"/>
          <w:sz w:val="17"/>
          <w:szCs w:val="17"/>
        </w:rPr>
      </w:pPr>
      <w:r w:rsidRPr="00057ED8">
        <w:rPr>
          <w:b/>
          <w:color w:val="002957"/>
          <w:sz w:val="17"/>
          <w:szCs w:val="17"/>
        </w:rPr>
        <w:lastRenderedPageBreak/>
        <w:br w:type="page"/>
      </w:r>
    </w:p>
    <w:p w14:paraId="3D7B3B1C" w14:textId="352C519B" w:rsidR="00262FA3" w:rsidRPr="00057ED8" w:rsidRDefault="00262FA3" w:rsidP="0020685A">
      <w:pPr>
        <w:shd w:val="clear" w:color="auto" w:fill="B8CCE4" w:themeFill="accent1" w:themeFillTint="66"/>
        <w:autoSpaceDE w:val="0"/>
        <w:autoSpaceDN w:val="0"/>
        <w:adjustRightInd w:val="0"/>
        <w:rPr>
          <w:b/>
          <w:color w:val="002957"/>
          <w:sz w:val="17"/>
          <w:szCs w:val="17"/>
        </w:rPr>
      </w:pPr>
      <w:r w:rsidRPr="00057ED8">
        <w:rPr>
          <w:b/>
          <w:color w:val="002957"/>
          <w:sz w:val="17"/>
          <w:szCs w:val="17"/>
        </w:rPr>
        <w:lastRenderedPageBreak/>
        <w:t>IFRS S2 Climate-related Disclosures</w:t>
      </w:r>
    </w:p>
    <w:p w14:paraId="12585F03" w14:textId="77777777" w:rsidR="00262FA3" w:rsidRPr="00057ED8" w:rsidRDefault="00262FA3" w:rsidP="003D0236">
      <w:pPr>
        <w:autoSpaceDE w:val="0"/>
        <w:autoSpaceDN w:val="0"/>
        <w:adjustRightInd w:val="0"/>
        <w:rPr>
          <w:sz w:val="17"/>
          <w:szCs w:val="17"/>
        </w:rPr>
      </w:pPr>
    </w:p>
    <w:p w14:paraId="595A3C46" w14:textId="77777777" w:rsidR="00B32579" w:rsidRPr="00057ED8" w:rsidRDefault="00B32579" w:rsidP="00A20516">
      <w:pPr>
        <w:rPr>
          <w:b/>
          <w:bCs/>
          <w:sz w:val="17"/>
          <w:szCs w:val="17"/>
        </w:rPr>
      </w:pPr>
      <w:r w:rsidRPr="00057ED8">
        <w:rPr>
          <w:b/>
          <w:bCs/>
          <w:sz w:val="17"/>
          <w:szCs w:val="17"/>
        </w:rPr>
        <w:t>Question 1—Objective of the Exposure Draft</w:t>
      </w:r>
    </w:p>
    <w:p w14:paraId="40898C91" w14:textId="77777777" w:rsidR="00E868D7" w:rsidRPr="00057ED8" w:rsidRDefault="00E868D7" w:rsidP="009B0D33">
      <w:pPr>
        <w:rPr>
          <w:sz w:val="17"/>
          <w:szCs w:val="17"/>
        </w:rPr>
      </w:pPr>
      <w:r w:rsidRPr="00057ED8">
        <w:rPr>
          <w:sz w:val="17"/>
          <w:szCs w:val="17"/>
        </w:rPr>
        <w:t>Paragraph 1 of the Exposure Draft sets out the proposed objective: an entity is required to disclose information about its exposure to climate-related risks and opportunities, enabling users of an entity’s general purpose financial reporting:</w:t>
      </w:r>
    </w:p>
    <w:p w14:paraId="77E25DB4" w14:textId="77777777" w:rsidR="00E868D7" w:rsidRPr="00057ED8" w:rsidRDefault="00E868D7" w:rsidP="009B0D33">
      <w:pPr>
        <w:pStyle w:val="CEABullet-Level1"/>
      </w:pPr>
      <w:r w:rsidRPr="00057ED8">
        <w:t>to assess the effects of climate-related risks and opportunities on the entity’s enterprise value;</w:t>
      </w:r>
    </w:p>
    <w:p w14:paraId="4231CA16" w14:textId="77777777" w:rsidR="00E868D7" w:rsidRPr="00057ED8" w:rsidRDefault="00E868D7" w:rsidP="009B0D33">
      <w:pPr>
        <w:pStyle w:val="CEABullet-Level1"/>
      </w:pPr>
      <w:r w:rsidRPr="00057ED8">
        <w:t>to understand how the entity’s use of resources, and corresponding inputs, activities, outputs and outcomes support the entity’s response to and strategy for managing its climate-related risks and opportunities; and</w:t>
      </w:r>
    </w:p>
    <w:p w14:paraId="0B228609" w14:textId="77777777" w:rsidR="00E868D7" w:rsidRPr="00057ED8" w:rsidRDefault="00E868D7" w:rsidP="009B0D33">
      <w:pPr>
        <w:pStyle w:val="CEABullet-Level1"/>
      </w:pPr>
      <w:r w:rsidRPr="00057ED8">
        <w:t>to evaluate the entity’s ability to adapt its planning, business model and operations to climate-related risks and opportunities.</w:t>
      </w:r>
    </w:p>
    <w:p w14:paraId="216DA6F9" w14:textId="77777777" w:rsidR="009B0D33" w:rsidRPr="00057ED8" w:rsidRDefault="009B0D33" w:rsidP="009B0D33">
      <w:pPr>
        <w:rPr>
          <w:sz w:val="17"/>
          <w:szCs w:val="17"/>
        </w:rPr>
      </w:pPr>
    </w:p>
    <w:p w14:paraId="467CCB28" w14:textId="22C2ACD8" w:rsidR="00E868D7" w:rsidRPr="00057ED8" w:rsidRDefault="00E868D7" w:rsidP="009B0D33">
      <w:pPr>
        <w:rPr>
          <w:sz w:val="17"/>
          <w:szCs w:val="17"/>
        </w:rPr>
      </w:pPr>
      <w:r w:rsidRPr="00057ED8">
        <w:rPr>
          <w:sz w:val="17"/>
          <w:szCs w:val="17"/>
        </w:rPr>
        <w:t>Paragraphs BC21–BC22 of the Basis for Conclusions describe the reasoning behind the Exposure Draft’s proposals.</w:t>
      </w:r>
    </w:p>
    <w:p w14:paraId="0BFA8CAB" w14:textId="77777777" w:rsidR="009B0D33" w:rsidRPr="00057ED8" w:rsidRDefault="009B0D33" w:rsidP="009B0D33">
      <w:pPr>
        <w:rPr>
          <w:sz w:val="17"/>
          <w:szCs w:val="17"/>
        </w:rPr>
      </w:pPr>
    </w:p>
    <w:p w14:paraId="3C8A86BD" w14:textId="383CB50D" w:rsidR="00E868D7" w:rsidRPr="00057ED8" w:rsidRDefault="00E868D7" w:rsidP="00812D6D">
      <w:pPr>
        <w:pStyle w:val="Odsekzoznamu"/>
        <w:numPr>
          <w:ilvl w:val="0"/>
          <w:numId w:val="15"/>
        </w:numPr>
        <w:spacing w:before="0" w:line="288" w:lineRule="auto"/>
        <w:rPr>
          <w:szCs w:val="17"/>
          <w:lang w:val="en-GB"/>
        </w:rPr>
      </w:pPr>
      <w:r w:rsidRPr="00057ED8">
        <w:rPr>
          <w:szCs w:val="17"/>
          <w:lang w:val="en-GB"/>
        </w:rPr>
        <w:t>Do you agree with the objective that has been established for the Exposure Draft? Why or why not?</w:t>
      </w:r>
    </w:p>
    <w:p w14:paraId="102D9AF9" w14:textId="77777777" w:rsidR="009B0D33" w:rsidRPr="00057ED8" w:rsidRDefault="009B0D33" w:rsidP="009B0D33">
      <w:pPr>
        <w:pStyle w:val="Odsekzoznamu"/>
        <w:spacing w:before="0" w:line="288" w:lineRule="auto"/>
        <w:ind w:left="720" w:firstLine="0"/>
        <w:rPr>
          <w:szCs w:val="17"/>
          <w:lang w:val="en-GB"/>
        </w:rPr>
      </w:pPr>
    </w:p>
    <w:p w14:paraId="295FC5E5" w14:textId="77777777" w:rsidR="00E868D7" w:rsidRPr="00057ED8" w:rsidRDefault="00E868D7" w:rsidP="00812D6D">
      <w:pPr>
        <w:pStyle w:val="Odsekzoznamu"/>
        <w:numPr>
          <w:ilvl w:val="0"/>
          <w:numId w:val="15"/>
        </w:numPr>
        <w:spacing w:before="0" w:line="288" w:lineRule="auto"/>
        <w:rPr>
          <w:szCs w:val="17"/>
          <w:lang w:val="en-GB"/>
        </w:rPr>
      </w:pPr>
      <w:r w:rsidRPr="00057ED8">
        <w:rPr>
          <w:szCs w:val="17"/>
          <w:lang w:val="en-GB"/>
        </w:rPr>
        <w:t xml:space="preserve">Does the objective focus on the information that would enable users of </w:t>
      </w:r>
      <w:proofErr w:type="gramStart"/>
      <w:r w:rsidRPr="00057ED8">
        <w:rPr>
          <w:szCs w:val="17"/>
          <w:lang w:val="en-GB"/>
        </w:rPr>
        <w:t>general purpose</w:t>
      </w:r>
      <w:proofErr w:type="gramEnd"/>
      <w:r w:rsidRPr="00057ED8">
        <w:rPr>
          <w:szCs w:val="17"/>
          <w:lang w:val="en-GB"/>
        </w:rPr>
        <w:t xml:space="preserve"> financial reporting to assess the effects of climate-related risks and opportunities on enterprise value?</w:t>
      </w:r>
    </w:p>
    <w:p w14:paraId="1B5BA62F" w14:textId="77777777" w:rsidR="009B0D33" w:rsidRPr="00057ED8" w:rsidRDefault="009B0D33" w:rsidP="009B0D33">
      <w:pPr>
        <w:pStyle w:val="Odsekzoznamu"/>
        <w:rPr>
          <w:szCs w:val="17"/>
          <w:lang w:val="en-GB"/>
        </w:rPr>
      </w:pPr>
    </w:p>
    <w:p w14:paraId="5A37B5BC" w14:textId="77777777" w:rsidR="00E868D7" w:rsidRPr="00057ED8" w:rsidRDefault="00E868D7" w:rsidP="00812D6D">
      <w:pPr>
        <w:pStyle w:val="Odsekzoznamu"/>
        <w:numPr>
          <w:ilvl w:val="0"/>
          <w:numId w:val="15"/>
        </w:numPr>
        <w:spacing w:before="0" w:line="288" w:lineRule="auto"/>
        <w:rPr>
          <w:szCs w:val="17"/>
          <w:lang w:val="en-GB"/>
        </w:rPr>
      </w:pPr>
      <w:r w:rsidRPr="00057ED8">
        <w:rPr>
          <w:szCs w:val="17"/>
          <w:lang w:val="en-GB"/>
        </w:rPr>
        <w:t>Do the disclosure requirements set out in the Exposure Draft meet the objectives described in paragraph 1? Why or why not? If not, what do you propose instead and why?</w:t>
      </w:r>
    </w:p>
    <w:p w14:paraId="014B5E3B" w14:textId="77777777" w:rsidR="00262FA3" w:rsidRPr="00057ED8" w:rsidRDefault="00262FA3" w:rsidP="003D0236">
      <w:pPr>
        <w:autoSpaceDE w:val="0"/>
        <w:autoSpaceDN w:val="0"/>
        <w:adjustRightInd w:val="0"/>
        <w:rPr>
          <w:sz w:val="17"/>
          <w:szCs w:val="17"/>
        </w:rPr>
      </w:pPr>
    </w:p>
    <w:tbl>
      <w:tblPr>
        <w:tblStyle w:val="Mriekatabuky"/>
        <w:tblW w:w="0" w:type="auto"/>
        <w:tblLook w:val="04A0" w:firstRow="1" w:lastRow="0" w:firstColumn="1" w:lastColumn="0" w:noHBand="0" w:noVBand="1"/>
      </w:tblPr>
      <w:tblGrid>
        <w:gridCol w:w="9521"/>
      </w:tblGrid>
      <w:tr w:rsidR="00CF12C2" w:rsidRPr="00057ED8" w14:paraId="33BEBDB6" w14:textId="77777777" w:rsidTr="00C61B54">
        <w:trPr>
          <w:trHeight w:val="1625"/>
        </w:trPr>
        <w:tc>
          <w:tcPr>
            <w:tcW w:w="9521" w:type="dxa"/>
          </w:tcPr>
          <w:p w14:paraId="2BF6C0D4" w14:textId="77777777" w:rsidR="008D0B82" w:rsidRPr="00057ED8" w:rsidRDefault="008D0B82" w:rsidP="00812D6D">
            <w:pPr>
              <w:pStyle w:val="Odsekzoznamu"/>
              <w:numPr>
                <w:ilvl w:val="0"/>
                <w:numId w:val="40"/>
              </w:numPr>
              <w:rPr>
                <w:szCs w:val="17"/>
                <w:lang w:val="en-GB"/>
              </w:rPr>
            </w:pPr>
            <w:r w:rsidRPr="00057ED8">
              <w:rPr>
                <w:szCs w:val="17"/>
                <w:lang w:val="en-GB"/>
              </w:rPr>
              <w:t xml:space="preserve">Broadly agree / broadly disagree / </w:t>
            </w:r>
            <w:r w:rsidRPr="00057ED8">
              <w:rPr>
                <w:szCs w:val="17"/>
                <w:highlight w:val="cyan"/>
                <w:lang w:val="en-GB"/>
              </w:rPr>
              <w:t>other</w:t>
            </w:r>
          </w:p>
          <w:p w14:paraId="253147F6" w14:textId="5B896AD0" w:rsidR="00A876DB" w:rsidRPr="00057ED8" w:rsidRDefault="007869DB" w:rsidP="00A876DB">
            <w:pPr>
              <w:pStyle w:val="Odsekzoznamu"/>
              <w:ind w:left="720" w:firstLine="0"/>
              <w:rPr>
                <w:szCs w:val="17"/>
                <w:lang w:val="en-GB"/>
              </w:rPr>
            </w:pPr>
            <w:r w:rsidRPr="00057ED8">
              <w:rPr>
                <w:szCs w:val="17"/>
                <w:lang w:val="en-GB"/>
              </w:rPr>
              <w:t xml:space="preserve">While </w:t>
            </w:r>
            <w:r w:rsidR="00151BF6">
              <w:rPr>
                <w:szCs w:val="17"/>
                <w:lang w:val="en-GB"/>
              </w:rPr>
              <w:t>Insurance Europ</w:t>
            </w:r>
            <w:r w:rsidRPr="00057ED8">
              <w:rPr>
                <w:szCs w:val="17"/>
                <w:lang w:val="en-GB"/>
              </w:rPr>
              <w:t>e generally agree</w:t>
            </w:r>
            <w:r w:rsidR="00151BF6">
              <w:rPr>
                <w:szCs w:val="17"/>
                <w:lang w:val="en-GB"/>
              </w:rPr>
              <w:t>s</w:t>
            </w:r>
            <w:r w:rsidRPr="00057ED8">
              <w:rPr>
                <w:szCs w:val="17"/>
                <w:lang w:val="en-GB"/>
              </w:rPr>
              <w:t xml:space="preserve"> with the objective that has been established for the E</w:t>
            </w:r>
            <w:r w:rsidR="00151BF6">
              <w:rPr>
                <w:szCs w:val="17"/>
                <w:lang w:val="en-GB"/>
              </w:rPr>
              <w:t xml:space="preserve">xposure </w:t>
            </w:r>
            <w:r w:rsidRPr="00057ED8">
              <w:rPr>
                <w:szCs w:val="17"/>
                <w:lang w:val="en-GB"/>
              </w:rPr>
              <w:t>D</w:t>
            </w:r>
            <w:r w:rsidR="00151BF6">
              <w:rPr>
                <w:szCs w:val="17"/>
                <w:lang w:val="en-GB"/>
              </w:rPr>
              <w:t>raft</w:t>
            </w:r>
            <w:r w:rsidRPr="00057ED8">
              <w:rPr>
                <w:szCs w:val="17"/>
                <w:lang w:val="en-GB"/>
              </w:rPr>
              <w:t xml:space="preserve">, </w:t>
            </w:r>
            <w:r w:rsidR="0088199D">
              <w:rPr>
                <w:szCs w:val="17"/>
                <w:lang w:val="en-GB"/>
              </w:rPr>
              <w:t>it</w:t>
            </w:r>
            <w:r w:rsidRPr="00057ED8">
              <w:rPr>
                <w:szCs w:val="17"/>
                <w:lang w:val="en-GB"/>
              </w:rPr>
              <w:t xml:space="preserve"> does not currently seem to </w:t>
            </w:r>
            <w:r w:rsidR="007B1DEF" w:rsidRPr="00057ED8">
              <w:rPr>
                <w:szCs w:val="17"/>
                <w:lang w:val="en-GB"/>
              </w:rPr>
              <w:t xml:space="preserve">fully </w:t>
            </w:r>
            <w:r w:rsidRPr="00057ED8">
              <w:rPr>
                <w:szCs w:val="17"/>
                <w:lang w:val="en-GB"/>
              </w:rPr>
              <w:t>cover investors</w:t>
            </w:r>
            <w:r w:rsidR="0088199D">
              <w:rPr>
                <w:szCs w:val="17"/>
                <w:lang w:val="en-GB"/>
              </w:rPr>
              <w:t>’</w:t>
            </w:r>
            <w:r w:rsidRPr="00057ED8">
              <w:rPr>
                <w:szCs w:val="17"/>
                <w:lang w:val="en-GB"/>
              </w:rPr>
              <w:t xml:space="preserve"> </w:t>
            </w:r>
            <w:r w:rsidR="007B1DEF" w:rsidRPr="00057ED8">
              <w:rPr>
                <w:szCs w:val="17"/>
                <w:lang w:val="en-GB"/>
              </w:rPr>
              <w:t>needs</w:t>
            </w:r>
            <w:r w:rsidRPr="00057ED8">
              <w:rPr>
                <w:szCs w:val="17"/>
                <w:lang w:val="en-GB"/>
              </w:rPr>
              <w:t xml:space="preserve">. Indeed, the objective seems to primarily target impacts with concrete/immediate financial </w:t>
            </w:r>
            <w:r w:rsidR="003E7F07" w:rsidRPr="00057ED8">
              <w:rPr>
                <w:szCs w:val="17"/>
                <w:lang w:val="en-GB"/>
              </w:rPr>
              <w:t>effects</w:t>
            </w:r>
            <w:r w:rsidRPr="00057ED8">
              <w:rPr>
                <w:szCs w:val="17"/>
                <w:lang w:val="en-GB"/>
              </w:rPr>
              <w:t xml:space="preserve">, but not other impacts on </w:t>
            </w:r>
            <w:r w:rsidR="008F2E40">
              <w:rPr>
                <w:szCs w:val="17"/>
                <w:lang w:val="en-GB"/>
              </w:rPr>
              <w:t xml:space="preserve">the </w:t>
            </w:r>
            <w:r w:rsidRPr="00057ED8">
              <w:rPr>
                <w:szCs w:val="17"/>
                <w:lang w:val="en-GB"/>
              </w:rPr>
              <w:t xml:space="preserve">planet and people that investors are </w:t>
            </w:r>
            <w:r w:rsidR="007B1DEF" w:rsidRPr="00057ED8">
              <w:rPr>
                <w:szCs w:val="17"/>
                <w:lang w:val="en-GB"/>
              </w:rPr>
              <w:t xml:space="preserve">increasingly </w:t>
            </w:r>
            <w:r w:rsidRPr="00057ED8">
              <w:rPr>
                <w:szCs w:val="17"/>
                <w:lang w:val="en-GB"/>
              </w:rPr>
              <w:t>interested in</w:t>
            </w:r>
            <w:r w:rsidR="00CB4801" w:rsidRPr="00057ED8">
              <w:rPr>
                <w:szCs w:val="17"/>
                <w:lang w:val="en-GB"/>
              </w:rPr>
              <w:t xml:space="preserve"> while pursuing sustainable investment strategies</w:t>
            </w:r>
            <w:r w:rsidRPr="00057ED8">
              <w:rPr>
                <w:szCs w:val="17"/>
                <w:lang w:val="en-GB"/>
              </w:rPr>
              <w:t>. As outlined above</w:t>
            </w:r>
            <w:r w:rsidR="007F6FFB">
              <w:rPr>
                <w:szCs w:val="17"/>
                <w:lang w:val="en-GB"/>
              </w:rPr>
              <w:t>,</w:t>
            </w:r>
            <w:r w:rsidRPr="00057ED8">
              <w:rPr>
                <w:szCs w:val="17"/>
                <w:lang w:val="en-GB"/>
              </w:rPr>
              <w:t xml:space="preserve"> investors are </w:t>
            </w:r>
            <w:r w:rsidR="0088199D">
              <w:rPr>
                <w:szCs w:val="17"/>
                <w:lang w:val="en-GB"/>
              </w:rPr>
              <w:t xml:space="preserve">already </w:t>
            </w:r>
            <w:r w:rsidRPr="00057ED8">
              <w:rPr>
                <w:szCs w:val="17"/>
                <w:lang w:val="en-GB"/>
              </w:rPr>
              <w:t xml:space="preserve">increasingly interested in a company’s impact on </w:t>
            </w:r>
            <w:r w:rsidR="007F6FFB">
              <w:rPr>
                <w:szCs w:val="17"/>
                <w:lang w:val="en-GB"/>
              </w:rPr>
              <w:t>the environment</w:t>
            </w:r>
            <w:r w:rsidR="007F6FFB" w:rsidRPr="00057ED8">
              <w:rPr>
                <w:szCs w:val="17"/>
                <w:lang w:val="en-GB"/>
              </w:rPr>
              <w:t xml:space="preserve"> </w:t>
            </w:r>
            <w:r w:rsidRPr="00057ED8">
              <w:rPr>
                <w:szCs w:val="17"/>
                <w:lang w:val="en-GB"/>
              </w:rPr>
              <w:t xml:space="preserve">and people, irrespective of concrete/immediate financial effects </w:t>
            </w:r>
            <w:r w:rsidR="007F6FFB">
              <w:rPr>
                <w:szCs w:val="17"/>
                <w:lang w:val="en-GB"/>
              </w:rPr>
              <w:t xml:space="preserve">and </w:t>
            </w:r>
            <w:r w:rsidR="0088199D">
              <w:rPr>
                <w:szCs w:val="17"/>
                <w:lang w:val="en-GB"/>
              </w:rPr>
              <w:t xml:space="preserve">are </w:t>
            </w:r>
            <w:r w:rsidRPr="00057ED8">
              <w:rPr>
                <w:szCs w:val="17"/>
                <w:lang w:val="en-GB"/>
              </w:rPr>
              <w:t xml:space="preserve">likely </w:t>
            </w:r>
            <w:r w:rsidR="0088199D">
              <w:rPr>
                <w:szCs w:val="17"/>
                <w:lang w:val="en-GB"/>
              </w:rPr>
              <w:t xml:space="preserve">to be </w:t>
            </w:r>
            <w:r w:rsidRPr="00057ED8">
              <w:rPr>
                <w:szCs w:val="17"/>
                <w:lang w:val="en-GB"/>
              </w:rPr>
              <w:t>even more so going forward</w:t>
            </w:r>
            <w:r w:rsidR="007F6FFB">
              <w:rPr>
                <w:szCs w:val="17"/>
                <w:lang w:val="en-GB"/>
              </w:rPr>
              <w:t>.</w:t>
            </w:r>
            <w:r w:rsidRPr="00057ED8">
              <w:rPr>
                <w:szCs w:val="17"/>
                <w:lang w:val="en-GB"/>
              </w:rPr>
              <w:t xml:space="preserve"> </w:t>
            </w:r>
            <w:r w:rsidR="007F6FFB">
              <w:rPr>
                <w:szCs w:val="17"/>
                <w:lang w:val="en-GB"/>
              </w:rPr>
              <w:t xml:space="preserve">This </w:t>
            </w:r>
            <w:r w:rsidR="007F6FFB" w:rsidRPr="00057ED8">
              <w:rPr>
                <w:szCs w:val="17"/>
                <w:lang w:val="en-GB"/>
              </w:rPr>
              <w:t>mean</w:t>
            </w:r>
            <w:r w:rsidR="007F6FFB">
              <w:rPr>
                <w:szCs w:val="17"/>
                <w:lang w:val="en-GB"/>
              </w:rPr>
              <w:t>s</w:t>
            </w:r>
            <w:r w:rsidR="007F6FFB" w:rsidRPr="00057ED8">
              <w:rPr>
                <w:szCs w:val="17"/>
                <w:lang w:val="en-GB"/>
              </w:rPr>
              <w:t xml:space="preserve"> </w:t>
            </w:r>
            <w:r w:rsidRPr="00057ED8">
              <w:rPr>
                <w:szCs w:val="17"/>
                <w:lang w:val="en-GB"/>
              </w:rPr>
              <w:t xml:space="preserve">that they need </w:t>
            </w:r>
            <w:r w:rsidR="007C3E6F">
              <w:rPr>
                <w:szCs w:val="17"/>
                <w:lang w:val="en-GB"/>
              </w:rPr>
              <w:t>such</w:t>
            </w:r>
            <w:r w:rsidR="007C3E6F" w:rsidRPr="00057ED8">
              <w:rPr>
                <w:szCs w:val="17"/>
                <w:lang w:val="en-GB"/>
              </w:rPr>
              <w:t xml:space="preserve"> </w:t>
            </w:r>
            <w:r w:rsidRPr="00057ED8">
              <w:rPr>
                <w:szCs w:val="17"/>
                <w:lang w:val="en-GB"/>
              </w:rPr>
              <w:t>information to “decide whether to provide resources to the entity”</w:t>
            </w:r>
            <w:r w:rsidR="0088199D">
              <w:rPr>
                <w:szCs w:val="17"/>
                <w:lang w:val="en-GB"/>
              </w:rPr>
              <w:t>,</w:t>
            </w:r>
            <w:r w:rsidRPr="00057ED8">
              <w:rPr>
                <w:szCs w:val="17"/>
                <w:lang w:val="en-GB"/>
              </w:rPr>
              <w:t xml:space="preserve"> which is one part of the General Requirement E</w:t>
            </w:r>
            <w:r w:rsidR="0088199D">
              <w:rPr>
                <w:szCs w:val="17"/>
                <w:lang w:val="en-GB"/>
              </w:rPr>
              <w:t xml:space="preserve">xposure </w:t>
            </w:r>
            <w:r w:rsidRPr="00057ED8">
              <w:rPr>
                <w:szCs w:val="17"/>
                <w:lang w:val="en-GB"/>
              </w:rPr>
              <w:t>D</w:t>
            </w:r>
            <w:r w:rsidR="0088199D">
              <w:rPr>
                <w:szCs w:val="17"/>
                <w:lang w:val="en-GB"/>
              </w:rPr>
              <w:t>raft</w:t>
            </w:r>
            <w:r w:rsidRPr="00057ED8">
              <w:rPr>
                <w:szCs w:val="17"/>
                <w:lang w:val="en-GB"/>
              </w:rPr>
              <w:t>’s objective (par</w:t>
            </w:r>
            <w:r w:rsidR="0061748E">
              <w:rPr>
                <w:szCs w:val="17"/>
                <w:lang w:val="en-GB"/>
              </w:rPr>
              <w:t>a</w:t>
            </w:r>
            <w:r w:rsidRPr="00057ED8">
              <w:rPr>
                <w:szCs w:val="17"/>
                <w:lang w:val="en-GB"/>
              </w:rPr>
              <w:t>. 1), but which does not seem to be reflected in the Climate E</w:t>
            </w:r>
            <w:r w:rsidR="0088199D">
              <w:rPr>
                <w:szCs w:val="17"/>
                <w:lang w:val="en-GB"/>
              </w:rPr>
              <w:t xml:space="preserve">xposure </w:t>
            </w:r>
            <w:r w:rsidRPr="00057ED8">
              <w:rPr>
                <w:szCs w:val="17"/>
                <w:lang w:val="en-GB"/>
              </w:rPr>
              <w:t>D</w:t>
            </w:r>
            <w:r w:rsidR="0088199D">
              <w:rPr>
                <w:szCs w:val="17"/>
                <w:lang w:val="en-GB"/>
              </w:rPr>
              <w:t>raft</w:t>
            </w:r>
            <w:r w:rsidRPr="00057ED8">
              <w:rPr>
                <w:szCs w:val="17"/>
                <w:lang w:val="en-GB"/>
              </w:rPr>
              <w:t>’s objective</w:t>
            </w:r>
            <w:r w:rsidR="00673724" w:rsidRPr="00057ED8">
              <w:rPr>
                <w:szCs w:val="17"/>
                <w:lang w:val="en-GB"/>
              </w:rPr>
              <w:t>.</w:t>
            </w:r>
          </w:p>
          <w:p w14:paraId="4153AC6F" w14:textId="77777777" w:rsidR="00387979" w:rsidRPr="00057ED8" w:rsidRDefault="008D0B82" w:rsidP="00387979">
            <w:pPr>
              <w:pStyle w:val="Odsekzoznamu"/>
              <w:numPr>
                <w:ilvl w:val="0"/>
                <w:numId w:val="40"/>
              </w:numPr>
              <w:rPr>
                <w:rFonts w:cs="Arial"/>
                <w:lang w:val="en-GB"/>
              </w:rPr>
            </w:pPr>
            <w:r w:rsidRPr="00057ED8">
              <w:rPr>
                <w:szCs w:val="17"/>
                <w:lang w:val="en-GB"/>
              </w:rPr>
              <w:t xml:space="preserve">Broadly agree / broadly disagree / </w:t>
            </w:r>
            <w:r w:rsidRPr="00057ED8">
              <w:rPr>
                <w:szCs w:val="17"/>
                <w:highlight w:val="cyan"/>
                <w:lang w:val="en-GB"/>
              </w:rPr>
              <w:t>other</w:t>
            </w:r>
          </w:p>
          <w:p w14:paraId="71E96227" w14:textId="6A4C141B" w:rsidR="00387979" w:rsidRPr="00057ED8" w:rsidRDefault="00387979" w:rsidP="00673724">
            <w:pPr>
              <w:pStyle w:val="Odsekzoznamu"/>
              <w:ind w:left="720" w:firstLine="0"/>
              <w:rPr>
                <w:rFonts w:cs="Arial"/>
                <w:lang w:val="en-GB"/>
              </w:rPr>
            </w:pPr>
            <w:r w:rsidRPr="00057ED8">
              <w:rPr>
                <w:rFonts w:cs="Arial"/>
                <w:lang w:val="en-GB"/>
              </w:rPr>
              <w:t xml:space="preserve">In </w:t>
            </w:r>
            <w:r w:rsidR="0088199D">
              <w:rPr>
                <w:rFonts w:cs="Arial"/>
                <w:lang w:val="en-GB"/>
              </w:rPr>
              <w:t>Insurance Europe’s</w:t>
            </w:r>
            <w:r w:rsidR="0088199D" w:rsidRPr="00057ED8">
              <w:rPr>
                <w:rFonts w:cs="Arial"/>
                <w:lang w:val="en-GB"/>
              </w:rPr>
              <w:t xml:space="preserve"> </w:t>
            </w:r>
            <w:r w:rsidRPr="00057ED8">
              <w:rPr>
                <w:rFonts w:cs="Arial"/>
                <w:lang w:val="en-GB"/>
              </w:rPr>
              <w:t xml:space="preserve">view, the objective would primarily enable users of </w:t>
            </w:r>
            <w:r w:rsidR="0061748E" w:rsidRPr="00057ED8">
              <w:rPr>
                <w:rFonts w:cs="Arial"/>
                <w:lang w:val="en-GB"/>
              </w:rPr>
              <w:t>general-purpose</w:t>
            </w:r>
            <w:r w:rsidRPr="00057ED8">
              <w:rPr>
                <w:rFonts w:cs="Arial"/>
                <w:lang w:val="en-GB"/>
              </w:rPr>
              <w:t xml:space="preserve"> financial reporting to assess first-tier effects of climate-related risks and opportunities on enterprise value. However, as outlined in response to question (a), the objective would not cover all impacts on</w:t>
            </w:r>
            <w:r w:rsidR="008F2E40">
              <w:rPr>
                <w:rFonts w:cs="Arial"/>
                <w:lang w:val="en-GB"/>
              </w:rPr>
              <w:t xml:space="preserve"> the</w:t>
            </w:r>
            <w:r w:rsidRPr="00057ED8">
              <w:rPr>
                <w:rFonts w:cs="Arial"/>
                <w:lang w:val="en-GB"/>
              </w:rPr>
              <w:t xml:space="preserve"> planet and people that investors are interested in, such as impacts with second-tier effects on enterprise</w:t>
            </w:r>
            <w:r w:rsidR="0088199D">
              <w:rPr>
                <w:rFonts w:cs="Arial"/>
                <w:lang w:val="en-GB"/>
              </w:rPr>
              <w:t>s</w:t>
            </w:r>
            <w:r w:rsidRPr="00057ED8">
              <w:rPr>
                <w:rFonts w:cs="Arial"/>
                <w:lang w:val="en-GB"/>
              </w:rPr>
              <w:t xml:space="preserve"> as well as impacts that may affect investment decision-making, irrespective of concrete/immediate financial effects on enterprise value</w:t>
            </w:r>
            <w:r w:rsidR="00673724" w:rsidRPr="00057ED8">
              <w:rPr>
                <w:rFonts w:cs="Arial"/>
                <w:lang w:val="en-GB"/>
              </w:rPr>
              <w:t>.</w:t>
            </w:r>
          </w:p>
          <w:p w14:paraId="407B3249" w14:textId="77777777" w:rsidR="008D0B82" w:rsidRPr="00057ED8" w:rsidRDefault="008D0B82" w:rsidP="00812D6D">
            <w:pPr>
              <w:pStyle w:val="Odsekzoznamu"/>
              <w:numPr>
                <w:ilvl w:val="0"/>
                <w:numId w:val="40"/>
              </w:numPr>
              <w:rPr>
                <w:szCs w:val="17"/>
                <w:lang w:val="en-GB"/>
              </w:rPr>
            </w:pPr>
            <w:r w:rsidRPr="00057ED8">
              <w:rPr>
                <w:szCs w:val="17"/>
                <w:lang w:val="en-GB"/>
              </w:rPr>
              <w:t xml:space="preserve">Broadly agree / broadly disagree / </w:t>
            </w:r>
            <w:r w:rsidRPr="00057ED8">
              <w:rPr>
                <w:szCs w:val="17"/>
                <w:highlight w:val="cyan"/>
                <w:lang w:val="en-GB"/>
              </w:rPr>
              <w:t>other</w:t>
            </w:r>
          </w:p>
          <w:p w14:paraId="34AF4BF4" w14:textId="0280EC0B" w:rsidR="002948D0" w:rsidRPr="00057ED8" w:rsidRDefault="002948D0" w:rsidP="002948D0">
            <w:pPr>
              <w:pStyle w:val="Odsekzoznamu"/>
              <w:ind w:left="720" w:firstLine="0"/>
              <w:rPr>
                <w:rFonts w:cs="Arial"/>
                <w:lang w:val="en-GB"/>
              </w:rPr>
            </w:pPr>
            <w:r w:rsidRPr="00057ED8">
              <w:rPr>
                <w:rFonts w:cs="Arial"/>
                <w:lang w:val="en-GB"/>
              </w:rPr>
              <w:t>While the disclosure requirements set out in the E</w:t>
            </w:r>
            <w:r w:rsidR="0088199D">
              <w:rPr>
                <w:rFonts w:cs="Arial"/>
                <w:lang w:val="en-GB"/>
              </w:rPr>
              <w:t xml:space="preserve">xposure </w:t>
            </w:r>
            <w:r w:rsidRPr="00057ED8">
              <w:rPr>
                <w:rFonts w:cs="Arial"/>
                <w:lang w:val="en-GB"/>
              </w:rPr>
              <w:t>D</w:t>
            </w:r>
            <w:r w:rsidR="0088199D">
              <w:rPr>
                <w:rFonts w:cs="Arial"/>
                <w:lang w:val="en-GB"/>
              </w:rPr>
              <w:t>raft</w:t>
            </w:r>
            <w:r w:rsidRPr="00057ED8">
              <w:rPr>
                <w:rFonts w:cs="Arial"/>
                <w:lang w:val="en-GB"/>
              </w:rPr>
              <w:t xml:space="preserve"> meet the objective of the Climate E</w:t>
            </w:r>
            <w:r w:rsidR="0088199D">
              <w:rPr>
                <w:rFonts w:cs="Arial"/>
                <w:lang w:val="en-GB"/>
              </w:rPr>
              <w:t xml:space="preserve">xposure </w:t>
            </w:r>
            <w:r w:rsidRPr="00057ED8">
              <w:rPr>
                <w:rFonts w:cs="Arial"/>
                <w:lang w:val="en-GB"/>
              </w:rPr>
              <w:t>D</w:t>
            </w:r>
            <w:r w:rsidR="0088199D">
              <w:rPr>
                <w:rFonts w:cs="Arial"/>
                <w:lang w:val="en-GB"/>
              </w:rPr>
              <w:t>raft</w:t>
            </w:r>
            <w:r w:rsidRPr="00057ED8">
              <w:rPr>
                <w:rFonts w:cs="Arial"/>
                <w:lang w:val="en-GB"/>
              </w:rPr>
              <w:t xml:space="preserve"> as regards impacts with first-tier effects on enterprise value, investors would not receive all the climate-related information that they need to steer their own sustainability approaches and ambitions. As outlined in response to question (b), investors also need information on inside-out climate impacts and how investee companies intend to address </w:t>
            </w:r>
            <w:r w:rsidR="0088199D">
              <w:rPr>
                <w:rFonts w:cs="Arial"/>
                <w:lang w:val="en-GB"/>
              </w:rPr>
              <w:t>them</w:t>
            </w:r>
            <w:r w:rsidRPr="00057ED8">
              <w:rPr>
                <w:rFonts w:cs="Arial"/>
                <w:lang w:val="en-GB"/>
              </w:rPr>
              <w:t>.</w:t>
            </w:r>
          </w:p>
          <w:p w14:paraId="74E5490F" w14:textId="3212292C" w:rsidR="00387979" w:rsidRPr="00057ED8" w:rsidRDefault="003B7999" w:rsidP="00B00F43">
            <w:pPr>
              <w:pStyle w:val="Odsekzoznamu"/>
              <w:ind w:left="720" w:firstLine="0"/>
              <w:rPr>
                <w:szCs w:val="17"/>
                <w:lang w:val="en-GB"/>
              </w:rPr>
            </w:pPr>
            <w:r>
              <w:rPr>
                <w:szCs w:val="17"/>
                <w:lang w:val="en-GB"/>
              </w:rPr>
              <w:t>More genera</w:t>
            </w:r>
            <w:r w:rsidR="003E493B">
              <w:rPr>
                <w:szCs w:val="17"/>
                <w:lang w:val="en-GB"/>
              </w:rPr>
              <w:t xml:space="preserve">lly, </w:t>
            </w:r>
            <w:r w:rsidR="00816071">
              <w:rPr>
                <w:szCs w:val="17"/>
                <w:lang w:val="en-GB"/>
              </w:rPr>
              <w:t xml:space="preserve">focusing on </w:t>
            </w:r>
            <w:r w:rsidR="00395F2A">
              <w:rPr>
                <w:szCs w:val="17"/>
                <w:lang w:val="en-GB"/>
              </w:rPr>
              <w:t xml:space="preserve">the connection between IFRS S1 and </w:t>
            </w:r>
            <w:r w:rsidR="00DF044D">
              <w:rPr>
                <w:szCs w:val="17"/>
                <w:lang w:val="en-GB"/>
              </w:rPr>
              <w:t>IFRS</w:t>
            </w:r>
            <w:r w:rsidR="00395F2A">
              <w:rPr>
                <w:szCs w:val="17"/>
                <w:lang w:val="en-GB"/>
              </w:rPr>
              <w:t xml:space="preserve"> S2, </w:t>
            </w:r>
            <w:r w:rsidR="0088199D">
              <w:rPr>
                <w:szCs w:val="17"/>
                <w:lang w:val="en-GB"/>
              </w:rPr>
              <w:t>Insurance Europ</w:t>
            </w:r>
            <w:r w:rsidR="00395F2A">
              <w:rPr>
                <w:szCs w:val="17"/>
                <w:lang w:val="en-GB"/>
              </w:rPr>
              <w:t>e fully support</w:t>
            </w:r>
            <w:r w:rsidR="0088199D">
              <w:rPr>
                <w:szCs w:val="17"/>
                <w:lang w:val="en-GB"/>
              </w:rPr>
              <w:t>s</w:t>
            </w:r>
            <w:r w:rsidR="00395F2A">
              <w:rPr>
                <w:szCs w:val="17"/>
                <w:lang w:val="en-GB"/>
              </w:rPr>
              <w:t xml:space="preserve"> the principles-based approach in IFRS S1</w:t>
            </w:r>
            <w:r w:rsidR="0088199D">
              <w:rPr>
                <w:szCs w:val="17"/>
                <w:lang w:val="en-GB"/>
              </w:rPr>
              <w:t>,</w:t>
            </w:r>
            <w:r w:rsidR="00DF044D">
              <w:rPr>
                <w:szCs w:val="17"/>
                <w:lang w:val="en-GB"/>
              </w:rPr>
              <w:t xml:space="preserve"> but a balance should be </w:t>
            </w:r>
            <w:r w:rsidR="00DF044D">
              <w:rPr>
                <w:szCs w:val="17"/>
                <w:lang w:val="en-GB"/>
              </w:rPr>
              <w:lastRenderedPageBreak/>
              <w:t xml:space="preserve">found between principles and </w:t>
            </w:r>
            <w:r w:rsidR="00FF252D">
              <w:rPr>
                <w:szCs w:val="17"/>
                <w:lang w:val="en-GB"/>
              </w:rPr>
              <w:t xml:space="preserve">specific guidance </w:t>
            </w:r>
            <w:r w:rsidR="00DF044D">
              <w:rPr>
                <w:szCs w:val="17"/>
                <w:lang w:val="en-GB"/>
              </w:rPr>
              <w:t xml:space="preserve">in IFRS S1. </w:t>
            </w:r>
            <w:r w:rsidR="00C10CC8" w:rsidRPr="0078308B">
              <w:rPr>
                <w:rFonts w:cs="Arial"/>
              </w:rPr>
              <w:t xml:space="preserve">In practice, for some aspects of IFRS S2, specific guidance </w:t>
            </w:r>
            <w:r w:rsidR="00FF252D">
              <w:rPr>
                <w:rFonts w:cs="Arial"/>
              </w:rPr>
              <w:t>is</w:t>
            </w:r>
            <w:r w:rsidR="00FF252D" w:rsidRPr="0078308B">
              <w:rPr>
                <w:rFonts w:cs="Arial"/>
              </w:rPr>
              <w:t xml:space="preserve"> </w:t>
            </w:r>
            <w:r w:rsidR="00C10CC8" w:rsidRPr="0078308B">
              <w:rPr>
                <w:rFonts w:cs="Arial"/>
              </w:rPr>
              <w:t>needed to ensure comparability and clarity. This applies to risks and opportunities, financial effects (current and anticipated), carbon offsets, climate resilience disclosures, targets, progress on targets and metrics. This is needed</w:t>
            </w:r>
            <w:r w:rsidR="0088199D">
              <w:rPr>
                <w:rFonts w:cs="Arial"/>
              </w:rPr>
              <w:t>,</w:t>
            </w:r>
            <w:r w:rsidR="00C10CC8" w:rsidRPr="0078308B">
              <w:rPr>
                <w:rFonts w:cs="Arial"/>
              </w:rPr>
              <w:t xml:space="preserve"> from </w:t>
            </w:r>
            <w:r w:rsidR="003B0B51">
              <w:rPr>
                <w:rFonts w:cs="Arial"/>
              </w:rPr>
              <w:t>a</w:t>
            </w:r>
            <w:r w:rsidR="00C10CC8" w:rsidRPr="0078308B">
              <w:rPr>
                <w:rFonts w:cs="Arial"/>
              </w:rPr>
              <w:t xml:space="preserve"> preparer perspective</w:t>
            </w:r>
            <w:r w:rsidR="0088199D">
              <w:rPr>
                <w:rFonts w:cs="Arial"/>
              </w:rPr>
              <w:t>,</w:t>
            </w:r>
            <w:r w:rsidR="00C10CC8" w:rsidRPr="0078308B">
              <w:rPr>
                <w:rFonts w:cs="Arial"/>
              </w:rPr>
              <w:t xml:space="preserve"> to have clarity on methodologies</w:t>
            </w:r>
            <w:r w:rsidR="003B0B51">
              <w:rPr>
                <w:rFonts w:cs="Arial"/>
              </w:rPr>
              <w:t xml:space="preserve">, </w:t>
            </w:r>
            <w:r w:rsidR="00C10CC8" w:rsidRPr="0078308B">
              <w:rPr>
                <w:rFonts w:cs="Arial"/>
              </w:rPr>
              <w:t xml:space="preserve">and </w:t>
            </w:r>
            <w:r w:rsidR="003B0B51">
              <w:rPr>
                <w:rFonts w:cs="Arial"/>
              </w:rPr>
              <w:t xml:space="preserve">it is </w:t>
            </w:r>
            <w:r w:rsidR="00C10CC8" w:rsidRPr="0078308B">
              <w:rPr>
                <w:rFonts w:cs="Arial"/>
              </w:rPr>
              <w:t xml:space="preserve">especially essential from </w:t>
            </w:r>
            <w:r w:rsidR="003B0B51">
              <w:rPr>
                <w:rFonts w:cs="Arial"/>
              </w:rPr>
              <w:t>a</w:t>
            </w:r>
            <w:r w:rsidR="00C10CC8" w:rsidRPr="0078308B">
              <w:rPr>
                <w:rFonts w:cs="Arial"/>
              </w:rPr>
              <w:t xml:space="preserve"> user perspective</w:t>
            </w:r>
            <w:r w:rsidR="0088199D">
              <w:rPr>
                <w:rFonts w:cs="Arial"/>
              </w:rPr>
              <w:t>,</w:t>
            </w:r>
            <w:r w:rsidR="00C10CC8" w:rsidRPr="0078308B">
              <w:rPr>
                <w:rFonts w:cs="Arial"/>
              </w:rPr>
              <w:t xml:space="preserve"> since otherwise data </w:t>
            </w:r>
            <w:r w:rsidR="003B0B51">
              <w:rPr>
                <w:rFonts w:cs="Arial"/>
              </w:rPr>
              <w:t>would</w:t>
            </w:r>
            <w:r w:rsidR="00C10CC8" w:rsidRPr="0078308B">
              <w:rPr>
                <w:rFonts w:cs="Arial"/>
              </w:rPr>
              <w:t xml:space="preserve"> not be comparable </w:t>
            </w:r>
            <w:r w:rsidR="0088199D">
              <w:rPr>
                <w:rFonts w:cs="Arial"/>
              </w:rPr>
              <w:t>in</w:t>
            </w:r>
            <w:r w:rsidR="00C10CC8" w:rsidRPr="0078308B">
              <w:rPr>
                <w:rFonts w:cs="Arial"/>
              </w:rPr>
              <w:t xml:space="preserve"> the end.</w:t>
            </w:r>
          </w:p>
          <w:p w14:paraId="02E55A1D" w14:textId="68C267AC" w:rsidR="00CF12C2" w:rsidRPr="00057ED8" w:rsidRDefault="00CF12C2" w:rsidP="0090167B">
            <w:pPr>
              <w:rPr>
                <w:szCs w:val="17"/>
              </w:rPr>
            </w:pPr>
          </w:p>
        </w:tc>
      </w:tr>
    </w:tbl>
    <w:p w14:paraId="65160806" w14:textId="77777777" w:rsidR="00262FA3" w:rsidRPr="00057ED8" w:rsidRDefault="00262FA3" w:rsidP="003D0236">
      <w:pPr>
        <w:autoSpaceDE w:val="0"/>
        <w:autoSpaceDN w:val="0"/>
        <w:adjustRightInd w:val="0"/>
        <w:rPr>
          <w:sz w:val="17"/>
          <w:szCs w:val="17"/>
        </w:rPr>
      </w:pPr>
    </w:p>
    <w:p w14:paraId="5D23E3DD" w14:textId="77777777" w:rsidR="00262FA3" w:rsidRPr="00057ED8" w:rsidRDefault="00262FA3" w:rsidP="003D0236">
      <w:pPr>
        <w:autoSpaceDE w:val="0"/>
        <w:autoSpaceDN w:val="0"/>
        <w:adjustRightInd w:val="0"/>
        <w:rPr>
          <w:sz w:val="17"/>
          <w:szCs w:val="17"/>
        </w:rPr>
      </w:pPr>
    </w:p>
    <w:p w14:paraId="220406F2" w14:textId="77777777" w:rsidR="000B4031" w:rsidRPr="00057ED8" w:rsidRDefault="000B4031" w:rsidP="00A20516">
      <w:pPr>
        <w:rPr>
          <w:rFonts w:ascii="Arial" w:hAnsi="Arial"/>
          <w:b/>
          <w:sz w:val="17"/>
        </w:rPr>
      </w:pPr>
      <w:r w:rsidRPr="00057ED8">
        <w:rPr>
          <w:b/>
          <w:bCs/>
          <w:sz w:val="17"/>
          <w:szCs w:val="17"/>
        </w:rPr>
        <w:t>Question 2—Governance</w:t>
      </w:r>
    </w:p>
    <w:p w14:paraId="068CAF09" w14:textId="77777777" w:rsidR="00BE0907" w:rsidRPr="00057ED8" w:rsidRDefault="00BE0907" w:rsidP="009B0D33">
      <w:pPr>
        <w:rPr>
          <w:sz w:val="17"/>
          <w:szCs w:val="17"/>
        </w:rPr>
      </w:pPr>
      <w:r w:rsidRPr="00057ED8">
        <w:rPr>
          <w:sz w:val="17"/>
          <w:szCs w:val="17"/>
        </w:rPr>
        <w:t xml:space="preserve">Paragraphs 4 and 5 of the Exposure Draft propose that an entity be required to disclose information that enables users of </w:t>
      </w:r>
      <w:proofErr w:type="gramStart"/>
      <w:r w:rsidRPr="00057ED8">
        <w:rPr>
          <w:sz w:val="17"/>
          <w:szCs w:val="17"/>
        </w:rPr>
        <w:t>general purpose</w:t>
      </w:r>
      <w:proofErr w:type="gramEnd"/>
      <w:r w:rsidRPr="00057ED8">
        <w:rPr>
          <w:sz w:val="17"/>
          <w:szCs w:val="17"/>
        </w:rPr>
        <w:t xml:space="preserve"> financial reporting to understand the governance processes, controls and procedures used to monitor and manage climate- related risks and opportunities. To achieve this objective, the Exposure Draft proposes that an entity be required to disclose information about the governance body or bodies (which can include a board, committee or equivalent body charged with governance) with oversight of climate-related risks and opportunities, and a description of management’s role regarding climate-related risks and opportunities.</w:t>
      </w:r>
    </w:p>
    <w:p w14:paraId="366D9123" w14:textId="77777777" w:rsidR="00047260" w:rsidRPr="00057ED8" w:rsidRDefault="00047260" w:rsidP="009B0D33">
      <w:pPr>
        <w:rPr>
          <w:sz w:val="17"/>
          <w:szCs w:val="17"/>
        </w:rPr>
      </w:pPr>
    </w:p>
    <w:p w14:paraId="5E23AB82" w14:textId="77777777" w:rsidR="00BE0907" w:rsidRPr="00057ED8" w:rsidRDefault="00BE0907" w:rsidP="00047260">
      <w:pPr>
        <w:rPr>
          <w:sz w:val="17"/>
          <w:szCs w:val="17"/>
        </w:rPr>
      </w:pPr>
      <w:r w:rsidRPr="00057ED8">
        <w:rPr>
          <w:sz w:val="17"/>
          <w:szCs w:val="17"/>
        </w:rPr>
        <w:t xml:space="preserve">The Exposure Draft’s proposed governance disclosure requirements are based on the recommendations of the TCFD, but the Exposure Draft proposes more detailed disclosure on some aspects of climate-related governance and management in order to meet the information needs of users of </w:t>
      </w:r>
      <w:proofErr w:type="gramStart"/>
      <w:r w:rsidRPr="00057ED8">
        <w:rPr>
          <w:sz w:val="17"/>
          <w:szCs w:val="17"/>
        </w:rPr>
        <w:t>general purpose</w:t>
      </w:r>
      <w:proofErr w:type="gramEnd"/>
      <w:r w:rsidRPr="00057ED8">
        <w:rPr>
          <w:sz w:val="17"/>
          <w:szCs w:val="17"/>
        </w:rPr>
        <w:t xml:space="preserve"> financial reporting. For example, the Exposure Draft proposes a requirement for preparers to disclose how the governance body’s responsibilities for climate-related risks and opportunities are reflected in the entity’s terms of reference, board mandates and other related policies. The related TCFD’s recommendations are to: describe the board’s oversight of climate- related risks and opportunities and management’s role in assessing and managing climate-related risks and opportunities.</w:t>
      </w:r>
    </w:p>
    <w:p w14:paraId="418723D1" w14:textId="77777777" w:rsidR="00047260" w:rsidRPr="00057ED8" w:rsidRDefault="00047260" w:rsidP="00047260">
      <w:pPr>
        <w:rPr>
          <w:sz w:val="17"/>
          <w:szCs w:val="17"/>
        </w:rPr>
      </w:pPr>
    </w:p>
    <w:p w14:paraId="19777FC2" w14:textId="77777777" w:rsidR="00BE0907" w:rsidRPr="00057ED8" w:rsidRDefault="00BE0907" w:rsidP="00047260">
      <w:pPr>
        <w:rPr>
          <w:sz w:val="17"/>
          <w:szCs w:val="17"/>
        </w:rPr>
      </w:pPr>
      <w:r w:rsidRPr="00057ED8">
        <w:rPr>
          <w:sz w:val="17"/>
          <w:szCs w:val="17"/>
        </w:rPr>
        <w:t>Paragraphs BC57–BC63 of the Basis for Conclusions describe the reasoning behind the Exposure Draft’s proposals.</w:t>
      </w:r>
    </w:p>
    <w:p w14:paraId="0BE78346" w14:textId="77777777" w:rsidR="00047260" w:rsidRPr="00057ED8" w:rsidRDefault="00047260" w:rsidP="00047260">
      <w:pPr>
        <w:rPr>
          <w:sz w:val="17"/>
          <w:szCs w:val="17"/>
        </w:rPr>
      </w:pPr>
    </w:p>
    <w:p w14:paraId="186CEDAD" w14:textId="77777777" w:rsidR="00BE0907" w:rsidRPr="00057ED8" w:rsidRDefault="00BE0907" w:rsidP="00047260">
      <w:pPr>
        <w:rPr>
          <w:sz w:val="17"/>
        </w:rPr>
      </w:pPr>
      <w:r w:rsidRPr="00057ED8">
        <w:rPr>
          <w:sz w:val="17"/>
          <w:szCs w:val="17"/>
        </w:rPr>
        <w:t>Do you agree with the proposed disclosure requirements for governance processes, controls and procedures used to monitor and manage climate-related risks and opportunities? Why or why not?</w:t>
      </w:r>
    </w:p>
    <w:p w14:paraId="431F40C3" w14:textId="77777777" w:rsidR="00262FA3" w:rsidRPr="00057ED8" w:rsidRDefault="00262FA3" w:rsidP="003D0236">
      <w:pPr>
        <w:autoSpaceDE w:val="0"/>
        <w:autoSpaceDN w:val="0"/>
        <w:adjustRightInd w:val="0"/>
        <w:rPr>
          <w:sz w:val="17"/>
          <w:szCs w:val="17"/>
        </w:rPr>
      </w:pPr>
    </w:p>
    <w:tbl>
      <w:tblPr>
        <w:tblStyle w:val="Mriekatabuky"/>
        <w:tblW w:w="0" w:type="auto"/>
        <w:tblLook w:val="04A0" w:firstRow="1" w:lastRow="0" w:firstColumn="1" w:lastColumn="0" w:noHBand="0" w:noVBand="1"/>
      </w:tblPr>
      <w:tblGrid>
        <w:gridCol w:w="9521"/>
      </w:tblGrid>
      <w:tr w:rsidR="00CF12C2" w:rsidRPr="00057ED8" w14:paraId="4FA889D9" w14:textId="77777777" w:rsidTr="00C61B54">
        <w:trPr>
          <w:trHeight w:val="1625"/>
        </w:trPr>
        <w:tc>
          <w:tcPr>
            <w:tcW w:w="9521" w:type="dxa"/>
          </w:tcPr>
          <w:p w14:paraId="58ABBFFE" w14:textId="77777777" w:rsidR="00CF12C2" w:rsidRPr="00057ED8" w:rsidRDefault="0090167B" w:rsidP="0090167B">
            <w:pPr>
              <w:pStyle w:val="Odsekzoznamu"/>
              <w:ind w:left="0" w:firstLine="0"/>
              <w:rPr>
                <w:szCs w:val="17"/>
                <w:lang w:val="en-GB"/>
              </w:rPr>
            </w:pPr>
            <w:r w:rsidRPr="00057ED8">
              <w:rPr>
                <w:szCs w:val="17"/>
                <w:lang w:val="en-GB"/>
              </w:rPr>
              <w:t xml:space="preserve">Broadly agree / broadly disagree / </w:t>
            </w:r>
            <w:r w:rsidRPr="00057ED8">
              <w:rPr>
                <w:szCs w:val="17"/>
                <w:highlight w:val="cyan"/>
                <w:lang w:val="en-GB"/>
              </w:rPr>
              <w:t>other</w:t>
            </w:r>
          </w:p>
          <w:p w14:paraId="557048E0" w14:textId="1ED88F20" w:rsidR="002948D0" w:rsidRPr="00057ED8" w:rsidRDefault="0088199D" w:rsidP="0090167B">
            <w:pPr>
              <w:pStyle w:val="Odsekzoznamu"/>
              <w:ind w:left="0" w:firstLine="0"/>
              <w:rPr>
                <w:szCs w:val="17"/>
                <w:lang w:val="en-GB"/>
              </w:rPr>
            </w:pPr>
            <w:r>
              <w:rPr>
                <w:szCs w:val="17"/>
                <w:lang w:val="en-GB"/>
              </w:rPr>
              <w:t>Insurance Europ</w:t>
            </w:r>
            <w:r w:rsidR="00AD5D63" w:rsidRPr="00057ED8">
              <w:rPr>
                <w:szCs w:val="17"/>
                <w:lang w:val="en-GB"/>
              </w:rPr>
              <w:t>e generally agree</w:t>
            </w:r>
            <w:r>
              <w:rPr>
                <w:szCs w:val="17"/>
                <w:lang w:val="en-GB"/>
              </w:rPr>
              <w:t>s</w:t>
            </w:r>
            <w:r w:rsidR="00AD5D63" w:rsidRPr="00057ED8">
              <w:rPr>
                <w:szCs w:val="17"/>
                <w:lang w:val="en-GB"/>
              </w:rPr>
              <w:t xml:space="preserve"> with the proposed disclosure requirements for governance processes, controls and procedures used to monitor and manage climate-related risks and opportunities. However, </w:t>
            </w:r>
            <w:r>
              <w:rPr>
                <w:szCs w:val="17"/>
                <w:lang w:val="en-GB"/>
              </w:rPr>
              <w:t>it</w:t>
            </w:r>
            <w:r w:rsidRPr="00057ED8">
              <w:rPr>
                <w:szCs w:val="17"/>
                <w:lang w:val="en-GB"/>
              </w:rPr>
              <w:t xml:space="preserve"> </w:t>
            </w:r>
            <w:r w:rsidR="00AD5D63" w:rsidRPr="00057ED8">
              <w:rPr>
                <w:szCs w:val="17"/>
                <w:lang w:val="en-GB"/>
              </w:rPr>
              <w:t>strongly recommend</w:t>
            </w:r>
            <w:r>
              <w:rPr>
                <w:szCs w:val="17"/>
                <w:lang w:val="en-GB"/>
              </w:rPr>
              <w:t>s</w:t>
            </w:r>
            <w:r w:rsidR="00AD5D63" w:rsidRPr="00057ED8">
              <w:rPr>
                <w:szCs w:val="17"/>
                <w:lang w:val="en-GB"/>
              </w:rPr>
              <w:t xml:space="preserve"> </w:t>
            </w:r>
            <w:r>
              <w:rPr>
                <w:szCs w:val="17"/>
                <w:lang w:val="en-GB"/>
              </w:rPr>
              <w:t>that</w:t>
            </w:r>
            <w:r w:rsidR="00AD5D63" w:rsidRPr="00057ED8">
              <w:rPr>
                <w:szCs w:val="17"/>
                <w:lang w:val="en-GB"/>
              </w:rPr>
              <w:t xml:space="preserve"> the ISSB explicitly mention</w:t>
            </w:r>
            <w:r>
              <w:rPr>
                <w:szCs w:val="17"/>
                <w:lang w:val="en-GB"/>
              </w:rPr>
              <w:t>s</w:t>
            </w:r>
            <w:r w:rsidR="00AD5D63" w:rsidRPr="00057ED8">
              <w:rPr>
                <w:szCs w:val="17"/>
                <w:lang w:val="en-GB"/>
              </w:rPr>
              <w:t xml:space="preserve"> the link to remuneration in par</w:t>
            </w:r>
            <w:r w:rsidR="00877344" w:rsidRPr="00057ED8">
              <w:rPr>
                <w:szCs w:val="17"/>
                <w:lang w:val="en-GB"/>
              </w:rPr>
              <w:t>a</w:t>
            </w:r>
            <w:r w:rsidR="00AD5D63" w:rsidRPr="00057ED8">
              <w:rPr>
                <w:szCs w:val="17"/>
                <w:lang w:val="en-GB"/>
              </w:rPr>
              <w:t>. 5(b)</w:t>
            </w:r>
            <w:r w:rsidR="00877344" w:rsidRPr="00057ED8">
              <w:rPr>
                <w:szCs w:val="17"/>
                <w:lang w:val="en-GB"/>
              </w:rPr>
              <w:t xml:space="preserve"> for executive management</w:t>
            </w:r>
            <w:r w:rsidR="00AD5D63" w:rsidRPr="00057ED8">
              <w:rPr>
                <w:szCs w:val="17"/>
                <w:lang w:val="en-GB"/>
              </w:rPr>
              <w:t>.</w:t>
            </w:r>
            <w:r w:rsidR="00877344" w:rsidRPr="00057ED8">
              <w:rPr>
                <w:szCs w:val="17"/>
                <w:lang w:val="en-GB"/>
              </w:rPr>
              <w:t xml:space="preserve"> </w:t>
            </w:r>
            <w:r w:rsidR="007114A9" w:rsidRPr="00057ED8">
              <w:rPr>
                <w:szCs w:val="17"/>
                <w:lang w:val="en-GB"/>
              </w:rPr>
              <w:t>Linking variable remuneration with climate-related objectives for the executive management is a key driver to change behavio</w:t>
            </w:r>
            <w:r w:rsidR="008F2E40">
              <w:rPr>
                <w:szCs w:val="17"/>
                <w:lang w:val="en-GB"/>
              </w:rPr>
              <w:t>u</w:t>
            </w:r>
            <w:r w:rsidR="007114A9" w:rsidRPr="00057ED8">
              <w:rPr>
                <w:szCs w:val="17"/>
                <w:lang w:val="en-GB"/>
              </w:rPr>
              <w:t>rs and better integrate climate consideration in</w:t>
            </w:r>
            <w:r>
              <w:rPr>
                <w:szCs w:val="17"/>
                <w:lang w:val="en-GB"/>
              </w:rPr>
              <w:t>to</w:t>
            </w:r>
            <w:r w:rsidR="007114A9" w:rsidRPr="00057ED8">
              <w:rPr>
                <w:szCs w:val="17"/>
                <w:lang w:val="en-GB"/>
              </w:rPr>
              <w:t xml:space="preserve"> day-to-day action.</w:t>
            </w:r>
          </w:p>
        </w:tc>
      </w:tr>
    </w:tbl>
    <w:p w14:paraId="7F14AE92" w14:textId="77777777" w:rsidR="00262FA3" w:rsidRPr="00057ED8" w:rsidRDefault="00262FA3" w:rsidP="003D0236">
      <w:pPr>
        <w:autoSpaceDE w:val="0"/>
        <w:autoSpaceDN w:val="0"/>
        <w:adjustRightInd w:val="0"/>
        <w:rPr>
          <w:sz w:val="17"/>
          <w:szCs w:val="17"/>
        </w:rPr>
      </w:pPr>
    </w:p>
    <w:p w14:paraId="5CA95979" w14:textId="77777777" w:rsidR="00047260" w:rsidRPr="00057ED8" w:rsidRDefault="00047260" w:rsidP="003D0236">
      <w:pPr>
        <w:autoSpaceDE w:val="0"/>
        <w:autoSpaceDN w:val="0"/>
        <w:adjustRightInd w:val="0"/>
        <w:rPr>
          <w:sz w:val="17"/>
          <w:szCs w:val="17"/>
        </w:rPr>
      </w:pPr>
    </w:p>
    <w:p w14:paraId="79DA8C85" w14:textId="77777777" w:rsidR="00C15A2B" w:rsidRPr="00057ED8" w:rsidRDefault="00C15A2B" w:rsidP="00A20516">
      <w:pPr>
        <w:rPr>
          <w:b/>
          <w:bCs/>
          <w:sz w:val="17"/>
          <w:szCs w:val="17"/>
        </w:rPr>
      </w:pPr>
      <w:r w:rsidRPr="00057ED8">
        <w:rPr>
          <w:b/>
          <w:bCs/>
          <w:sz w:val="17"/>
          <w:szCs w:val="17"/>
        </w:rPr>
        <w:t>Question 3—Identification of climate-related risks and opportunities</w:t>
      </w:r>
    </w:p>
    <w:p w14:paraId="0BBC95FA" w14:textId="77777777" w:rsidR="00A6259C" w:rsidRPr="00057ED8" w:rsidRDefault="00A6259C" w:rsidP="00047260">
      <w:pPr>
        <w:rPr>
          <w:sz w:val="17"/>
          <w:szCs w:val="17"/>
        </w:rPr>
      </w:pPr>
      <w:r w:rsidRPr="00057ED8">
        <w:rPr>
          <w:sz w:val="17"/>
          <w:szCs w:val="17"/>
        </w:rPr>
        <w:t>Paragraph 9 of the Exposure Draft proposes that an entity be required to identify and disclose a description of significant climate-related risks and opportunities and the time horizon over which each could reasonably be expected to affect its business model, strategy and cash flows, its access to finance and its cost of capital, over the short, medium or long term. In identifying the significant climate-related risks and opportunities described in paragraph 9(a), an entity would be required to refer to the disclosure topics defined in the industry disclosure requirements (Appendix B).</w:t>
      </w:r>
    </w:p>
    <w:p w14:paraId="3F31AFE5" w14:textId="77777777" w:rsidR="00047260" w:rsidRPr="00057ED8" w:rsidRDefault="00047260" w:rsidP="00047260">
      <w:pPr>
        <w:rPr>
          <w:sz w:val="17"/>
          <w:szCs w:val="17"/>
        </w:rPr>
      </w:pPr>
    </w:p>
    <w:p w14:paraId="5CD24CCB" w14:textId="77777777" w:rsidR="00A6259C" w:rsidRPr="00057ED8" w:rsidRDefault="00A6259C" w:rsidP="00047260">
      <w:pPr>
        <w:rPr>
          <w:sz w:val="17"/>
          <w:szCs w:val="17"/>
        </w:rPr>
      </w:pPr>
      <w:r w:rsidRPr="00057ED8">
        <w:rPr>
          <w:sz w:val="17"/>
          <w:szCs w:val="17"/>
        </w:rPr>
        <w:t>Paragraphs BC64–BC65 of the Basis for Conclusions describe the reasoning behind the Exposure Draft’s proposals.</w:t>
      </w:r>
    </w:p>
    <w:p w14:paraId="0AD8F1B3" w14:textId="77777777" w:rsidR="00A6259C" w:rsidRPr="00057ED8" w:rsidRDefault="00A6259C" w:rsidP="00812D6D">
      <w:pPr>
        <w:pStyle w:val="Odsekzoznamu"/>
        <w:numPr>
          <w:ilvl w:val="0"/>
          <w:numId w:val="16"/>
        </w:numPr>
        <w:spacing w:before="0" w:line="288" w:lineRule="auto"/>
        <w:rPr>
          <w:szCs w:val="17"/>
          <w:lang w:val="en-GB"/>
        </w:rPr>
      </w:pPr>
      <w:r w:rsidRPr="00057ED8">
        <w:rPr>
          <w:szCs w:val="17"/>
          <w:lang w:val="en-GB"/>
        </w:rPr>
        <w:t>Are the proposed requirements to identify and to disclose a description of significant climate-related risks and opportunities sufficiently clear? Why or why not?</w:t>
      </w:r>
    </w:p>
    <w:p w14:paraId="17663C43" w14:textId="77777777" w:rsidR="00047260" w:rsidRPr="00057ED8" w:rsidRDefault="00047260" w:rsidP="00047260">
      <w:pPr>
        <w:pStyle w:val="Odsekzoznamu"/>
        <w:spacing w:before="0" w:line="288" w:lineRule="auto"/>
        <w:ind w:left="720" w:firstLine="0"/>
        <w:rPr>
          <w:szCs w:val="17"/>
          <w:lang w:val="en-GB"/>
        </w:rPr>
      </w:pPr>
    </w:p>
    <w:p w14:paraId="3FBD0D5C" w14:textId="04F3C8AD" w:rsidR="00A6259C" w:rsidRPr="00057ED8" w:rsidRDefault="00A6259C" w:rsidP="00812D6D">
      <w:pPr>
        <w:pStyle w:val="Odsekzoznamu"/>
        <w:numPr>
          <w:ilvl w:val="0"/>
          <w:numId w:val="16"/>
        </w:numPr>
        <w:spacing w:before="0" w:line="288" w:lineRule="auto"/>
        <w:rPr>
          <w:szCs w:val="17"/>
          <w:lang w:val="en-GB"/>
        </w:rPr>
      </w:pPr>
      <w:r w:rsidRPr="00057ED8">
        <w:rPr>
          <w:szCs w:val="17"/>
          <w:lang w:val="en-GB"/>
        </w:rPr>
        <w:t>Do you agree with the proposed requirement to consider the applicability of disclosure topics (defined in the industry requirements) in the identification and description of climate-related risks and opportunities? Why or why not? Do you believe that this will lead to improved relevance and comparability of disclosures? Why or why not? Are there any additional requirements that may improve the relevance and comparability of such disclosures? If so, what would you suggest and why?</w:t>
      </w:r>
    </w:p>
    <w:p w14:paraId="24CAD0D1" w14:textId="77777777" w:rsidR="00262FA3" w:rsidRPr="00057ED8" w:rsidRDefault="00262FA3" w:rsidP="003D0236">
      <w:pPr>
        <w:autoSpaceDE w:val="0"/>
        <w:autoSpaceDN w:val="0"/>
        <w:adjustRightInd w:val="0"/>
        <w:rPr>
          <w:sz w:val="17"/>
          <w:szCs w:val="17"/>
        </w:rPr>
      </w:pPr>
    </w:p>
    <w:tbl>
      <w:tblPr>
        <w:tblStyle w:val="Mriekatabuky"/>
        <w:tblW w:w="0" w:type="auto"/>
        <w:tblLook w:val="04A0" w:firstRow="1" w:lastRow="0" w:firstColumn="1" w:lastColumn="0" w:noHBand="0" w:noVBand="1"/>
      </w:tblPr>
      <w:tblGrid>
        <w:gridCol w:w="9521"/>
      </w:tblGrid>
      <w:tr w:rsidR="00CF12C2" w:rsidRPr="00057ED8" w14:paraId="4FBD7566" w14:textId="77777777" w:rsidTr="00C61B54">
        <w:trPr>
          <w:trHeight w:val="1625"/>
        </w:trPr>
        <w:tc>
          <w:tcPr>
            <w:tcW w:w="9521" w:type="dxa"/>
          </w:tcPr>
          <w:p w14:paraId="07D80FB4" w14:textId="77777777" w:rsidR="0090167B" w:rsidRPr="00057ED8" w:rsidRDefault="0090167B" w:rsidP="002E4D97">
            <w:pPr>
              <w:pStyle w:val="CEABullet-Level1"/>
            </w:pPr>
            <w:r w:rsidRPr="00057ED8">
              <w:t xml:space="preserve">Broadly agree / </w:t>
            </w:r>
            <w:r w:rsidRPr="00057ED8">
              <w:rPr>
                <w:highlight w:val="cyan"/>
              </w:rPr>
              <w:t>broadly disagree</w:t>
            </w:r>
            <w:r w:rsidRPr="00057ED8">
              <w:t xml:space="preserve"> / other</w:t>
            </w:r>
          </w:p>
          <w:p w14:paraId="4C184989" w14:textId="46BFD5A4" w:rsidR="004F1E69" w:rsidRPr="00057ED8" w:rsidRDefault="004F1E69" w:rsidP="00D174EB">
            <w:pPr>
              <w:spacing w:line="240" w:lineRule="auto"/>
              <w:ind w:left="360"/>
              <w:rPr>
                <w:sz w:val="17"/>
                <w:szCs w:val="17"/>
              </w:rPr>
            </w:pPr>
            <w:r w:rsidRPr="00057ED8">
              <w:rPr>
                <w:sz w:val="17"/>
                <w:szCs w:val="17"/>
              </w:rPr>
              <w:t xml:space="preserve">While </w:t>
            </w:r>
            <w:r w:rsidR="00953981" w:rsidRPr="00FC16A1">
              <w:rPr>
                <w:sz w:val="17"/>
                <w:szCs w:val="17"/>
                <w:lang w:val="en-US"/>
              </w:rPr>
              <w:t xml:space="preserve">a principles-based approach should be pursued where possible in IFRS S2 as well, there are various areas </w:t>
            </w:r>
            <w:r w:rsidR="0088199D">
              <w:rPr>
                <w:sz w:val="17"/>
                <w:szCs w:val="17"/>
                <w:lang w:val="en-US"/>
              </w:rPr>
              <w:t>in</w:t>
            </w:r>
            <w:r w:rsidR="0088199D" w:rsidRPr="00FC16A1">
              <w:rPr>
                <w:sz w:val="17"/>
                <w:szCs w:val="17"/>
                <w:lang w:val="en-US"/>
              </w:rPr>
              <w:t xml:space="preserve"> </w:t>
            </w:r>
            <w:r w:rsidR="00953981" w:rsidRPr="00FC16A1">
              <w:rPr>
                <w:sz w:val="17"/>
                <w:szCs w:val="17"/>
                <w:lang w:val="en-US"/>
              </w:rPr>
              <w:t xml:space="preserve">which </w:t>
            </w:r>
            <w:r w:rsidR="0088199D">
              <w:rPr>
                <w:sz w:val="17"/>
                <w:szCs w:val="17"/>
                <w:lang w:val="en-US"/>
              </w:rPr>
              <w:t>Insurance Europ</w:t>
            </w:r>
            <w:r w:rsidR="00953981" w:rsidRPr="00FC16A1">
              <w:rPr>
                <w:sz w:val="17"/>
                <w:szCs w:val="17"/>
                <w:lang w:val="en-US"/>
              </w:rPr>
              <w:t>e deem</w:t>
            </w:r>
            <w:r w:rsidR="00A42D6B">
              <w:rPr>
                <w:sz w:val="17"/>
                <w:szCs w:val="17"/>
                <w:lang w:val="en-US"/>
              </w:rPr>
              <w:t>s</w:t>
            </w:r>
            <w:r w:rsidR="00953981" w:rsidRPr="00FC16A1">
              <w:rPr>
                <w:sz w:val="17"/>
                <w:szCs w:val="17"/>
                <w:lang w:val="en-US"/>
              </w:rPr>
              <w:t xml:space="preserve"> a more rules-based approach </w:t>
            </w:r>
            <w:r w:rsidR="004A611E" w:rsidRPr="004A611E">
              <w:rPr>
                <w:sz w:val="17"/>
                <w:szCs w:val="17"/>
                <w:lang w:val="en-US"/>
              </w:rPr>
              <w:t>—</w:t>
            </w:r>
            <w:r w:rsidR="00953981" w:rsidRPr="00FC16A1">
              <w:rPr>
                <w:sz w:val="17"/>
                <w:szCs w:val="17"/>
                <w:lang w:val="en-US"/>
              </w:rPr>
              <w:t xml:space="preserve"> namely in terms of (further) specific guidance </w:t>
            </w:r>
            <w:r w:rsidR="004A611E" w:rsidRPr="004A611E">
              <w:rPr>
                <w:sz w:val="17"/>
                <w:szCs w:val="17"/>
                <w:lang w:val="en-US"/>
              </w:rPr>
              <w:t>—</w:t>
            </w:r>
            <w:r w:rsidR="00953981" w:rsidRPr="00FC16A1">
              <w:rPr>
                <w:sz w:val="17"/>
                <w:szCs w:val="17"/>
                <w:lang w:val="en-US"/>
              </w:rPr>
              <w:t xml:space="preserve"> </w:t>
            </w:r>
            <w:r w:rsidR="005E7E75">
              <w:rPr>
                <w:sz w:val="17"/>
                <w:szCs w:val="17"/>
                <w:lang w:val="en-US"/>
              </w:rPr>
              <w:t>to be</w:t>
            </w:r>
            <w:r w:rsidR="005E7E75" w:rsidRPr="00FC16A1">
              <w:rPr>
                <w:sz w:val="17"/>
                <w:szCs w:val="17"/>
                <w:lang w:val="en-US"/>
              </w:rPr>
              <w:t xml:space="preserve"> </w:t>
            </w:r>
            <w:r w:rsidR="00953981" w:rsidRPr="00FC16A1">
              <w:rPr>
                <w:sz w:val="17"/>
                <w:szCs w:val="17"/>
                <w:lang w:val="en-US"/>
              </w:rPr>
              <w:t xml:space="preserve">indispensable to ensure </w:t>
            </w:r>
            <w:r w:rsidR="00B318ED" w:rsidRPr="00FC16A1">
              <w:rPr>
                <w:sz w:val="17"/>
                <w:szCs w:val="17"/>
                <w:lang w:val="en-US"/>
              </w:rPr>
              <w:t xml:space="preserve">both </w:t>
            </w:r>
            <w:r w:rsidR="00953981" w:rsidRPr="00FC16A1">
              <w:rPr>
                <w:sz w:val="17"/>
                <w:szCs w:val="17"/>
                <w:lang w:val="en-US"/>
              </w:rPr>
              <w:t>clarity for preparers and comparability for users. This applies, among other</w:t>
            </w:r>
            <w:r w:rsidR="002F4B26">
              <w:rPr>
                <w:sz w:val="17"/>
                <w:szCs w:val="17"/>
                <w:lang w:val="en-US"/>
              </w:rPr>
              <w:t xml:space="preserve"> thing</w:t>
            </w:r>
            <w:r w:rsidR="00953981" w:rsidRPr="00FC16A1">
              <w:rPr>
                <w:sz w:val="17"/>
                <w:szCs w:val="17"/>
                <w:lang w:val="en-US"/>
              </w:rPr>
              <w:t>s, to the guidance on the identification of climate-related risks and opportunities</w:t>
            </w:r>
            <w:r w:rsidR="00C577AF">
              <w:rPr>
                <w:sz w:val="17"/>
                <w:szCs w:val="17"/>
                <w:lang w:val="en-US"/>
              </w:rPr>
              <w:t xml:space="preserve">. Indeed, </w:t>
            </w:r>
            <w:r w:rsidRPr="00057ED8">
              <w:rPr>
                <w:sz w:val="17"/>
                <w:szCs w:val="17"/>
              </w:rPr>
              <w:t xml:space="preserve">the requirements to identify and disclose a description of significant climate-related risks and opportunities may be too high-level to ensure consistent application. </w:t>
            </w:r>
            <w:r w:rsidR="007D4C7E">
              <w:rPr>
                <w:sz w:val="17"/>
                <w:szCs w:val="17"/>
              </w:rPr>
              <w:t xml:space="preserve">As </w:t>
            </w:r>
            <w:r w:rsidR="002A4830">
              <w:rPr>
                <w:sz w:val="17"/>
                <w:szCs w:val="17"/>
              </w:rPr>
              <w:t xml:space="preserve">explained in answer to question 8 of IFRS S1, </w:t>
            </w:r>
            <w:r w:rsidR="00625159">
              <w:rPr>
                <w:sz w:val="17"/>
                <w:szCs w:val="17"/>
              </w:rPr>
              <w:t xml:space="preserve">the IFRS standards </w:t>
            </w:r>
            <w:r w:rsidR="00566138" w:rsidRPr="00057ED8">
              <w:rPr>
                <w:sz w:val="17"/>
                <w:szCs w:val="17"/>
              </w:rPr>
              <w:t>should require the disclosure of a materiality matrix</w:t>
            </w:r>
            <w:r w:rsidR="008611B7">
              <w:rPr>
                <w:sz w:val="17"/>
                <w:szCs w:val="17"/>
              </w:rPr>
              <w:t>,</w:t>
            </w:r>
            <w:r w:rsidR="00566138" w:rsidRPr="00057ED8">
              <w:rPr>
                <w:sz w:val="17"/>
                <w:szCs w:val="17"/>
              </w:rPr>
              <w:t xml:space="preserve"> as currently performed by companies in most sustainability reporting</w:t>
            </w:r>
            <w:r w:rsidR="008611B7">
              <w:rPr>
                <w:sz w:val="17"/>
                <w:szCs w:val="17"/>
              </w:rPr>
              <w:t>, including</w:t>
            </w:r>
            <w:r w:rsidR="00566138" w:rsidRPr="00057ED8">
              <w:rPr>
                <w:sz w:val="17"/>
                <w:szCs w:val="17"/>
              </w:rPr>
              <w:t xml:space="preserve"> for climate-related risks and opportunities. Such </w:t>
            </w:r>
            <w:r w:rsidR="00B14BA8">
              <w:rPr>
                <w:sz w:val="17"/>
                <w:szCs w:val="17"/>
              </w:rPr>
              <w:t xml:space="preserve">a </w:t>
            </w:r>
            <w:r w:rsidR="00566138" w:rsidRPr="00057ED8">
              <w:rPr>
                <w:sz w:val="17"/>
                <w:szCs w:val="17"/>
              </w:rPr>
              <w:t>materiality matrix will help primary users gain understanding o</w:t>
            </w:r>
            <w:r w:rsidR="00B14BA8">
              <w:rPr>
                <w:sz w:val="17"/>
                <w:szCs w:val="17"/>
              </w:rPr>
              <w:t>f</w:t>
            </w:r>
            <w:r w:rsidR="00566138" w:rsidRPr="00057ED8">
              <w:rPr>
                <w:sz w:val="17"/>
                <w:szCs w:val="17"/>
              </w:rPr>
              <w:t xml:space="preserve"> how companies are identifying and assessing risks and opportunities.</w:t>
            </w:r>
          </w:p>
          <w:p w14:paraId="5AC9D872" w14:textId="77777777" w:rsidR="004F1E69" w:rsidRPr="00057ED8" w:rsidRDefault="004F1E69" w:rsidP="00D174EB">
            <w:pPr>
              <w:spacing w:line="240" w:lineRule="auto"/>
              <w:ind w:left="360"/>
              <w:rPr>
                <w:sz w:val="17"/>
                <w:szCs w:val="17"/>
              </w:rPr>
            </w:pPr>
          </w:p>
          <w:p w14:paraId="0C8178CA" w14:textId="52886237" w:rsidR="004F1E69" w:rsidRPr="00057ED8" w:rsidRDefault="004F1E69" w:rsidP="00D174EB">
            <w:pPr>
              <w:spacing w:line="240" w:lineRule="auto"/>
              <w:ind w:left="360"/>
              <w:rPr>
                <w:sz w:val="17"/>
                <w:szCs w:val="17"/>
              </w:rPr>
            </w:pPr>
            <w:r w:rsidRPr="00057ED8">
              <w:rPr>
                <w:sz w:val="17"/>
                <w:szCs w:val="17"/>
              </w:rPr>
              <w:t xml:space="preserve">It is not fully clear whether companies would be required to only apply </w:t>
            </w:r>
            <w:r w:rsidR="00F076B2">
              <w:rPr>
                <w:sz w:val="17"/>
                <w:szCs w:val="17"/>
              </w:rPr>
              <w:t xml:space="preserve">IFRS </w:t>
            </w:r>
            <w:r w:rsidRPr="00057ED8">
              <w:rPr>
                <w:sz w:val="17"/>
                <w:szCs w:val="17"/>
              </w:rPr>
              <w:t>S2 to identify significant climate-related risks and opportunities for the purpose of par</w:t>
            </w:r>
            <w:r w:rsidR="00F076B2">
              <w:rPr>
                <w:sz w:val="17"/>
                <w:szCs w:val="17"/>
              </w:rPr>
              <w:t>a</w:t>
            </w:r>
            <w:r w:rsidRPr="00057ED8">
              <w:rPr>
                <w:sz w:val="17"/>
                <w:szCs w:val="17"/>
              </w:rPr>
              <w:t>. 9</w:t>
            </w:r>
            <w:r w:rsidR="004855AE">
              <w:rPr>
                <w:sz w:val="17"/>
                <w:szCs w:val="17"/>
              </w:rPr>
              <w:t>,</w:t>
            </w:r>
            <w:r w:rsidRPr="00057ED8">
              <w:rPr>
                <w:sz w:val="17"/>
                <w:szCs w:val="17"/>
              </w:rPr>
              <w:t xml:space="preserve"> or whether </w:t>
            </w:r>
            <w:r w:rsidR="00F076B2">
              <w:rPr>
                <w:sz w:val="17"/>
                <w:szCs w:val="17"/>
              </w:rPr>
              <w:t xml:space="preserve">IFRS </w:t>
            </w:r>
            <w:r w:rsidRPr="00057ED8">
              <w:rPr>
                <w:sz w:val="17"/>
                <w:szCs w:val="17"/>
              </w:rPr>
              <w:t>S1 shall be applied as well</w:t>
            </w:r>
            <w:r w:rsidR="00FD5E8C">
              <w:rPr>
                <w:sz w:val="17"/>
                <w:szCs w:val="17"/>
              </w:rPr>
              <w:t>,</w:t>
            </w:r>
            <w:r w:rsidR="002159F4">
              <w:rPr>
                <w:sz w:val="17"/>
                <w:szCs w:val="17"/>
              </w:rPr>
              <w:t xml:space="preserve"> as this would have </w:t>
            </w:r>
            <w:r w:rsidR="00B16478">
              <w:rPr>
                <w:sz w:val="17"/>
                <w:szCs w:val="17"/>
              </w:rPr>
              <w:t xml:space="preserve">different </w:t>
            </w:r>
            <w:r w:rsidR="002159F4">
              <w:rPr>
                <w:sz w:val="17"/>
                <w:szCs w:val="17"/>
              </w:rPr>
              <w:t>consequences</w:t>
            </w:r>
            <w:r w:rsidRPr="00057ED8">
              <w:rPr>
                <w:sz w:val="17"/>
                <w:szCs w:val="17"/>
              </w:rPr>
              <w:t>. While par</w:t>
            </w:r>
            <w:r w:rsidR="004855AE">
              <w:rPr>
                <w:sz w:val="17"/>
                <w:szCs w:val="17"/>
              </w:rPr>
              <w:t>a</w:t>
            </w:r>
            <w:r w:rsidRPr="00057ED8">
              <w:rPr>
                <w:sz w:val="17"/>
                <w:szCs w:val="17"/>
              </w:rPr>
              <w:t xml:space="preserve">. 10 of </w:t>
            </w:r>
            <w:r w:rsidR="007C65D6">
              <w:rPr>
                <w:sz w:val="17"/>
                <w:szCs w:val="17"/>
              </w:rPr>
              <w:t>IFRS S2</w:t>
            </w:r>
            <w:r w:rsidRPr="00057ED8">
              <w:rPr>
                <w:sz w:val="17"/>
                <w:szCs w:val="17"/>
              </w:rPr>
              <w:t xml:space="preserve"> would only require companies to refer to the industry-specific disclosure requirements to identify significant climate-related risks and opportunities, par</w:t>
            </w:r>
            <w:r w:rsidR="004855AE">
              <w:rPr>
                <w:sz w:val="17"/>
                <w:szCs w:val="17"/>
              </w:rPr>
              <w:t>a</w:t>
            </w:r>
            <w:r w:rsidRPr="00057ED8">
              <w:rPr>
                <w:sz w:val="17"/>
                <w:szCs w:val="17"/>
              </w:rPr>
              <w:t xml:space="preserve">. 19 of </w:t>
            </w:r>
            <w:r w:rsidR="007C65D6">
              <w:rPr>
                <w:sz w:val="17"/>
                <w:szCs w:val="17"/>
              </w:rPr>
              <w:t>IFRS S1</w:t>
            </w:r>
            <w:r w:rsidRPr="00057ED8">
              <w:rPr>
                <w:sz w:val="17"/>
                <w:szCs w:val="17"/>
              </w:rPr>
              <w:t xml:space="preserve"> would require companies to apply par</w:t>
            </w:r>
            <w:r w:rsidR="004855AE">
              <w:rPr>
                <w:sz w:val="17"/>
                <w:szCs w:val="17"/>
              </w:rPr>
              <w:t>a</w:t>
            </w:r>
            <w:r w:rsidRPr="00057ED8">
              <w:rPr>
                <w:sz w:val="17"/>
                <w:szCs w:val="17"/>
              </w:rPr>
              <w:t>. 51, namely to consider the relevant IFRS SDS</w:t>
            </w:r>
            <w:r w:rsidR="00F428D8">
              <w:rPr>
                <w:sz w:val="17"/>
                <w:szCs w:val="17"/>
              </w:rPr>
              <w:t xml:space="preserve">, </w:t>
            </w:r>
            <w:proofErr w:type="spellStart"/>
            <w:r w:rsidR="00F428D8">
              <w:rPr>
                <w:sz w:val="17"/>
                <w:szCs w:val="17"/>
              </w:rPr>
              <w:t>ie</w:t>
            </w:r>
            <w:proofErr w:type="spellEnd"/>
            <w:r w:rsidR="006572F1">
              <w:rPr>
                <w:sz w:val="17"/>
                <w:szCs w:val="17"/>
              </w:rPr>
              <w:t>,</w:t>
            </w:r>
            <w:r w:rsidR="00F428D8">
              <w:rPr>
                <w:sz w:val="17"/>
                <w:szCs w:val="17"/>
              </w:rPr>
              <w:t xml:space="preserve"> IFRS S2 for climate</w:t>
            </w:r>
            <w:r w:rsidRPr="00057ED8">
              <w:rPr>
                <w:sz w:val="17"/>
                <w:szCs w:val="17"/>
              </w:rPr>
              <w:t xml:space="preserve"> (but not only its respective industry-specific disclosure requirements) and further sources (beyond the relevant IFRS SDS). </w:t>
            </w:r>
            <w:r w:rsidR="00A44BFB">
              <w:rPr>
                <w:sz w:val="17"/>
                <w:szCs w:val="17"/>
              </w:rPr>
              <w:t>C</w:t>
            </w:r>
            <w:r w:rsidRPr="00057ED8">
              <w:rPr>
                <w:sz w:val="17"/>
                <w:szCs w:val="17"/>
              </w:rPr>
              <w:t xml:space="preserve">ompanies </w:t>
            </w:r>
            <w:r w:rsidR="00A80675" w:rsidRPr="00057ED8">
              <w:rPr>
                <w:sz w:val="17"/>
                <w:szCs w:val="17"/>
              </w:rPr>
              <w:t xml:space="preserve">should </w:t>
            </w:r>
            <w:r w:rsidRPr="00057ED8">
              <w:rPr>
                <w:sz w:val="17"/>
                <w:szCs w:val="17"/>
              </w:rPr>
              <w:t xml:space="preserve">not be required to consider sources beyond the relevant IFRS SDS, where </w:t>
            </w:r>
            <w:r w:rsidR="00F3307B">
              <w:rPr>
                <w:sz w:val="17"/>
                <w:szCs w:val="17"/>
              </w:rPr>
              <w:t xml:space="preserve">already </w:t>
            </w:r>
            <w:r w:rsidRPr="00057ED8">
              <w:rPr>
                <w:sz w:val="17"/>
                <w:szCs w:val="17"/>
              </w:rPr>
              <w:t>available, for a specific topic (</w:t>
            </w:r>
            <w:proofErr w:type="spellStart"/>
            <w:r w:rsidRPr="00057ED8">
              <w:rPr>
                <w:sz w:val="17"/>
                <w:szCs w:val="17"/>
              </w:rPr>
              <w:t>eg</w:t>
            </w:r>
            <w:proofErr w:type="spellEnd"/>
            <w:r w:rsidR="00303FD4">
              <w:rPr>
                <w:sz w:val="17"/>
                <w:szCs w:val="17"/>
              </w:rPr>
              <w:t>,</w:t>
            </w:r>
            <w:r w:rsidRPr="00057ED8">
              <w:rPr>
                <w:sz w:val="17"/>
                <w:szCs w:val="17"/>
              </w:rPr>
              <w:t xml:space="preserve"> no consideration of sources beyond </w:t>
            </w:r>
            <w:r w:rsidR="00F23F4D">
              <w:rPr>
                <w:sz w:val="17"/>
                <w:szCs w:val="17"/>
              </w:rPr>
              <w:t>IFRS S2</w:t>
            </w:r>
            <w:r w:rsidRPr="00057ED8">
              <w:rPr>
                <w:sz w:val="17"/>
                <w:szCs w:val="17"/>
              </w:rPr>
              <w:t xml:space="preserve"> to identify significant climate-related risks and opportunities), </w:t>
            </w:r>
            <w:r w:rsidR="00F3307B">
              <w:rPr>
                <w:sz w:val="17"/>
                <w:szCs w:val="17"/>
              </w:rPr>
              <w:t xml:space="preserve">but therein </w:t>
            </w:r>
            <w:r w:rsidRPr="00057ED8">
              <w:rPr>
                <w:sz w:val="17"/>
                <w:szCs w:val="17"/>
              </w:rPr>
              <w:t xml:space="preserve">they </w:t>
            </w:r>
            <w:r w:rsidR="00A80675" w:rsidRPr="00057ED8">
              <w:rPr>
                <w:sz w:val="17"/>
                <w:szCs w:val="17"/>
              </w:rPr>
              <w:t xml:space="preserve">should </w:t>
            </w:r>
            <w:r w:rsidRPr="00057ED8">
              <w:rPr>
                <w:sz w:val="17"/>
                <w:szCs w:val="17"/>
              </w:rPr>
              <w:t>consider the</w:t>
            </w:r>
            <w:r w:rsidR="001D0623">
              <w:rPr>
                <w:sz w:val="17"/>
                <w:szCs w:val="17"/>
              </w:rPr>
              <w:t xml:space="preserve"> cross-industry and</w:t>
            </w:r>
            <w:r w:rsidRPr="00057ED8">
              <w:rPr>
                <w:sz w:val="17"/>
                <w:szCs w:val="17"/>
              </w:rPr>
              <w:t xml:space="preserve"> industry-specific disclosure requirements (as suggested in par</w:t>
            </w:r>
            <w:r w:rsidR="004855AE">
              <w:rPr>
                <w:sz w:val="17"/>
                <w:szCs w:val="17"/>
              </w:rPr>
              <w:t>a</w:t>
            </w:r>
            <w:r w:rsidRPr="00057ED8">
              <w:rPr>
                <w:sz w:val="17"/>
                <w:szCs w:val="17"/>
              </w:rPr>
              <w:t>. 10).</w:t>
            </w:r>
            <w:r w:rsidR="00E30EC3">
              <w:rPr>
                <w:sz w:val="17"/>
                <w:szCs w:val="17"/>
              </w:rPr>
              <w:t xml:space="preserve"> </w:t>
            </w:r>
            <w:r w:rsidR="0077775D">
              <w:rPr>
                <w:sz w:val="17"/>
                <w:szCs w:val="17"/>
              </w:rPr>
              <w:t>Insurance Europ</w:t>
            </w:r>
            <w:r w:rsidR="00E30EC3">
              <w:rPr>
                <w:sz w:val="17"/>
                <w:szCs w:val="17"/>
              </w:rPr>
              <w:t>e encourage</w:t>
            </w:r>
            <w:r w:rsidR="0077775D">
              <w:rPr>
                <w:sz w:val="17"/>
                <w:szCs w:val="17"/>
              </w:rPr>
              <w:t>s</w:t>
            </w:r>
            <w:r w:rsidR="00E30EC3">
              <w:rPr>
                <w:sz w:val="17"/>
                <w:szCs w:val="17"/>
              </w:rPr>
              <w:t xml:space="preserve"> the ISSB to clarify this point, while being mindful of avoiding overlaps between IFRS S1 and IFRS S2.</w:t>
            </w:r>
          </w:p>
          <w:p w14:paraId="3685DE3C" w14:textId="5E039C05" w:rsidR="004F1E69" w:rsidRPr="00057ED8" w:rsidRDefault="004F1E69" w:rsidP="00D174EB">
            <w:pPr>
              <w:pStyle w:val="Odsekzoznamu"/>
              <w:ind w:left="720" w:firstLine="0"/>
              <w:rPr>
                <w:szCs w:val="17"/>
                <w:lang w:val="en-GB"/>
              </w:rPr>
            </w:pPr>
          </w:p>
          <w:p w14:paraId="06DF29FC" w14:textId="77777777" w:rsidR="0090167B" w:rsidRPr="00057ED8" w:rsidRDefault="0090167B" w:rsidP="00BB4FB0">
            <w:pPr>
              <w:pStyle w:val="CEABullet-Level1"/>
              <w:spacing w:line="240" w:lineRule="auto"/>
            </w:pPr>
            <w:r w:rsidRPr="00057ED8">
              <w:t xml:space="preserve">Broadly agree / broadly disagree / </w:t>
            </w:r>
            <w:r w:rsidRPr="00057ED8">
              <w:rPr>
                <w:highlight w:val="cyan"/>
              </w:rPr>
              <w:t>other</w:t>
            </w:r>
          </w:p>
          <w:p w14:paraId="7236459B" w14:textId="77777777" w:rsidR="008F176B" w:rsidRPr="00057ED8" w:rsidRDefault="008F176B" w:rsidP="00BB4FB0">
            <w:pPr>
              <w:spacing w:line="240" w:lineRule="auto"/>
              <w:ind w:left="360"/>
              <w:rPr>
                <w:sz w:val="17"/>
                <w:szCs w:val="17"/>
              </w:rPr>
            </w:pPr>
          </w:p>
          <w:p w14:paraId="19A0E7C1" w14:textId="2FC84A4A" w:rsidR="008F176B" w:rsidRPr="00057ED8" w:rsidRDefault="00FE5A4B" w:rsidP="00BB4FB0">
            <w:pPr>
              <w:spacing w:line="240" w:lineRule="auto"/>
              <w:ind w:left="360"/>
              <w:rPr>
                <w:sz w:val="17"/>
                <w:szCs w:val="17"/>
              </w:rPr>
            </w:pPr>
            <w:r>
              <w:rPr>
                <w:sz w:val="17"/>
                <w:szCs w:val="17"/>
              </w:rPr>
              <w:t>Insurance Europ</w:t>
            </w:r>
            <w:r w:rsidR="00520BD4" w:rsidRPr="00057ED8">
              <w:rPr>
                <w:sz w:val="17"/>
                <w:szCs w:val="17"/>
              </w:rPr>
              <w:t>e generally agree</w:t>
            </w:r>
            <w:r>
              <w:rPr>
                <w:sz w:val="17"/>
                <w:szCs w:val="17"/>
              </w:rPr>
              <w:t>s</w:t>
            </w:r>
            <w:r w:rsidR="00520BD4" w:rsidRPr="00057ED8">
              <w:rPr>
                <w:sz w:val="17"/>
                <w:szCs w:val="17"/>
              </w:rPr>
              <w:t xml:space="preserve">, but </w:t>
            </w:r>
            <w:r w:rsidR="002E4D97" w:rsidRPr="00057ED8">
              <w:rPr>
                <w:sz w:val="17"/>
                <w:szCs w:val="17"/>
              </w:rPr>
              <w:t>consider</w:t>
            </w:r>
            <w:r>
              <w:rPr>
                <w:sz w:val="17"/>
                <w:szCs w:val="17"/>
              </w:rPr>
              <w:t>s</w:t>
            </w:r>
            <w:r w:rsidR="002E4D97" w:rsidRPr="00057ED8">
              <w:rPr>
                <w:sz w:val="17"/>
                <w:szCs w:val="17"/>
              </w:rPr>
              <w:t xml:space="preserve"> that:</w:t>
            </w:r>
          </w:p>
          <w:p w14:paraId="2DCF4E0E" w14:textId="01A597FD" w:rsidR="002E4D97" w:rsidRPr="00057ED8" w:rsidRDefault="002E4D97" w:rsidP="00BB4FB0">
            <w:pPr>
              <w:pStyle w:val="CEABullet-Level1"/>
              <w:spacing w:line="240" w:lineRule="auto"/>
            </w:pPr>
            <w:r w:rsidRPr="00057ED8">
              <w:t xml:space="preserve">Cross-industry requirements should be applicable to all sectors. </w:t>
            </w:r>
          </w:p>
          <w:p w14:paraId="32BF89A2" w14:textId="16457893" w:rsidR="008F176B" w:rsidRPr="00057ED8" w:rsidRDefault="002217E9" w:rsidP="00BB4FB0">
            <w:pPr>
              <w:pStyle w:val="CEABullet-Level1"/>
              <w:spacing w:line="240" w:lineRule="auto"/>
            </w:pPr>
            <w:r>
              <w:t>T</w:t>
            </w:r>
            <w:r w:rsidR="002E4D97" w:rsidRPr="00057ED8">
              <w:t>he E</w:t>
            </w:r>
            <w:r>
              <w:t xml:space="preserve">xposure </w:t>
            </w:r>
            <w:r w:rsidR="002E4D97" w:rsidRPr="00057ED8">
              <w:t>D</w:t>
            </w:r>
            <w:r>
              <w:t>raft</w:t>
            </w:r>
            <w:r w:rsidR="002E4D97" w:rsidRPr="00057ED8">
              <w:t>s should require the publication of a climate materiality matrix</w:t>
            </w:r>
            <w:r w:rsidR="0008526B">
              <w:t>,</w:t>
            </w:r>
            <w:r w:rsidR="002E4D97" w:rsidRPr="00057ED8">
              <w:t xml:space="preserve"> which would enable entities to identify and assess climate-related risks and opportunities beyond industry-specific requirements and allow them to consider further dimensions that may be relevant, </w:t>
            </w:r>
            <w:proofErr w:type="spellStart"/>
            <w:r w:rsidR="002E4D97" w:rsidRPr="00057ED8">
              <w:t>ie</w:t>
            </w:r>
            <w:proofErr w:type="spellEnd"/>
            <w:r w:rsidR="0008526B">
              <w:t>,</w:t>
            </w:r>
            <w:r w:rsidR="002E4D97" w:rsidRPr="00057ED8">
              <w:t xml:space="preserve"> the ones related to geography.</w:t>
            </w:r>
          </w:p>
          <w:p w14:paraId="67FEE092" w14:textId="32AC2F52" w:rsidR="00520BD4" w:rsidRPr="00057ED8" w:rsidRDefault="00520BD4" w:rsidP="00D174EB">
            <w:pPr>
              <w:pStyle w:val="Odsekzoznamu"/>
              <w:ind w:left="720" w:firstLine="0"/>
              <w:rPr>
                <w:szCs w:val="17"/>
                <w:lang w:val="en-GB"/>
              </w:rPr>
            </w:pPr>
          </w:p>
          <w:p w14:paraId="43DCE359" w14:textId="77777777" w:rsidR="00CF12C2" w:rsidRPr="00057ED8" w:rsidRDefault="00CF12C2" w:rsidP="00C61B54">
            <w:pPr>
              <w:rPr>
                <w:sz w:val="17"/>
                <w:szCs w:val="17"/>
              </w:rPr>
            </w:pPr>
          </w:p>
          <w:p w14:paraId="6C568F1E" w14:textId="43237F71" w:rsidR="0090167B" w:rsidRPr="00057ED8" w:rsidRDefault="0090167B" w:rsidP="00C61B54">
            <w:pPr>
              <w:rPr>
                <w:sz w:val="17"/>
                <w:szCs w:val="17"/>
              </w:rPr>
            </w:pPr>
          </w:p>
        </w:tc>
      </w:tr>
    </w:tbl>
    <w:p w14:paraId="32A74D21" w14:textId="77777777" w:rsidR="00047260" w:rsidRPr="00057ED8" w:rsidRDefault="00047260" w:rsidP="003D0236">
      <w:pPr>
        <w:autoSpaceDE w:val="0"/>
        <w:autoSpaceDN w:val="0"/>
        <w:adjustRightInd w:val="0"/>
        <w:rPr>
          <w:sz w:val="17"/>
          <w:szCs w:val="17"/>
        </w:rPr>
      </w:pPr>
    </w:p>
    <w:p w14:paraId="2E40F3D2" w14:textId="77777777" w:rsidR="00262FA3" w:rsidRPr="00057ED8" w:rsidRDefault="00262FA3" w:rsidP="003D0236">
      <w:pPr>
        <w:autoSpaceDE w:val="0"/>
        <w:autoSpaceDN w:val="0"/>
        <w:adjustRightInd w:val="0"/>
        <w:rPr>
          <w:sz w:val="17"/>
          <w:szCs w:val="17"/>
        </w:rPr>
      </w:pPr>
    </w:p>
    <w:p w14:paraId="15869BB7" w14:textId="77777777" w:rsidR="00782CAC" w:rsidRPr="00057ED8" w:rsidRDefault="00782CAC" w:rsidP="00A20516">
      <w:pPr>
        <w:rPr>
          <w:b/>
          <w:bCs/>
          <w:sz w:val="17"/>
          <w:szCs w:val="17"/>
        </w:rPr>
      </w:pPr>
      <w:r w:rsidRPr="00057ED8">
        <w:rPr>
          <w:b/>
          <w:bCs/>
          <w:sz w:val="17"/>
          <w:szCs w:val="17"/>
        </w:rPr>
        <w:t>Question 4—Concentrations of climate-related risks and opportunities in an entity’s value chain</w:t>
      </w:r>
    </w:p>
    <w:p w14:paraId="59702D4E" w14:textId="77777777" w:rsidR="00EC6AB7" w:rsidRPr="00057ED8" w:rsidRDefault="00EC6AB7" w:rsidP="00047260">
      <w:pPr>
        <w:rPr>
          <w:sz w:val="17"/>
          <w:szCs w:val="17"/>
        </w:rPr>
      </w:pPr>
      <w:r w:rsidRPr="00057ED8">
        <w:rPr>
          <w:sz w:val="17"/>
          <w:szCs w:val="17"/>
        </w:rPr>
        <w:t xml:space="preserve">Paragraph 12 of the Exposure Draft proposes requiring disclosures that are designed to enable users of </w:t>
      </w:r>
      <w:proofErr w:type="gramStart"/>
      <w:r w:rsidRPr="00057ED8">
        <w:rPr>
          <w:sz w:val="17"/>
          <w:szCs w:val="17"/>
        </w:rPr>
        <w:t>general purpose</w:t>
      </w:r>
      <w:proofErr w:type="gramEnd"/>
      <w:r w:rsidRPr="00057ED8">
        <w:rPr>
          <w:sz w:val="17"/>
          <w:szCs w:val="17"/>
        </w:rPr>
        <w:t xml:space="preserve"> financial reporting to understand the effects of significant climate-related risks and opportunities on an entity’s business model, including in its value chain. The disclosure requirements seek to balance measurement challenges (for example, with respect to physical risks and the availability of reliable, geographically-specific information) with the information necessary for users to understand the effects of significant climate-related risks and opportunities in an entity’s value chain.</w:t>
      </w:r>
    </w:p>
    <w:p w14:paraId="57D0E24A" w14:textId="77777777" w:rsidR="00047260" w:rsidRPr="00057ED8" w:rsidRDefault="00047260" w:rsidP="00047260">
      <w:pPr>
        <w:rPr>
          <w:sz w:val="17"/>
          <w:szCs w:val="17"/>
        </w:rPr>
      </w:pPr>
    </w:p>
    <w:p w14:paraId="3F86EA4B" w14:textId="77777777" w:rsidR="00EC6AB7" w:rsidRPr="00057ED8" w:rsidRDefault="00EC6AB7" w:rsidP="00047260">
      <w:pPr>
        <w:rPr>
          <w:sz w:val="17"/>
          <w:szCs w:val="17"/>
        </w:rPr>
      </w:pPr>
      <w:r w:rsidRPr="00057ED8">
        <w:rPr>
          <w:sz w:val="17"/>
          <w:szCs w:val="17"/>
        </w:rPr>
        <w:t>As a result, the Exposure Draft includes proposals for qualitative disclosure requirements about the current and anticipated effects of significant climate-related risks and opportunities on an entity’s value chain. The proposals would also require an entity to disclose where in an entity’s value chain significant climate-related risks and opportunities are concentrated.</w:t>
      </w:r>
    </w:p>
    <w:p w14:paraId="4DFC0B18" w14:textId="77777777" w:rsidR="00047260" w:rsidRPr="00057ED8" w:rsidRDefault="00047260" w:rsidP="00047260">
      <w:pPr>
        <w:rPr>
          <w:sz w:val="17"/>
          <w:szCs w:val="17"/>
        </w:rPr>
      </w:pPr>
    </w:p>
    <w:p w14:paraId="35D71ABC" w14:textId="77777777" w:rsidR="00EC6AB7" w:rsidRPr="00057ED8" w:rsidRDefault="00EC6AB7" w:rsidP="00047260">
      <w:pPr>
        <w:rPr>
          <w:sz w:val="17"/>
          <w:szCs w:val="17"/>
        </w:rPr>
      </w:pPr>
      <w:r w:rsidRPr="00057ED8">
        <w:rPr>
          <w:sz w:val="17"/>
          <w:szCs w:val="17"/>
        </w:rPr>
        <w:t>Paragraphs BC66–BC68 of the Basis for Conclusions describe the reasoning behind the Exposure Draft’s proposals.</w:t>
      </w:r>
    </w:p>
    <w:p w14:paraId="18296FD2" w14:textId="77777777" w:rsidR="00EC6AB7" w:rsidRPr="00057ED8" w:rsidRDefault="00EC6AB7" w:rsidP="00812D6D">
      <w:pPr>
        <w:pStyle w:val="Odsekzoznamu"/>
        <w:numPr>
          <w:ilvl w:val="0"/>
          <w:numId w:val="17"/>
        </w:numPr>
        <w:spacing w:before="0" w:line="288" w:lineRule="auto"/>
        <w:rPr>
          <w:szCs w:val="17"/>
          <w:lang w:val="en-GB"/>
        </w:rPr>
      </w:pPr>
      <w:r w:rsidRPr="00057ED8">
        <w:rPr>
          <w:szCs w:val="17"/>
          <w:lang w:val="en-GB"/>
        </w:rPr>
        <w:t>Do you agree with the proposed disclosure requirements about the effects of significant climate-related risks and opportunities on an entity’s business model and value chain? Why or why not?</w:t>
      </w:r>
    </w:p>
    <w:p w14:paraId="47D77824" w14:textId="77777777" w:rsidR="00047260" w:rsidRPr="00057ED8" w:rsidRDefault="00047260" w:rsidP="00047260">
      <w:pPr>
        <w:pStyle w:val="Odsekzoznamu"/>
        <w:spacing w:before="0" w:line="288" w:lineRule="auto"/>
        <w:ind w:left="720" w:firstLine="0"/>
        <w:rPr>
          <w:szCs w:val="17"/>
          <w:lang w:val="en-GB"/>
        </w:rPr>
      </w:pPr>
    </w:p>
    <w:p w14:paraId="08B396BF" w14:textId="77777777" w:rsidR="00EC6AB7" w:rsidRPr="00057ED8" w:rsidRDefault="00EC6AB7" w:rsidP="00812D6D">
      <w:pPr>
        <w:pStyle w:val="Odsekzoznamu"/>
        <w:numPr>
          <w:ilvl w:val="0"/>
          <w:numId w:val="17"/>
        </w:numPr>
        <w:spacing w:before="0" w:line="288" w:lineRule="auto"/>
        <w:rPr>
          <w:szCs w:val="17"/>
          <w:lang w:val="en-GB"/>
        </w:rPr>
      </w:pPr>
      <w:r w:rsidRPr="00057ED8">
        <w:rPr>
          <w:szCs w:val="17"/>
          <w:lang w:val="en-GB"/>
        </w:rPr>
        <w:t>Do you agree that the disclosure required about an entity’s concentration of climate-related risks and opportunities should be qualitative rather than quantitative? Why or why not? If not, what do you recommend and why?</w:t>
      </w:r>
    </w:p>
    <w:p w14:paraId="12C02EEC" w14:textId="77777777" w:rsidR="00262FA3" w:rsidRPr="00057ED8" w:rsidRDefault="00262FA3" w:rsidP="003D0236">
      <w:pPr>
        <w:autoSpaceDE w:val="0"/>
        <w:autoSpaceDN w:val="0"/>
        <w:adjustRightInd w:val="0"/>
        <w:rPr>
          <w:sz w:val="17"/>
          <w:szCs w:val="17"/>
        </w:rPr>
      </w:pPr>
    </w:p>
    <w:tbl>
      <w:tblPr>
        <w:tblStyle w:val="Mriekatabuky"/>
        <w:tblW w:w="0" w:type="auto"/>
        <w:tblLook w:val="04A0" w:firstRow="1" w:lastRow="0" w:firstColumn="1" w:lastColumn="0" w:noHBand="0" w:noVBand="1"/>
      </w:tblPr>
      <w:tblGrid>
        <w:gridCol w:w="9521"/>
      </w:tblGrid>
      <w:tr w:rsidR="00CF12C2" w:rsidRPr="00057ED8" w14:paraId="329CA845" w14:textId="77777777" w:rsidTr="00C61B54">
        <w:trPr>
          <w:trHeight w:val="1625"/>
        </w:trPr>
        <w:tc>
          <w:tcPr>
            <w:tcW w:w="9521" w:type="dxa"/>
          </w:tcPr>
          <w:p w14:paraId="20DFE1E1" w14:textId="77777777" w:rsidR="0090167B" w:rsidRPr="00057ED8" w:rsidRDefault="0090167B" w:rsidP="00812D6D">
            <w:pPr>
              <w:pStyle w:val="Odsekzoznamu"/>
              <w:numPr>
                <w:ilvl w:val="0"/>
                <w:numId w:val="42"/>
              </w:numPr>
              <w:rPr>
                <w:szCs w:val="17"/>
                <w:lang w:val="en-GB"/>
              </w:rPr>
            </w:pPr>
            <w:r w:rsidRPr="00057ED8">
              <w:rPr>
                <w:szCs w:val="17"/>
                <w:highlight w:val="cyan"/>
                <w:lang w:val="en-GB"/>
              </w:rPr>
              <w:t>Broadly agree</w:t>
            </w:r>
            <w:r w:rsidRPr="00057ED8">
              <w:rPr>
                <w:szCs w:val="17"/>
                <w:lang w:val="en-GB"/>
              </w:rPr>
              <w:t xml:space="preserve"> / broadly disagree / other</w:t>
            </w:r>
          </w:p>
          <w:p w14:paraId="0FA83A75" w14:textId="23E39A4D" w:rsidR="0014208B" w:rsidRDefault="0008526B" w:rsidP="006A3CE0">
            <w:pPr>
              <w:pStyle w:val="Odsekzoznamu"/>
              <w:ind w:left="720" w:firstLine="0"/>
              <w:rPr>
                <w:szCs w:val="17"/>
                <w:lang w:val="en-GB"/>
              </w:rPr>
            </w:pPr>
            <w:r>
              <w:rPr>
                <w:rFonts w:cs="Arial"/>
                <w:lang w:val="en-GB"/>
              </w:rPr>
              <w:t>Insurance Europ</w:t>
            </w:r>
            <w:r w:rsidR="007E16BC" w:rsidRPr="00057ED8">
              <w:rPr>
                <w:rFonts w:cs="Arial"/>
                <w:lang w:val="en-GB"/>
              </w:rPr>
              <w:t xml:space="preserve">e </w:t>
            </w:r>
            <w:r w:rsidR="00097A6F">
              <w:rPr>
                <w:rFonts w:cs="Arial"/>
                <w:lang w:val="en-GB"/>
              </w:rPr>
              <w:t>generally</w:t>
            </w:r>
            <w:r w:rsidR="00097A6F" w:rsidRPr="00057ED8">
              <w:rPr>
                <w:rFonts w:cs="Arial"/>
                <w:lang w:val="en-GB"/>
              </w:rPr>
              <w:t xml:space="preserve"> </w:t>
            </w:r>
            <w:r w:rsidR="007E16BC" w:rsidRPr="00057ED8">
              <w:rPr>
                <w:rFonts w:cs="Arial"/>
                <w:lang w:val="en-GB"/>
              </w:rPr>
              <w:t>agree</w:t>
            </w:r>
            <w:r w:rsidR="002C3019">
              <w:rPr>
                <w:rFonts w:cs="Arial"/>
                <w:lang w:val="en-GB"/>
              </w:rPr>
              <w:t>s</w:t>
            </w:r>
            <w:r w:rsidR="007E16BC" w:rsidRPr="00057ED8">
              <w:rPr>
                <w:rFonts w:cs="Arial"/>
                <w:lang w:val="en-GB"/>
              </w:rPr>
              <w:t xml:space="preserve"> with the proposed disclosure requirements about the effects of significant climate-related risks and opportunities on an entity’s business model and value chain. As outlined above, </w:t>
            </w:r>
            <w:r w:rsidR="002B0180">
              <w:rPr>
                <w:rFonts w:cs="Arial"/>
                <w:lang w:val="en-GB"/>
              </w:rPr>
              <w:t>it</w:t>
            </w:r>
            <w:r w:rsidR="002B0180" w:rsidRPr="00057ED8">
              <w:rPr>
                <w:rFonts w:cs="Arial"/>
                <w:lang w:val="en-GB"/>
              </w:rPr>
              <w:t xml:space="preserve"> </w:t>
            </w:r>
            <w:r w:rsidR="002B0180">
              <w:rPr>
                <w:rFonts w:cs="Arial"/>
                <w:lang w:val="en-GB"/>
              </w:rPr>
              <w:t>warm</w:t>
            </w:r>
            <w:r w:rsidR="007E16BC" w:rsidRPr="00057ED8">
              <w:rPr>
                <w:rFonts w:cs="Arial"/>
                <w:lang w:val="en-GB"/>
              </w:rPr>
              <w:t>ly welcome</w:t>
            </w:r>
            <w:r w:rsidR="002B0180">
              <w:rPr>
                <w:rFonts w:cs="Arial"/>
                <w:lang w:val="en-GB"/>
              </w:rPr>
              <w:t>s</w:t>
            </w:r>
            <w:r w:rsidR="007E16BC" w:rsidRPr="00057ED8">
              <w:rPr>
                <w:rFonts w:cs="Arial"/>
                <w:lang w:val="en-GB"/>
              </w:rPr>
              <w:t xml:space="preserve"> </w:t>
            </w:r>
            <w:r w:rsidR="002B0180">
              <w:rPr>
                <w:rFonts w:cs="Arial"/>
                <w:lang w:val="en-GB"/>
              </w:rPr>
              <w:t xml:space="preserve">the fact </w:t>
            </w:r>
            <w:r w:rsidR="007E16BC" w:rsidRPr="00057ED8">
              <w:rPr>
                <w:rFonts w:cs="Arial"/>
                <w:lang w:val="en-GB"/>
              </w:rPr>
              <w:t xml:space="preserve">that the ISSB proposes to require companies to not only consider and report on their own operations, but also </w:t>
            </w:r>
            <w:r w:rsidR="00B626DA">
              <w:rPr>
                <w:rFonts w:cs="Arial"/>
                <w:lang w:val="en-GB"/>
              </w:rPr>
              <w:t xml:space="preserve">on </w:t>
            </w:r>
            <w:r w:rsidR="007E16BC" w:rsidRPr="00057ED8">
              <w:rPr>
                <w:rFonts w:cs="Arial"/>
                <w:lang w:val="en-GB"/>
              </w:rPr>
              <w:t>the sustainability-related risks and opportunities along the value chain</w:t>
            </w:r>
            <w:r w:rsidR="00DF0A54">
              <w:rPr>
                <w:rFonts w:cs="Arial"/>
                <w:lang w:val="en-GB"/>
              </w:rPr>
              <w:t xml:space="preserve">. </w:t>
            </w:r>
            <w:r w:rsidR="004D62B2">
              <w:rPr>
                <w:rFonts w:cs="Arial"/>
                <w:lang w:val="en-GB"/>
              </w:rPr>
              <w:t>However, a</w:t>
            </w:r>
            <w:r w:rsidR="00DF0A54">
              <w:rPr>
                <w:rFonts w:cs="Arial"/>
                <w:lang w:val="en-GB"/>
              </w:rPr>
              <w:t xml:space="preserve">s described in response to </w:t>
            </w:r>
            <w:r w:rsidR="004B7819">
              <w:rPr>
                <w:rFonts w:cs="Arial"/>
                <w:lang w:val="en-GB"/>
              </w:rPr>
              <w:t>IFRS S1</w:t>
            </w:r>
            <w:r w:rsidR="00AD2A3B">
              <w:rPr>
                <w:rFonts w:cs="Arial"/>
                <w:lang w:val="en-GB"/>
              </w:rPr>
              <w:t>,</w:t>
            </w:r>
            <w:r w:rsidR="004B7819">
              <w:rPr>
                <w:rFonts w:cs="Arial"/>
                <w:lang w:val="en-GB"/>
              </w:rPr>
              <w:t xml:space="preserve"> </w:t>
            </w:r>
            <w:r w:rsidR="00DF0A54">
              <w:rPr>
                <w:rFonts w:cs="Arial"/>
                <w:lang w:val="en-GB"/>
              </w:rPr>
              <w:t>Q5(b)</w:t>
            </w:r>
            <w:r w:rsidR="004B7819">
              <w:rPr>
                <w:rFonts w:cs="Arial"/>
                <w:lang w:val="en-GB"/>
              </w:rPr>
              <w:t xml:space="preserve">, </w:t>
            </w:r>
            <w:r w:rsidR="004D62B2" w:rsidRPr="00057ED8">
              <w:rPr>
                <w:szCs w:val="17"/>
                <w:lang w:val="en-GB"/>
              </w:rPr>
              <w:t xml:space="preserve">clarity is needed on </w:t>
            </w:r>
            <w:r w:rsidR="004D62B2">
              <w:rPr>
                <w:szCs w:val="17"/>
                <w:lang w:val="en-GB"/>
              </w:rPr>
              <w:t>how</w:t>
            </w:r>
            <w:r w:rsidR="004D62B2" w:rsidRPr="00057ED8">
              <w:rPr>
                <w:szCs w:val="17"/>
                <w:lang w:val="en-GB"/>
              </w:rPr>
              <w:t xml:space="preserve"> the value chain </w:t>
            </w:r>
            <w:r w:rsidR="004D62B2">
              <w:rPr>
                <w:szCs w:val="17"/>
                <w:lang w:val="en-GB"/>
              </w:rPr>
              <w:t>is defined</w:t>
            </w:r>
            <w:r w:rsidR="004D62B2" w:rsidRPr="00057ED8">
              <w:rPr>
                <w:szCs w:val="17"/>
                <w:lang w:val="en-GB"/>
              </w:rPr>
              <w:t xml:space="preserve"> for the financial sector</w:t>
            </w:r>
            <w:r w:rsidR="004D62B2">
              <w:rPr>
                <w:szCs w:val="17"/>
                <w:lang w:val="en-GB"/>
              </w:rPr>
              <w:t xml:space="preserve"> and how the concept/requirement should be applied. </w:t>
            </w:r>
            <w:r w:rsidR="004D62B2" w:rsidRPr="00243075">
              <w:rPr>
                <w:szCs w:val="17"/>
                <w:lang w:val="en-GB"/>
              </w:rPr>
              <w:t xml:space="preserve">In </w:t>
            </w:r>
            <w:r w:rsidR="00D71EA4">
              <w:rPr>
                <w:szCs w:val="17"/>
                <w:lang w:val="en-GB"/>
              </w:rPr>
              <w:t>Insurance Europe’s</w:t>
            </w:r>
            <w:r w:rsidR="00D71EA4" w:rsidRPr="00243075">
              <w:rPr>
                <w:szCs w:val="17"/>
                <w:lang w:val="en-GB"/>
              </w:rPr>
              <w:t xml:space="preserve"> </w:t>
            </w:r>
            <w:r w:rsidR="004D62B2" w:rsidRPr="00243075">
              <w:rPr>
                <w:szCs w:val="17"/>
                <w:lang w:val="en-GB"/>
              </w:rPr>
              <w:t xml:space="preserve">view, the value chain for financial institutions should </w:t>
            </w:r>
            <w:r w:rsidR="004D62B2" w:rsidRPr="00EE58FC">
              <w:rPr>
                <w:szCs w:val="17"/>
                <w:lang w:val="en-GB"/>
              </w:rPr>
              <w:t>encompass direct upstream and downstream value chain partners</w:t>
            </w:r>
            <w:r w:rsidR="006E2AA6">
              <w:rPr>
                <w:szCs w:val="17"/>
                <w:lang w:val="en-GB"/>
              </w:rPr>
              <w:t>,</w:t>
            </w:r>
            <w:r w:rsidR="004D62B2" w:rsidRPr="00EE58FC">
              <w:rPr>
                <w:szCs w:val="17"/>
                <w:lang w:val="en-GB"/>
              </w:rPr>
              <w:t xml:space="preserve"> such as suppliers and business partners, as well as investees and policyholders, </w:t>
            </w:r>
            <w:r w:rsidR="00DF0AA9">
              <w:rPr>
                <w:szCs w:val="17"/>
                <w:lang w:val="en-GB"/>
              </w:rPr>
              <w:t>but</w:t>
            </w:r>
            <w:r w:rsidR="00DF0AA9" w:rsidRPr="00EE58FC">
              <w:rPr>
                <w:szCs w:val="17"/>
                <w:lang w:val="en-GB"/>
              </w:rPr>
              <w:t xml:space="preserve"> </w:t>
            </w:r>
            <w:r w:rsidR="004D62B2" w:rsidRPr="00EE58FC">
              <w:rPr>
                <w:szCs w:val="17"/>
                <w:lang w:val="en-GB"/>
              </w:rPr>
              <w:t xml:space="preserve">with limited look-through requirements to be supplemented by qualitative sector-specific disclosure requirements. </w:t>
            </w:r>
            <w:r w:rsidR="006A3CE0">
              <w:rPr>
                <w:szCs w:val="17"/>
                <w:lang w:val="en-GB"/>
              </w:rPr>
              <w:t>Indeed, a</w:t>
            </w:r>
            <w:r w:rsidR="004D62B2" w:rsidRPr="006A3CE0">
              <w:rPr>
                <w:szCs w:val="17"/>
                <w:lang w:val="en-GB"/>
              </w:rPr>
              <w:t xml:space="preserve"> look-through to (all) investees, clients and policyholders for all disclosures clearly needs to be avoided</w:t>
            </w:r>
            <w:r w:rsidR="009B12DE">
              <w:rPr>
                <w:szCs w:val="17"/>
                <w:lang w:val="en-GB"/>
              </w:rPr>
              <w:t>,</w:t>
            </w:r>
            <w:r w:rsidR="004D62B2" w:rsidRPr="006A3CE0">
              <w:rPr>
                <w:szCs w:val="17"/>
                <w:lang w:val="en-GB"/>
              </w:rPr>
              <w:t xml:space="preserve"> given the significant implications for reporting and challenges related to data availability.</w:t>
            </w:r>
          </w:p>
          <w:p w14:paraId="43901176" w14:textId="3B63A10A" w:rsidR="00827E34" w:rsidRPr="008611B7" w:rsidRDefault="00B60E15" w:rsidP="008611B7">
            <w:pPr>
              <w:pStyle w:val="Odsekzoznamu"/>
              <w:ind w:left="720" w:firstLine="0"/>
              <w:rPr>
                <w:rFonts w:eastAsia="Times New Roman" w:cs="Times New Roman"/>
                <w:sz w:val="20"/>
                <w:szCs w:val="17"/>
                <w:lang w:val="en-GB"/>
              </w:rPr>
            </w:pPr>
            <w:r w:rsidRPr="00E75A0C">
              <w:rPr>
                <w:szCs w:val="17"/>
              </w:rPr>
              <w:t>To adequately account for the specific</w:t>
            </w:r>
            <w:r w:rsidR="00A73B4F">
              <w:rPr>
                <w:szCs w:val="17"/>
              </w:rPr>
              <w:t xml:space="preserve"> characteristic</w:t>
            </w:r>
            <w:r w:rsidRPr="00E75A0C">
              <w:rPr>
                <w:szCs w:val="17"/>
              </w:rPr>
              <w:t xml:space="preserve">s of financial companies’ business models, additional sector-specific disclosure requirements should be defined that would require financial companies to provide certain sustainability-related information </w:t>
            </w:r>
            <w:r w:rsidR="005459B1">
              <w:rPr>
                <w:szCs w:val="17"/>
              </w:rPr>
              <w:t>about</w:t>
            </w:r>
            <w:r w:rsidR="005459B1" w:rsidRPr="00E75A0C">
              <w:rPr>
                <w:szCs w:val="17"/>
              </w:rPr>
              <w:t xml:space="preserve"> </w:t>
            </w:r>
            <w:r w:rsidRPr="00E75A0C">
              <w:rPr>
                <w:szCs w:val="17"/>
              </w:rPr>
              <w:t xml:space="preserve">their portfolios, </w:t>
            </w:r>
            <w:r w:rsidR="005459B1">
              <w:rPr>
                <w:szCs w:val="17"/>
              </w:rPr>
              <w:t>such as</w:t>
            </w:r>
            <w:r w:rsidRPr="00E75A0C">
              <w:rPr>
                <w:szCs w:val="17"/>
              </w:rPr>
              <w:t xml:space="preserve"> investment or underwriting policies, the extent to which ESG considerations feed into the investment or underwriting decision-making and engagement process with investees or policyholders, and </w:t>
            </w:r>
            <w:r w:rsidR="005459B1">
              <w:rPr>
                <w:szCs w:val="17"/>
              </w:rPr>
              <w:t xml:space="preserve">the </w:t>
            </w:r>
            <w:r w:rsidRPr="00E75A0C">
              <w:rPr>
                <w:szCs w:val="17"/>
              </w:rPr>
              <w:t xml:space="preserve">respective due diligence processes implemented. Based on </w:t>
            </w:r>
            <w:r w:rsidR="003C1FA7">
              <w:rPr>
                <w:szCs w:val="17"/>
              </w:rPr>
              <w:t>such</w:t>
            </w:r>
            <w:r w:rsidR="003C1FA7" w:rsidRPr="00E75A0C">
              <w:rPr>
                <w:szCs w:val="17"/>
              </w:rPr>
              <w:t xml:space="preserve"> </w:t>
            </w:r>
            <w:r w:rsidRPr="00E75A0C">
              <w:rPr>
                <w:szCs w:val="17"/>
              </w:rPr>
              <w:t>information, a look</w:t>
            </w:r>
            <w:r w:rsidR="005459B1">
              <w:rPr>
                <w:szCs w:val="17"/>
              </w:rPr>
              <w:t>-</w:t>
            </w:r>
            <w:r w:rsidRPr="00E75A0C">
              <w:rPr>
                <w:szCs w:val="17"/>
              </w:rPr>
              <w:t xml:space="preserve">through </w:t>
            </w:r>
            <w:r w:rsidR="008611B7">
              <w:rPr>
                <w:szCs w:val="17"/>
              </w:rPr>
              <w:t xml:space="preserve">approach </w:t>
            </w:r>
            <w:r w:rsidRPr="00E75A0C">
              <w:rPr>
                <w:szCs w:val="17"/>
              </w:rPr>
              <w:t xml:space="preserve">to all investees, policyholders and clients </w:t>
            </w:r>
            <w:r w:rsidR="004A1C73">
              <w:rPr>
                <w:szCs w:val="17"/>
              </w:rPr>
              <w:t xml:space="preserve">would not be necessary </w:t>
            </w:r>
            <w:r w:rsidRPr="00E75A0C">
              <w:rPr>
                <w:szCs w:val="17"/>
              </w:rPr>
              <w:t xml:space="preserve">for </w:t>
            </w:r>
            <w:r w:rsidR="004A1C73">
              <w:rPr>
                <w:szCs w:val="17"/>
              </w:rPr>
              <w:t>most</w:t>
            </w:r>
            <w:r w:rsidR="004A1C73" w:rsidRPr="00E75A0C">
              <w:rPr>
                <w:szCs w:val="17"/>
              </w:rPr>
              <w:t xml:space="preserve"> </w:t>
            </w:r>
            <w:r w:rsidRPr="00E75A0C">
              <w:rPr>
                <w:szCs w:val="17"/>
              </w:rPr>
              <w:t>disclosures</w:t>
            </w:r>
            <w:r w:rsidRPr="00A74677">
              <w:rPr>
                <w:szCs w:val="17"/>
              </w:rPr>
              <w:t>.</w:t>
            </w:r>
          </w:p>
          <w:p w14:paraId="5CCBAEAC" w14:textId="3D4B0FC2" w:rsidR="007E16BC" w:rsidRPr="00057ED8" w:rsidRDefault="00783D58" w:rsidP="001D1B8E">
            <w:pPr>
              <w:pStyle w:val="Odsekzoznamu"/>
              <w:ind w:left="720" w:firstLine="0"/>
              <w:rPr>
                <w:szCs w:val="17"/>
                <w:lang w:val="en-GB"/>
              </w:rPr>
            </w:pPr>
            <w:r w:rsidRPr="00057ED8">
              <w:rPr>
                <w:rFonts w:cs="Arial"/>
                <w:lang w:val="en-GB"/>
              </w:rPr>
              <w:t>In any case, c</w:t>
            </w:r>
            <w:r w:rsidR="007E16BC" w:rsidRPr="00057ED8">
              <w:rPr>
                <w:rFonts w:cs="Arial"/>
                <w:lang w:val="en-GB"/>
              </w:rPr>
              <w:t xml:space="preserve">onsidering the value chain is absolutely essential to achieve the objective of </w:t>
            </w:r>
            <w:r w:rsidR="00FB6694">
              <w:rPr>
                <w:rFonts w:cs="Arial"/>
                <w:lang w:val="en-GB"/>
              </w:rPr>
              <w:t>IFRS S1 and S2</w:t>
            </w:r>
            <w:r w:rsidR="00BC00B5">
              <w:rPr>
                <w:rFonts w:cs="Arial"/>
                <w:lang w:val="en-GB"/>
              </w:rPr>
              <w:t xml:space="preserve"> </w:t>
            </w:r>
            <w:r w:rsidR="007E16BC" w:rsidRPr="00057ED8">
              <w:rPr>
                <w:rFonts w:cs="Arial"/>
                <w:lang w:val="en-GB"/>
              </w:rPr>
              <w:t>and any future topic-specific IFRS SDSs</w:t>
            </w:r>
            <w:r w:rsidR="001D1B8E" w:rsidRPr="00057ED8">
              <w:rPr>
                <w:rFonts w:cs="Arial"/>
                <w:lang w:val="en-GB"/>
              </w:rPr>
              <w:t>.</w:t>
            </w:r>
          </w:p>
          <w:p w14:paraId="043663EF" w14:textId="77777777" w:rsidR="00CF12C2" w:rsidRPr="00057ED8" w:rsidRDefault="0090167B" w:rsidP="00812D6D">
            <w:pPr>
              <w:pStyle w:val="Odsekzoznamu"/>
              <w:numPr>
                <w:ilvl w:val="0"/>
                <w:numId w:val="42"/>
              </w:numPr>
              <w:rPr>
                <w:szCs w:val="17"/>
                <w:lang w:val="en-GB"/>
              </w:rPr>
            </w:pPr>
            <w:r w:rsidRPr="00057ED8">
              <w:rPr>
                <w:szCs w:val="17"/>
                <w:highlight w:val="cyan"/>
                <w:lang w:val="en-GB"/>
              </w:rPr>
              <w:t>Broadly agree</w:t>
            </w:r>
            <w:r w:rsidRPr="00057ED8">
              <w:rPr>
                <w:szCs w:val="17"/>
                <w:lang w:val="en-GB"/>
              </w:rPr>
              <w:t xml:space="preserve"> / broadly disagree / other</w:t>
            </w:r>
          </w:p>
          <w:p w14:paraId="7FCA1586" w14:textId="536E850D" w:rsidR="00AB6696" w:rsidRPr="00057ED8" w:rsidRDefault="00BC00B5" w:rsidP="00AB6696">
            <w:pPr>
              <w:pStyle w:val="Odsekzoznamu"/>
              <w:ind w:left="720" w:firstLine="0"/>
              <w:rPr>
                <w:rFonts w:cs="Arial"/>
                <w:lang w:val="en-GB"/>
              </w:rPr>
            </w:pPr>
            <w:r>
              <w:rPr>
                <w:rFonts w:cs="Arial"/>
                <w:lang w:val="en-GB"/>
              </w:rPr>
              <w:t>Insurance Europ</w:t>
            </w:r>
            <w:r w:rsidR="00AB6696" w:rsidRPr="00057ED8">
              <w:rPr>
                <w:rFonts w:cs="Arial"/>
                <w:lang w:val="en-GB"/>
              </w:rPr>
              <w:t>e generally agree</w:t>
            </w:r>
            <w:r>
              <w:rPr>
                <w:rFonts w:cs="Arial"/>
                <w:lang w:val="en-GB"/>
              </w:rPr>
              <w:t>s</w:t>
            </w:r>
            <w:r w:rsidR="00AB6696" w:rsidRPr="00057ED8">
              <w:rPr>
                <w:rFonts w:cs="Arial"/>
                <w:lang w:val="en-GB"/>
              </w:rPr>
              <w:t xml:space="preserve"> that the disclosure required about an entity’s concentration of climate-related risks and opportunities should be qualitative rather than quantitative in a first step. However, </w:t>
            </w:r>
            <w:r w:rsidR="00A0141C">
              <w:rPr>
                <w:rFonts w:cs="Arial"/>
                <w:lang w:val="en-GB"/>
              </w:rPr>
              <w:t>it</w:t>
            </w:r>
            <w:r w:rsidR="00A0141C" w:rsidRPr="00057ED8">
              <w:rPr>
                <w:rFonts w:cs="Arial"/>
                <w:lang w:val="en-GB"/>
              </w:rPr>
              <w:t xml:space="preserve"> </w:t>
            </w:r>
            <w:r w:rsidR="00AB6696" w:rsidRPr="00057ED8">
              <w:rPr>
                <w:rFonts w:cs="Arial"/>
                <w:lang w:val="en-GB"/>
              </w:rPr>
              <w:t>recommend</w:t>
            </w:r>
            <w:r w:rsidR="00A0141C">
              <w:rPr>
                <w:rFonts w:cs="Arial"/>
                <w:lang w:val="en-GB"/>
              </w:rPr>
              <w:t>s</w:t>
            </w:r>
            <w:r w:rsidR="00AB6696" w:rsidRPr="00057ED8">
              <w:rPr>
                <w:rFonts w:cs="Arial"/>
                <w:lang w:val="en-GB"/>
              </w:rPr>
              <w:t xml:space="preserve"> </w:t>
            </w:r>
            <w:r w:rsidR="00A0141C">
              <w:rPr>
                <w:rFonts w:cs="Arial"/>
                <w:lang w:val="en-GB"/>
              </w:rPr>
              <w:t>that</w:t>
            </w:r>
            <w:r w:rsidR="00AB6696" w:rsidRPr="00057ED8">
              <w:rPr>
                <w:rFonts w:cs="Arial"/>
                <w:lang w:val="en-GB"/>
              </w:rPr>
              <w:t xml:space="preserve"> the ISSB elaborate on and explore how such qualitative disclosures could be underpinned with quantitative disclosures in the future as part of its workplan</w:t>
            </w:r>
            <w:r w:rsidR="00783D58" w:rsidRPr="00057ED8">
              <w:rPr>
                <w:rFonts w:cs="Arial"/>
                <w:lang w:val="en-GB"/>
              </w:rPr>
              <w:t xml:space="preserve"> to improve comparability</w:t>
            </w:r>
            <w:r w:rsidR="00AB6696" w:rsidRPr="00057ED8">
              <w:rPr>
                <w:rFonts w:cs="Arial"/>
                <w:lang w:val="en-GB"/>
              </w:rPr>
              <w:t>. Also, par</w:t>
            </w:r>
            <w:r w:rsidR="006F28B6">
              <w:rPr>
                <w:rFonts w:cs="Arial"/>
                <w:lang w:val="en-GB"/>
              </w:rPr>
              <w:t>a</w:t>
            </w:r>
            <w:r w:rsidR="00AB6696" w:rsidRPr="00057ED8">
              <w:rPr>
                <w:rFonts w:cs="Arial"/>
                <w:lang w:val="en-GB"/>
              </w:rPr>
              <w:t xml:space="preserve">. 12(b) should not pre-empt companies from disclosing a quantitative assessment in addition, if the information fulfils the qualitative characteristics of information as outlined in </w:t>
            </w:r>
            <w:r w:rsidR="006F28B6">
              <w:rPr>
                <w:rFonts w:cs="Arial"/>
                <w:lang w:val="en-GB"/>
              </w:rPr>
              <w:t>IFRS S1</w:t>
            </w:r>
            <w:r w:rsidR="00AB6696" w:rsidRPr="00057ED8">
              <w:rPr>
                <w:rFonts w:cs="Arial"/>
                <w:lang w:val="en-GB"/>
              </w:rPr>
              <w:t>.</w:t>
            </w:r>
            <w:r w:rsidR="006F28B6">
              <w:rPr>
                <w:rFonts w:cs="Arial"/>
                <w:lang w:val="en-GB"/>
              </w:rPr>
              <w:t xml:space="preserve"> </w:t>
            </w:r>
            <w:r w:rsidR="00FA35B5">
              <w:t>Insurance Europ</w:t>
            </w:r>
            <w:r w:rsidR="006F28B6" w:rsidRPr="008C09F2">
              <w:t>e encourage</w:t>
            </w:r>
            <w:r w:rsidR="00FA35B5">
              <w:t>s</w:t>
            </w:r>
            <w:r w:rsidR="006F28B6" w:rsidRPr="008C09F2">
              <w:t xml:space="preserve"> the ISSB to </w:t>
            </w:r>
            <w:proofErr w:type="spellStart"/>
            <w:r w:rsidR="006F28B6" w:rsidRPr="008C09F2">
              <w:t>recognise</w:t>
            </w:r>
            <w:proofErr w:type="spellEnd"/>
            <w:r w:rsidR="006F28B6" w:rsidRPr="008C09F2">
              <w:t xml:space="preserve"> the current data challenges with real economy data and mark value</w:t>
            </w:r>
            <w:r w:rsidR="00506768">
              <w:t>-</w:t>
            </w:r>
            <w:r w:rsidR="006F28B6" w:rsidRPr="008C09F2">
              <w:t>chain</w:t>
            </w:r>
            <w:r w:rsidR="00506768">
              <w:t>-</w:t>
            </w:r>
            <w:r w:rsidR="006F28B6" w:rsidRPr="008C09F2">
              <w:t xml:space="preserve">related information as </w:t>
            </w:r>
            <w:r w:rsidR="00506768">
              <w:t>“</w:t>
            </w:r>
            <w:r w:rsidR="006F28B6" w:rsidRPr="008C09F2">
              <w:t>best effort</w:t>
            </w:r>
            <w:r w:rsidR="00506768">
              <w:t>”</w:t>
            </w:r>
            <w:r w:rsidR="006F28B6">
              <w:t xml:space="preserve">, </w:t>
            </w:r>
            <w:r w:rsidR="006F28B6" w:rsidRPr="008C09F2">
              <w:t>at least at this stage. If included, such reporting requirements should be strictly limited to companies</w:t>
            </w:r>
            <w:r w:rsidR="00DC7319">
              <w:t>’</w:t>
            </w:r>
            <w:r w:rsidR="006F28B6" w:rsidRPr="008C09F2">
              <w:t xml:space="preserve"> material exposures and the definition adapted to what value chain means for different industries, </w:t>
            </w:r>
            <w:r w:rsidR="00474A4A">
              <w:t>such as</w:t>
            </w:r>
            <w:r w:rsidR="006F28B6" w:rsidRPr="008C09F2">
              <w:t xml:space="preserve"> insurance.</w:t>
            </w:r>
          </w:p>
          <w:p w14:paraId="6C3B1B8C" w14:textId="71772E41" w:rsidR="007E16BC" w:rsidRPr="00057ED8" w:rsidRDefault="007E16BC" w:rsidP="00F7245A">
            <w:pPr>
              <w:pStyle w:val="Odsekzoznamu"/>
              <w:ind w:left="720" w:firstLine="0"/>
              <w:rPr>
                <w:szCs w:val="17"/>
                <w:lang w:val="en-GB"/>
              </w:rPr>
            </w:pPr>
          </w:p>
        </w:tc>
      </w:tr>
    </w:tbl>
    <w:p w14:paraId="67C75DEB" w14:textId="77777777" w:rsidR="00047260" w:rsidRPr="00057ED8" w:rsidRDefault="00047260" w:rsidP="003D0236">
      <w:pPr>
        <w:autoSpaceDE w:val="0"/>
        <w:autoSpaceDN w:val="0"/>
        <w:adjustRightInd w:val="0"/>
        <w:rPr>
          <w:sz w:val="17"/>
          <w:szCs w:val="17"/>
        </w:rPr>
      </w:pPr>
    </w:p>
    <w:p w14:paraId="2D996E9E" w14:textId="77777777" w:rsidR="00EC6AB7" w:rsidRPr="00057ED8" w:rsidRDefault="00EC6AB7" w:rsidP="003D0236">
      <w:pPr>
        <w:autoSpaceDE w:val="0"/>
        <w:autoSpaceDN w:val="0"/>
        <w:adjustRightInd w:val="0"/>
        <w:rPr>
          <w:sz w:val="17"/>
          <w:szCs w:val="17"/>
        </w:rPr>
      </w:pPr>
    </w:p>
    <w:p w14:paraId="50C7DC3E" w14:textId="2B5F774A" w:rsidR="00EC6AB7" w:rsidRPr="00057ED8" w:rsidRDefault="00CB7014" w:rsidP="00A20516">
      <w:pPr>
        <w:rPr>
          <w:b/>
          <w:bCs/>
          <w:sz w:val="17"/>
          <w:szCs w:val="17"/>
        </w:rPr>
      </w:pPr>
      <w:r w:rsidRPr="00057ED8">
        <w:rPr>
          <w:b/>
          <w:bCs/>
          <w:sz w:val="17"/>
          <w:szCs w:val="17"/>
        </w:rPr>
        <w:t>Question 5—Transition plans and carbon offsets</w:t>
      </w:r>
    </w:p>
    <w:p w14:paraId="5B7092BB" w14:textId="77777777" w:rsidR="00C56584" w:rsidRPr="00057ED8" w:rsidRDefault="00C56584" w:rsidP="00047260">
      <w:pPr>
        <w:rPr>
          <w:sz w:val="17"/>
          <w:szCs w:val="17"/>
        </w:rPr>
      </w:pPr>
      <w:r w:rsidRPr="00057ED8">
        <w:rPr>
          <w:sz w:val="17"/>
          <w:szCs w:val="17"/>
        </w:rPr>
        <w:t xml:space="preserve">Disclosing an entity’s transition plan towards a lower-carbon economy is important for enabling users of </w:t>
      </w:r>
      <w:proofErr w:type="gramStart"/>
      <w:r w:rsidRPr="00057ED8">
        <w:rPr>
          <w:sz w:val="17"/>
          <w:szCs w:val="17"/>
        </w:rPr>
        <w:t>general purpose</w:t>
      </w:r>
      <w:proofErr w:type="gramEnd"/>
      <w:r w:rsidRPr="00057ED8">
        <w:rPr>
          <w:sz w:val="17"/>
          <w:szCs w:val="17"/>
        </w:rPr>
        <w:t xml:space="preserve"> financial reporting to assess the entity’s current and planned responses to the decarbonisation-related risks and opportunities that can reasonably be expected to affect its enterprise value.</w:t>
      </w:r>
    </w:p>
    <w:p w14:paraId="2EE90A6C" w14:textId="77777777" w:rsidR="00047260" w:rsidRPr="00057ED8" w:rsidRDefault="00047260" w:rsidP="00047260">
      <w:pPr>
        <w:rPr>
          <w:sz w:val="17"/>
          <w:szCs w:val="17"/>
        </w:rPr>
      </w:pPr>
    </w:p>
    <w:p w14:paraId="08B9E3DB" w14:textId="77777777" w:rsidR="00C56584" w:rsidRPr="00057ED8" w:rsidRDefault="00C56584" w:rsidP="00047260">
      <w:pPr>
        <w:rPr>
          <w:sz w:val="17"/>
          <w:szCs w:val="17"/>
        </w:rPr>
      </w:pPr>
      <w:r w:rsidRPr="00057ED8">
        <w:rPr>
          <w:sz w:val="17"/>
          <w:szCs w:val="17"/>
        </w:rPr>
        <w:lastRenderedPageBreak/>
        <w:t xml:space="preserve">Paragraph 13 of the Exposure Draft proposes a range of disclosures about an entity’s transition plans. The Exposure Draft proposes requiring disclosure of information to enable users of </w:t>
      </w:r>
      <w:proofErr w:type="gramStart"/>
      <w:r w:rsidRPr="00057ED8">
        <w:rPr>
          <w:sz w:val="17"/>
          <w:szCs w:val="17"/>
        </w:rPr>
        <w:t>general purpose</w:t>
      </w:r>
      <w:proofErr w:type="gramEnd"/>
      <w:r w:rsidRPr="00057ED8">
        <w:rPr>
          <w:sz w:val="17"/>
          <w:szCs w:val="17"/>
        </w:rPr>
        <w:t xml:space="preserve"> financial reporting to understand the effects of climate- related risks and opportunities on an entity’s strategy and decision-making, including its transition plans. This includes information about how it plans to achieve any climate-related targets that it has set (this includes information about the use of carbon offsets); its plans and critical assumptions for legacy assets; and quantitative and qualitative information about the progress of plans previously disclosed by the entity.</w:t>
      </w:r>
    </w:p>
    <w:p w14:paraId="7261BF2C" w14:textId="77777777" w:rsidR="00047260" w:rsidRPr="00057ED8" w:rsidRDefault="00047260" w:rsidP="00047260">
      <w:pPr>
        <w:rPr>
          <w:sz w:val="17"/>
          <w:szCs w:val="17"/>
        </w:rPr>
      </w:pPr>
    </w:p>
    <w:p w14:paraId="5E670CD1" w14:textId="77777777" w:rsidR="00C56584" w:rsidRPr="00057ED8" w:rsidRDefault="00C56584" w:rsidP="00047260">
      <w:pPr>
        <w:rPr>
          <w:sz w:val="17"/>
          <w:szCs w:val="17"/>
        </w:rPr>
      </w:pPr>
      <w:r w:rsidRPr="00057ED8">
        <w:rPr>
          <w:sz w:val="17"/>
          <w:szCs w:val="17"/>
        </w:rPr>
        <w:t xml:space="preserve">An entity’s reliance on carbon offsets, how the offsets it uses are generated, and the credibility and integrity of the scheme from which the entity obtains the offsets have implications for the entity’s enterprise value over the short, medium and long term. The Exposure Draft therefore includes disclosure requirements about the use of carbon offsets in achieving an entity’s emissions targets. This proposal reflects the need for users of </w:t>
      </w:r>
      <w:proofErr w:type="gramStart"/>
      <w:r w:rsidRPr="00057ED8">
        <w:rPr>
          <w:sz w:val="17"/>
          <w:szCs w:val="17"/>
        </w:rPr>
        <w:t>general purpose</w:t>
      </w:r>
      <w:proofErr w:type="gramEnd"/>
      <w:r w:rsidRPr="00057ED8">
        <w:rPr>
          <w:sz w:val="17"/>
          <w:szCs w:val="17"/>
        </w:rPr>
        <w:t xml:space="preserve"> financial reporting to understand an entity’s plan for reducing emissions, the role played by carbon offsets and the quality of those offsets.</w:t>
      </w:r>
    </w:p>
    <w:p w14:paraId="51AA9577" w14:textId="77777777" w:rsidR="00047260" w:rsidRPr="00057ED8" w:rsidRDefault="00047260" w:rsidP="00047260">
      <w:pPr>
        <w:rPr>
          <w:sz w:val="17"/>
          <w:szCs w:val="17"/>
        </w:rPr>
      </w:pPr>
    </w:p>
    <w:p w14:paraId="326399F9" w14:textId="77777777" w:rsidR="00C56584" w:rsidRPr="00057ED8" w:rsidRDefault="00C56584" w:rsidP="00047260">
      <w:pPr>
        <w:rPr>
          <w:sz w:val="17"/>
          <w:szCs w:val="17"/>
        </w:rPr>
      </w:pPr>
      <w:r w:rsidRPr="00057ED8">
        <w:rPr>
          <w:sz w:val="17"/>
          <w:szCs w:val="17"/>
        </w:rPr>
        <w:t>The Exposure Draft proposes that entities disclose information about the basis of the offsets’ carbon removal (nature- or technology-based) and the third-party verification or certification scheme for the offsets. Carbon offsets can be based on avoided emissions. Avoided emissions are the potential lower future emissions of a product, service or project when compared to a situation where the product, service or project did not exist, or when it is compared to a baseline. Avoided-emission approaches in an entity’s climate-related strategy are complementary to, but fundamentally different from, the entity’s emission-inventory accounting and emission-reduction transition targets. The Exposure Draft therefore proposes to include a requirement for entities to disclose whether the carbon offset amount achieved is through carbon removal or emission avoidance.</w:t>
      </w:r>
    </w:p>
    <w:p w14:paraId="4451E9B9" w14:textId="77777777" w:rsidR="00047260" w:rsidRPr="00057ED8" w:rsidRDefault="00047260" w:rsidP="00047260">
      <w:pPr>
        <w:rPr>
          <w:sz w:val="17"/>
          <w:szCs w:val="17"/>
        </w:rPr>
      </w:pPr>
    </w:p>
    <w:p w14:paraId="3216BC73" w14:textId="77777777" w:rsidR="00C56584" w:rsidRPr="00057ED8" w:rsidRDefault="00C56584" w:rsidP="00047260">
      <w:pPr>
        <w:rPr>
          <w:sz w:val="17"/>
          <w:szCs w:val="17"/>
        </w:rPr>
      </w:pPr>
      <w:r w:rsidRPr="00057ED8">
        <w:rPr>
          <w:sz w:val="17"/>
          <w:szCs w:val="17"/>
        </w:rPr>
        <w:t xml:space="preserve">The Exposure Draft also proposes that an entity disclose any other significant factors necessary for users of </w:t>
      </w:r>
      <w:proofErr w:type="gramStart"/>
      <w:r w:rsidRPr="00057ED8">
        <w:rPr>
          <w:sz w:val="17"/>
          <w:szCs w:val="17"/>
        </w:rPr>
        <w:t>general purpose</w:t>
      </w:r>
      <w:proofErr w:type="gramEnd"/>
      <w:r w:rsidRPr="00057ED8">
        <w:rPr>
          <w:sz w:val="17"/>
          <w:szCs w:val="17"/>
        </w:rPr>
        <w:t xml:space="preserve"> financial reporting to understand the credibility of the offsets used by the entity such as information about assumptions of the permanence of the offsets.</w:t>
      </w:r>
    </w:p>
    <w:p w14:paraId="059A5319" w14:textId="77777777" w:rsidR="00047260" w:rsidRPr="00057ED8" w:rsidRDefault="00047260" w:rsidP="00047260">
      <w:pPr>
        <w:rPr>
          <w:sz w:val="17"/>
          <w:szCs w:val="17"/>
        </w:rPr>
      </w:pPr>
    </w:p>
    <w:p w14:paraId="3C8DD64C" w14:textId="690F28BA" w:rsidR="0036389D" w:rsidRPr="00057ED8" w:rsidRDefault="0036389D" w:rsidP="00047260">
      <w:pPr>
        <w:rPr>
          <w:sz w:val="17"/>
          <w:szCs w:val="17"/>
        </w:rPr>
      </w:pPr>
      <w:r w:rsidRPr="00057ED8">
        <w:rPr>
          <w:sz w:val="17"/>
          <w:szCs w:val="17"/>
        </w:rPr>
        <w:t>Paragraphs BC71–BC85 of the Basis for Conclusions describe the reasoning behind the Exposure Draft’s proposals.</w:t>
      </w:r>
    </w:p>
    <w:p w14:paraId="2862F635" w14:textId="77777777" w:rsidR="0036389D" w:rsidRPr="00057ED8" w:rsidRDefault="0036389D" w:rsidP="00812D6D">
      <w:pPr>
        <w:pStyle w:val="Odsekzoznamu"/>
        <w:numPr>
          <w:ilvl w:val="0"/>
          <w:numId w:val="18"/>
        </w:numPr>
        <w:spacing w:before="0" w:line="288" w:lineRule="auto"/>
        <w:rPr>
          <w:szCs w:val="17"/>
          <w:lang w:val="en-GB"/>
        </w:rPr>
      </w:pPr>
      <w:r w:rsidRPr="00057ED8">
        <w:rPr>
          <w:szCs w:val="17"/>
          <w:lang w:val="en-GB"/>
        </w:rPr>
        <w:t>Do you agree with the proposed disclosure requirements for transition plans? Why or why not?</w:t>
      </w:r>
    </w:p>
    <w:p w14:paraId="4A813254" w14:textId="77777777" w:rsidR="00047260" w:rsidRPr="00057ED8" w:rsidRDefault="00047260" w:rsidP="00047260">
      <w:pPr>
        <w:pStyle w:val="Odsekzoznamu"/>
        <w:spacing w:before="0" w:line="288" w:lineRule="auto"/>
        <w:ind w:left="720" w:firstLine="0"/>
        <w:rPr>
          <w:szCs w:val="17"/>
          <w:lang w:val="en-GB"/>
        </w:rPr>
      </w:pPr>
    </w:p>
    <w:p w14:paraId="778C0580" w14:textId="77777777" w:rsidR="0036389D" w:rsidRPr="00057ED8" w:rsidRDefault="0036389D" w:rsidP="00812D6D">
      <w:pPr>
        <w:pStyle w:val="Odsekzoznamu"/>
        <w:numPr>
          <w:ilvl w:val="0"/>
          <w:numId w:val="18"/>
        </w:numPr>
        <w:spacing w:before="0" w:line="288" w:lineRule="auto"/>
        <w:rPr>
          <w:szCs w:val="17"/>
          <w:lang w:val="en-GB"/>
        </w:rPr>
      </w:pPr>
      <w:r w:rsidRPr="00057ED8">
        <w:rPr>
          <w:szCs w:val="17"/>
          <w:lang w:val="en-GB"/>
        </w:rPr>
        <w:t>Are there any additional disclosures related to transition plans that are necessary (or some proposed that are not)? If so, please describe those disclosures and explain why they would (or would not) be necessary.</w:t>
      </w:r>
    </w:p>
    <w:p w14:paraId="5CDAFC73" w14:textId="77777777" w:rsidR="00047260" w:rsidRPr="00057ED8" w:rsidRDefault="00047260" w:rsidP="00047260">
      <w:pPr>
        <w:pStyle w:val="Odsekzoznamu"/>
        <w:rPr>
          <w:szCs w:val="17"/>
          <w:lang w:val="en-GB"/>
        </w:rPr>
      </w:pPr>
    </w:p>
    <w:p w14:paraId="51BBECD2" w14:textId="77777777" w:rsidR="0036389D" w:rsidRPr="00057ED8" w:rsidRDefault="0036389D" w:rsidP="00812D6D">
      <w:pPr>
        <w:pStyle w:val="Odsekzoznamu"/>
        <w:numPr>
          <w:ilvl w:val="0"/>
          <w:numId w:val="18"/>
        </w:numPr>
        <w:spacing w:before="0" w:line="288" w:lineRule="auto"/>
        <w:rPr>
          <w:szCs w:val="17"/>
          <w:lang w:val="en-GB"/>
        </w:rPr>
      </w:pPr>
      <w:r w:rsidRPr="00057ED8">
        <w:rPr>
          <w:szCs w:val="17"/>
          <w:lang w:val="en-GB"/>
        </w:rPr>
        <w:t xml:space="preserve">Do you think the proposed carbon offset disclosures will enable users of </w:t>
      </w:r>
      <w:proofErr w:type="gramStart"/>
      <w:r w:rsidRPr="00057ED8">
        <w:rPr>
          <w:szCs w:val="17"/>
          <w:lang w:val="en-GB"/>
        </w:rPr>
        <w:t>general purpose</w:t>
      </w:r>
      <w:proofErr w:type="gramEnd"/>
      <w:r w:rsidRPr="00057ED8">
        <w:rPr>
          <w:szCs w:val="17"/>
          <w:lang w:val="en-GB"/>
        </w:rPr>
        <w:t xml:space="preserve"> financial reporting to understand an entity’s approach to reducing emissions, the role played by carbon offsets and the credibility of those carbon offsets? Why or why not? If not, what do you recommend and why?</w:t>
      </w:r>
    </w:p>
    <w:p w14:paraId="52A3136A" w14:textId="77777777" w:rsidR="00047260" w:rsidRPr="00057ED8" w:rsidRDefault="00047260" w:rsidP="00047260">
      <w:pPr>
        <w:pStyle w:val="Odsekzoznamu"/>
        <w:rPr>
          <w:szCs w:val="17"/>
          <w:lang w:val="en-GB"/>
        </w:rPr>
      </w:pPr>
    </w:p>
    <w:p w14:paraId="2154F0B5" w14:textId="77777777" w:rsidR="00047260" w:rsidRPr="00057ED8" w:rsidRDefault="00047260" w:rsidP="00047260">
      <w:pPr>
        <w:pStyle w:val="Odsekzoznamu"/>
        <w:spacing w:before="0" w:line="288" w:lineRule="auto"/>
        <w:ind w:left="720" w:firstLine="0"/>
        <w:rPr>
          <w:szCs w:val="17"/>
          <w:lang w:val="en-GB"/>
        </w:rPr>
      </w:pPr>
    </w:p>
    <w:p w14:paraId="31790EBB" w14:textId="77777777" w:rsidR="0036389D" w:rsidRPr="00057ED8" w:rsidRDefault="0036389D" w:rsidP="00812D6D">
      <w:pPr>
        <w:pStyle w:val="Odsekzoznamu"/>
        <w:numPr>
          <w:ilvl w:val="0"/>
          <w:numId w:val="18"/>
        </w:numPr>
        <w:spacing w:before="0" w:line="288" w:lineRule="auto"/>
        <w:rPr>
          <w:szCs w:val="17"/>
          <w:lang w:val="en-GB"/>
        </w:rPr>
      </w:pPr>
      <w:r w:rsidRPr="00057ED8">
        <w:rPr>
          <w:szCs w:val="17"/>
          <w:lang w:val="en-GB"/>
        </w:rPr>
        <w:t xml:space="preserve">Do you think the proposed carbon offset requirements appropriately balance costs for preparers with disclosure of information that will enable users of </w:t>
      </w:r>
      <w:proofErr w:type="gramStart"/>
      <w:r w:rsidRPr="00057ED8">
        <w:rPr>
          <w:szCs w:val="17"/>
          <w:lang w:val="en-GB"/>
        </w:rPr>
        <w:t>general purpose</w:t>
      </w:r>
      <w:proofErr w:type="gramEnd"/>
      <w:r w:rsidRPr="00057ED8">
        <w:rPr>
          <w:szCs w:val="17"/>
          <w:lang w:val="en-GB"/>
        </w:rPr>
        <w:t xml:space="preserve"> financial reporting to understand an entity’s approach to reducing emissions, the role played by carbon offsets and the soundness or credibility of those carbon offsets? Why or why not? If not, what do you propose instead and why?</w:t>
      </w:r>
    </w:p>
    <w:p w14:paraId="7734486F" w14:textId="77777777" w:rsidR="00C56584" w:rsidRPr="00057ED8" w:rsidRDefault="00C56584" w:rsidP="003D0236">
      <w:pPr>
        <w:autoSpaceDE w:val="0"/>
        <w:autoSpaceDN w:val="0"/>
        <w:adjustRightInd w:val="0"/>
        <w:rPr>
          <w:sz w:val="17"/>
          <w:szCs w:val="17"/>
        </w:rPr>
      </w:pPr>
    </w:p>
    <w:tbl>
      <w:tblPr>
        <w:tblStyle w:val="Mriekatabuky"/>
        <w:tblW w:w="0" w:type="auto"/>
        <w:tblLook w:val="04A0" w:firstRow="1" w:lastRow="0" w:firstColumn="1" w:lastColumn="0" w:noHBand="0" w:noVBand="1"/>
      </w:tblPr>
      <w:tblGrid>
        <w:gridCol w:w="9521"/>
      </w:tblGrid>
      <w:tr w:rsidR="00CF12C2" w:rsidRPr="00057ED8" w14:paraId="5BB9EECF" w14:textId="77777777" w:rsidTr="00C61B54">
        <w:trPr>
          <w:trHeight w:val="1625"/>
        </w:trPr>
        <w:tc>
          <w:tcPr>
            <w:tcW w:w="9521" w:type="dxa"/>
          </w:tcPr>
          <w:p w14:paraId="7B14C23D" w14:textId="77777777" w:rsidR="0090167B" w:rsidRPr="00057ED8" w:rsidRDefault="0090167B" w:rsidP="00812D6D">
            <w:pPr>
              <w:pStyle w:val="Odsekzoznamu"/>
              <w:numPr>
                <w:ilvl w:val="0"/>
                <w:numId w:val="43"/>
              </w:numPr>
              <w:rPr>
                <w:szCs w:val="17"/>
                <w:lang w:val="en-GB"/>
              </w:rPr>
            </w:pPr>
            <w:r w:rsidRPr="00057ED8">
              <w:rPr>
                <w:szCs w:val="17"/>
                <w:lang w:val="en-GB"/>
              </w:rPr>
              <w:lastRenderedPageBreak/>
              <w:t xml:space="preserve">Broadly agree / broadly disagree / </w:t>
            </w:r>
            <w:r w:rsidRPr="00057ED8">
              <w:rPr>
                <w:szCs w:val="17"/>
                <w:highlight w:val="cyan"/>
                <w:lang w:val="en-GB"/>
              </w:rPr>
              <w:t>other</w:t>
            </w:r>
          </w:p>
          <w:p w14:paraId="43BA0160" w14:textId="0C75A45B" w:rsidR="003973D1" w:rsidRPr="00057ED8" w:rsidRDefault="00474A4A" w:rsidP="003973D1">
            <w:pPr>
              <w:pStyle w:val="Odsekzoznamu"/>
              <w:ind w:left="720" w:firstLine="0"/>
              <w:rPr>
                <w:szCs w:val="17"/>
                <w:lang w:val="en-GB"/>
              </w:rPr>
            </w:pPr>
            <w:r>
              <w:rPr>
                <w:szCs w:val="17"/>
                <w:lang w:val="en-GB"/>
              </w:rPr>
              <w:t>Insuranc</w:t>
            </w:r>
            <w:r w:rsidR="003973D1" w:rsidRPr="00057ED8">
              <w:rPr>
                <w:szCs w:val="17"/>
                <w:lang w:val="en-GB"/>
              </w:rPr>
              <w:t>e</w:t>
            </w:r>
            <w:r>
              <w:rPr>
                <w:szCs w:val="17"/>
                <w:lang w:val="en-GB"/>
              </w:rPr>
              <w:t xml:space="preserve"> Europe</w:t>
            </w:r>
            <w:r w:rsidR="003973D1" w:rsidRPr="00057ED8">
              <w:rPr>
                <w:szCs w:val="17"/>
                <w:lang w:val="en-GB"/>
              </w:rPr>
              <w:t xml:space="preserve"> agree</w:t>
            </w:r>
            <w:r>
              <w:rPr>
                <w:szCs w:val="17"/>
                <w:lang w:val="en-GB"/>
              </w:rPr>
              <w:t>s</w:t>
            </w:r>
            <w:r w:rsidR="003973D1" w:rsidRPr="00057ED8">
              <w:rPr>
                <w:szCs w:val="17"/>
                <w:lang w:val="en-GB"/>
              </w:rPr>
              <w:t xml:space="preserve"> with the proposed disclosure requirements for transition plans. Information on companies’ transition pathways is essential to achieve the objective of </w:t>
            </w:r>
            <w:r w:rsidR="004366D6">
              <w:rPr>
                <w:szCs w:val="17"/>
                <w:lang w:val="en-GB"/>
              </w:rPr>
              <w:t>IFRS S2</w:t>
            </w:r>
            <w:r w:rsidR="003973D1" w:rsidRPr="00057ED8">
              <w:rPr>
                <w:szCs w:val="17"/>
                <w:lang w:val="en-GB"/>
              </w:rPr>
              <w:t xml:space="preserve"> and is clearly one of users’ fundamental information demands when it comes to climate-related reporting. However, while </w:t>
            </w:r>
            <w:r w:rsidR="004366D6">
              <w:rPr>
                <w:szCs w:val="17"/>
                <w:lang w:val="en-GB"/>
              </w:rPr>
              <w:t xml:space="preserve">a principles-based approach should be pursued where possible in IFRS S2 as well (cf. </w:t>
            </w:r>
            <w:r w:rsidR="00F21CBB">
              <w:rPr>
                <w:szCs w:val="17"/>
                <w:lang w:val="en-GB"/>
              </w:rPr>
              <w:t xml:space="preserve">the </w:t>
            </w:r>
            <w:r w:rsidR="004366D6">
              <w:rPr>
                <w:szCs w:val="17"/>
                <w:lang w:val="en-GB"/>
              </w:rPr>
              <w:t xml:space="preserve">response to IFRS S2 questions 1c and 3a), </w:t>
            </w:r>
            <w:r w:rsidR="003973D1" w:rsidRPr="00057ED8">
              <w:rPr>
                <w:szCs w:val="17"/>
                <w:lang w:val="en-GB"/>
              </w:rPr>
              <w:t xml:space="preserve">the requirements proposed for transition plans seem to be too generic and high-level to ensure consistent application. </w:t>
            </w:r>
            <w:r w:rsidR="00F57194">
              <w:rPr>
                <w:szCs w:val="17"/>
                <w:lang w:val="en-GB"/>
              </w:rPr>
              <w:t>Insurance Europ</w:t>
            </w:r>
            <w:r w:rsidR="003214F8">
              <w:rPr>
                <w:szCs w:val="17"/>
                <w:lang w:val="en-GB"/>
              </w:rPr>
              <w:t>e support</w:t>
            </w:r>
            <w:r w:rsidR="00F57194">
              <w:rPr>
                <w:szCs w:val="17"/>
                <w:lang w:val="en-GB"/>
              </w:rPr>
              <w:t>s</w:t>
            </w:r>
            <w:r w:rsidR="003214F8">
              <w:rPr>
                <w:szCs w:val="17"/>
                <w:lang w:val="en-GB"/>
              </w:rPr>
              <w:t xml:space="preserve"> an approach that enables a good level of comparability over time. </w:t>
            </w:r>
            <w:r w:rsidR="00D353FF" w:rsidRPr="00057ED8">
              <w:rPr>
                <w:szCs w:val="17"/>
                <w:lang w:val="en-GB"/>
              </w:rPr>
              <w:t xml:space="preserve">It </w:t>
            </w:r>
            <w:r w:rsidR="00096065" w:rsidRPr="00057ED8">
              <w:rPr>
                <w:szCs w:val="17"/>
                <w:lang w:val="en-GB"/>
              </w:rPr>
              <w:t>is</w:t>
            </w:r>
            <w:r w:rsidR="00D353FF" w:rsidRPr="00057ED8">
              <w:rPr>
                <w:szCs w:val="17"/>
                <w:lang w:val="en-GB"/>
              </w:rPr>
              <w:t xml:space="preserve"> </w:t>
            </w:r>
            <w:r w:rsidR="00761BE2">
              <w:rPr>
                <w:szCs w:val="17"/>
                <w:lang w:val="en-GB"/>
              </w:rPr>
              <w:t>vital</w:t>
            </w:r>
            <w:r w:rsidR="00761BE2" w:rsidRPr="00057ED8">
              <w:rPr>
                <w:szCs w:val="17"/>
                <w:lang w:val="en-GB"/>
              </w:rPr>
              <w:t xml:space="preserve"> </w:t>
            </w:r>
            <w:r w:rsidR="00D353FF" w:rsidRPr="00057ED8">
              <w:rPr>
                <w:szCs w:val="17"/>
                <w:lang w:val="en-GB"/>
              </w:rPr>
              <w:t>to include clear targets that are science-based and aligned to the Paris Agreement objectives</w:t>
            </w:r>
            <w:r w:rsidR="00096065" w:rsidRPr="00057ED8">
              <w:rPr>
                <w:szCs w:val="17"/>
                <w:lang w:val="en-GB"/>
              </w:rPr>
              <w:t xml:space="preserve"> in the transition plans</w:t>
            </w:r>
            <w:r w:rsidR="00D353FF" w:rsidRPr="00057ED8">
              <w:rPr>
                <w:szCs w:val="17"/>
                <w:lang w:val="en-GB"/>
              </w:rPr>
              <w:t xml:space="preserve">. This is central for primary users to assess the </w:t>
            </w:r>
            <w:r w:rsidR="00C3121B">
              <w:rPr>
                <w:szCs w:val="17"/>
                <w:lang w:val="en-GB"/>
              </w:rPr>
              <w:t xml:space="preserve">soundness </w:t>
            </w:r>
            <w:r w:rsidR="00D353FF" w:rsidRPr="00057ED8">
              <w:rPr>
                <w:szCs w:val="17"/>
                <w:lang w:val="en-GB"/>
              </w:rPr>
              <w:t>of an entity’s transition plan</w:t>
            </w:r>
            <w:r w:rsidR="00FE467E">
              <w:rPr>
                <w:szCs w:val="17"/>
                <w:lang w:val="en-GB"/>
              </w:rPr>
              <w:t>.</w:t>
            </w:r>
          </w:p>
          <w:p w14:paraId="36E9859A" w14:textId="2C6F8E98" w:rsidR="003973D1" w:rsidRPr="006D4289" w:rsidRDefault="003973D1" w:rsidP="00D92DF5">
            <w:pPr>
              <w:rPr>
                <w:szCs w:val="17"/>
              </w:rPr>
            </w:pPr>
          </w:p>
          <w:p w14:paraId="1731CFC9" w14:textId="06997C34" w:rsidR="0090167B" w:rsidRPr="00057ED8" w:rsidRDefault="0090167B" w:rsidP="00812D6D">
            <w:pPr>
              <w:pStyle w:val="Odsekzoznamu"/>
              <w:numPr>
                <w:ilvl w:val="0"/>
                <w:numId w:val="43"/>
              </w:numPr>
              <w:rPr>
                <w:szCs w:val="17"/>
                <w:lang w:val="en-GB"/>
              </w:rPr>
            </w:pPr>
            <w:r w:rsidRPr="00057ED8">
              <w:rPr>
                <w:szCs w:val="17"/>
                <w:highlight w:val="cyan"/>
                <w:lang w:val="en-GB"/>
              </w:rPr>
              <w:t>Yes</w:t>
            </w:r>
            <w:r w:rsidRPr="00057ED8">
              <w:rPr>
                <w:szCs w:val="17"/>
                <w:lang w:val="en-GB"/>
              </w:rPr>
              <w:t xml:space="preserve"> / No / Other</w:t>
            </w:r>
          </w:p>
          <w:p w14:paraId="092D2B85" w14:textId="77777777" w:rsidR="00D92DF5" w:rsidRDefault="00D92DF5" w:rsidP="00D92DF5">
            <w:pPr>
              <w:spacing w:line="240" w:lineRule="auto"/>
              <w:ind w:left="720" w:right="1057"/>
              <w:rPr>
                <w:rFonts w:eastAsia="Bookman Old Style" w:cs="Arial"/>
                <w:sz w:val="17"/>
                <w:szCs w:val="17"/>
              </w:rPr>
            </w:pPr>
          </w:p>
          <w:p w14:paraId="73A59C14" w14:textId="0B4347B5" w:rsidR="00BD4CA6" w:rsidRPr="00057ED8" w:rsidRDefault="00BD4CA6" w:rsidP="00D92DF5">
            <w:pPr>
              <w:spacing w:line="240" w:lineRule="auto"/>
              <w:ind w:left="720" w:right="1057"/>
              <w:rPr>
                <w:rFonts w:eastAsia="Bookman Old Style" w:cs="Arial"/>
                <w:sz w:val="17"/>
                <w:szCs w:val="17"/>
              </w:rPr>
            </w:pPr>
            <w:r w:rsidRPr="00057ED8">
              <w:rPr>
                <w:rFonts w:eastAsia="Bookman Old Style" w:cs="Arial"/>
                <w:sz w:val="17"/>
                <w:szCs w:val="17"/>
              </w:rPr>
              <w:t>All proposed disclosure requirements for transition plans under par</w:t>
            </w:r>
            <w:r w:rsidR="00D92DF5">
              <w:rPr>
                <w:rFonts w:eastAsia="Bookman Old Style" w:cs="Arial"/>
                <w:sz w:val="17"/>
                <w:szCs w:val="17"/>
              </w:rPr>
              <w:t>a</w:t>
            </w:r>
            <w:r w:rsidRPr="00057ED8">
              <w:rPr>
                <w:rFonts w:eastAsia="Bookman Old Style" w:cs="Arial"/>
                <w:sz w:val="17"/>
                <w:szCs w:val="17"/>
              </w:rPr>
              <w:t xml:space="preserve">. 13 are necessary and expected to result in decision-useful information. </w:t>
            </w:r>
          </w:p>
          <w:p w14:paraId="3361A061" w14:textId="4DE55C0B" w:rsidR="00BD4CA6" w:rsidRPr="00057ED8" w:rsidRDefault="00BD4CA6" w:rsidP="00D92DF5">
            <w:pPr>
              <w:spacing w:line="240" w:lineRule="auto"/>
              <w:ind w:left="720" w:right="1057"/>
              <w:rPr>
                <w:rFonts w:eastAsia="Bookman Old Style" w:cs="Arial"/>
                <w:sz w:val="17"/>
                <w:szCs w:val="17"/>
              </w:rPr>
            </w:pPr>
            <w:r w:rsidRPr="00057ED8">
              <w:rPr>
                <w:rFonts w:eastAsia="Bookman Old Style" w:cs="Arial"/>
                <w:sz w:val="17"/>
                <w:szCs w:val="17"/>
              </w:rPr>
              <w:t xml:space="preserve">However, it seems </w:t>
            </w:r>
            <w:r w:rsidR="00E82AF4">
              <w:rPr>
                <w:rFonts w:eastAsia="Bookman Old Style" w:cs="Arial"/>
                <w:sz w:val="17"/>
                <w:szCs w:val="17"/>
              </w:rPr>
              <w:t>that</w:t>
            </w:r>
            <w:r w:rsidR="00515594" w:rsidRPr="00057ED8">
              <w:rPr>
                <w:rFonts w:eastAsia="Bookman Old Style" w:cs="Arial"/>
                <w:sz w:val="17"/>
                <w:szCs w:val="17"/>
              </w:rPr>
              <w:t xml:space="preserve"> </w:t>
            </w:r>
            <w:r w:rsidRPr="00057ED8">
              <w:rPr>
                <w:rFonts w:eastAsia="Bookman Old Style" w:cs="Arial"/>
                <w:sz w:val="17"/>
                <w:szCs w:val="17"/>
              </w:rPr>
              <w:t xml:space="preserve">the proposed requirements would only capture transition plan-related disclosures as regards outside-in impacts, namely impacts on the business model and strategy as a consequence of climate-related aspects (mainly risks, see below). </w:t>
            </w:r>
            <w:r w:rsidR="00BD1F48" w:rsidRPr="00057ED8">
              <w:rPr>
                <w:rFonts w:cs="Arial"/>
                <w:sz w:val="17"/>
                <w:szCs w:val="17"/>
              </w:rPr>
              <w:t>I</w:t>
            </w:r>
            <w:r w:rsidRPr="00057ED8">
              <w:rPr>
                <w:rFonts w:eastAsia="Bookman Old Style" w:cs="Arial"/>
                <w:sz w:val="17"/>
                <w:szCs w:val="17"/>
              </w:rPr>
              <w:t xml:space="preserve">nvestors </w:t>
            </w:r>
            <w:r w:rsidRPr="00057ED8">
              <w:rPr>
                <w:rFonts w:cs="Arial"/>
                <w:sz w:val="17"/>
                <w:szCs w:val="17"/>
              </w:rPr>
              <w:t xml:space="preserve">also </w:t>
            </w:r>
            <w:r w:rsidRPr="00057ED8">
              <w:rPr>
                <w:rFonts w:eastAsia="Bookman Old Style" w:cs="Arial"/>
                <w:sz w:val="17"/>
                <w:szCs w:val="17"/>
              </w:rPr>
              <w:t>need information on how investee companies intend to address their inside-out climate impacts as part of their transition plan disclosures.</w:t>
            </w:r>
            <w:r w:rsidR="00A94CE1" w:rsidRPr="00057ED8">
              <w:rPr>
                <w:rFonts w:eastAsia="Bookman Old Style" w:cs="Arial"/>
                <w:sz w:val="17"/>
                <w:szCs w:val="17"/>
              </w:rPr>
              <w:t xml:space="preserve"> For instance, companies should also be required to disclose information on how they plan to mitigate their emissions, besides carbon offsets. To this extent, </w:t>
            </w:r>
            <w:r w:rsidR="00272D74">
              <w:rPr>
                <w:rFonts w:eastAsia="Bookman Old Style" w:cs="Arial"/>
                <w:sz w:val="17"/>
                <w:szCs w:val="17"/>
              </w:rPr>
              <w:t>Insurance Europ</w:t>
            </w:r>
            <w:r w:rsidR="00A94CE1" w:rsidRPr="00057ED8">
              <w:rPr>
                <w:rFonts w:eastAsia="Bookman Old Style" w:cs="Arial"/>
                <w:sz w:val="17"/>
                <w:szCs w:val="17"/>
              </w:rPr>
              <w:t>e support</w:t>
            </w:r>
            <w:r w:rsidR="00272D74">
              <w:rPr>
                <w:rFonts w:eastAsia="Bookman Old Style" w:cs="Arial"/>
                <w:sz w:val="17"/>
                <w:szCs w:val="17"/>
              </w:rPr>
              <w:t>s</w:t>
            </w:r>
            <w:r w:rsidR="00A94CE1" w:rsidRPr="00057ED8">
              <w:rPr>
                <w:rFonts w:eastAsia="Bookman Old Style" w:cs="Arial"/>
                <w:sz w:val="17"/>
                <w:szCs w:val="17"/>
              </w:rPr>
              <w:t xml:space="preserve"> the disclosure requirement related to Scope 1,</w:t>
            </w:r>
            <w:r w:rsidR="00D92DF5">
              <w:rPr>
                <w:rFonts w:eastAsia="Bookman Old Style" w:cs="Arial"/>
                <w:sz w:val="17"/>
                <w:szCs w:val="17"/>
              </w:rPr>
              <w:t xml:space="preserve"> </w:t>
            </w:r>
            <w:r w:rsidR="00A94CE1" w:rsidRPr="00057ED8">
              <w:rPr>
                <w:rFonts w:eastAsia="Bookman Old Style" w:cs="Arial"/>
                <w:sz w:val="17"/>
                <w:szCs w:val="17"/>
              </w:rPr>
              <w:t xml:space="preserve">2 and 3 emissions and </w:t>
            </w:r>
            <w:r w:rsidR="006D4289">
              <w:rPr>
                <w:rFonts w:eastAsia="Bookman Old Style" w:cs="Arial"/>
                <w:sz w:val="17"/>
                <w:szCs w:val="17"/>
              </w:rPr>
              <w:t>note</w:t>
            </w:r>
            <w:r w:rsidR="0027401D">
              <w:rPr>
                <w:rFonts w:eastAsia="Bookman Old Style" w:cs="Arial"/>
                <w:sz w:val="17"/>
                <w:szCs w:val="17"/>
              </w:rPr>
              <w:t>s</w:t>
            </w:r>
            <w:r w:rsidR="006D4289" w:rsidRPr="00057ED8">
              <w:rPr>
                <w:rFonts w:eastAsia="Bookman Old Style" w:cs="Arial"/>
                <w:sz w:val="17"/>
                <w:szCs w:val="17"/>
              </w:rPr>
              <w:t xml:space="preserve"> </w:t>
            </w:r>
            <w:r w:rsidR="00A94CE1" w:rsidRPr="00057ED8">
              <w:rPr>
                <w:rFonts w:eastAsia="Bookman Old Style" w:cs="Arial"/>
                <w:sz w:val="17"/>
                <w:szCs w:val="17"/>
              </w:rPr>
              <w:t xml:space="preserve">that further information on how to reduce emissions on each scope </w:t>
            </w:r>
            <w:r w:rsidR="006D4289">
              <w:rPr>
                <w:rFonts w:eastAsia="Bookman Old Style" w:cs="Arial"/>
                <w:sz w:val="17"/>
                <w:szCs w:val="17"/>
              </w:rPr>
              <w:t xml:space="preserve">might be necessary </w:t>
            </w:r>
            <w:r w:rsidR="00A94CE1" w:rsidRPr="00057ED8">
              <w:rPr>
                <w:rFonts w:eastAsia="Bookman Old Style" w:cs="Arial"/>
                <w:sz w:val="17"/>
                <w:szCs w:val="17"/>
              </w:rPr>
              <w:t>as well.</w:t>
            </w:r>
          </w:p>
          <w:p w14:paraId="5DCF6718" w14:textId="3712F083" w:rsidR="00BD4CA6" w:rsidRPr="00057ED8" w:rsidRDefault="00BD4CA6" w:rsidP="001773E6">
            <w:pPr>
              <w:pStyle w:val="Odsekzoznamu"/>
              <w:ind w:left="720" w:firstLine="0"/>
              <w:rPr>
                <w:szCs w:val="17"/>
                <w:lang w:val="en-GB"/>
              </w:rPr>
            </w:pPr>
            <w:r w:rsidRPr="00057ED8">
              <w:rPr>
                <w:rFonts w:cs="Arial"/>
                <w:szCs w:val="17"/>
                <w:lang w:val="en-GB"/>
              </w:rPr>
              <w:t xml:space="preserve">Also, it seems </w:t>
            </w:r>
            <w:r w:rsidR="007A6FFB">
              <w:rPr>
                <w:rFonts w:cs="Arial"/>
                <w:szCs w:val="17"/>
                <w:lang w:val="en-GB"/>
              </w:rPr>
              <w:t>that</w:t>
            </w:r>
            <w:r w:rsidR="007A6FFB" w:rsidRPr="00057ED8">
              <w:rPr>
                <w:rFonts w:cs="Arial"/>
                <w:szCs w:val="17"/>
                <w:lang w:val="en-GB"/>
              </w:rPr>
              <w:t xml:space="preserve"> </w:t>
            </w:r>
            <w:r w:rsidRPr="00057ED8">
              <w:rPr>
                <w:rFonts w:cs="Arial"/>
                <w:szCs w:val="17"/>
                <w:lang w:val="en-GB"/>
              </w:rPr>
              <w:t xml:space="preserve">the proposed requirements would mainly capture transition plan-related disclosures as regards climate-related risks. </w:t>
            </w:r>
            <w:r w:rsidR="00CB287C">
              <w:rPr>
                <w:rFonts w:cs="Arial"/>
                <w:szCs w:val="17"/>
                <w:lang w:val="en-GB"/>
              </w:rPr>
              <w:t>Insurance Europ</w:t>
            </w:r>
            <w:r w:rsidRPr="00057ED8">
              <w:rPr>
                <w:rFonts w:cs="Arial"/>
                <w:szCs w:val="17"/>
                <w:lang w:val="en-GB"/>
              </w:rPr>
              <w:t>e suggest</w:t>
            </w:r>
            <w:r w:rsidR="007F12AB">
              <w:rPr>
                <w:rFonts w:cs="Arial"/>
                <w:szCs w:val="17"/>
                <w:lang w:val="en-GB"/>
              </w:rPr>
              <w:t>s</w:t>
            </w:r>
            <w:r w:rsidRPr="00057ED8">
              <w:rPr>
                <w:rFonts w:cs="Arial"/>
                <w:szCs w:val="17"/>
                <w:lang w:val="en-GB"/>
              </w:rPr>
              <w:t xml:space="preserve"> </w:t>
            </w:r>
            <w:r w:rsidR="001D0915" w:rsidRPr="00057ED8">
              <w:rPr>
                <w:rFonts w:cs="Arial"/>
                <w:szCs w:val="17"/>
                <w:lang w:val="en-GB"/>
              </w:rPr>
              <w:t>using</w:t>
            </w:r>
            <w:r w:rsidRPr="00057ED8">
              <w:rPr>
                <w:rFonts w:cs="Arial"/>
                <w:szCs w:val="17"/>
                <w:lang w:val="en-GB"/>
              </w:rPr>
              <w:t xml:space="preserve"> more neutral</w:t>
            </w:r>
            <w:r w:rsidRPr="00057ED8">
              <w:rPr>
                <w:rFonts w:cs="Arial"/>
                <w:lang w:val="en-GB"/>
              </w:rPr>
              <w:t xml:space="preserve"> descriptions (at least in par</w:t>
            </w:r>
            <w:r w:rsidR="00F257EC">
              <w:rPr>
                <w:rFonts w:cs="Arial"/>
                <w:lang w:val="en-GB"/>
              </w:rPr>
              <w:t>a</w:t>
            </w:r>
            <w:r w:rsidRPr="00057ED8">
              <w:rPr>
                <w:rFonts w:cs="Arial"/>
                <w:lang w:val="en-GB"/>
              </w:rPr>
              <w:t>. 13(a)(</w:t>
            </w:r>
            <w:proofErr w:type="spellStart"/>
            <w:r w:rsidRPr="00057ED8">
              <w:rPr>
                <w:rFonts w:cs="Arial"/>
                <w:lang w:val="en-GB"/>
              </w:rPr>
              <w:t>i</w:t>
            </w:r>
            <w:proofErr w:type="spellEnd"/>
            <w:r w:rsidRPr="00057ED8">
              <w:rPr>
                <w:rFonts w:cs="Arial"/>
                <w:lang w:val="en-GB"/>
              </w:rPr>
              <w:t>)(1) and (2))</w:t>
            </w:r>
            <w:r w:rsidR="00F257EC">
              <w:rPr>
                <w:rFonts w:cs="Arial"/>
                <w:lang w:val="en-GB"/>
              </w:rPr>
              <w:t>.</w:t>
            </w:r>
          </w:p>
          <w:p w14:paraId="666C8735" w14:textId="77777777" w:rsidR="0090167B" w:rsidRPr="00057ED8" w:rsidRDefault="0090167B" w:rsidP="00812D6D">
            <w:pPr>
              <w:pStyle w:val="Odsekzoznamu"/>
              <w:numPr>
                <w:ilvl w:val="0"/>
                <w:numId w:val="43"/>
              </w:numPr>
              <w:rPr>
                <w:szCs w:val="17"/>
                <w:lang w:val="en-GB"/>
              </w:rPr>
            </w:pPr>
            <w:r w:rsidRPr="00057ED8">
              <w:rPr>
                <w:szCs w:val="17"/>
                <w:lang w:val="en-GB"/>
              </w:rPr>
              <w:t xml:space="preserve">Broadly agree / broadly disagree / </w:t>
            </w:r>
            <w:r w:rsidRPr="00057ED8">
              <w:rPr>
                <w:szCs w:val="17"/>
                <w:highlight w:val="cyan"/>
                <w:lang w:val="en-GB"/>
              </w:rPr>
              <w:t>other</w:t>
            </w:r>
          </w:p>
          <w:p w14:paraId="701EFA7D" w14:textId="0F7FC08D" w:rsidR="00C22CE0" w:rsidRPr="00057ED8" w:rsidRDefault="00C22CE0" w:rsidP="00C22CE0">
            <w:pPr>
              <w:pStyle w:val="Odsekzoznamu"/>
              <w:ind w:left="720" w:firstLine="0"/>
              <w:rPr>
                <w:szCs w:val="17"/>
                <w:lang w:val="en-GB"/>
              </w:rPr>
            </w:pPr>
            <w:proofErr w:type="gramStart"/>
            <w:r w:rsidRPr="00057ED8">
              <w:rPr>
                <w:szCs w:val="17"/>
                <w:lang w:val="en-GB"/>
              </w:rPr>
              <w:t>Similar</w:t>
            </w:r>
            <w:r w:rsidR="00C315C3">
              <w:rPr>
                <w:szCs w:val="17"/>
                <w:lang w:val="en-GB"/>
              </w:rPr>
              <w:t>ly</w:t>
            </w:r>
            <w:proofErr w:type="gramEnd"/>
            <w:r w:rsidRPr="00057ED8">
              <w:rPr>
                <w:szCs w:val="17"/>
                <w:lang w:val="en-GB"/>
              </w:rPr>
              <w:t xml:space="preserve"> to </w:t>
            </w:r>
            <w:r w:rsidR="00C315C3">
              <w:rPr>
                <w:szCs w:val="17"/>
                <w:lang w:val="en-GB"/>
              </w:rPr>
              <w:t>the</w:t>
            </w:r>
            <w:r w:rsidRPr="00057ED8">
              <w:rPr>
                <w:szCs w:val="17"/>
                <w:lang w:val="en-GB"/>
              </w:rPr>
              <w:t xml:space="preserve"> response to question (a)</w:t>
            </w:r>
            <w:r w:rsidR="00F25CF0">
              <w:rPr>
                <w:szCs w:val="17"/>
                <w:lang w:val="en-GB"/>
              </w:rPr>
              <w:t>,</w:t>
            </w:r>
            <w:r w:rsidRPr="00057ED8">
              <w:rPr>
                <w:szCs w:val="17"/>
                <w:lang w:val="en-GB"/>
              </w:rPr>
              <w:t xml:space="preserve"> as regards the guidance on transition plan disclosure more generally, </w:t>
            </w:r>
            <w:r w:rsidR="00F25CF0">
              <w:rPr>
                <w:szCs w:val="17"/>
                <w:lang w:val="en-GB"/>
              </w:rPr>
              <w:t>Insurance Europe</w:t>
            </w:r>
            <w:r w:rsidR="00F25CF0" w:rsidRPr="00057ED8">
              <w:rPr>
                <w:szCs w:val="17"/>
                <w:lang w:val="en-GB"/>
              </w:rPr>
              <w:t xml:space="preserve"> </w:t>
            </w:r>
            <w:r w:rsidRPr="00057ED8">
              <w:rPr>
                <w:szCs w:val="17"/>
                <w:lang w:val="en-GB"/>
              </w:rPr>
              <w:t>believe</w:t>
            </w:r>
            <w:r w:rsidR="00F25CF0">
              <w:rPr>
                <w:szCs w:val="17"/>
                <w:lang w:val="en-GB"/>
              </w:rPr>
              <w:t>s</w:t>
            </w:r>
            <w:r w:rsidRPr="00057ED8">
              <w:rPr>
                <w:szCs w:val="17"/>
                <w:lang w:val="en-GB"/>
              </w:rPr>
              <w:t xml:space="preserve"> that </w:t>
            </w:r>
            <w:r w:rsidR="000D03E4">
              <w:rPr>
                <w:szCs w:val="17"/>
                <w:lang w:val="en-GB"/>
              </w:rPr>
              <w:t>IFRS S2 need</w:t>
            </w:r>
            <w:r w:rsidR="00F25CF0">
              <w:rPr>
                <w:szCs w:val="17"/>
                <w:lang w:val="en-GB"/>
              </w:rPr>
              <w:t>s</w:t>
            </w:r>
            <w:r w:rsidR="000D03E4">
              <w:rPr>
                <w:szCs w:val="17"/>
                <w:lang w:val="en-GB"/>
              </w:rPr>
              <w:t xml:space="preserve"> </w:t>
            </w:r>
            <w:r w:rsidR="00C915C1">
              <w:rPr>
                <w:szCs w:val="17"/>
                <w:lang w:val="en-GB"/>
              </w:rPr>
              <w:t xml:space="preserve">to </w:t>
            </w:r>
            <w:r w:rsidR="00DF0B57">
              <w:rPr>
                <w:szCs w:val="17"/>
                <w:lang w:val="en-GB"/>
              </w:rPr>
              <w:t xml:space="preserve">strike the balance </w:t>
            </w:r>
            <w:r w:rsidR="000D03E4">
              <w:rPr>
                <w:szCs w:val="17"/>
                <w:lang w:val="en-GB"/>
              </w:rPr>
              <w:t>between a principles-based approach that support</w:t>
            </w:r>
            <w:r w:rsidR="00CC5080">
              <w:rPr>
                <w:szCs w:val="17"/>
                <w:lang w:val="en-GB"/>
              </w:rPr>
              <w:t>s</w:t>
            </w:r>
            <w:r w:rsidR="000D03E4">
              <w:rPr>
                <w:szCs w:val="17"/>
                <w:lang w:val="en-GB"/>
              </w:rPr>
              <w:t xml:space="preserve"> a building block approach</w:t>
            </w:r>
            <w:r w:rsidR="00D06B21">
              <w:rPr>
                <w:szCs w:val="17"/>
                <w:lang w:val="en-GB"/>
              </w:rPr>
              <w:t>,</w:t>
            </w:r>
            <w:r w:rsidR="000D03E4">
              <w:rPr>
                <w:szCs w:val="17"/>
                <w:lang w:val="en-GB"/>
              </w:rPr>
              <w:t xml:space="preserve"> </w:t>
            </w:r>
            <w:r w:rsidR="00DE3168">
              <w:rPr>
                <w:szCs w:val="17"/>
                <w:lang w:val="en-GB"/>
              </w:rPr>
              <w:t xml:space="preserve">and </w:t>
            </w:r>
            <w:r w:rsidR="00D06B21">
              <w:rPr>
                <w:szCs w:val="17"/>
                <w:lang w:val="en-GB"/>
              </w:rPr>
              <w:t>sufficient clarity to ensure consistent application.</w:t>
            </w:r>
            <w:r w:rsidR="00E13374" w:rsidRPr="00057ED8">
              <w:rPr>
                <w:szCs w:val="17"/>
                <w:lang w:val="en-GB"/>
              </w:rPr>
              <w:t xml:space="preserve"> In addition, </w:t>
            </w:r>
            <w:r w:rsidR="008843F3">
              <w:rPr>
                <w:szCs w:val="17"/>
                <w:lang w:val="en-GB"/>
              </w:rPr>
              <w:t xml:space="preserve">from an investor’s point of view, disclosure about </w:t>
            </w:r>
            <w:r w:rsidR="00E13374" w:rsidRPr="00057ED8">
              <w:rPr>
                <w:szCs w:val="17"/>
                <w:lang w:val="en-GB"/>
              </w:rPr>
              <w:t xml:space="preserve">transition plans should </w:t>
            </w:r>
            <w:r w:rsidR="008843F3">
              <w:rPr>
                <w:szCs w:val="17"/>
                <w:lang w:val="en-GB"/>
              </w:rPr>
              <w:t xml:space="preserve">encompass information </w:t>
            </w:r>
            <w:r w:rsidR="009B2094">
              <w:rPr>
                <w:szCs w:val="17"/>
                <w:lang w:val="en-GB"/>
              </w:rPr>
              <w:t xml:space="preserve">about </w:t>
            </w:r>
            <w:r w:rsidR="00E13374" w:rsidRPr="00057ED8">
              <w:rPr>
                <w:szCs w:val="17"/>
                <w:lang w:val="en-GB"/>
              </w:rPr>
              <w:t xml:space="preserve">measures to mitigate emissions beyond carbon offsets. Indeed, given the fact that carbon offsetting is a highly complex topic, entities should not rely only on these techniques to mitigate their impact on </w:t>
            </w:r>
            <w:r w:rsidR="005475E6">
              <w:rPr>
                <w:szCs w:val="17"/>
                <w:lang w:val="en-GB"/>
              </w:rPr>
              <w:t xml:space="preserve">the </w:t>
            </w:r>
            <w:r w:rsidR="00E13374" w:rsidRPr="00057ED8">
              <w:rPr>
                <w:szCs w:val="17"/>
                <w:lang w:val="en-GB"/>
              </w:rPr>
              <w:t>climate.</w:t>
            </w:r>
          </w:p>
          <w:p w14:paraId="37410861" w14:textId="6F7C752F" w:rsidR="00C22CE0" w:rsidRPr="00057ED8" w:rsidRDefault="00C22CE0" w:rsidP="009E3039">
            <w:pPr>
              <w:pStyle w:val="Odsekzoznamu"/>
              <w:ind w:left="720" w:firstLine="0"/>
              <w:rPr>
                <w:szCs w:val="17"/>
                <w:lang w:val="en-GB"/>
              </w:rPr>
            </w:pPr>
          </w:p>
          <w:p w14:paraId="6C8BEF91" w14:textId="77777777" w:rsidR="0090167B" w:rsidRPr="00057ED8" w:rsidRDefault="0090167B" w:rsidP="00812D6D">
            <w:pPr>
              <w:pStyle w:val="Odsekzoznamu"/>
              <w:numPr>
                <w:ilvl w:val="0"/>
                <w:numId w:val="43"/>
              </w:numPr>
              <w:rPr>
                <w:szCs w:val="17"/>
                <w:lang w:val="en-GB"/>
              </w:rPr>
            </w:pPr>
            <w:r w:rsidRPr="00057ED8">
              <w:rPr>
                <w:szCs w:val="17"/>
                <w:lang w:val="en-GB"/>
              </w:rPr>
              <w:t xml:space="preserve">Broadly agree / </w:t>
            </w:r>
            <w:r w:rsidRPr="00057ED8">
              <w:rPr>
                <w:szCs w:val="17"/>
                <w:highlight w:val="cyan"/>
                <w:lang w:val="en-GB"/>
              </w:rPr>
              <w:t>broadly disagree</w:t>
            </w:r>
            <w:r w:rsidRPr="00057ED8">
              <w:rPr>
                <w:szCs w:val="17"/>
                <w:lang w:val="en-GB"/>
              </w:rPr>
              <w:t xml:space="preserve"> / other</w:t>
            </w:r>
          </w:p>
          <w:p w14:paraId="61803318" w14:textId="77777777" w:rsidR="0037362E" w:rsidRPr="00057ED8" w:rsidRDefault="0037362E" w:rsidP="00E13374">
            <w:pPr>
              <w:ind w:left="360"/>
              <w:rPr>
                <w:sz w:val="17"/>
                <w:szCs w:val="17"/>
              </w:rPr>
            </w:pPr>
          </w:p>
          <w:p w14:paraId="5E6E56DC" w14:textId="330AA914" w:rsidR="005572C2" w:rsidRDefault="0037362E" w:rsidP="00D92DF5">
            <w:pPr>
              <w:spacing w:line="240" w:lineRule="auto"/>
              <w:ind w:left="731" w:right="1057"/>
              <w:rPr>
                <w:sz w:val="17"/>
                <w:szCs w:val="17"/>
              </w:rPr>
            </w:pPr>
            <w:r w:rsidRPr="00057ED8">
              <w:rPr>
                <w:sz w:val="17"/>
                <w:szCs w:val="17"/>
              </w:rPr>
              <w:t xml:space="preserve">As mentioned in response to question (c), </w:t>
            </w:r>
            <w:r w:rsidR="00DF0B57">
              <w:rPr>
                <w:sz w:val="17"/>
                <w:szCs w:val="17"/>
              </w:rPr>
              <w:t xml:space="preserve">a more balanced approach should be taken. </w:t>
            </w:r>
          </w:p>
          <w:p w14:paraId="483669D6" w14:textId="5448F6AD" w:rsidR="00E13374" w:rsidRPr="00057ED8" w:rsidRDefault="005572C2" w:rsidP="00D92DF5">
            <w:pPr>
              <w:spacing w:line="240" w:lineRule="auto"/>
              <w:ind w:left="731" w:right="1057"/>
              <w:rPr>
                <w:szCs w:val="17"/>
              </w:rPr>
            </w:pPr>
            <w:r>
              <w:rPr>
                <w:sz w:val="17"/>
                <w:szCs w:val="17"/>
              </w:rPr>
              <w:t xml:space="preserve">As </w:t>
            </w:r>
            <w:r w:rsidR="0037362E" w:rsidRPr="00057ED8">
              <w:rPr>
                <w:sz w:val="17"/>
                <w:szCs w:val="17"/>
              </w:rPr>
              <w:t xml:space="preserve">carbon offsetting is a highly complex topic, not well </w:t>
            </w:r>
            <w:r w:rsidR="007706F0">
              <w:rPr>
                <w:sz w:val="17"/>
                <w:szCs w:val="17"/>
              </w:rPr>
              <w:t>understood</w:t>
            </w:r>
            <w:r w:rsidR="007706F0" w:rsidRPr="00057ED8">
              <w:rPr>
                <w:sz w:val="17"/>
                <w:szCs w:val="17"/>
              </w:rPr>
              <w:t xml:space="preserve"> </w:t>
            </w:r>
            <w:r w:rsidR="0037362E" w:rsidRPr="00057ED8">
              <w:rPr>
                <w:sz w:val="17"/>
                <w:szCs w:val="17"/>
              </w:rPr>
              <w:t>by entities and investors</w:t>
            </w:r>
            <w:r>
              <w:rPr>
                <w:sz w:val="17"/>
                <w:szCs w:val="17"/>
              </w:rPr>
              <w:t xml:space="preserve">, </w:t>
            </w:r>
            <w:r w:rsidR="00C9692D">
              <w:rPr>
                <w:sz w:val="17"/>
                <w:szCs w:val="17"/>
              </w:rPr>
              <w:t>Insurance Europ</w:t>
            </w:r>
            <w:r w:rsidR="0037362E" w:rsidRPr="00057ED8">
              <w:rPr>
                <w:sz w:val="17"/>
                <w:szCs w:val="17"/>
              </w:rPr>
              <w:t>e believe</w:t>
            </w:r>
            <w:r w:rsidR="00C9692D">
              <w:rPr>
                <w:sz w:val="17"/>
                <w:szCs w:val="17"/>
              </w:rPr>
              <w:t>s</w:t>
            </w:r>
            <w:r w:rsidR="0037362E" w:rsidRPr="00057ED8">
              <w:rPr>
                <w:sz w:val="17"/>
                <w:szCs w:val="17"/>
              </w:rPr>
              <w:t xml:space="preserve"> that transition plans should rather focus on plans and actions taken to mitigate emissions beyond carbon offsets. This is more likely to increase comparability and provide investors with robust and usable information.</w:t>
            </w:r>
          </w:p>
          <w:p w14:paraId="145D5606" w14:textId="77777777" w:rsidR="00CF12C2" w:rsidRPr="00057ED8" w:rsidRDefault="00CF12C2" w:rsidP="00C61B54">
            <w:pPr>
              <w:rPr>
                <w:sz w:val="17"/>
                <w:szCs w:val="17"/>
              </w:rPr>
            </w:pPr>
          </w:p>
        </w:tc>
      </w:tr>
    </w:tbl>
    <w:p w14:paraId="3D7B07AE" w14:textId="77777777" w:rsidR="0036389D" w:rsidRPr="00057ED8" w:rsidRDefault="0036389D" w:rsidP="003D0236">
      <w:pPr>
        <w:autoSpaceDE w:val="0"/>
        <w:autoSpaceDN w:val="0"/>
        <w:adjustRightInd w:val="0"/>
        <w:rPr>
          <w:sz w:val="17"/>
          <w:szCs w:val="17"/>
        </w:rPr>
      </w:pPr>
    </w:p>
    <w:p w14:paraId="22391417" w14:textId="65A5264A" w:rsidR="00F26331" w:rsidRPr="00057ED8" w:rsidRDefault="00F26331" w:rsidP="00A20516">
      <w:pPr>
        <w:rPr>
          <w:b/>
          <w:bCs/>
          <w:sz w:val="17"/>
          <w:szCs w:val="17"/>
        </w:rPr>
      </w:pPr>
      <w:r w:rsidRPr="00057ED8">
        <w:rPr>
          <w:b/>
          <w:bCs/>
          <w:sz w:val="17"/>
          <w:szCs w:val="17"/>
        </w:rPr>
        <w:t>Question 6—Current and anticipated effects</w:t>
      </w:r>
    </w:p>
    <w:p w14:paraId="317811A8" w14:textId="77777777" w:rsidR="004E4B80" w:rsidRPr="00057ED8" w:rsidRDefault="004E4B80" w:rsidP="00973DEE">
      <w:pPr>
        <w:rPr>
          <w:sz w:val="17"/>
          <w:szCs w:val="17"/>
        </w:rPr>
      </w:pPr>
      <w:r w:rsidRPr="00057ED8">
        <w:rPr>
          <w:sz w:val="17"/>
          <w:szCs w:val="17"/>
        </w:rPr>
        <w:t>The Exposure Draft proposes requirements for an entity to disclose information about the anticipated future effects of significant climate-related risks and opportunities. The Exposure Draft proposes that, if such information is provided quantitatively, it can be expressed as a single amount or as a range. Disclosing a range enables an entity to communicate the significant variance of potential outcomes associated with the monetised effect for an entity; whereas if the outcome is more certain, a single value may be more appropriate.</w:t>
      </w:r>
    </w:p>
    <w:p w14:paraId="61F68580" w14:textId="77777777" w:rsidR="00973DEE" w:rsidRPr="00057ED8" w:rsidRDefault="00973DEE" w:rsidP="00973DEE">
      <w:pPr>
        <w:rPr>
          <w:sz w:val="17"/>
          <w:szCs w:val="17"/>
        </w:rPr>
      </w:pPr>
    </w:p>
    <w:p w14:paraId="664A14FF" w14:textId="77777777" w:rsidR="004E4B80" w:rsidRPr="00057ED8" w:rsidRDefault="004E4B80" w:rsidP="00973DEE">
      <w:pPr>
        <w:rPr>
          <w:sz w:val="17"/>
          <w:szCs w:val="17"/>
        </w:rPr>
      </w:pPr>
      <w:r w:rsidRPr="00057ED8">
        <w:rPr>
          <w:sz w:val="17"/>
          <w:szCs w:val="17"/>
        </w:rPr>
        <w:t xml:space="preserve">The TCFD’s 2021 status report identified the disclosure of anticipated financial effects of climate-related risks and opportunities using the TCFD Recommendations as an area with little disclosure. Challenges include: difficulties of organisational alignment, data, risk evaluation and the attribution of effects in financial accounts; </w:t>
      </w:r>
      <w:r w:rsidRPr="00057ED8">
        <w:rPr>
          <w:sz w:val="17"/>
          <w:szCs w:val="17"/>
        </w:rPr>
        <w:lastRenderedPageBreak/>
        <w:t>longer time horizons associated with climate-related risks and opportunities compared with business horizons; and securing approval to disclose the results publicly. Disclosing the financial effects of climate-related risks and opportunities is further complicated when an entity provides specific information about the effects of climate-related risks and opportunities on the entity. The financial effects could be due to a combination of other sustainability-related risks and opportunities and not separable for the purposes of climate-related disclosure (for example, if the value of an asset is considered to be at risk it may be difficult to separately identify the effect of climate on the value of the asset in isolation from other risks).</w:t>
      </w:r>
    </w:p>
    <w:p w14:paraId="3BD80298" w14:textId="77777777" w:rsidR="00973DEE" w:rsidRPr="00057ED8" w:rsidRDefault="00973DEE" w:rsidP="00973DEE">
      <w:pPr>
        <w:rPr>
          <w:sz w:val="17"/>
          <w:szCs w:val="17"/>
        </w:rPr>
      </w:pPr>
    </w:p>
    <w:p w14:paraId="431478F7" w14:textId="77777777" w:rsidR="004E4B80" w:rsidRPr="00057ED8" w:rsidRDefault="004E4B80" w:rsidP="00973DEE">
      <w:pPr>
        <w:rPr>
          <w:sz w:val="17"/>
          <w:szCs w:val="17"/>
        </w:rPr>
      </w:pPr>
      <w:r w:rsidRPr="00057ED8">
        <w:rPr>
          <w:sz w:val="17"/>
          <w:szCs w:val="17"/>
        </w:rPr>
        <w:t>Similar concerns were raised by members of the TRWG in the development of the climate-related disclosure prototype following conversations with some preparers. The difficulty of providing single-point estimates due to the level of uncertainty regarding both climate outcomes and the effect of those outcomes on a particular entity was also highlighted. As a result, the proposals in the Exposure Draft seek to balance these challenges with the provision of information for investors about how climate-related issues affect an entity’s financial position and financial performance currently and over the short, medium and long term by allowing anticipated monetary effects to be disclosed as a range or a point estimate.</w:t>
      </w:r>
    </w:p>
    <w:p w14:paraId="0624D818" w14:textId="77777777" w:rsidR="00973DEE" w:rsidRPr="00057ED8" w:rsidRDefault="00973DEE" w:rsidP="00973DEE">
      <w:pPr>
        <w:rPr>
          <w:sz w:val="17"/>
          <w:szCs w:val="17"/>
        </w:rPr>
      </w:pPr>
    </w:p>
    <w:p w14:paraId="03717F04" w14:textId="77777777" w:rsidR="004E4B80" w:rsidRPr="00057ED8" w:rsidRDefault="004E4B80" w:rsidP="00973DEE">
      <w:pPr>
        <w:rPr>
          <w:sz w:val="17"/>
          <w:szCs w:val="17"/>
        </w:rPr>
      </w:pPr>
      <w:r w:rsidRPr="00057ED8">
        <w:rPr>
          <w:sz w:val="17"/>
          <w:szCs w:val="17"/>
        </w:rPr>
        <w:t>The Exposure Draft proposes that an entity be required to disclose the effects of significant climate-related risks and opportunities on its financial position, financial performance and cash flows for the reporting period, and the anticipated effects over the short, medium and long term—including how climate-related risks and opportunities are included in the entity’s financial planning (paragraph 14). The requirements also seek to address potential measurement challenges by requiring disclosure of quantitative information unless an entity is unable to provide the information quantitatively, in which case it shall be provided qualitatively.</w:t>
      </w:r>
    </w:p>
    <w:p w14:paraId="57F00D01" w14:textId="77777777" w:rsidR="0036389D" w:rsidRPr="00057ED8" w:rsidRDefault="0036389D" w:rsidP="003D0236">
      <w:pPr>
        <w:autoSpaceDE w:val="0"/>
        <w:autoSpaceDN w:val="0"/>
        <w:adjustRightInd w:val="0"/>
        <w:rPr>
          <w:sz w:val="17"/>
          <w:szCs w:val="17"/>
        </w:rPr>
      </w:pPr>
    </w:p>
    <w:p w14:paraId="6AD0CC34" w14:textId="77777777" w:rsidR="00777AA9" w:rsidRPr="00057ED8" w:rsidRDefault="00777AA9" w:rsidP="00973DEE">
      <w:pPr>
        <w:rPr>
          <w:sz w:val="17"/>
          <w:szCs w:val="17"/>
        </w:rPr>
      </w:pPr>
      <w:r w:rsidRPr="00057ED8">
        <w:rPr>
          <w:sz w:val="17"/>
          <w:szCs w:val="17"/>
        </w:rPr>
        <w:t>Paragraphs BC96–BC100 of the Basis for Conclusions describe the reasoning behind the Exposure Draft’s proposals.</w:t>
      </w:r>
    </w:p>
    <w:p w14:paraId="6736D75B" w14:textId="77777777" w:rsidR="00777AA9" w:rsidRPr="00057ED8" w:rsidRDefault="00777AA9" w:rsidP="00812D6D">
      <w:pPr>
        <w:pStyle w:val="Odsekzoznamu"/>
        <w:numPr>
          <w:ilvl w:val="0"/>
          <w:numId w:val="19"/>
        </w:numPr>
        <w:spacing w:before="0" w:line="288" w:lineRule="auto"/>
        <w:rPr>
          <w:szCs w:val="17"/>
          <w:lang w:val="en-GB"/>
        </w:rPr>
      </w:pPr>
      <w:r w:rsidRPr="00057ED8">
        <w:rPr>
          <w:szCs w:val="17"/>
          <w:lang w:val="en-GB"/>
        </w:rPr>
        <w:t>Do you agree with the proposal that entities shall disclose quantitative information on the current and anticipated effects of climate-related risks and opportunities unless they are unable to do so, in which case qualitative information shall be provided (see paragraph 14)? Why or why not?</w:t>
      </w:r>
    </w:p>
    <w:p w14:paraId="15C045DB" w14:textId="77777777" w:rsidR="00973DEE" w:rsidRPr="00057ED8" w:rsidRDefault="00973DEE" w:rsidP="00973DEE">
      <w:pPr>
        <w:pStyle w:val="Odsekzoznamu"/>
        <w:spacing w:before="0" w:line="288" w:lineRule="auto"/>
        <w:ind w:left="720" w:firstLine="0"/>
        <w:rPr>
          <w:szCs w:val="17"/>
          <w:lang w:val="en-GB"/>
        </w:rPr>
      </w:pPr>
    </w:p>
    <w:p w14:paraId="3DF0B0A0" w14:textId="11D0E3CF" w:rsidR="00777AA9" w:rsidRPr="00057ED8" w:rsidRDefault="00777AA9" w:rsidP="00812D6D">
      <w:pPr>
        <w:pStyle w:val="Odsekzoznamu"/>
        <w:numPr>
          <w:ilvl w:val="0"/>
          <w:numId w:val="19"/>
        </w:numPr>
        <w:spacing w:before="0" w:line="288" w:lineRule="auto"/>
        <w:rPr>
          <w:szCs w:val="17"/>
          <w:lang w:val="en-GB"/>
        </w:rPr>
      </w:pPr>
      <w:r w:rsidRPr="00057ED8">
        <w:rPr>
          <w:szCs w:val="17"/>
          <w:lang w:val="en-GB"/>
        </w:rPr>
        <w:t>Do you agree with the proposed disclosure requirements for the financial effects of climate-related risks and opportunities on an entity’s financial performance, financial position and cash flows for the reporting period? If not, what would you suggest and why?</w:t>
      </w:r>
    </w:p>
    <w:p w14:paraId="2E1E8079" w14:textId="77777777" w:rsidR="00973DEE" w:rsidRPr="00057ED8" w:rsidRDefault="00973DEE" w:rsidP="00973DEE">
      <w:pPr>
        <w:pStyle w:val="Odsekzoznamu"/>
        <w:rPr>
          <w:szCs w:val="17"/>
          <w:lang w:val="en-GB"/>
        </w:rPr>
      </w:pPr>
    </w:p>
    <w:p w14:paraId="6382DB28" w14:textId="77777777" w:rsidR="00973DEE" w:rsidRPr="00057ED8" w:rsidRDefault="00973DEE" w:rsidP="00973DEE">
      <w:pPr>
        <w:pStyle w:val="Odsekzoznamu"/>
        <w:spacing w:before="0" w:line="288" w:lineRule="auto"/>
        <w:ind w:left="720" w:firstLine="0"/>
        <w:rPr>
          <w:szCs w:val="17"/>
          <w:lang w:val="en-GB"/>
        </w:rPr>
      </w:pPr>
    </w:p>
    <w:p w14:paraId="55B4B98C" w14:textId="77777777" w:rsidR="00777AA9" w:rsidRPr="00057ED8" w:rsidRDefault="00777AA9" w:rsidP="00812D6D">
      <w:pPr>
        <w:pStyle w:val="Odsekzoznamu"/>
        <w:numPr>
          <w:ilvl w:val="0"/>
          <w:numId w:val="19"/>
        </w:numPr>
        <w:spacing w:before="0" w:line="288" w:lineRule="auto"/>
        <w:rPr>
          <w:szCs w:val="17"/>
          <w:lang w:val="en-GB"/>
        </w:rPr>
      </w:pPr>
      <w:r w:rsidRPr="00057ED8">
        <w:rPr>
          <w:szCs w:val="17"/>
          <w:lang w:val="en-GB"/>
        </w:rPr>
        <w:t>Do you agree with the proposed disclosure requirements for the anticipated effects of climate-related risks and opportunities on an entity’s financial position and financial performance over the short, medium and long term? If not, what would you suggest and why?</w:t>
      </w:r>
    </w:p>
    <w:p w14:paraId="2252A856" w14:textId="77777777" w:rsidR="009676E0" w:rsidRPr="00057ED8" w:rsidRDefault="009676E0" w:rsidP="003D0236">
      <w:pPr>
        <w:autoSpaceDE w:val="0"/>
        <w:autoSpaceDN w:val="0"/>
        <w:adjustRightInd w:val="0"/>
        <w:rPr>
          <w:sz w:val="17"/>
          <w:szCs w:val="17"/>
        </w:rPr>
      </w:pPr>
    </w:p>
    <w:tbl>
      <w:tblPr>
        <w:tblStyle w:val="Mriekatabuky"/>
        <w:tblW w:w="0" w:type="auto"/>
        <w:tblLook w:val="04A0" w:firstRow="1" w:lastRow="0" w:firstColumn="1" w:lastColumn="0" w:noHBand="0" w:noVBand="1"/>
      </w:tblPr>
      <w:tblGrid>
        <w:gridCol w:w="9521"/>
      </w:tblGrid>
      <w:tr w:rsidR="00CF12C2" w:rsidRPr="00057ED8" w14:paraId="3EC67BF4" w14:textId="77777777" w:rsidTr="00C61B54">
        <w:trPr>
          <w:trHeight w:val="1625"/>
        </w:trPr>
        <w:tc>
          <w:tcPr>
            <w:tcW w:w="9521" w:type="dxa"/>
          </w:tcPr>
          <w:p w14:paraId="493E911C" w14:textId="77777777" w:rsidR="0090167B" w:rsidRPr="00057ED8" w:rsidRDefault="0090167B" w:rsidP="00812D6D">
            <w:pPr>
              <w:pStyle w:val="Odsekzoznamu"/>
              <w:numPr>
                <w:ilvl w:val="0"/>
                <w:numId w:val="44"/>
              </w:numPr>
              <w:rPr>
                <w:szCs w:val="17"/>
                <w:lang w:val="en-GB"/>
              </w:rPr>
            </w:pPr>
            <w:r w:rsidRPr="00057ED8">
              <w:rPr>
                <w:szCs w:val="17"/>
                <w:lang w:val="en-GB"/>
              </w:rPr>
              <w:t xml:space="preserve">Broadly agree / broadly disagree / </w:t>
            </w:r>
            <w:r w:rsidRPr="00057ED8">
              <w:rPr>
                <w:szCs w:val="17"/>
                <w:highlight w:val="cyan"/>
                <w:lang w:val="en-GB"/>
              </w:rPr>
              <w:t>other</w:t>
            </w:r>
          </w:p>
          <w:p w14:paraId="27FD3175" w14:textId="3CF6C2ED" w:rsidR="001B0DE6" w:rsidRDefault="00023860" w:rsidP="00F76073">
            <w:pPr>
              <w:pStyle w:val="Odsekzoznamu"/>
              <w:ind w:left="720" w:right="1057" w:firstLine="0"/>
              <w:rPr>
                <w:szCs w:val="17"/>
                <w:lang w:val="en-GB"/>
              </w:rPr>
            </w:pPr>
            <w:r>
              <w:rPr>
                <w:szCs w:val="17"/>
                <w:lang w:val="en-GB"/>
              </w:rPr>
              <w:t>Insurance Europ</w:t>
            </w:r>
            <w:r w:rsidR="00F94747" w:rsidRPr="00057ED8">
              <w:rPr>
                <w:szCs w:val="17"/>
                <w:lang w:val="en-GB"/>
              </w:rPr>
              <w:t>e generally agree</w:t>
            </w:r>
            <w:r>
              <w:rPr>
                <w:szCs w:val="17"/>
                <w:lang w:val="en-GB"/>
              </w:rPr>
              <w:t>s</w:t>
            </w:r>
            <w:r w:rsidR="00F94747" w:rsidRPr="00057ED8">
              <w:rPr>
                <w:szCs w:val="17"/>
                <w:lang w:val="en-GB"/>
              </w:rPr>
              <w:t xml:space="preserve">, subject to consideration of </w:t>
            </w:r>
            <w:r>
              <w:rPr>
                <w:szCs w:val="17"/>
                <w:lang w:val="en-GB"/>
              </w:rPr>
              <w:t>the</w:t>
            </w:r>
            <w:r w:rsidR="00F94747" w:rsidRPr="00057ED8">
              <w:rPr>
                <w:szCs w:val="17"/>
                <w:lang w:val="en-GB"/>
              </w:rPr>
              <w:t xml:space="preserve"> concern </w:t>
            </w:r>
            <w:r>
              <w:rPr>
                <w:szCs w:val="17"/>
                <w:lang w:val="en-GB"/>
              </w:rPr>
              <w:t>set out below</w:t>
            </w:r>
            <w:r w:rsidR="008D1157">
              <w:rPr>
                <w:szCs w:val="17"/>
                <w:lang w:val="en-GB"/>
              </w:rPr>
              <w:t xml:space="preserve"> </w:t>
            </w:r>
            <w:r w:rsidR="00EE7ECE">
              <w:rPr>
                <w:szCs w:val="17"/>
                <w:lang w:val="en-GB"/>
              </w:rPr>
              <w:t>regarding the quantification of</w:t>
            </w:r>
            <w:r w:rsidR="00F94747" w:rsidRPr="00057ED8">
              <w:rPr>
                <w:szCs w:val="17"/>
                <w:lang w:val="en-GB"/>
              </w:rPr>
              <w:t xml:space="preserve"> </w:t>
            </w:r>
            <w:r w:rsidR="0041594F">
              <w:rPr>
                <w:szCs w:val="17"/>
                <w:lang w:val="en-GB"/>
              </w:rPr>
              <w:t xml:space="preserve">the </w:t>
            </w:r>
            <w:r w:rsidR="00F94747" w:rsidRPr="00057ED8">
              <w:rPr>
                <w:szCs w:val="17"/>
                <w:lang w:val="en-GB"/>
              </w:rPr>
              <w:t>financial effects of climate</w:t>
            </w:r>
            <w:r w:rsidR="0041594F">
              <w:rPr>
                <w:szCs w:val="17"/>
                <w:lang w:val="en-GB"/>
              </w:rPr>
              <w:t>-</w:t>
            </w:r>
            <w:r w:rsidR="00F94747" w:rsidRPr="00057ED8">
              <w:rPr>
                <w:szCs w:val="17"/>
                <w:lang w:val="en-GB"/>
              </w:rPr>
              <w:t>related risks and opportunities on an entity’s financial position and financial performance over the short</w:t>
            </w:r>
            <w:r w:rsidR="003C7D98">
              <w:rPr>
                <w:szCs w:val="17"/>
                <w:lang w:val="en-GB"/>
              </w:rPr>
              <w:t>-</w:t>
            </w:r>
            <w:r w:rsidR="00F94747" w:rsidRPr="00057ED8">
              <w:rPr>
                <w:szCs w:val="17"/>
                <w:lang w:val="en-GB"/>
              </w:rPr>
              <w:t>, medium</w:t>
            </w:r>
            <w:r w:rsidR="003C7D98">
              <w:rPr>
                <w:szCs w:val="17"/>
                <w:lang w:val="en-GB"/>
              </w:rPr>
              <w:t>-</w:t>
            </w:r>
            <w:r w:rsidR="00F94747" w:rsidRPr="00057ED8">
              <w:rPr>
                <w:szCs w:val="17"/>
                <w:lang w:val="en-GB"/>
              </w:rPr>
              <w:t xml:space="preserve"> and long</w:t>
            </w:r>
            <w:r w:rsidR="003C7D98">
              <w:rPr>
                <w:szCs w:val="17"/>
                <w:lang w:val="en-GB"/>
              </w:rPr>
              <w:t>-</w:t>
            </w:r>
            <w:r w:rsidR="00F94747" w:rsidRPr="00057ED8">
              <w:rPr>
                <w:szCs w:val="17"/>
                <w:lang w:val="en-GB"/>
              </w:rPr>
              <w:t>term</w:t>
            </w:r>
            <w:r w:rsidR="000165C4">
              <w:rPr>
                <w:szCs w:val="17"/>
                <w:lang w:val="en-GB"/>
              </w:rPr>
              <w:t xml:space="preserve"> at this stage</w:t>
            </w:r>
            <w:r w:rsidR="001A17B8" w:rsidRPr="00057ED8">
              <w:rPr>
                <w:szCs w:val="17"/>
                <w:lang w:val="en-GB"/>
              </w:rPr>
              <w:t xml:space="preserve">. </w:t>
            </w:r>
            <w:r w:rsidR="008259FD" w:rsidRPr="00084083">
              <w:rPr>
                <w:szCs w:val="17"/>
              </w:rPr>
              <w:t xml:space="preserve">In particular, </w:t>
            </w:r>
            <w:r w:rsidR="00AA2BF4">
              <w:rPr>
                <w:szCs w:val="17"/>
              </w:rPr>
              <w:t>Insuranc</w:t>
            </w:r>
            <w:r w:rsidR="008259FD" w:rsidRPr="00084083">
              <w:rPr>
                <w:szCs w:val="17"/>
              </w:rPr>
              <w:t>e</w:t>
            </w:r>
            <w:r w:rsidR="00AA2BF4">
              <w:rPr>
                <w:szCs w:val="17"/>
              </w:rPr>
              <w:t xml:space="preserve"> Europe</w:t>
            </w:r>
            <w:r w:rsidR="008259FD" w:rsidRPr="00084083">
              <w:rPr>
                <w:szCs w:val="17"/>
              </w:rPr>
              <w:t xml:space="preserve"> support</w:t>
            </w:r>
            <w:r w:rsidR="00AA2BF4">
              <w:rPr>
                <w:szCs w:val="17"/>
              </w:rPr>
              <w:t>s</w:t>
            </w:r>
            <w:r w:rsidR="008259FD" w:rsidRPr="00084083">
              <w:rPr>
                <w:szCs w:val="17"/>
              </w:rPr>
              <w:t xml:space="preserve"> quantitative disclosure requirements on such effects where methods and data are available in a sufficiently </w:t>
            </w:r>
            <w:proofErr w:type="spellStart"/>
            <w:r w:rsidR="008259FD" w:rsidRPr="00084083">
              <w:rPr>
                <w:szCs w:val="17"/>
              </w:rPr>
              <w:t>standardi</w:t>
            </w:r>
            <w:r w:rsidR="00013367">
              <w:rPr>
                <w:szCs w:val="17"/>
              </w:rPr>
              <w:t>s</w:t>
            </w:r>
            <w:r w:rsidR="008259FD" w:rsidRPr="00084083">
              <w:rPr>
                <w:szCs w:val="17"/>
              </w:rPr>
              <w:t>ed</w:t>
            </w:r>
            <w:proofErr w:type="spellEnd"/>
            <w:r w:rsidR="008259FD" w:rsidRPr="00084083">
              <w:rPr>
                <w:szCs w:val="17"/>
              </w:rPr>
              <w:t xml:space="preserve"> way. However, further guidance is needed to ensure clarity for and consistent application by preparers (</w:t>
            </w:r>
            <w:proofErr w:type="spellStart"/>
            <w:r w:rsidR="008259FD" w:rsidRPr="00084083">
              <w:rPr>
                <w:szCs w:val="17"/>
              </w:rPr>
              <w:t>eg</w:t>
            </w:r>
            <w:proofErr w:type="spellEnd"/>
            <w:r w:rsidR="00F27EDF">
              <w:rPr>
                <w:szCs w:val="17"/>
              </w:rPr>
              <w:t>,</w:t>
            </w:r>
            <w:r w:rsidR="008259FD" w:rsidRPr="00084083">
              <w:rPr>
                <w:szCs w:val="17"/>
              </w:rPr>
              <w:t xml:space="preserve"> relevant indicators, gross vs. net assessment and presentation). To this end, further work on methodologies is </w:t>
            </w:r>
            <w:r w:rsidR="00F27EDF">
              <w:rPr>
                <w:szCs w:val="17"/>
              </w:rPr>
              <w:t xml:space="preserve">likely to be </w:t>
            </w:r>
            <w:r w:rsidR="008259FD" w:rsidRPr="00084083">
              <w:rPr>
                <w:szCs w:val="17"/>
              </w:rPr>
              <w:t xml:space="preserve">needed over the </w:t>
            </w:r>
            <w:r w:rsidR="00F27EDF">
              <w:rPr>
                <w:szCs w:val="17"/>
              </w:rPr>
              <w:t>coming</w:t>
            </w:r>
            <w:r w:rsidR="00F27EDF" w:rsidRPr="00084083">
              <w:rPr>
                <w:szCs w:val="17"/>
              </w:rPr>
              <w:t xml:space="preserve"> </w:t>
            </w:r>
            <w:r w:rsidR="008259FD" w:rsidRPr="00084083">
              <w:rPr>
                <w:szCs w:val="17"/>
              </w:rPr>
              <w:t>years.</w:t>
            </w:r>
          </w:p>
          <w:p w14:paraId="032C831D" w14:textId="6FF9123C" w:rsidR="00F94747" w:rsidRPr="00057ED8" w:rsidRDefault="00C74DEF" w:rsidP="00F76073">
            <w:pPr>
              <w:pStyle w:val="Odsekzoznamu"/>
              <w:ind w:left="720" w:right="1057" w:firstLine="0"/>
              <w:rPr>
                <w:szCs w:val="17"/>
                <w:lang w:val="en-GB"/>
              </w:rPr>
            </w:pPr>
            <w:r w:rsidRPr="00057ED8">
              <w:rPr>
                <w:szCs w:val="17"/>
                <w:lang w:val="en-GB"/>
              </w:rPr>
              <w:t>The ISSB could</w:t>
            </w:r>
            <w:r w:rsidR="00FF1864">
              <w:rPr>
                <w:szCs w:val="17"/>
                <w:lang w:val="en-GB"/>
              </w:rPr>
              <w:t>,</w:t>
            </w:r>
            <w:r w:rsidRPr="00057ED8">
              <w:rPr>
                <w:szCs w:val="17"/>
                <w:lang w:val="en-GB"/>
              </w:rPr>
              <w:t xml:space="preserve"> in addition</w:t>
            </w:r>
            <w:r w:rsidR="00FF1864">
              <w:rPr>
                <w:szCs w:val="17"/>
                <w:lang w:val="en-GB"/>
              </w:rPr>
              <w:t>,</w:t>
            </w:r>
            <w:r w:rsidRPr="00057ED8">
              <w:rPr>
                <w:szCs w:val="17"/>
                <w:lang w:val="en-GB"/>
              </w:rPr>
              <w:t xml:space="preserve"> suggest </w:t>
            </w:r>
            <w:r w:rsidR="00524EB3" w:rsidRPr="00057ED8">
              <w:rPr>
                <w:szCs w:val="17"/>
                <w:lang w:val="en-GB"/>
              </w:rPr>
              <w:t xml:space="preserve">a </w:t>
            </w:r>
            <w:r w:rsidRPr="00057ED8">
              <w:rPr>
                <w:szCs w:val="17"/>
                <w:lang w:val="en-GB"/>
              </w:rPr>
              <w:t>definition of time horizons</w:t>
            </w:r>
            <w:r w:rsidR="008B5557">
              <w:rPr>
                <w:szCs w:val="17"/>
                <w:lang w:val="en-GB"/>
              </w:rPr>
              <w:t>,</w:t>
            </w:r>
            <w:r w:rsidRPr="00057ED8">
              <w:rPr>
                <w:szCs w:val="17"/>
                <w:lang w:val="en-GB"/>
              </w:rPr>
              <w:t xml:space="preserve"> </w:t>
            </w:r>
            <w:proofErr w:type="spellStart"/>
            <w:r w:rsidR="008B5557">
              <w:rPr>
                <w:szCs w:val="17"/>
                <w:lang w:val="en-GB"/>
              </w:rPr>
              <w:t>eg</w:t>
            </w:r>
            <w:proofErr w:type="spellEnd"/>
            <w:r w:rsidR="00FF1864">
              <w:rPr>
                <w:szCs w:val="17"/>
                <w:lang w:val="en-GB"/>
              </w:rPr>
              <w:t>,</w:t>
            </w:r>
            <w:r w:rsidR="008B5557">
              <w:rPr>
                <w:szCs w:val="17"/>
                <w:lang w:val="en-GB"/>
              </w:rPr>
              <w:t xml:space="preserve"> in terms of ranges, </w:t>
            </w:r>
            <w:r w:rsidRPr="00057ED8">
              <w:rPr>
                <w:szCs w:val="17"/>
                <w:lang w:val="en-GB"/>
              </w:rPr>
              <w:t>to facilitate connectivity with financial reporting and increase comparability across entities.</w:t>
            </w:r>
            <w:r w:rsidR="00EA3B4E">
              <w:rPr>
                <w:szCs w:val="17"/>
                <w:lang w:val="en-GB"/>
              </w:rPr>
              <w:t xml:space="preserve"> </w:t>
            </w:r>
            <w:r w:rsidR="00EA3B4E" w:rsidRPr="009B5C68">
              <w:rPr>
                <w:szCs w:val="17"/>
              </w:rPr>
              <w:t xml:space="preserve">Therefore, </w:t>
            </w:r>
            <w:r w:rsidR="00873FA1">
              <w:rPr>
                <w:szCs w:val="17"/>
              </w:rPr>
              <w:t>Insurance Europe</w:t>
            </w:r>
            <w:r w:rsidR="00873FA1" w:rsidRPr="009B5C68">
              <w:rPr>
                <w:szCs w:val="17"/>
              </w:rPr>
              <w:t xml:space="preserve"> </w:t>
            </w:r>
            <w:r w:rsidR="00EA3B4E" w:rsidRPr="009B5C68">
              <w:rPr>
                <w:szCs w:val="17"/>
              </w:rPr>
              <w:t>welcome</w:t>
            </w:r>
            <w:r w:rsidR="00873FA1">
              <w:rPr>
                <w:szCs w:val="17"/>
              </w:rPr>
              <w:t>s</w:t>
            </w:r>
            <w:r w:rsidR="00EA3B4E" w:rsidRPr="009B5C68">
              <w:rPr>
                <w:szCs w:val="17"/>
              </w:rPr>
              <w:t xml:space="preserve"> </w:t>
            </w:r>
            <w:r w:rsidR="00873FA1">
              <w:rPr>
                <w:szCs w:val="17"/>
              </w:rPr>
              <w:t xml:space="preserve">the fact </w:t>
            </w:r>
            <w:r w:rsidR="00EA3B4E" w:rsidRPr="009B5C68">
              <w:rPr>
                <w:szCs w:val="17"/>
              </w:rPr>
              <w:t>that the ISSB foresees an option for qualitative disclosure where entities are unable to provide quantitative information.</w:t>
            </w:r>
            <w:r w:rsidR="00F94747" w:rsidRPr="00057ED8">
              <w:rPr>
                <w:szCs w:val="17"/>
                <w:lang w:val="en-GB"/>
              </w:rPr>
              <w:t xml:space="preserve"> </w:t>
            </w:r>
            <w:r w:rsidR="00F94747" w:rsidRPr="00057ED8">
              <w:rPr>
                <w:szCs w:val="17"/>
                <w:lang w:val="en-GB"/>
              </w:rPr>
              <w:lastRenderedPageBreak/>
              <w:t>However, guidance is needed on when a company would be deemed unable to provide such information and/or under which circumstances this would be expected, as, otherwise, this might be considered an easy-to-circumvent “comply or justify” approach.</w:t>
            </w:r>
            <w:r w:rsidR="00C76B9C" w:rsidRPr="00057ED8">
              <w:rPr>
                <w:szCs w:val="17"/>
                <w:lang w:val="en-GB"/>
              </w:rPr>
              <w:t xml:space="preserve"> As a result, the explicit exemption for entities “that are unable to do so” might not lead to progress and effort to enable future disclosure and therefore </w:t>
            </w:r>
            <w:r w:rsidR="00382C92">
              <w:rPr>
                <w:szCs w:val="17"/>
                <w:lang w:val="en-GB"/>
              </w:rPr>
              <w:t>go against an</w:t>
            </w:r>
            <w:r w:rsidR="00382C92" w:rsidRPr="00057ED8">
              <w:rPr>
                <w:szCs w:val="17"/>
                <w:lang w:val="en-GB"/>
              </w:rPr>
              <w:t xml:space="preserve"> </w:t>
            </w:r>
            <w:r w:rsidR="00C76B9C" w:rsidRPr="00057ED8">
              <w:rPr>
                <w:szCs w:val="17"/>
                <w:lang w:val="en-GB"/>
              </w:rPr>
              <w:t>increased comparability of disclosures.</w:t>
            </w:r>
          </w:p>
          <w:p w14:paraId="7F3ECA7E" w14:textId="5DAE955F" w:rsidR="00F94747" w:rsidRPr="00057ED8" w:rsidRDefault="00F94747" w:rsidP="00F76073">
            <w:pPr>
              <w:pStyle w:val="Odsekzoznamu"/>
              <w:ind w:left="720" w:right="1057" w:firstLine="0"/>
              <w:rPr>
                <w:szCs w:val="17"/>
                <w:lang w:val="en-GB"/>
              </w:rPr>
            </w:pPr>
          </w:p>
          <w:p w14:paraId="0051BE2F" w14:textId="77777777" w:rsidR="0090167B" w:rsidRPr="00057ED8" w:rsidRDefault="0090167B" w:rsidP="00F76073">
            <w:pPr>
              <w:pStyle w:val="Odsekzoznamu"/>
              <w:numPr>
                <w:ilvl w:val="0"/>
                <w:numId w:val="44"/>
              </w:numPr>
              <w:ind w:right="1057"/>
              <w:rPr>
                <w:szCs w:val="17"/>
                <w:lang w:val="en-GB"/>
              </w:rPr>
            </w:pPr>
            <w:r w:rsidRPr="00057ED8">
              <w:rPr>
                <w:szCs w:val="17"/>
                <w:lang w:val="en-GB"/>
              </w:rPr>
              <w:t xml:space="preserve">Broadly agree / broadly disagree / </w:t>
            </w:r>
            <w:r w:rsidRPr="00057ED8">
              <w:rPr>
                <w:szCs w:val="17"/>
                <w:highlight w:val="cyan"/>
                <w:lang w:val="en-GB"/>
              </w:rPr>
              <w:t>other</w:t>
            </w:r>
          </w:p>
          <w:p w14:paraId="4F0FD423" w14:textId="77777777" w:rsidR="00F76073" w:rsidRDefault="00F76073" w:rsidP="00F76073">
            <w:pPr>
              <w:spacing w:line="240" w:lineRule="auto"/>
              <w:ind w:left="720" w:right="1057"/>
              <w:rPr>
                <w:rFonts w:cs="Arial"/>
                <w:sz w:val="17"/>
                <w:szCs w:val="17"/>
              </w:rPr>
            </w:pPr>
          </w:p>
          <w:p w14:paraId="5CBE98B9" w14:textId="0B266EC5" w:rsidR="00386290" w:rsidRDefault="00386290" w:rsidP="00F76073">
            <w:pPr>
              <w:spacing w:line="240" w:lineRule="auto"/>
              <w:ind w:left="720" w:right="1057"/>
              <w:rPr>
                <w:rFonts w:eastAsia="Bookman Old Style" w:cs="Arial"/>
                <w:sz w:val="17"/>
                <w:szCs w:val="17"/>
              </w:rPr>
            </w:pPr>
            <w:r w:rsidRPr="00057ED8">
              <w:rPr>
                <w:rFonts w:cs="Arial"/>
                <w:sz w:val="17"/>
                <w:szCs w:val="17"/>
              </w:rPr>
              <w:t>W</w:t>
            </w:r>
            <w:r w:rsidRPr="00057ED8">
              <w:rPr>
                <w:rFonts w:eastAsia="Bookman Old Style" w:cs="Arial"/>
                <w:sz w:val="17"/>
                <w:szCs w:val="17"/>
              </w:rPr>
              <w:t xml:space="preserve">hile </w:t>
            </w:r>
            <w:r w:rsidR="00A61D61">
              <w:rPr>
                <w:rFonts w:eastAsia="Bookman Old Style" w:cs="Arial"/>
                <w:sz w:val="17"/>
                <w:szCs w:val="17"/>
              </w:rPr>
              <w:t>Insurance Europe</w:t>
            </w:r>
            <w:r w:rsidR="00775B67" w:rsidRPr="00057ED8">
              <w:rPr>
                <w:rFonts w:eastAsia="Bookman Old Style" w:cs="Arial"/>
                <w:sz w:val="17"/>
                <w:szCs w:val="17"/>
              </w:rPr>
              <w:t xml:space="preserve"> agree</w:t>
            </w:r>
            <w:r w:rsidR="00A61D61">
              <w:rPr>
                <w:rFonts w:eastAsia="Bookman Old Style" w:cs="Arial"/>
                <w:sz w:val="17"/>
                <w:szCs w:val="17"/>
              </w:rPr>
              <w:t>s</w:t>
            </w:r>
            <w:r w:rsidR="00775B67" w:rsidRPr="00057ED8">
              <w:rPr>
                <w:rFonts w:eastAsia="Bookman Old Style" w:cs="Arial"/>
                <w:sz w:val="17"/>
                <w:szCs w:val="17"/>
              </w:rPr>
              <w:t xml:space="preserve"> that </w:t>
            </w:r>
            <w:r w:rsidRPr="00057ED8">
              <w:rPr>
                <w:rFonts w:eastAsia="Bookman Old Style" w:cs="Arial"/>
                <w:sz w:val="17"/>
                <w:szCs w:val="17"/>
              </w:rPr>
              <w:t xml:space="preserve">the proposed disclosure requirements would capture </w:t>
            </w:r>
            <w:r w:rsidR="00CB2853">
              <w:rPr>
                <w:rFonts w:eastAsia="Bookman Old Style" w:cs="Arial"/>
                <w:sz w:val="17"/>
                <w:szCs w:val="17"/>
              </w:rPr>
              <w:t xml:space="preserve">the </w:t>
            </w:r>
            <w:r w:rsidRPr="00057ED8">
              <w:rPr>
                <w:rFonts w:eastAsia="Bookman Old Style" w:cs="Arial"/>
                <w:sz w:val="17"/>
                <w:szCs w:val="17"/>
              </w:rPr>
              <w:t>(financial) effects of decarboni</w:t>
            </w:r>
            <w:r w:rsidR="00CB2853">
              <w:rPr>
                <w:rFonts w:eastAsia="Bookman Old Style" w:cs="Arial"/>
                <w:sz w:val="17"/>
                <w:szCs w:val="17"/>
              </w:rPr>
              <w:t>s</w:t>
            </w:r>
            <w:r w:rsidRPr="00057ED8">
              <w:rPr>
                <w:rFonts w:eastAsia="Bookman Old Style" w:cs="Arial"/>
                <w:sz w:val="17"/>
                <w:szCs w:val="17"/>
              </w:rPr>
              <w:t>ation, they would not capture information on the actual underlying drivers of decarboni</w:t>
            </w:r>
            <w:r w:rsidR="00AF4A8B">
              <w:rPr>
                <w:rFonts w:eastAsia="Bookman Old Style" w:cs="Arial"/>
                <w:sz w:val="17"/>
                <w:szCs w:val="17"/>
              </w:rPr>
              <w:t>s</w:t>
            </w:r>
            <w:r w:rsidRPr="00057ED8">
              <w:rPr>
                <w:rFonts w:eastAsia="Bookman Old Style" w:cs="Arial"/>
                <w:sz w:val="17"/>
                <w:szCs w:val="17"/>
              </w:rPr>
              <w:t>ation. Also, further/more specific guidance is needed on how exactly carbon accounting should be done. Likewise, it would be helpful if the ISSB provided recommendations on the different tools and models that can support the achievement of long-term</w:t>
            </w:r>
            <w:r w:rsidR="009D0188">
              <w:rPr>
                <w:rFonts w:eastAsia="Bookman Old Style" w:cs="Arial"/>
                <w:sz w:val="17"/>
                <w:szCs w:val="17"/>
              </w:rPr>
              <w:t>,</w:t>
            </w:r>
            <w:r w:rsidRPr="00057ED8">
              <w:rPr>
                <w:rFonts w:eastAsia="Bookman Old Style" w:cs="Arial"/>
                <w:sz w:val="17"/>
                <w:szCs w:val="17"/>
              </w:rPr>
              <w:t xml:space="preserve"> climate-related targets (</w:t>
            </w:r>
            <w:proofErr w:type="spellStart"/>
            <w:r w:rsidRPr="00057ED8">
              <w:rPr>
                <w:rFonts w:eastAsia="Bookman Old Style" w:cs="Arial"/>
                <w:sz w:val="17"/>
                <w:szCs w:val="17"/>
              </w:rPr>
              <w:t>eg</w:t>
            </w:r>
            <w:proofErr w:type="spellEnd"/>
            <w:r w:rsidR="009D0188">
              <w:rPr>
                <w:rFonts w:eastAsia="Bookman Old Style" w:cs="Arial"/>
                <w:sz w:val="17"/>
                <w:szCs w:val="17"/>
              </w:rPr>
              <w:t>,</w:t>
            </w:r>
            <w:r w:rsidRPr="00057ED8">
              <w:rPr>
                <w:rFonts w:eastAsia="Bookman Old Style" w:cs="Arial"/>
                <w:sz w:val="17"/>
                <w:szCs w:val="17"/>
              </w:rPr>
              <w:t xml:space="preserve"> portfolio alignment tools). Disclosure </w:t>
            </w:r>
            <w:r w:rsidR="006A36C8">
              <w:rPr>
                <w:rFonts w:eastAsia="Bookman Old Style" w:cs="Arial"/>
                <w:sz w:val="17"/>
                <w:szCs w:val="17"/>
              </w:rPr>
              <w:t>of</w:t>
            </w:r>
            <w:r w:rsidR="006A36C8" w:rsidRPr="00057ED8">
              <w:rPr>
                <w:rFonts w:eastAsia="Bookman Old Style" w:cs="Arial"/>
                <w:sz w:val="17"/>
                <w:szCs w:val="17"/>
              </w:rPr>
              <w:t xml:space="preserve"> </w:t>
            </w:r>
            <w:r w:rsidRPr="00057ED8">
              <w:rPr>
                <w:rFonts w:eastAsia="Bookman Old Style" w:cs="Arial"/>
                <w:sz w:val="17"/>
                <w:szCs w:val="17"/>
              </w:rPr>
              <w:t xml:space="preserve">these </w:t>
            </w:r>
            <w:proofErr w:type="gramStart"/>
            <w:r w:rsidRPr="00057ED8">
              <w:rPr>
                <w:rFonts w:eastAsia="Bookman Old Style" w:cs="Arial"/>
                <w:sz w:val="17"/>
                <w:szCs w:val="17"/>
              </w:rPr>
              <w:t>drives</w:t>
            </w:r>
            <w:proofErr w:type="gramEnd"/>
            <w:r w:rsidRPr="00057ED8">
              <w:rPr>
                <w:rFonts w:eastAsia="Bookman Old Style" w:cs="Arial"/>
                <w:sz w:val="17"/>
                <w:szCs w:val="17"/>
              </w:rPr>
              <w:t xml:space="preserve"> convergence in the market.</w:t>
            </w:r>
          </w:p>
          <w:p w14:paraId="0F498CF5" w14:textId="77777777" w:rsidR="007548E7" w:rsidRDefault="007548E7" w:rsidP="00F76073">
            <w:pPr>
              <w:spacing w:line="240" w:lineRule="auto"/>
              <w:ind w:left="720" w:right="1057"/>
              <w:rPr>
                <w:rFonts w:cs="Arial"/>
                <w:sz w:val="17"/>
                <w:szCs w:val="17"/>
              </w:rPr>
            </w:pPr>
          </w:p>
          <w:p w14:paraId="597C3D3B" w14:textId="1C3DEB56" w:rsidR="007548E7" w:rsidRPr="00057ED8" w:rsidRDefault="007548E7" w:rsidP="00F76073">
            <w:pPr>
              <w:spacing w:line="240" w:lineRule="auto"/>
              <w:ind w:left="720" w:right="1057"/>
              <w:rPr>
                <w:rFonts w:cs="Arial"/>
                <w:sz w:val="17"/>
                <w:szCs w:val="17"/>
              </w:rPr>
            </w:pPr>
            <w:r w:rsidRPr="007548E7">
              <w:rPr>
                <w:rFonts w:cs="Arial"/>
                <w:sz w:val="17"/>
                <w:szCs w:val="17"/>
              </w:rPr>
              <w:t xml:space="preserve">Furthermore, forward-looking assessment </w:t>
            </w:r>
            <w:r w:rsidR="00F00E20">
              <w:rPr>
                <w:rFonts w:cs="Arial"/>
                <w:sz w:val="17"/>
                <w:szCs w:val="17"/>
              </w:rPr>
              <w:t xml:space="preserve">methods need further development to generate </w:t>
            </w:r>
            <w:r w:rsidRPr="007548E7">
              <w:rPr>
                <w:rFonts w:cs="Arial"/>
                <w:sz w:val="17"/>
                <w:szCs w:val="17"/>
              </w:rPr>
              <w:t xml:space="preserve">meaningful results. The value of qualitative assessments, particularly over longer-term horizons, should not be underestimated. In any case, the disclosure of </w:t>
            </w:r>
            <w:r w:rsidR="006A36C8">
              <w:rPr>
                <w:rFonts w:cs="Arial"/>
                <w:sz w:val="17"/>
                <w:szCs w:val="17"/>
              </w:rPr>
              <w:t>“</w:t>
            </w:r>
            <w:r w:rsidRPr="007548E7">
              <w:rPr>
                <w:rFonts w:cs="Arial"/>
                <w:sz w:val="17"/>
                <w:szCs w:val="17"/>
              </w:rPr>
              <w:t>forward-looking information</w:t>
            </w:r>
            <w:r w:rsidR="006A36C8">
              <w:rPr>
                <w:rFonts w:cs="Arial"/>
                <w:sz w:val="17"/>
                <w:szCs w:val="17"/>
              </w:rPr>
              <w:t>”</w:t>
            </w:r>
            <w:r w:rsidRPr="007548E7">
              <w:rPr>
                <w:rFonts w:cs="Arial"/>
                <w:sz w:val="17"/>
                <w:szCs w:val="17"/>
              </w:rPr>
              <w:t xml:space="preserve"> needs to be limited to companies</w:t>
            </w:r>
            <w:r w:rsidR="00850DA6">
              <w:rPr>
                <w:rFonts w:cs="Arial"/>
                <w:sz w:val="17"/>
                <w:szCs w:val="17"/>
              </w:rPr>
              <w:t>’</w:t>
            </w:r>
            <w:r w:rsidRPr="007548E7">
              <w:rPr>
                <w:rFonts w:cs="Arial"/>
                <w:sz w:val="17"/>
                <w:szCs w:val="17"/>
              </w:rPr>
              <w:t xml:space="preserve"> material exposures, respect data availability and not have a confidential, proprietary or </w:t>
            </w:r>
            <w:r w:rsidR="00766D79">
              <w:rPr>
                <w:rFonts w:cs="Arial"/>
                <w:sz w:val="17"/>
                <w:szCs w:val="17"/>
              </w:rPr>
              <w:t>commercially</w:t>
            </w:r>
            <w:r w:rsidRPr="007548E7">
              <w:rPr>
                <w:rFonts w:cs="Arial"/>
                <w:sz w:val="17"/>
                <w:szCs w:val="17"/>
              </w:rPr>
              <w:t xml:space="preserve"> sensitive nature.</w:t>
            </w:r>
          </w:p>
          <w:p w14:paraId="69E10F13" w14:textId="16F5DF6E" w:rsidR="00386290" w:rsidRPr="00057ED8" w:rsidRDefault="00386290" w:rsidP="00FF60BB">
            <w:pPr>
              <w:pStyle w:val="Odsekzoznamu"/>
              <w:ind w:left="720" w:firstLine="0"/>
              <w:rPr>
                <w:szCs w:val="17"/>
                <w:lang w:val="en-GB"/>
              </w:rPr>
            </w:pPr>
          </w:p>
          <w:p w14:paraId="0EA9FBE3" w14:textId="77777777" w:rsidR="00AC5F40" w:rsidRPr="00AC5F40" w:rsidRDefault="0090167B" w:rsidP="00AC5F40">
            <w:pPr>
              <w:pStyle w:val="Odsekzoznamu"/>
              <w:numPr>
                <w:ilvl w:val="0"/>
                <w:numId w:val="44"/>
              </w:numPr>
              <w:rPr>
                <w:szCs w:val="17"/>
              </w:rPr>
            </w:pPr>
            <w:r w:rsidRPr="00057ED8">
              <w:rPr>
                <w:szCs w:val="17"/>
                <w:highlight w:val="cyan"/>
                <w:lang w:val="en-GB"/>
              </w:rPr>
              <w:t>Broadly agree</w:t>
            </w:r>
            <w:r w:rsidRPr="00057ED8">
              <w:rPr>
                <w:szCs w:val="17"/>
                <w:lang w:val="en-GB"/>
              </w:rPr>
              <w:t xml:space="preserve"> / broadly disagree / other</w:t>
            </w:r>
          </w:p>
          <w:p w14:paraId="1B4A9795" w14:textId="55E4622C" w:rsidR="00AC5F40" w:rsidRDefault="00AC5F40" w:rsidP="00AC5F40">
            <w:pPr>
              <w:pStyle w:val="Odsekzoznamu"/>
              <w:ind w:left="720" w:firstLine="0"/>
              <w:rPr>
                <w:szCs w:val="17"/>
              </w:rPr>
            </w:pPr>
            <w:r w:rsidRPr="00AC5F40">
              <w:rPr>
                <w:szCs w:val="17"/>
              </w:rPr>
              <w:t xml:space="preserve">While </w:t>
            </w:r>
            <w:r w:rsidR="00DE4316">
              <w:rPr>
                <w:szCs w:val="17"/>
              </w:rPr>
              <w:t>Insuranc</w:t>
            </w:r>
            <w:r w:rsidRPr="00AC5F40">
              <w:rPr>
                <w:szCs w:val="17"/>
              </w:rPr>
              <w:t>e</w:t>
            </w:r>
            <w:r w:rsidR="00DE4316">
              <w:rPr>
                <w:szCs w:val="17"/>
              </w:rPr>
              <w:t xml:space="preserve"> Europe</w:t>
            </w:r>
            <w:r w:rsidRPr="00AC5F40">
              <w:rPr>
                <w:szCs w:val="17"/>
              </w:rPr>
              <w:t xml:space="preserve"> generally agree</w:t>
            </w:r>
            <w:r w:rsidR="00DE4316">
              <w:rPr>
                <w:szCs w:val="17"/>
              </w:rPr>
              <w:t>s</w:t>
            </w:r>
            <w:r w:rsidRPr="00AC5F40">
              <w:rPr>
                <w:szCs w:val="17"/>
              </w:rPr>
              <w:t xml:space="preserve"> with the proposed disclosure requirements for the anticipated effects of climate-related risks and opportunities on an entity’s financial position and financial performance over the short</w:t>
            </w:r>
            <w:r w:rsidR="006C2AF4">
              <w:rPr>
                <w:szCs w:val="17"/>
              </w:rPr>
              <w:t>-</w:t>
            </w:r>
            <w:r w:rsidRPr="00AC5F40">
              <w:rPr>
                <w:szCs w:val="17"/>
              </w:rPr>
              <w:t>, medium</w:t>
            </w:r>
            <w:r w:rsidR="006C2AF4">
              <w:rPr>
                <w:szCs w:val="17"/>
              </w:rPr>
              <w:t>-</w:t>
            </w:r>
            <w:r w:rsidRPr="00AC5F40">
              <w:rPr>
                <w:szCs w:val="17"/>
              </w:rPr>
              <w:t xml:space="preserve"> and long</w:t>
            </w:r>
            <w:r w:rsidR="006C2AF4">
              <w:rPr>
                <w:szCs w:val="17"/>
              </w:rPr>
              <w:t>-</w:t>
            </w:r>
            <w:r w:rsidRPr="00AC5F40">
              <w:rPr>
                <w:szCs w:val="17"/>
              </w:rPr>
              <w:t>term, it seems difficult to quantify these effects over the short</w:t>
            </w:r>
            <w:r w:rsidR="00B0071A">
              <w:rPr>
                <w:szCs w:val="17"/>
              </w:rPr>
              <w:t>-</w:t>
            </w:r>
            <w:r w:rsidRPr="00AC5F40">
              <w:rPr>
                <w:szCs w:val="17"/>
              </w:rPr>
              <w:t>, medium</w:t>
            </w:r>
            <w:r w:rsidR="00B0071A">
              <w:rPr>
                <w:szCs w:val="17"/>
              </w:rPr>
              <w:t>-</w:t>
            </w:r>
            <w:r w:rsidRPr="00AC5F40">
              <w:rPr>
                <w:szCs w:val="17"/>
              </w:rPr>
              <w:t xml:space="preserve"> and long</w:t>
            </w:r>
            <w:r w:rsidR="00B0071A">
              <w:rPr>
                <w:szCs w:val="17"/>
              </w:rPr>
              <w:t>-</w:t>
            </w:r>
            <w:r w:rsidRPr="00AC5F40">
              <w:rPr>
                <w:szCs w:val="17"/>
              </w:rPr>
              <w:t xml:space="preserve">term and in isolation, at least based on the current proposals and at this stage. Therefore, </w:t>
            </w:r>
            <w:r w:rsidR="00B47812">
              <w:rPr>
                <w:szCs w:val="17"/>
              </w:rPr>
              <w:t>Insurance Europ</w:t>
            </w:r>
            <w:r w:rsidRPr="00AC5F40">
              <w:rPr>
                <w:szCs w:val="17"/>
              </w:rPr>
              <w:t>e fully agree</w:t>
            </w:r>
            <w:r w:rsidR="00B47812">
              <w:rPr>
                <w:szCs w:val="17"/>
              </w:rPr>
              <w:t>s</w:t>
            </w:r>
            <w:r w:rsidRPr="00AC5F40">
              <w:rPr>
                <w:szCs w:val="17"/>
              </w:rPr>
              <w:t xml:space="preserve"> with the ISSB’s proposal to also allow for the disclosure of ranges or, if impossible, qualitative information for anticipated effects (please refer to </w:t>
            </w:r>
            <w:r w:rsidR="006127BD">
              <w:rPr>
                <w:szCs w:val="17"/>
              </w:rPr>
              <w:t>the</w:t>
            </w:r>
            <w:r w:rsidR="006127BD" w:rsidRPr="00AC5F40">
              <w:rPr>
                <w:szCs w:val="17"/>
              </w:rPr>
              <w:t xml:space="preserve"> </w:t>
            </w:r>
            <w:r w:rsidRPr="00AC5F40">
              <w:rPr>
                <w:szCs w:val="17"/>
              </w:rPr>
              <w:t>response to question (a)).</w:t>
            </w:r>
          </w:p>
          <w:p w14:paraId="6929CE04" w14:textId="7DC499CC" w:rsidR="00AC5F40" w:rsidRPr="00AC5F40" w:rsidRDefault="00AC5F40" w:rsidP="00AC5F40">
            <w:pPr>
              <w:pStyle w:val="Odsekzoznamu"/>
              <w:ind w:left="720" w:firstLine="0"/>
              <w:rPr>
                <w:rFonts w:eastAsia="Times New Roman" w:cs="Times New Roman"/>
                <w:sz w:val="20"/>
                <w:szCs w:val="17"/>
                <w:lang w:val="en-GB"/>
              </w:rPr>
            </w:pPr>
            <w:r w:rsidRPr="00AC5F40">
              <w:rPr>
                <w:szCs w:val="17"/>
              </w:rPr>
              <w:t>Also, further clarity on the scope of par</w:t>
            </w:r>
            <w:r w:rsidR="00F34FE6">
              <w:rPr>
                <w:szCs w:val="17"/>
              </w:rPr>
              <w:t>a</w:t>
            </w:r>
            <w:r w:rsidRPr="00AC5F40">
              <w:rPr>
                <w:szCs w:val="17"/>
              </w:rPr>
              <w:t>. 8(d) is needed. Namely, while par</w:t>
            </w:r>
            <w:r w:rsidR="00F34FE6">
              <w:rPr>
                <w:szCs w:val="17"/>
              </w:rPr>
              <w:t>a</w:t>
            </w:r>
            <w:r w:rsidRPr="00AC5F40">
              <w:rPr>
                <w:szCs w:val="17"/>
              </w:rPr>
              <w:t>. 8(d) and par</w:t>
            </w:r>
            <w:r w:rsidR="00F34FE6">
              <w:rPr>
                <w:szCs w:val="17"/>
              </w:rPr>
              <w:t>a</w:t>
            </w:r>
            <w:r w:rsidRPr="00AC5F40">
              <w:rPr>
                <w:szCs w:val="17"/>
              </w:rPr>
              <w:t>. 14 suggest that “the anticipated effects over the short, medium and long term” shall be disclosed as regards the financial position, financial performance and cash flows, par</w:t>
            </w:r>
            <w:r w:rsidR="00E80D17">
              <w:rPr>
                <w:szCs w:val="17"/>
              </w:rPr>
              <w:t>a</w:t>
            </w:r>
            <w:r w:rsidRPr="00AC5F40">
              <w:rPr>
                <w:szCs w:val="17"/>
              </w:rPr>
              <w:t xml:space="preserve">. 14(c) and (d) only refer to the financial position and financial performance (and not cash flows), respectively. </w:t>
            </w:r>
            <w:r w:rsidR="00EE5307">
              <w:rPr>
                <w:szCs w:val="17"/>
              </w:rPr>
              <w:t>Insuranc</w:t>
            </w:r>
            <w:r w:rsidRPr="00AC5F40">
              <w:rPr>
                <w:szCs w:val="17"/>
              </w:rPr>
              <w:t xml:space="preserve">e </w:t>
            </w:r>
            <w:r w:rsidR="00EE5307">
              <w:rPr>
                <w:szCs w:val="17"/>
              </w:rPr>
              <w:t xml:space="preserve">Europe </w:t>
            </w:r>
            <w:r w:rsidRPr="00AC5F40">
              <w:rPr>
                <w:szCs w:val="17"/>
              </w:rPr>
              <w:t>suggest</w:t>
            </w:r>
            <w:r w:rsidR="00EE5307">
              <w:rPr>
                <w:szCs w:val="17"/>
              </w:rPr>
              <w:t>s</w:t>
            </w:r>
            <w:r w:rsidRPr="00AC5F40">
              <w:rPr>
                <w:szCs w:val="17"/>
              </w:rPr>
              <w:t xml:space="preserve"> </w:t>
            </w:r>
            <w:r w:rsidR="00E80D17" w:rsidRPr="00AC5F40">
              <w:rPr>
                <w:szCs w:val="17"/>
              </w:rPr>
              <w:t>clarifying</w:t>
            </w:r>
            <w:r w:rsidRPr="00AC5F40">
              <w:rPr>
                <w:szCs w:val="17"/>
              </w:rPr>
              <w:t xml:space="preserve"> whether this applies </w:t>
            </w:r>
            <w:r w:rsidR="009C6F07">
              <w:rPr>
                <w:szCs w:val="17"/>
              </w:rPr>
              <w:t>to</w:t>
            </w:r>
            <w:r w:rsidR="009C6F07" w:rsidRPr="00AC5F40">
              <w:rPr>
                <w:szCs w:val="17"/>
              </w:rPr>
              <w:t xml:space="preserve"> </w:t>
            </w:r>
            <w:r w:rsidRPr="00AC5F40">
              <w:rPr>
                <w:szCs w:val="17"/>
              </w:rPr>
              <w:t>cash flows as well.</w:t>
            </w:r>
          </w:p>
          <w:p w14:paraId="20357B43" w14:textId="77777777" w:rsidR="00CF12C2" w:rsidRPr="00057ED8" w:rsidRDefault="00CF12C2" w:rsidP="00C61B54">
            <w:pPr>
              <w:rPr>
                <w:sz w:val="17"/>
                <w:szCs w:val="17"/>
              </w:rPr>
            </w:pPr>
          </w:p>
        </w:tc>
      </w:tr>
    </w:tbl>
    <w:p w14:paraId="317D6502" w14:textId="77777777" w:rsidR="00973DEE" w:rsidRPr="00057ED8" w:rsidRDefault="00973DEE" w:rsidP="003D0236">
      <w:pPr>
        <w:autoSpaceDE w:val="0"/>
        <w:autoSpaceDN w:val="0"/>
        <w:adjustRightInd w:val="0"/>
        <w:rPr>
          <w:sz w:val="17"/>
          <w:szCs w:val="17"/>
        </w:rPr>
      </w:pPr>
    </w:p>
    <w:p w14:paraId="68C7BF97" w14:textId="77777777" w:rsidR="009676E0" w:rsidRPr="00057ED8" w:rsidRDefault="009676E0" w:rsidP="003D0236">
      <w:pPr>
        <w:autoSpaceDE w:val="0"/>
        <w:autoSpaceDN w:val="0"/>
        <w:adjustRightInd w:val="0"/>
        <w:rPr>
          <w:sz w:val="17"/>
          <w:szCs w:val="17"/>
        </w:rPr>
      </w:pPr>
    </w:p>
    <w:p w14:paraId="3A582DBC" w14:textId="2097CA1B" w:rsidR="00B97B75" w:rsidRPr="00057ED8" w:rsidRDefault="00B97B75" w:rsidP="00A20516">
      <w:pPr>
        <w:rPr>
          <w:b/>
          <w:bCs/>
          <w:sz w:val="17"/>
          <w:szCs w:val="17"/>
        </w:rPr>
      </w:pPr>
      <w:r w:rsidRPr="00057ED8">
        <w:rPr>
          <w:b/>
          <w:bCs/>
          <w:sz w:val="17"/>
          <w:szCs w:val="17"/>
        </w:rPr>
        <w:t>Question 7—Climate resilience</w:t>
      </w:r>
    </w:p>
    <w:p w14:paraId="7CC4CED8" w14:textId="77777777" w:rsidR="000F305C" w:rsidRPr="00057ED8" w:rsidRDefault="000F305C" w:rsidP="00973DEE">
      <w:pPr>
        <w:rPr>
          <w:sz w:val="17"/>
          <w:szCs w:val="17"/>
        </w:rPr>
      </w:pPr>
      <w:r w:rsidRPr="00057ED8">
        <w:rPr>
          <w:sz w:val="17"/>
          <w:szCs w:val="17"/>
        </w:rPr>
        <w:t xml:space="preserve">The likelihood, magnitude and timing of climate-related risks and opportunities affecting an entity are often complex and uncertain. As a result, users of </w:t>
      </w:r>
      <w:proofErr w:type="gramStart"/>
      <w:r w:rsidRPr="00057ED8">
        <w:rPr>
          <w:sz w:val="17"/>
          <w:szCs w:val="17"/>
        </w:rPr>
        <w:t>general purpose</w:t>
      </w:r>
      <w:proofErr w:type="gramEnd"/>
      <w:r w:rsidRPr="00057ED8">
        <w:rPr>
          <w:sz w:val="17"/>
          <w:szCs w:val="17"/>
        </w:rPr>
        <w:t xml:space="preserve"> financial reporting need to understand the resilience of an entity’s strategy (including its business model) to climate change, factoring in the associated uncertainties. Paragraph 15 of the Exposure Draft therefore includes requirements related to an entity’s analysis of the resilience of its strategy to climate-related risks. These requirements focus on:</w:t>
      </w:r>
    </w:p>
    <w:p w14:paraId="25402E27" w14:textId="77777777" w:rsidR="000F305C" w:rsidRPr="00057ED8" w:rsidRDefault="000F305C" w:rsidP="005C57B0">
      <w:pPr>
        <w:pStyle w:val="CEABullet-Level1"/>
      </w:pPr>
      <w:r w:rsidRPr="00057ED8">
        <w:t>what the results of the analysis, such as impacts on the entity’s decisions and performance, should enable users to understand; and</w:t>
      </w:r>
    </w:p>
    <w:p w14:paraId="2A376769" w14:textId="77777777" w:rsidR="000F305C" w:rsidRPr="00057ED8" w:rsidRDefault="000F305C" w:rsidP="005C57B0">
      <w:pPr>
        <w:pStyle w:val="CEABullet-Level1"/>
      </w:pPr>
      <w:r w:rsidRPr="00057ED8">
        <w:t>whether the analysis has been conducted using:</w:t>
      </w:r>
    </w:p>
    <w:p w14:paraId="2A86E76F" w14:textId="77777777" w:rsidR="000F305C" w:rsidRPr="00057ED8" w:rsidRDefault="000F305C" w:rsidP="009447F7">
      <w:pPr>
        <w:pStyle w:val="CEABullet-Level2"/>
      </w:pPr>
      <w:r w:rsidRPr="00057ED8">
        <w:t>climate-related scenario analysis; or</w:t>
      </w:r>
    </w:p>
    <w:p w14:paraId="14696152" w14:textId="77777777" w:rsidR="000F305C" w:rsidRPr="00057ED8" w:rsidRDefault="000F305C" w:rsidP="009447F7">
      <w:pPr>
        <w:pStyle w:val="CEABullet-Level2"/>
      </w:pPr>
      <w:r w:rsidRPr="00057ED8">
        <w:t>an alternative technique.</w:t>
      </w:r>
    </w:p>
    <w:p w14:paraId="6F22F270" w14:textId="77777777" w:rsidR="009447F7" w:rsidRPr="00057ED8" w:rsidRDefault="009447F7" w:rsidP="00973DEE">
      <w:pPr>
        <w:rPr>
          <w:sz w:val="17"/>
          <w:szCs w:val="17"/>
        </w:rPr>
      </w:pPr>
    </w:p>
    <w:p w14:paraId="29C75205" w14:textId="226A9D58" w:rsidR="000F305C" w:rsidRPr="00057ED8" w:rsidRDefault="000F305C" w:rsidP="00973DEE">
      <w:pPr>
        <w:rPr>
          <w:sz w:val="17"/>
          <w:szCs w:val="17"/>
        </w:rPr>
      </w:pPr>
      <w:r w:rsidRPr="00057ED8">
        <w:rPr>
          <w:sz w:val="17"/>
          <w:szCs w:val="17"/>
        </w:rPr>
        <w:t xml:space="preserve">Scenario analysis is becoming increasingly well established as a tool to help entities and investors understand the potential effects of climate change on business models, strategies, financial performance and financial position. The work of the TCFD showed that investors have sought to understand the assumptions used in </w:t>
      </w:r>
      <w:r w:rsidRPr="00057ED8">
        <w:rPr>
          <w:sz w:val="17"/>
          <w:szCs w:val="17"/>
        </w:rPr>
        <w:lastRenderedPageBreak/>
        <w:t>scenario analysis, and how an entity’s findings from the analysis inform its strategy and risk- management decisions and plans. The TCFD also found that investors want to understand what the outcomes indicate about the resilience of the entity’s strategy, business model and future cash flows to a range of future climate scenarios (including whether the entity has used a scenario aligned with the latest international agreement on climate change). Corporate board committees (notably audit and risk) are also increasingly requesting entity-specific climate-related risks to be included in risk mapping with scenarios reflecting different climate outcomes and the severity of their effects.</w:t>
      </w:r>
    </w:p>
    <w:p w14:paraId="4F095738" w14:textId="77777777" w:rsidR="009447F7" w:rsidRPr="00057ED8" w:rsidRDefault="009447F7" w:rsidP="00973DEE">
      <w:pPr>
        <w:rPr>
          <w:sz w:val="17"/>
          <w:szCs w:val="17"/>
        </w:rPr>
      </w:pPr>
    </w:p>
    <w:p w14:paraId="5EA24B61" w14:textId="77777777" w:rsidR="000F305C" w:rsidRPr="00057ED8" w:rsidRDefault="000F305C" w:rsidP="00973DEE">
      <w:pPr>
        <w:rPr>
          <w:sz w:val="17"/>
          <w:szCs w:val="17"/>
        </w:rPr>
      </w:pPr>
      <w:r w:rsidRPr="00057ED8">
        <w:rPr>
          <w:sz w:val="17"/>
          <w:szCs w:val="17"/>
        </w:rPr>
        <w:t>Although scenario analysis is a widely accepted process, its application to climate- related matters in business, particularly at an individual entity level, and its application across sectors is still evolving. Some sectors, such as extractives and minerals processing, have used climate-related scenario analysis for many years; others, such as consumer goods or technology and communications, are just beginning to explore applying climate-related scenario analysis to their businesses.</w:t>
      </w:r>
    </w:p>
    <w:p w14:paraId="6C96A6FE" w14:textId="77777777" w:rsidR="009447F7" w:rsidRPr="00057ED8" w:rsidRDefault="009447F7" w:rsidP="00973DEE">
      <w:pPr>
        <w:rPr>
          <w:sz w:val="17"/>
          <w:szCs w:val="17"/>
        </w:rPr>
      </w:pPr>
    </w:p>
    <w:p w14:paraId="13329F9C" w14:textId="77777777" w:rsidR="000F305C" w:rsidRPr="00057ED8" w:rsidRDefault="000F305C" w:rsidP="00973DEE">
      <w:pPr>
        <w:rPr>
          <w:sz w:val="17"/>
          <w:szCs w:val="17"/>
        </w:rPr>
      </w:pPr>
      <w:r w:rsidRPr="00057ED8">
        <w:rPr>
          <w:sz w:val="17"/>
          <w:szCs w:val="17"/>
        </w:rPr>
        <w:t>Many entities use scenario analysis in risk management for other purposes. Where robust data and practices have developed, entities thus have the analytical capacity to undertake scenario analysis. However, at this time the application of climate-related scenario analysis for entities is still developing.</w:t>
      </w:r>
    </w:p>
    <w:p w14:paraId="512EB638" w14:textId="77777777" w:rsidR="009676E0" w:rsidRPr="00057ED8" w:rsidRDefault="009676E0" w:rsidP="003D0236">
      <w:pPr>
        <w:autoSpaceDE w:val="0"/>
        <w:autoSpaceDN w:val="0"/>
        <w:adjustRightInd w:val="0"/>
        <w:rPr>
          <w:sz w:val="17"/>
          <w:szCs w:val="17"/>
        </w:rPr>
      </w:pPr>
    </w:p>
    <w:p w14:paraId="093DB072" w14:textId="77777777" w:rsidR="006C32DC" w:rsidRPr="00057ED8" w:rsidRDefault="006C32DC" w:rsidP="00973DEE">
      <w:pPr>
        <w:rPr>
          <w:sz w:val="17"/>
          <w:szCs w:val="17"/>
        </w:rPr>
      </w:pPr>
      <w:r w:rsidRPr="00057ED8">
        <w:rPr>
          <w:sz w:val="17"/>
          <w:szCs w:val="17"/>
        </w:rPr>
        <w:t>Preparers raised other challenges and concerns associated with climate-related scenario analysis, including: the speculative nature of the information that scenario analysis generates, potential legal liability associated with disclosure (or miscommunication) of such information, data availability and disclosure of confidential information about an entity’s strategy. Nonetheless, by prompting the consideration of a range of possible outcomes and explicitly incorporating multiple variables, scenario analysis provides valuable information and perspectives as inputs to an entity’s strategic decision-making and risk-management processes. Accordingly, information about an entity’s scenario analysis of significant climate-related risks is important for users in assessing enterprise value.</w:t>
      </w:r>
    </w:p>
    <w:p w14:paraId="5BDA8FF7" w14:textId="77777777" w:rsidR="009447F7" w:rsidRPr="00057ED8" w:rsidRDefault="009447F7" w:rsidP="00973DEE">
      <w:pPr>
        <w:rPr>
          <w:sz w:val="17"/>
          <w:szCs w:val="17"/>
        </w:rPr>
      </w:pPr>
    </w:p>
    <w:p w14:paraId="1EA6B153" w14:textId="77777777" w:rsidR="006C32DC" w:rsidRPr="00057ED8" w:rsidRDefault="006C32DC" w:rsidP="00973DEE">
      <w:pPr>
        <w:rPr>
          <w:sz w:val="17"/>
          <w:szCs w:val="17"/>
        </w:rPr>
      </w:pPr>
      <w:r w:rsidRPr="00057ED8">
        <w:rPr>
          <w:sz w:val="17"/>
          <w:szCs w:val="17"/>
        </w:rPr>
        <w:t>The Exposure Draft proposes that an entity be required to use climate-related scenario analysis to assess its climate resilience unless it is unable to do so. If an entity is unable to use climate-related scenario analysis, it shall use an alternative method or technique to assess its climate resilience.</w:t>
      </w:r>
    </w:p>
    <w:p w14:paraId="7BED818F" w14:textId="77777777" w:rsidR="006C32DC" w:rsidRPr="00057ED8" w:rsidRDefault="006C32DC" w:rsidP="00973DEE">
      <w:pPr>
        <w:rPr>
          <w:sz w:val="17"/>
          <w:szCs w:val="17"/>
        </w:rPr>
      </w:pPr>
      <w:r w:rsidRPr="00057ED8">
        <w:rPr>
          <w:sz w:val="17"/>
          <w:szCs w:val="17"/>
        </w:rPr>
        <w:t xml:space="preserve">Requiring disclosure of information about climate-related scenario analysis as the only tool to assess an entity’s climate resilience may be considered a challenging request from the perspective of a number of preparers at this time—particularly in some sectors. Therefore, the proposed requirements are designed to accommodate alternative approaches to resilience assessment, such as qualitative analysis, single-point forecasts, sensitivity analysis and stress tests. This approach would provide preparers, including smaller entities, with relief, recognising that formal scenario analysis and related disclosure can be resource intensive, represents an iterative learning process, and may take multiple planning cycles to achieve. The Exposure Draft proposes that when an entity uses an approach other than scenario analysis, it </w:t>
      </w:r>
      <w:proofErr w:type="gramStart"/>
      <w:r w:rsidRPr="00057ED8">
        <w:rPr>
          <w:sz w:val="17"/>
          <w:szCs w:val="17"/>
        </w:rPr>
        <w:t>disclose</w:t>
      </w:r>
      <w:proofErr w:type="gramEnd"/>
      <w:r w:rsidRPr="00057ED8">
        <w:rPr>
          <w:sz w:val="17"/>
          <w:szCs w:val="17"/>
        </w:rPr>
        <w:t xml:space="preserve"> similar information to that generated by scenario analysis to provide investors with the information they need to understand the approach used and the key underlying assumptions and parameters associated with the approach and associated implications for the entity’s resilience over the short, medium and long term.</w:t>
      </w:r>
    </w:p>
    <w:p w14:paraId="6D0B24C8" w14:textId="77777777" w:rsidR="00403BE5" w:rsidRPr="00057ED8" w:rsidRDefault="00403BE5" w:rsidP="00973DEE">
      <w:pPr>
        <w:rPr>
          <w:sz w:val="17"/>
          <w:szCs w:val="17"/>
        </w:rPr>
      </w:pPr>
    </w:p>
    <w:p w14:paraId="619044EE" w14:textId="77777777" w:rsidR="006C32DC" w:rsidRPr="00057ED8" w:rsidRDefault="006C32DC" w:rsidP="00973DEE">
      <w:pPr>
        <w:rPr>
          <w:sz w:val="17"/>
          <w:szCs w:val="17"/>
        </w:rPr>
      </w:pPr>
      <w:r w:rsidRPr="00057ED8">
        <w:rPr>
          <w:sz w:val="17"/>
          <w:szCs w:val="17"/>
        </w:rPr>
        <w:t>It is, however, recommended that scenario analysis for significant climate-related risks (and opportunities) should become the preferred option to meet the information needs of users to understand the resilience of an entity’s strategy to significant climate- related risks. As a result, the Exposure Draft proposes that entities that are unable to conduct climate-related scenario analysis provide an explanation of why this analysis was not conducted. Consideration was also given to whether climate-related scenario analysis should be required by all entities with a later effective date than other proposals in the Exposure Draft.</w:t>
      </w:r>
    </w:p>
    <w:p w14:paraId="3878BBDA" w14:textId="77777777" w:rsidR="00B97B75" w:rsidRPr="00057ED8" w:rsidRDefault="00B97B75" w:rsidP="003D0236">
      <w:pPr>
        <w:autoSpaceDE w:val="0"/>
        <w:autoSpaceDN w:val="0"/>
        <w:adjustRightInd w:val="0"/>
        <w:rPr>
          <w:sz w:val="17"/>
          <w:szCs w:val="17"/>
        </w:rPr>
      </w:pPr>
    </w:p>
    <w:p w14:paraId="413DDC61" w14:textId="77777777" w:rsidR="00B941DB" w:rsidRPr="00057ED8" w:rsidRDefault="00B941DB" w:rsidP="00973DEE">
      <w:pPr>
        <w:rPr>
          <w:sz w:val="17"/>
          <w:szCs w:val="17"/>
        </w:rPr>
      </w:pPr>
      <w:r w:rsidRPr="00057ED8">
        <w:rPr>
          <w:sz w:val="17"/>
          <w:szCs w:val="17"/>
        </w:rPr>
        <w:t>Paragraphs BC86–BC95 of the Basis for Conclusions describe the reasoning behind the Exposure Draft’s proposals.</w:t>
      </w:r>
    </w:p>
    <w:p w14:paraId="7D3C3A52" w14:textId="77777777" w:rsidR="00B941DB" w:rsidRPr="00057ED8" w:rsidRDefault="00B941DB" w:rsidP="00812D6D">
      <w:pPr>
        <w:pStyle w:val="Odsekzoznamu"/>
        <w:numPr>
          <w:ilvl w:val="0"/>
          <w:numId w:val="20"/>
        </w:numPr>
        <w:spacing w:before="0" w:line="288" w:lineRule="auto"/>
        <w:rPr>
          <w:szCs w:val="17"/>
          <w:lang w:val="en-GB"/>
        </w:rPr>
      </w:pPr>
      <w:r w:rsidRPr="00057ED8">
        <w:rPr>
          <w:szCs w:val="17"/>
          <w:lang w:val="en-GB"/>
        </w:rPr>
        <w:t>Do you agree that the items listed in paragraph 15(a) reflect what users need to understand about the climate resilience of an entity’s strategy? Why or why not? If not, what do you suggest instead and why?</w:t>
      </w:r>
    </w:p>
    <w:p w14:paraId="2CE36AC7" w14:textId="77777777" w:rsidR="0003628D" w:rsidRPr="00057ED8" w:rsidRDefault="0003628D" w:rsidP="0003628D">
      <w:pPr>
        <w:pStyle w:val="Odsekzoznamu"/>
        <w:spacing w:before="0" w:line="288" w:lineRule="auto"/>
        <w:ind w:left="720" w:firstLine="0"/>
        <w:rPr>
          <w:szCs w:val="17"/>
          <w:lang w:val="en-GB"/>
        </w:rPr>
      </w:pPr>
    </w:p>
    <w:p w14:paraId="0A9647C4" w14:textId="77777777" w:rsidR="00B941DB" w:rsidRPr="00057ED8" w:rsidRDefault="00B941DB" w:rsidP="00812D6D">
      <w:pPr>
        <w:pStyle w:val="Odsekzoznamu"/>
        <w:numPr>
          <w:ilvl w:val="0"/>
          <w:numId w:val="20"/>
        </w:numPr>
        <w:spacing w:before="0" w:line="288" w:lineRule="auto"/>
        <w:rPr>
          <w:szCs w:val="17"/>
          <w:lang w:val="en-GB"/>
        </w:rPr>
      </w:pPr>
      <w:r w:rsidRPr="00057ED8">
        <w:rPr>
          <w:szCs w:val="17"/>
          <w:lang w:val="en-GB"/>
        </w:rPr>
        <w:t>The Exposure Draft proposes that if an entity is unable to perform climate- related scenario analysis, that it can use alternative methods or techniques (for example, qualitative analysis, single-point forecasts, sensitivity analysis and stress tests) instead of scenario analysis to assess the climate resilience of its strategy.</w:t>
      </w:r>
    </w:p>
    <w:p w14:paraId="424BD3F0" w14:textId="4DCD7561" w:rsidR="00B941DB" w:rsidRPr="00057ED8" w:rsidRDefault="00B941DB" w:rsidP="00812D6D">
      <w:pPr>
        <w:pStyle w:val="Odsekzoznamu"/>
        <w:numPr>
          <w:ilvl w:val="0"/>
          <w:numId w:val="21"/>
        </w:numPr>
        <w:spacing w:before="0" w:line="288" w:lineRule="auto"/>
        <w:rPr>
          <w:szCs w:val="17"/>
          <w:lang w:val="en-GB"/>
        </w:rPr>
      </w:pPr>
      <w:r w:rsidRPr="00057ED8">
        <w:rPr>
          <w:szCs w:val="17"/>
          <w:lang w:val="en-GB"/>
        </w:rPr>
        <w:t>Do you agree with this proposal? Why or why not?</w:t>
      </w:r>
    </w:p>
    <w:p w14:paraId="720E7EB1" w14:textId="77777777" w:rsidR="00B941DB" w:rsidRPr="00057ED8" w:rsidRDefault="00B941DB" w:rsidP="00812D6D">
      <w:pPr>
        <w:pStyle w:val="Odsekzoznamu"/>
        <w:numPr>
          <w:ilvl w:val="0"/>
          <w:numId w:val="21"/>
        </w:numPr>
        <w:spacing w:before="0" w:line="288" w:lineRule="auto"/>
        <w:rPr>
          <w:szCs w:val="17"/>
          <w:lang w:val="en-GB"/>
        </w:rPr>
      </w:pPr>
      <w:r w:rsidRPr="00057ED8">
        <w:rPr>
          <w:szCs w:val="17"/>
          <w:lang w:val="en-GB"/>
        </w:rPr>
        <w:t>Do you agree with the proposal that an entity that is unable to use climate-related scenario analysis to assess the climate resilience of its strategy be required to disclose the reason why? Why or why not?</w:t>
      </w:r>
    </w:p>
    <w:p w14:paraId="311F4AB5" w14:textId="77777777" w:rsidR="00B941DB" w:rsidRPr="00057ED8" w:rsidRDefault="00B941DB" w:rsidP="00812D6D">
      <w:pPr>
        <w:pStyle w:val="Odsekzoznamu"/>
        <w:numPr>
          <w:ilvl w:val="0"/>
          <w:numId w:val="21"/>
        </w:numPr>
        <w:spacing w:before="0" w:line="288" w:lineRule="auto"/>
        <w:rPr>
          <w:szCs w:val="17"/>
          <w:lang w:val="en-GB"/>
        </w:rPr>
      </w:pPr>
      <w:r w:rsidRPr="00057ED8">
        <w:rPr>
          <w:szCs w:val="17"/>
          <w:lang w:val="en-GB"/>
        </w:rPr>
        <w:t>Alternatively, should all entities be required to undertake climate-related scenario analysis to assess climate resilience? If mandatory application were required, would this affect your response to Question 14(c) and if so, why?</w:t>
      </w:r>
    </w:p>
    <w:p w14:paraId="5E4D38BA" w14:textId="77777777" w:rsidR="0003628D" w:rsidRPr="00057ED8" w:rsidRDefault="0003628D" w:rsidP="0003628D">
      <w:pPr>
        <w:pStyle w:val="Odsekzoznamu"/>
        <w:spacing w:before="0" w:line="288" w:lineRule="auto"/>
        <w:ind w:left="720" w:firstLine="0"/>
        <w:rPr>
          <w:szCs w:val="17"/>
          <w:lang w:val="en-GB"/>
        </w:rPr>
      </w:pPr>
    </w:p>
    <w:p w14:paraId="1881C5B7" w14:textId="7825D444" w:rsidR="00B941DB" w:rsidRPr="00057ED8" w:rsidRDefault="00B941DB" w:rsidP="00812D6D">
      <w:pPr>
        <w:pStyle w:val="Odsekzoznamu"/>
        <w:numPr>
          <w:ilvl w:val="0"/>
          <w:numId w:val="20"/>
        </w:numPr>
        <w:spacing w:before="0" w:line="288" w:lineRule="auto"/>
        <w:rPr>
          <w:szCs w:val="17"/>
          <w:lang w:val="en-GB"/>
        </w:rPr>
      </w:pPr>
      <w:r w:rsidRPr="00057ED8">
        <w:rPr>
          <w:szCs w:val="17"/>
          <w:lang w:val="en-GB"/>
        </w:rPr>
        <w:t>Do you agree with the proposed disclosures about an entity’s climate-related scenario analysis? Why or why not?</w:t>
      </w:r>
    </w:p>
    <w:p w14:paraId="429C873C" w14:textId="77777777" w:rsidR="0003628D" w:rsidRPr="00057ED8" w:rsidRDefault="0003628D" w:rsidP="0003628D">
      <w:pPr>
        <w:pStyle w:val="Odsekzoznamu"/>
        <w:spacing w:before="0" w:line="288" w:lineRule="auto"/>
        <w:ind w:left="720" w:firstLine="0"/>
        <w:rPr>
          <w:szCs w:val="17"/>
          <w:lang w:val="en-GB"/>
        </w:rPr>
      </w:pPr>
    </w:p>
    <w:p w14:paraId="458ACDA7" w14:textId="77777777" w:rsidR="00B941DB" w:rsidRPr="00057ED8" w:rsidRDefault="00B941DB" w:rsidP="00812D6D">
      <w:pPr>
        <w:pStyle w:val="Odsekzoznamu"/>
        <w:numPr>
          <w:ilvl w:val="0"/>
          <w:numId w:val="20"/>
        </w:numPr>
        <w:spacing w:before="0" w:line="288" w:lineRule="auto"/>
        <w:rPr>
          <w:szCs w:val="17"/>
          <w:lang w:val="en-GB"/>
        </w:rPr>
      </w:pPr>
      <w:r w:rsidRPr="00057ED8">
        <w:rPr>
          <w:szCs w:val="17"/>
          <w:lang w:val="en-GB"/>
        </w:rPr>
        <w:t>Do you agree with the proposed disclosure about alternative techniques (for example, qualitative analysis, single-point forecasts, sensitivity analysis and stress tests) used for the assessment of the climate resilience of an entity’s strategy? Why or why not?</w:t>
      </w:r>
    </w:p>
    <w:p w14:paraId="2FE57C95" w14:textId="77777777" w:rsidR="0003628D" w:rsidRPr="00057ED8" w:rsidRDefault="0003628D" w:rsidP="0003628D">
      <w:pPr>
        <w:pStyle w:val="Odsekzoznamu"/>
        <w:rPr>
          <w:szCs w:val="17"/>
          <w:lang w:val="en-GB"/>
        </w:rPr>
      </w:pPr>
    </w:p>
    <w:p w14:paraId="79006724" w14:textId="77777777" w:rsidR="00B941DB" w:rsidRPr="00057ED8" w:rsidRDefault="00B941DB" w:rsidP="00812D6D">
      <w:pPr>
        <w:pStyle w:val="Odsekzoznamu"/>
        <w:numPr>
          <w:ilvl w:val="0"/>
          <w:numId w:val="20"/>
        </w:numPr>
        <w:spacing w:before="0" w:line="288" w:lineRule="auto"/>
        <w:rPr>
          <w:szCs w:val="17"/>
          <w:lang w:val="en-GB"/>
        </w:rPr>
      </w:pPr>
      <w:r w:rsidRPr="00057ED8">
        <w:rPr>
          <w:szCs w:val="17"/>
          <w:lang w:val="en-GB"/>
        </w:rPr>
        <w:t>Do the proposed disclosure requirements appropriately balance the costs of applying the requirements with the benefits of information on an entity’s strategic resilience to climate change? Why or why not? If not, what do you recommend and why?</w:t>
      </w:r>
    </w:p>
    <w:p w14:paraId="5586FC6C" w14:textId="77777777" w:rsidR="00B97B75" w:rsidRPr="00057ED8" w:rsidRDefault="00B97B75" w:rsidP="003D0236">
      <w:pPr>
        <w:autoSpaceDE w:val="0"/>
        <w:autoSpaceDN w:val="0"/>
        <w:adjustRightInd w:val="0"/>
        <w:rPr>
          <w:sz w:val="17"/>
          <w:szCs w:val="17"/>
        </w:rPr>
      </w:pPr>
    </w:p>
    <w:tbl>
      <w:tblPr>
        <w:tblStyle w:val="Mriekatabuky"/>
        <w:tblW w:w="0" w:type="auto"/>
        <w:tblLook w:val="04A0" w:firstRow="1" w:lastRow="0" w:firstColumn="1" w:lastColumn="0" w:noHBand="0" w:noVBand="1"/>
      </w:tblPr>
      <w:tblGrid>
        <w:gridCol w:w="9521"/>
      </w:tblGrid>
      <w:tr w:rsidR="00CF12C2" w:rsidRPr="00057ED8" w14:paraId="7C1C1CE1" w14:textId="77777777" w:rsidTr="00C61B54">
        <w:trPr>
          <w:trHeight w:val="1625"/>
        </w:trPr>
        <w:tc>
          <w:tcPr>
            <w:tcW w:w="9521" w:type="dxa"/>
          </w:tcPr>
          <w:p w14:paraId="1689BD83" w14:textId="77777777" w:rsidR="00336602" w:rsidRPr="00057ED8" w:rsidRDefault="00336602" w:rsidP="00812D6D">
            <w:pPr>
              <w:pStyle w:val="Odsekzoznamu"/>
              <w:numPr>
                <w:ilvl w:val="0"/>
                <w:numId w:val="45"/>
              </w:numPr>
              <w:rPr>
                <w:szCs w:val="17"/>
                <w:lang w:val="en-GB"/>
              </w:rPr>
            </w:pPr>
            <w:r w:rsidRPr="00057ED8">
              <w:rPr>
                <w:szCs w:val="17"/>
                <w:lang w:val="en-GB"/>
              </w:rPr>
              <w:t xml:space="preserve">Broadly agree / broadly disagree / </w:t>
            </w:r>
            <w:r w:rsidRPr="00057ED8">
              <w:rPr>
                <w:szCs w:val="17"/>
                <w:highlight w:val="cyan"/>
                <w:lang w:val="en-GB"/>
              </w:rPr>
              <w:t>other</w:t>
            </w:r>
          </w:p>
          <w:p w14:paraId="6BD6A1B8" w14:textId="66861D19" w:rsidR="00B60567" w:rsidRPr="00057ED8" w:rsidRDefault="009C6F07" w:rsidP="00E76753">
            <w:pPr>
              <w:pStyle w:val="Odsekzoznamu"/>
              <w:ind w:left="720" w:firstLine="0"/>
              <w:rPr>
                <w:szCs w:val="17"/>
                <w:lang w:val="en-GB"/>
              </w:rPr>
            </w:pPr>
            <w:r>
              <w:rPr>
                <w:szCs w:val="17"/>
                <w:lang w:val="en-GB"/>
              </w:rPr>
              <w:t>Insurance Europ</w:t>
            </w:r>
            <w:r w:rsidR="00B60567" w:rsidRPr="00057ED8">
              <w:rPr>
                <w:szCs w:val="17"/>
                <w:lang w:val="en-GB"/>
              </w:rPr>
              <w:t>e fully agree</w:t>
            </w:r>
            <w:r>
              <w:rPr>
                <w:szCs w:val="17"/>
                <w:lang w:val="en-GB"/>
              </w:rPr>
              <w:t>s</w:t>
            </w:r>
            <w:r w:rsidR="00B60567" w:rsidRPr="00057ED8">
              <w:rPr>
                <w:szCs w:val="17"/>
                <w:lang w:val="en-GB"/>
              </w:rPr>
              <w:t xml:space="preserve"> that the items listed in par</w:t>
            </w:r>
            <w:r w:rsidR="009008F5" w:rsidRPr="00057ED8">
              <w:rPr>
                <w:szCs w:val="17"/>
                <w:lang w:val="en-GB"/>
              </w:rPr>
              <w:t>a</w:t>
            </w:r>
            <w:r w:rsidR="00B60567" w:rsidRPr="00057ED8">
              <w:rPr>
                <w:szCs w:val="17"/>
                <w:lang w:val="en-GB"/>
              </w:rPr>
              <w:t xml:space="preserve">. 15(a) reflect what users need to understand about the climate resilience of an entity’s strategy. This information on companies’ climate resilience is absolutely essential to achieve the objective of </w:t>
            </w:r>
            <w:r w:rsidR="000E5CB3">
              <w:rPr>
                <w:szCs w:val="17"/>
                <w:lang w:val="en-GB"/>
              </w:rPr>
              <w:t xml:space="preserve">IFRS S1 and S2 </w:t>
            </w:r>
            <w:r w:rsidR="00B60567" w:rsidRPr="00057ED8">
              <w:rPr>
                <w:szCs w:val="17"/>
                <w:lang w:val="en-GB"/>
              </w:rPr>
              <w:t>and is clearly one of users’ fundamental information demands when it comes to climate-related reporting.</w:t>
            </w:r>
            <w:r w:rsidR="00095650">
              <w:rPr>
                <w:szCs w:val="17"/>
                <w:lang w:val="en-GB"/>
              </w:rPr>
              <w:t xml:space="preserve"> </w:t>
            </w:r>
            <w:r w:rsidR="00095650" w:rsidRPr="00E922BA">
              <w:rPr>
                <w:szCs w:val="17"/>
              </w:rPr>
              <w:t xml:space="preserve">However, reinsurers should not be required to disclose information, practices or assumptions that are proprietary and/or business sensitive </w:t>
            </w:r>
            <w:r w:rsidR="00692CF0">
              <w:rPr>
                <w:szCs w:val="17"/>
              </w:rPr>
              <w:t xml:space="preserve">when disclosing their </w:t>
            </w:r>
            <w:r w:rsidR="00095650" w:rsidRPr="00E922BA">
              <w:rPr>
                <w:szCs w:val="17"/>
              </w:rPr>
              <w:t>scenario analysis.</w:t>
            </w:r>
          </w:p>
          <w:p w14:paraId="682815C7" w14:textId="11E6AE13" w:rsidR="00BC1E46" w:rsidRPr="00057ED8" w:rsidRDefault="00BC1E46" w:rsidP="00E76753">
            <w:pPr>
              <w:pStyle w:val="Odsekzoznamu"/>
              <w:ind w:left="720" w:firstLine="0"/>
              <w:rPr>
                <w:szCs w:val="17"/>
                <w:lang w:val="en-GB"/>
              </w:rPr>
            </w:pPr>
            <w:r w:rsidRPr="00057ED8">
              <w:rPr>
                <w:szCs w:val="17"/>
                <w:lang w:val="en-GB"/>
              </w:rPr>
              <w:t xml:space="preserve">Yet, similar to </w:t>
            </w:r>
            <w:r w:rsidR="002C0FFC">
              <w:rPr>
                <w:szCs w:val="17"/>
                <w:lang w:val="en-GB"/>
              </w:rPr>
              <w:t>the</w:t>
            </w:r>
            <w:r w:rsidR="002C0FFC" w:rsidRPr="00057ED8">
              <w:rPr>
                <w:szCs w:val="17"/>
                <w:lang w:val="en-GB"/>
              </w:rPr>
              <w:t xml:space="preserve"> </w:t>
            </w:r>
            <w:r w:rsidRPr="00057ED8">
              <w:rPr>
                <w:szCs w:val="17"/>
                <w:lang w:val="en-GB"/>
              </w:rPr>
              <w:t xml:space="preserve">answer to question 5, current proposed disclosures would only capture the outside-in effects of </w:t>
            </w:r>
            <w:r w:rsidR="00A87E75">
              <w:rPr>
                <w:szCs w:val="17"/>
                <w:lang w:val="en-GB"/>
              </w:rPr>
              <w:t xml:space="preserve">the </w:t>
            </w:r>
            <w:r w:rsidRPr="00057ED8">
              <w:rPr>
                <w:szCs w:val="17"/>
                <w:lang w:val="en-GB"/>
              </w:rPr>
              <w:t>climate</w:t>
            </w:r>
            <w:r w:rsidR="00A87E75">
              <w:rPr>
                <w:szCs w:val="17"/>
                <w:lang w:val="en-GB"/>
              </w:rPr>
              <w:t>-</w:t>
            </w:r>
            <w:r w:rsidRPr="00057ED8">
              <w:rPr>
                <w:szCs w:val="17"/>
                <w:lang w:val="en-GB"/>
              </w:rPr>
              <w:t>resilience strategy of an undertaking. As many investors are today pursuing sustainable investment strategies, they are also strongly interested in the inside-out effects of a company on climate. This should also be acknowledged while assessing the climate resilience of an entity and better reflected in par</w:t>
            </w:r>
            <w:r w:rsidR="00B07D78" w:rsidRPr="00057ED8">
              <w:rPr>
                <w:szCs w:val="17"/>
                <w:lang w:val="en-GB"/>
              </w:rPr>
              <w:t>a</w:t>
            </w:r>
            <w:r w:rsidRPr="00057ED8">
              <w:rPr>
                <w:szCs w:val="17"/>
                <w:lang w:val="en-GB"/>
              </w:rPr>
              <w:t>.</w:t>
            </w:r>
            <w:r w:rsidR="000E5CB3">
              <w:rPr>
                <w:szCs w:val="17"/>
                <w:lang w:val="en-GB"/>
              </w:rPr>
              <w:t xml:space="preserve"> </w:t>
            </w:r>
            <w:r w:rsidRPr="00057ED8">
              <w:rPr>
                <w:szCs w:val="17"/>
                <w:lang w:val="en-GB"/>
              </w:rPr>
              <w:t>15(a)</w:t>
            </w:r>
            <w:r w:rsidR="00AA7FBF">
              <w:rPr>
                <w:szCs w:val="17"/>
                <w:lang w:val="en-GB"/>
              </w:rPr>
              <w:t>.</w:t>
            </w:r>
          </w:p>
          <w:p w14:paraId="3D380376" w14:textId="77777777" w:rsidR="00336602" w:rsidRPr="00057ED8" w:rsidRDefault="00336602" w:rsidP="00812D6D">
            <w:pPr>
              <w:pStyle w:val="Odsekzoznamu"/>
              <w:numPr>
                <w:ilvl w:val="0"/>
                <w:numId w:val="45"/>
              </w:numPr>
              <w:rPr>
                <w:szCs w:val="17"/>
                <w:lang w:val="en-GB"/>
              </w:rPr>
            </w:pPr>
            <w:r w:rsidRPr="00057ED8">
              <w:rPr>
                <w:szCs w:val="17"/>
                <w:highlight w:val="cyan"/>
                <w:lang w:val="en-GB"/>
              </w:rPr>
              <w:t>Broadly agree</w:t>
            </w:r>
            <w:r w:rsidRPr="00057ED8">
              <w:rPr>
                <w:szCs w:val="17"/>
                <w:lang w:val="en-GB"/>
              </w:rPr>
              <w:t xml:space="preserve"> / broadly disagree / other</w:t>
            </w:r>
          </w:p>
          <w:p w14:paraId="48E62F92" w14:textId="77777777" w:rsidR="00E205C4" w:rsidRPr="00057ED8" w:rsidRDefault="00E205C4" w:rsidP="00E205C4">
            <w:pPr>
              <w:ind w:left="360"/>
            </w:pPr>
          </w:p>
          <w:p w14:paraId="3A794B74" w14:textId="6E5446F1" w:rsidR="00E205C4" w:rsidRPr="00057ED8" w:rsidRDefault="00AA7FBF" w:rsidP="00C66967">
            <w:pPr>
              <w:pStyle w:val="Odsekzoznamu"/>
              <w:numPr>
                <w:ilvl w:val="0"/>
                <w:numId w:val="54"/>
              </w:numPr>
              <w:rPr>
                <w:szCs w:val="17"/>
                <w:lang w:val="en-GB"/>
              </w:rPr>
            </w:pPr>
            <w:r>
              <w:rPr>
                <w:szCs w:val="17"/>
                <w:lang w:val="en-GB"/>
              </w:rPr>
              <w:t>Insurance Europ</w:t>
            </w:r>
            <w:r w:rsidR="00E205C4" w:rsidRPr="00057ED8">
              <w:rPr>
                <w:szCs w:val="17"/>
                <w:lang w:val="en-GB"/>
              </w:rPr>
              <w:t>e agree</w:t>
            </w:r>
            <w:r>
              <w:rPr>
                <w:szCs w:val="17"/>
                <w:lang w:val="en-GB"/>
              </w:rPr>
              <w:t>s</w:t>
            </w:r>
            <w:r w:rsidR="00E205C4" w:rsidRPr="00057ED8">
              <w:rPr>
                <w:szCs w:val="17"/>
                <w:lang w:val="en-GB"/>
              </w:rPr>
              <w:t xml:space="preserve"> with the proposal. If entit</w:t>
            </w:r>
            <w:r w:rsidR="000356B2" w:rsidRPr="00057ED8">
              <w:rPr>
                <w:szCs w:val="17"/>
                <w:lang w:val="en-GB"/>
              </w:rPr>
              <w:t>i</w:t>
            </w:r>
            <w:r w:rsidR="00E205C4" w:rsidRPr="00057ED8">
              <w:rPr>
                <w:szCs w:val="17"/>
                <w:lang w:val="en-GB"/>
              </w:rPr>
              <w:t xml:space="preserve">es are unable to perform climate-related scenario analysis due to lack of maturity on these issues, they should be allowed to use alternative techniques, provided that they explain </w:t>
            </w:r>
            <w:r w:rsidR="0001777B">
              <w:rPr>
                <w:szCs w:val="17"/>
                <w:lang w:val="en-GB"/>
              </w:rPr>
              <w:t xml:space="preserve">them </w:t>
            </w:r>
            <w:r w:rsidR="00E205C4" w:rsidRPr="00057ED8">
              <w:rPr>
                <w:szCs w:val="17"/>
                <w:lang w:val="en-GB"/>
              </w:rPr>
              <w:t xml:space="preserve">in detail. </w:t>
            </w:r>
          </w:p>
          <w:p w14:paraId="798B4144" w14:textId="3232743A" w:rsidR="00CE3955" w:rsidRDefault="0001777B" w:rsidP="00CE3955">
            <w:pPr>
              <w:pStyle w:val="Odsekzoznamu"/>
              <w:numPr>
                <w:ilvl w:val="0"/>
                <w:numId w:val="54"/>
              </w:numPr>
              <w:rPr>
                <w:szCs w:val="17"/>
                <w:lang w:val="en-GB"/>
              </w:rPr>
            </w:pPr>
            <w:r>
              <w:rPr>
                <w:szCs w:val="17"/>
                <w:lang w:val="en-GB"/>
              </w:rPr>
              <w:t>Insurance Europ</w:t>
            </w:r>
            <w:r w:rsidR="00E205C4" w:rsidRPr="00057ED8">
              <w:rPr>
                <w:szCs w:val="17"/>
                <w:lang w:val="en-GB"/>
              </w:rPr>
              <w:t>e agree</w:t>
            </w:r>
            <w:r>
              <w:rPr>
                <w:szCs w:val="17"/>
                <w:lang w:val="en-GB"/>
              </w:rPr>
              <w:t>s</w:t>
            </w:r>
            <w:r w:rsidR="00E205C4" w:rsidRPr="00057ED8">
              <w:rPr>
                <w:szCs w:val="17"/>
                <w:lang w:val="en-GB"/>
              </w:rPr>
              <w:t xml:space="preserve"> with the proposal that an entity that is unable to use climate-related scenario analysis be provided to explain the reasons why. It should also explain the actions taken to be able to perform scenario analysis in a defined timeframe.</w:t>
            </w:r>
            <w:r w:rsidR="00CE3955">
              <w:rPr>
                <w:szCs w:val="17"/>
                <w:lang w:val="en-GB"/>
              </w:rPr>
              <w:t xml:space="preserve"> </w:t>
            </w:r>
          </w:p>
          <w:p w14:paraId="5A506134" w14:textId="4477349A" w:rsidR="00E205C4" w:rsidRPr="00CE3955" w:rsidRDefault="00CE3955" w:rsidP="00BB4FB0">
            <w:pPr>
              <w:pStyle w:val="Odsekzoznamu"/>
              <w:ind w:left="1440" w:firstLine="0"/>
              <w:rPr>
                <w:szCs w:val="17"/>
                <w:lang w:val="en-GB"/>
              </w:rPr>
            </w:pPr>
            <w:r w:rsidRPr="00CE3955">
              <w:rPr>
                <w:szCs w:val="17"/>
              </w:rPr>
              <w:t>In addition, guidance is needed on when a company would be deemed unable to use climate-related scenario analysis to assess the climate resilience of its strategy and/or under which circumstances this would be expected, as otherwise this might be considered an easy-to-circumvent “comply or explain” appr</w:t>
            </w:r>
            <w:r w:rsidRPr="00AB7779">
              <w:rPr>
                <w:szCs w:val="17"/>
              </w:rPr>
              <w:t>oach.</w:t>
            </w:r>
            <w:r w:rsidR="00E205C4" w:rsidRPr="00961DC1">
              <w:rPr>
                <w:szCs w:val="17"/>
                <w:lang w:val="en-GB"/>
              </w:rPr>
              <w:t xml:space="preserve"> </w:t>
            </w:r>
          </w:p>
          <w:p w14:paraId="5339F33A" w14:textId="211DAD52" w:rsidR="00CB010D" w:rsidRPr="00057ED8" w:rsidRDefault="006F44E4" w:rsidP="00C66967">
            <w:pPr>
              <w:pStyle w:val="Odsekzoznamu"/>
              <w:numPr>
                <w:ilvl w:val="0"/>
                <w:numId w:val="54"/>
              </w:numPr>
              <w:rPr>
                <w:szCs w:val="17"/>
                <w:lang w:val="en-GB"/>
              </w:rPr>
            </w:pPr>
            <w:r w:rsidRPr="00057ED8">
              <w:rPr>
                <w:szCs w:val="17"/>
                <w:lang w:val="en-GB"/>
              </w:rPr>
              <w:t xml:space="preserve">From </w:t>
            </w:r>
            <w:r w:rsidR="006F4282">
              <w:rPr>
                <w:szCs w:val="17"/>
                <w:lang w:val="en-GB"/>
              </w:rPr>
              <w:t>Insurance Europe’s</w:t>
            </w:r>
            <w:r w:rsidR="006F4282" w:rsidRPr="00057ED8">
              <w:rPr>
                <w:szCs w:val="17"/>
                <w:lang w:val="en-GB"/>
              </w:rPr>
              <w:t xml:space="preserve"> </w:t>
            </w:r>
            <w:r w:rsidRPr="00057ED8">
              <w:rPr>
                <w:szCs w:val="17"/>
                <w:lang w:val="en-GB"/>
              </w:rPr>
              <w:t>point of view, all entities should be treated equally with regards to disclosure requirements.</w:t>
            </w:r>
            <w:r w:rsidR="00E9374A">
              <w:rPr>
                <w:szCs w:val="17"/>
                <w:lang w:val="en-GB"/>
              </w:rPr>
              <w:t xml:space="preserve"> Consequently, there should at least be </w:t>
            </w:r>
            <w:r w:rsidR="00E9374A">
              <w:rPr>
                <w:szCs w:val="17"/>
                <w:lang w:val="en-GB"/>
              </w:rPr>
              <w:lastRenderedPageBreak/>
              <w:t>common minimum requirements on the disclosure o</w:t>
            </w:r>
            <w:r w:rsidR="007F1FF1">
              <w:rPr>
                <w:szCs w:val="17"/>
                <w:lang w:val="en-GB"/>
              </w:rPr>
              <w:t>f</w:t>
            </w:r>
            <w:r w:rsidR="00E9374A">
              <w:rPr>
                <w:szCs w:val="17"/>
                <w:lang w:val="en-GB"/>
              </w:rPr>
              <w:t xml:space="preserve"> climate</w:t>
            </w:r>
            <w:r w:rsidR="007F1FF1">
              <w:rPr>
                <w:szCs w:val="17"/>
                <w:lang w:val="en-GB"/>
              </w:rPr>
              <w:t>-</w:t>
            </w:r>
            <w:r w:rsidR="00E9374A">
              <w:rPr>
                <w:szCs w:val="17"/>
                <w:lang w:val="en-GB"/>
              </w:rPr>
              <w:t>scenario analy</w:t>
            </w:r>
            <w:r w:rsidR="0065161A">
              <w:rPr>
                <w:szCs w:val="17"/>
                <w:lang w:val="en-GB"/>
              </w:rPr>
              <w:t>sis in the future.</w:t>
            </w:r>
          </w:p>
          <w:p w14:paraId="1078A2C2" w14:textId="77777777" w:rsidR="00E205C4" w:rsidRPr="00057ED8" w:rsidRDefault="00E205C4" w:rsidP="00C66967">
            <w:pPr>
              <w:ind w:left="360"/>
              <w:rPr>
                <w:szCs w:val="17"/>
              </w:rPr>
            </w:pPr>
          </w:p>
          <w:p w14:paraId="28E99A8A" w14:textId="77777777" w:rsidR="00336602" w:rsidRPr="00057ED8" w:rsidRDefault="00336602" w:rsidP="00812D6D">
            <w:pPr>
              <w:pStyle w:val="Odsekzoznamu"/>
              <w:numPr>
                <w:ilvl w:val="0"/>
                <w:numId w:val="45"/>
              </w:numPr>
              <w:rPr>
                <w:szCs w:val="17"/>
                <w:lang w:val="en-GB"/>
              </w:rPr>
            </w:pPr>
            <w:r w:rsidRPr="00057ED8">
              <w:rPr>
                <w:szCs w:val="17"/>
                <w:lang w:val="en-GB"/>
              </w:rPr>
              <w:t xml:space="preserve">Broadly agree / </w:t>
            </w:r>
            <w:r w:rsidRPr="00057ED8">
              <w:rPr>
                <w:szCs w:val="17"/>
                <w:highlight w:val="cyan"/>
                <w:lang w:val="en-GB"/>
              </w:rPr>
              <w:t>broadly disagree</w:t>
            </w:r>
            <w:r w:rsidRPr="00057ED8">
              <w:rPr>
                <w:szCs w:val="17"/>
                <w:lang w:val="en-GB"/>
              </w:rPr>
              <w:t xml:space="preserve"> / other</w:t>
            </w:r>
          </w:p>
          <w:p w14:paraId="27421EEA" w14:textId="28D7F12C" w:rsidR="00A4438D" w:rsidRPr="00057ED8" w:rsidRDefault="00A4438D" w:rsidP="00A4438D">
            <w:pPr>
              <w:pStyle w:val="Odsekzoznamu"/>
              <w:ind w:left="720" w:firstLine="0"/>
              <w:rPr>
                <w:szCs w:val="17"/>
                <w:lang w:val="en-GB"/>
              </w:rPr>
            </w:pPr>
            <w:r w:rsidRPr="00057ED8">
              <w:rPr>
                <w:szCs w:val="17"/>
                <w:lang w:val="en-GB"/>
              </w:rPr>
              <w:t xml:space="preserve">Generally, </w:t>
            </w:r>
            <w:r w:rsidR="007F1FF1">
              <w:rPr>
                <w:szCs w:val="17"/>
                <w:lang w:val="en-GB"/>
              </w:rPr>
              <w:t>Insurance Europ</w:t>
            </w:r>
            <w:r w:rsidRPr="00057ED8">
              <w:rPr>
                <w:szCs w:val="17"/>
                <w:lang w:val="en-GB"/>
              </w:rPr>
              <w:t>e support</w:t>
            </w:r>
            <w:r w:rsidR="007F1FF1">
              <w:rPr>
                <w:szCs w:val="17"/>
                <w:lang w:val="en-GB"/>
              </w:rPr>
              <w:t>s</w:t>
            </w:r>
            <w:r w:rsidRPr="00057ED8">
              <w:rPr>
                <w:szCs w:val="17"/>
                <w:lang w:val="en-GB"/>
              </w:rPr>
              <w:t xml:space="preserve"> the proposed disclosures about an entity’s climate-related scenario analysis.</w:t>
            </w:r>
          </w:p>
          <w:p w14:paraId="12C4A998" w14:textId="74F9A9F8" w:rsidR="00A4438D" w:rsidRDefault="00A4438D" w:rsidP="00C66967">
            <w:pPr>
              <w:pStyle w:val="Odsekzoznamu"/>
              <w:ind w:left="720" w:firstLine="0"/>
              <w:rPr>
                <w:szCs w:val="17"/>
                <w:lang w:val="en-GB"/>
              </w:rPr>
            </w:pPr>
            <w:r w:rsidRPr="00057ED8">
              <w:rPr>
                <w:szCs w:val="17"/>
                <w:lang w:val="en-GB"/>
              </w:rPr>
              <w:t xml:space="preserve">In addition, as mentioned in question 7a, investors are interested in how an undertaking can have a positive or negative impact on climate with regards </w:t>
            </w:r>
            <w:r w:rsidR="004909AE">
              <w:rPr>
                <w:szCs w:val="17"/>
                <w:lang w:val="en-GB"/>
              </w:rPr>
              <w:t xml:space="preserve">to </w:t>
            </w:r>
            <w:r w:rsidRPr="00057ED8">
              <w:rPr>
                <w:szCs w:val="17"/>
                <w:lang w:val="en-GB"/>
              </w:rPr>
              <w:t xml:space="preserve">resilience. To this </w:t>
            </w:r>
            <w:r w:rsidR="00FA0F4B">
              <w:rPr>
                <w:szCs w:val="17"/>
                <w:lang w:val="en-GB"/>
              </w:rPr>
              <w:t>end</w:t>
            </w:r>
            <w:r w:rsidRPr="00057ED8">
              <w:rPr>
                <w:szCs w:val="17"/>
                <w:lang w:val="en-GB"/>
              </w:rPr>
              <w:t>, information related to climate</w:t>
            </w:r>
            <w:r w:rsidR="00D565C1">
              <w:rPr>
                <w:szCs w:val="17"/>
                <w:lang w:val="en-GB"/>
              </w:rPr>
              <w:t>-</w:t>
            </w:r>
            <w:r w:rsidRPr="00057ED8">
              <w:rPr>
                <w:szCs w:val="17"/>
                <w:lang w:val="en-GB"/>
              </w:rPr>
              <w:t>scenario analysis should also encompass information on how the impact of the company on climate will evolve in the future</w:t>
            </w:r>
            <w:r w:rsidR="00393B2D">
              <w:rPr>
                <w:szCs w:val="17"/>
                <w:lang w:val="en-GB"/>
              </w:rPr>
              <w:t>.</w:t>
            </w:r>
          </w:p>
          <w:p w14:paraId="34CF83F1" w14:textId="68F61C07" w:rsidR="00393B2D" w:rsidRPr="00057ED8" w:rsidRDefault="00CD3113" w:rsidP="00C66967">
            <w:pPr>
              <w:pStyle w:val="Odsekzoznamu"/>
              <w:ind w:left="720" w:firstLine="0"/>
              <w:rPr>
                <w:szCs w:val="17"/>
                <w:lang w:val="en-GB"/>
              </w:rPr>
            </w:pPr>
            <w:r>
              <w:rPr>
                <w:szCs w:val="17"/>
                <w:lang w:val="en-GB"/>
              </w:rPr>
              <w:t xml:space="preserve">At the same time, </w:t>
            </w:r>
            <w:r w:rsidR="00393B2D">
              <w:rPr>
                <w:szCs w:val="17"/>
                <w:lang w:val="en-GB"/>
              </w:rPr>
              <w:t>the ISSB must adequately take into account potential confidentiality issues</w:t>
            </w:r>
            <w:r>
              <w:rPr>
                <w:szCs w:val="17"/>
                <w:lang w:val="en-GB"/>
              </w:rPr>
              <w:t xml:space="preserve"> when specifying granularity</w:t>
            </w:r>
            <w:r w:rsidR="00393B2D">
              <w:rPr>
                <w:szCs w:val="17"/>
                <w:lang w:val="en-GB"/>
              </w:rPr>
              <w:t>.</w:t>
            </w:r>
          </w:p>
          <w:p w14:paraId="1C296371" w14:textId="77777777" w:rsidR="007E63D9" w:rsidRPr="00057ED8" w:rsidRDefault="00336602" w:rsidP="007E63D9">
            <w:pPr>
              <w:pStyle w:val="Odsekzoznamu"/>
              <w:numPr>
                <w:ilvl w:val="0"/>
                <w:numId w:val="45"/>
              </w:numPr>
              <w:rPr>
                <w:szCs w:val="17"/>
                <w:lang w:val="en-GB"/>
              </w:rPr>
            </w:pPr>
            <w:r w:rsidRPr="00057ED8">
              <w:rPr>
                <w:szCs w:val="17"/>
                <w:lang w:val="en-GB"/>
              </w:rPr>
              <w:t xml:space="preserve">Broadly agree / broadly disagree / </w:t>
            </w:r>
            <w:r w:rsidRPr="00057ED8">
              <w:rPr>
                <w:szCs w:val="17"/>
                <w:highlight w:val="cyan"/>
                <w:lang w:val="en-GB"/>
              </w:rPr>
              <w:t>other</w:t>
            </w:r>
          </w:p>
          <w:p w14:paraId="73E03F5D" w14:textId="5A6C9A1E" w:rsidR="007E63D9" w:rsidRPr="00057ED8" w:rsidRDefault="00536DB0" w:rsidP="00C66967">
            <w:pPr>
              <w:pStyle w:val="Odsekzoznamu"/>
              <w:ind w:left="720" w:firstLine="0"/>
              <w:rPr>
                <w:szCs w:val="17"/>
                <w:lang w:val="en-GB"/>
              </w:rPr>
            </w:pPr>
            <w:r>
              <w:rPr>
                <w:szCs w:val="17"/>
                <w:lang w:val="en-GB"/>
              </w:rPr>
              <w:t>Insurance Europ</w:t>
            </w:r>
            <w:r w:rsidR="007E63D9" w:rsidRPr="00057ED8">
              <w:rPr>
                <w:szCs w:val="17"/>
                <w:lang w:val="en-GB"/>
              </w:rPr>
              <w:t>e agree</w:t>
            </w:r>
            <w:r>
              <w:rPr>
                <w:szCs w:val="17"/>
                <w:lang w:val="en-GB"/>
              </w:rPr>
              <w:t>s</w:t>
            </w:r>
            <w:r w:rsidR="007E63D9" w:rsidRPr="00057ED8">
              <w:rPr>
                <w:szCs w:val="17"/>
                <w:lang w:val="en-GB"/>
              </w:rPr>
              <w:t xml:space="preserve"> with the proposed disclosures </w:t>
            </w:r>
            <w:r>
              <w:rPr>
                <w:szCs w:val="17"/>
                <w:lang w:val="en-GB"/>
              </w:rPr>
              <w:t>if</w:t>
            </w:r>
            <w:r w:rsidR="007E63D9" w:rsidRPr="00057ED8">
              <w:rPr>
                <w:szCs w:val="17"/>
                <w:lang w:val="en-GB"/>
              </w:rPr>
              <w:t xml:space="preserve"> an entity is unable to perform climate</w:t>
            </w:r>
            <w:r>
              <w:rPr>
                <w:szCs w:val="17"/>
                <w:lang w:val="en-GB"/>
              </w:rPr>
              <w:t>-</w:t>
            </w:r>
            <w:r w:rsidR="007E63D9" w:rsidRPr="00057ED8">
              <w:rPr>
                <w:szCs w:val="17"/>
                <w:lang w:val="en-GB"/>
              </w:rPr>
              <w:t>scenario analysis. Yet, the entity should also be required to explain the actions taken to be able to perform scenario analysis in a defined timeframe.</w:t>
            </w:r>
          </w:p>
          <w:p w14:paraId="1C8B3998" w14:textId="7CEBC499" w:rsidR="007E63D9" w:rsidRPr="00057ED8" w:rsidRDefault="007E63D9" w:rsidP="00C66967">
            <w:pPr>
              <w:ind w:left="360"/>
              <w:rPr>
                <w:szCs w:val="17"/>
              </w:rPr>
            </w:pPr>
          </w:p>
          <w:p w14:paraId="5E635B60" w14:textId="77777777" w:rsidR="00336602" w:rsidRPr="00057ED8" w:rsidRDefault="00336602" w:rsidP="00812D6D">
            <w:pPr>
              <w:pStyle w:val="Odsekzoznamu"/>
              <w:numPr>
                <w:ilvl w:val="0"/>
                <w:numId w:val="45"/>
              </w:numPr>
              <w:rPr>
                <w:szCs w:val="17"/>
                <w:lang w:val="en-GB"/>
              </w:rPr>
            </w:pPr>
            <w:r w:rsidRPr="00057ED8">
              <w:rPr>
                <w:szCs w:val="17"/>
                <w:highlight w:val="cyan"/>
                <w:lang w:val="en-GB"/>
              </w:rPr>
              <w:t>Broadly agree</w:t>
            </w:r>
            <w:r w:rsidRPr="00057ED8">
              <w:rPr>
                <w:szCs w:val="17"/>
                <w:lang w:val="en-GB"/>
              </w:rPr>
              <w:t xml:space="preserve"> / broadly disagree / other</w:t>
            </w:r>
          </w:p>
          <w:p w14:paraId="2CE30DC7" w14:textId="136160C5" w:rsidR="000540FA" w:rsidRPr="00057ED8" w:rsidRDefault="000540FA" w:rsidP="00C66967">
            <w:pPr>
              <w:pStyle w:val="Odsekzoznamu"/>
              <w:ind w:left="720" w:firstLine="0"/>
              <w:rPr>
                <w:szCs w:val="17"/>
                <w:lang w:val="en-GB"/>
              </w:rPr>
            </w:pPr>
            <w:r w:rsidRPr="00057ED8">
              <w:rPr>
                <w:szCs w:val="17"/>
                <w:lang w:val="en-GB"/>
              </w:rPr>
              <w:t xml:space="preserve">Assessing </w:t>
            </w:r>
            <w:r w:rsidR="004239DE">
              <w:rPr>
                <w:szCs w:val="17"/>
                <w:lang w:val="en-GB"/>
              </w:rPr>
              <w:t xml:space="preserve">the </w:t>
            </w:r>
            <w:r w:rsidRPr="00057ED8">
              <w:rPr>
                <w:szCs w:val="17"/>
                <w:lang w:val="en-GB"/>
              </w:rPr>
              <w:t>climate resilience of an undertaking is key for investors.</w:t>
            </w:r>
            <w:r w:rsidR="00792C63">
              <w:rPr>
                <w:szCs w:val="17"/>
                <w:lang w:val="en-GB"/>
              </w:rPr>
              <w:t xml:space="preserve"> </w:t>
            </w:r>
            <w:r w:rsidR="00792C63">
              <w:rPr>
                <w:szCs w:val="17"/>
              </w:rPr>
              <w:t xml:space="preserve">Hence, the </w:t>
            </w:r>
            <w:r w:rsidR="00792C63" w:rsidRPr="00A26EF0">
              <w:rPr>
                <w:szCs w:val="17"/>
              </w:rPr>
              <w:t>proposed disclosure requirements appropriately balance the costs of applying the requirements with the benefits of information on an entity’s strategic resilience to climate change. At the same time</w:t>
            </w:r>
            <w:r w:rsidR="00792C63">
              <w:rPr>
                <w:szCs w:val="17"/>
              </w:rPr>
              <w:t>,</w:t>
            </w:r>
            <w:r w:rsidR="00792C63" w:rsidRPr="00A26EF0">
              <w:rPr>
                <w:szCs w:val="17"/>
              </w:rPr>
              <w:t xml:space="preserve"> the ISSB must take due account of any potential confidentiality issues when specifying granularity.</w:t>
            </w:r>
          </w:p>
          <w:p w14:paraId="6B2B6DB1" w14:textId="77777777" w:rsidR="00CF12C2" w:rsidRPr="00057ED8" w:rsidRDefault="00CF12C2" w:rsidP="00336602">
            <w:pPr>
              <w:rPr>
                <w:szCs w:val="17"/>
              </w:rPr>
            </w:pPr>
          </w:p>
        </w:tc>
      </w:tr>
    </w:tbl>
    <w:p w14:paraId="21AD4DA6" w14:textId="77777777" w:rsidR="0003628D" w:rsidRPr="00057ED8" w:rsidRDefault="0003628D" w:rsidP="003D0236">
      <w:pPr>
        <w:autoSpaceDE w:val="0"/>
        <w:autoSpaceDN w:val="0"/>
        <w:adjustRightInd w:val="0"/>
        <w:rPr>
          <w:sz w:val="17"/>
          <w:szCs w:val="17"/>
        </w:rPr>
      </w:pPr>
    </w:p>
    <w:p w14:paraId="76A5BE30" w14:textId="77777777" w:rsidR="00D946B9" w:rsidRPr="00057ED8" w:rsidRDefault="00D946B9" w:rsidP="003D0236">
      <w:pPr>
        <w:autoSpaceDE w:val="0"/>
        <w:autoSpaceDN w:val="0"/>
        <w:adjustRightInd w:val="0"/>
        <w:rPr>
          <w:sz w:val="17"/>
          <w:szCs w:val="17"/>
        </w:rPr>
      </w:pPr>
    </w:p>
    <w:p w14:paraId="24CF5916" w14:textId="77777777" w:rsidR="00D946B9" w:rsidRPr="00057ED8" w:rsidRDefault="00D946B9" w:rsidP="00A20516">
      <w:pPr>
        <w:rPr>
          <w:b/>
          <w:bCs/>
          <w:sz w:val="17"/>
          <w:szCs w:val="17"/>
        </w:rPr>
      </w:pPr>
      <w:r w:rsidRPr="00057ED8">
        <w:rPr>
          <w:b/>
          <w:bCs/>
          <w:sz w:val="17"/>
          <w:szCs w:val="17"/>
        </w:rPr>
        <w:t>Question 8—Risk management</w:t>
      </w:r>
    </w:p>
    <w:p w14:paraId="0D4A7B95" w14:textId="77777777" w:rsidR="00604164" w:rsidRPr="00057ED8" w:rsidRDefault="00604164" w:rsidP="00973DEE">
      <w:pPr>
        <w:rPr>
          <w:sz w:val="17"/>
          <w:szCs w:val="17"/>
        </w:rPr>
      </w:pPr>
      <w:r w:rsidRPr="00057ED8">
        <w:rPr>
          <w:sz w:val="17"/>
          <w:szCs w:val="17"/>
        </w:rPr>
        <w:t xml:space="preserve">An objective of the Exposure Draft is to require an entity to provide information about its exposure to climate-related risks and opportunities, to enable users of </w:t>
      </w:r>
      <w:proofErr w:type="gramStart"/>
      <w:r w:rsidRPr="00057ED8">
        <w:rPr>
          <w:sz w:val="17"/>
          <w:szCs w:val="17"/>
        </w:rPr>
        <w:t>general purpose</w:t>
      </w:r>
      <w:proofErr w:type="gramEnd"/>
      <w:r w:rsidRPr="00057ED8">
        <w:rPr>
          <w:sz w:val="17"/>
          <w:szCs w:val="17"/>
        </w:rPr>
        <w:t xml:space="preserve"> financial reporting to assess the effects of climate-related risks and opportunities on the entity’s enterprise value. Such disclosures include information for users to understand the process, or processes, that an entity uses to identify, assess and manage not only climate-related risks, but also climate-related opportunities.</w:t>
      </w:r>
    </w:p>
    <w:p w14:paraId="31AF8A20" w14:textId="77777777" w:rsidR="0003628D" w:rsidRPr="00057ED8" w:rsidRDefault="0003628D" w:rsidP="00973DEE">
      <w:pPr>
        <w:rPr>
          <w:sz w:val="17"/>
          <w:szCs w:val="17"/>
        </w:rPr>
      </w:pPr>
    </w:p>
    <w:p w14:paraId="7D73AF1C" w14:textId="77777777" w:rsidR="00604164" w:rsidRPr="00057ED8" w:rsidRDefault="00604164" w:rsidP="00973DEE">
      <w:pPr>
        <w:rPr>
          <w:sz w:val="17"/>
          <w:szCs w:val="17"/>
        </w:rPr>
      </w:pPr>
      <w:r w:rsidRPr="00057ED8">
        <w:rPr>
          <w:sz w:val="17"/>
          <w:szCs w:val="17"/>
        </w:rPr>
        <w:t>Paragraphs 16 and 17 of the Exposure Draft would extend the remit of disclosures about risk management beyond the TCFD Recommendations, which currently only focus on climate-related risks. This proposal reflects both the view that risks and opportunities can relate to or result from the same source of uncertainty, as well as the evolution of common practice in risk management, which increasingly includes opportunities in processes for identification, assessment, prioritisation and response.</w:t>
      </w:r>
    </w:p>
    <w:p w14:paraId="0AD47134" w14:textId="77777777" w:rsidR="0003628D" w:rsidRPr="00057ED8" w:rsidRDefault="0003628D" w:rsidP="00973DEE">
      <w:pPr>
        <w:rPr>
          <w:sz w:val="17"/>
          <w:szCs w:val="17"/>
        </w:rPr>
      </w:pPr>
    </w:p>
    <w:p w14:paraId="5A11B6E9" w14:textId="77777777" w:rsidR="00604164" w:rsidRPr="00057ED8" w:rsidRDefault="00604164" w:rsidP="00973DEE">
      <w:pPr>
        <w:rPr>
          <w:sz w:val="17"/>
          <w:szCs w:val="17"/>
        </w:rPr>
      </w:pPr>
      <w:r w:rsidRPr="00057ED8">
        <w:rPr>
          <w:sz w:val="17"/>
          <w:szCs w:val="17"/>
        </w:rPr>
        <w:t>Paragraphs BC101–BC104 of the Basis for Conclusions describe the reasoning behind the Exposure Draft’s proposals.</w:t>
      </w:r>
    </w:p>
    <w:p w14:paraId="569E3B2A" w14:textId="77777777" w:rsidR="0003628D" w:rsidRPr="00057ED8" w:rsidRDefault="0003628D" w:rsidP="00973DEE">
      <w:pPr>
        <w:rPr>
          <w:sz w:val="17"/>
          <w:szCs w:val="17"/>
        </w:rPr>
      </w:pPr>
    </w:p>
    <w:p w14:paraId="74A2FEA7" w14:textId="77777777" w:rsidR="00604164" w:rsidRPr="00057ED8" w:rsidRDefault="00604164" w:rsidP="00973DEE">
      <w:pPr>
        <w:rPr>
          <w:sz w:val="17"/>
          <w:szCs w:val="17"/>
        </w:rPr>
      </w:pPr>
      <w:r w:rsidRPr="00057ED8">
        <w:rPr>
          <w:sz w:val="17"/>
          <w:szCs w:val="17"/>
        </w:rPr>
        <w:t>Do you agree with the proposed disclosure requirements for the risk management processes that an entity uses to identify, assess and manage climate-related risks and opportunities? Why or why not? If not, what changes do you recommend and why?</w:t>
      </w:r>
    </w:p>
    <w:p w14:paraId="02060E11" w14:textId="77777777" w:rsidR="00D946B9" w:rsidRPr="00057ED8" w:rsidRDefault="00D946B9" w:rsidP="003D0236">
      <w:pPr>
        <w:autoSpaceDE w:val="0"/>
        <w:autoSpaceDN w:val="0"/>
        <w:adjustRightInd w:val="0"/>
        <w:rPr>
          <w:sz w:val="17"/>
          <w:szCs w:val="17"/>
        </w:rPr>
      </w:pPr>
    </w:p>
    <w:tbl>
      <w:tblPr>
        <w:tblStyle w:val="Mriekatabuky"/>
        <w:tblW w:w="0" w:type="auto"/>
        <w:tblLook w:val="04A0" w:firstRow="1" w:lastRow="0" w:firstColumn="1" w:lastColumn="0" w:noHBand="0" w:noVBand="1"/>
      </w:tblPr>
      <w:tblGrid>
        <w:gridCol w:w="9521"/>
      </w:tblGrid>
      <w:tr w:rsidR="00CF12C2" w:rsidRPr="00057ED8" w14:paraId="09B8979B" w14:textId="77777777" w:rsidTr="00C61B54">
        <w:trPr>
          <w:trHeight w:val="1625"/>
        </w:trPr>
        <w:tc>
          <w:tcPr>
            <w:tcW w:w="9521" w:type="dxa"/>
          </w:tcPr>
          <w:p w14:paraId="04D0F5B5" w14:textId="77777777" w:rsidR="00CF12C2" w:rsidRPr="00057ED8" w:rsidRDefault="00336602" w:rsidP="00336602">
            <w:pPr>
              <w:pStyle w:val="Odsekzoznamu"/>
              <w:ind w:left="0" w:firstLine="0"/>
              <w:rPr>
                <w:szCs w:val="17"/>
                <w:lang w:val="en-GB"/>
              </w:rPr>
            </w:pPr>
            <w:r w:rsidRPr="00057ED8">
              <w:rPr>
                <w:szCs w:val="17"/>
                <w:lang w:val="en-GB"/>
              </w:rPr>
              <w:t xml:space="preserve">Broadly agree / broadly disagree / </w:t>
            </w:r>
            <w:r w:rsidRPr="00057ED8">
              <w:rPr>
                <w:szCs w:val="17"/>
                <w:highlight w:val="cyan"/>
                <w:lang w:val="en-GB"/>
              </w:rPr>
              <w:t>other</w:t>
            </w:r>
          </w:p>
          <w:p w14:paraId="2A0B2C8B" w14:textId="19CA2050" w:rsidR="00A266C5" w:rsidRPr="00057ED8" w:rsidRDefault="00C24729" w:rsidP="00336602">
            <w:pPr>
              <w:pStyle w:val="Odsekzoznamu"/>
              <w:ind w:left="0" w:firstLine="0"/>
              <w:rPr>
                <w:szCs w:val="17"/>
                <w:lang w:val="en-GB"/>
              </w:rPr>
            </w:pPr>
            <w:r>
              <w:rPr>
                <w:rFonts w:cs="Arial"/>
                <w:lang w:val="en-GB"/>
              </w:rPr>
              <w:t>Insuranc</w:t>
            </w:r>
            <w:r w:rsidR="00A266C5" w:rsidRPr="00057ED8">
              <w:rPr>
                <w:rFonts w:cs="Arial"/>
                <w:lang w:val="en-GB"/>
              </w:rPr>
              <w:t xml:space="preserve">e </w:t>
            </w:r>
            <w:r>
              <w:rPr>
                <w:rFonts w:cs="Arial"/>
                <w:lang w:val="en-GB"/>
              </w:rPr>
              <w:t xml:space="preserve">Europe </w:t>
            </w:r>
            <w:r w:rsidR="00A266C5" w:rsidRPr="00057ED8">
              <w:rPr>
                <w:rFonts w:cs="Arial"/>
                <w:lang w:val="en-GB"/>
              </w:rPr>
              <w:t>generally agree</w:t>
            </w:r>
            <w:r>
              <w:rPr>
                <w:rFonts w:cs="Arial"/>
                <w:lang w:val="en-GB"/>
              </w:rPr>
              <w:t>s</w:t>
            </w:r>
            <w:r w:rsidR="00A266C5" w:rsidRPr="00057ED8">
              <w:rPr>
                <w:rFonts w:cs="Arial"/>
                <w:lang w:val="en-GB"/>
              </w:rPr>
              <w:t xml:space="preserve"> with the proposed disclosure requirements for the risk management processes that an entity uses to identify, assess and manage climate-related risks and opportunities. </w:t>
            </w:r>
            <w:r w:rsidR="00ED18B1">
              <w:rPr>
                <w:rFonts w:cs="Arial"/>
                <w:lang w:val="en-GB"/>
              </w:rPr>
              <w:t>However, the ISSB</w:t>
            </w:r>
            <w:r w:rsidR="00A76DB7">
              <w:rPr>
                <w:rFonts w:cs="Arial"/>
                <w:lang w:val="en-GB"/>
              </w:rPr>
              <w:t xml:space="preserve"> should clarify what para. 17(b) (“for risk management purposes”) would cover compared and in addition to para. 17(a).</w:t>
            </w:r>
          </w:p>
        </w:tc>
      </w:tr>
    </w:tbl>
    <w:p w14:paraId="70422EBA" w14:textId="77777777" w:rsidR="00B71DD3" w:rsidRPr="00057ED8" w:rsidRDefault="00B71DD3" w:rsidP="003D0236">
      <w:pPr>
        <w:autoSpaceDE w:val="0"/>
        <w:autoSpaceDN w:val="0"/>
        <w:adjustRightInd w:val="0"/>
        <w:rPr>
          <w:sz w:val="17"/>
          <w:szCs w:val="17"/>
        </w:rPr>
      </w:pPr>
    </w:p>
    <w:p w14:paraId="7BCD3DDB" w14:textId="77777777" w:rsidR="00604164" w:rsidRPr="00057ED8" w:rsidRDefault="00604164" w:rsidP="00A20516">
      <w:pPr>
        <w:rPr>
          <w:b/>
          <w:bCs/>
          <w:sz w:val="17"/>
          <w:szCs w:val="17"/>
        </w:rPr>
      </w:pPr>
    </w:p>
    <w:p w14:paraId="46AC0D23" w14:textId="05E2F6E7" w:rsidR="00604164" w:rsidRPr="00057ED8" w:rsidRDefault="003D1980" w:rsidP="00A20516">
      <w:pPr>
        <w:rPr>
          <w:b/>
          <w:bCs/>
          <w:sz w:val="17"/>
          <w:szCs w:val="17"/>
        </w:rPr>
      </w:pPr>
      <w:r w:rsidRPr="00057ED8">
        <w:rPr>
          <w:b/>
          <w:bCs/>
          <w:sz w:val="17"/>
          <w:szCs w:val="17"/>
        </w:rPr>
        <w:t>Question 9—Cross-industry metric categories and greenhouse gas emission</w:t>
      </w:r>
      <w:r w:rsidR="00F04EB7" w:rsidRPr="00057ED8">
        <w:rPr>
          <w:b/>
          <w:bCs/>
          <w:sz w:val="17"/>
          <w:szCs w:val="17"/>
        </w:rPr>
        <w:t>s</w:t>
      </w:r>
    </w:p>
    <w:p w14:paraId="2DFEDC5D" w14:textId="77777777" w:rsidR="009D32BA" w:rsidRPr="00057ED8" w:rsidRDefault="009D32BA" w:rsidP="00973DEE">
      <w:pPr>
        <w:rPr>
          <w:sz w:val="17"/>
          <w:szCs w:val="17"/>
        </w:rPr>
      </w:pPr>
      <w:r w:rsidRPr="00057ED8">
        <w:rPr>
          <w:sz w:val="17"/>
          <w:szCs w:val="17"/>
        </w:rPr>
        <w:t>The Exposure Draft proposes incorporating the TCFD’s concept of cross-industry metrics and metric categories with the aim of improving the comparability of disclosures across reporting entities regardless of industry. The proposals in the Exposure Draft would require an entity to disclose these metrics and metric categories irrespective of its particular industry or sector (subject to materiality). In proposing these requirements, the TCFD’s criteria were considered. These criteria were designed to identify metrics and metric categories that are:</w:t>
      </w:r>
    </w:p>
    <w:p w14:paraId="2558B613" w14:textId="77777777" w:rsidR="009D32BA" w:rsidRPr="00057ED8" w:rsidRDefault="009D32BA" w:rsidP="00B71DD3">
      <w:pPr>
        <w:pStyle w:val="CEABullet-Level1"/>
      </w:pPr>
      <w:r w:rsidRPr="00057ED8">
        <w:t>indicative of basic aspects and drivers of climate-related risks and opportunities;</w:t>
      </w:r>
    </w:p>
    <w:p w14:paraId="574DCC05" w14:textId="77777777" w:rsidR="009D32BA" w:rsidRPr="00057ED8" w:rsidRDefault="009D32BA" w:rsidP="00B71DD3">
      <w:pPr>
        <w:pStyle w:val="CEABullet-Level1"/>
      </w:pPr>
      <w:r w:rsidRPr="00057ED8">
        <w:t>useful for understanding how an entity is managing its climate-related risks and opportunities;</w:t>
      </w:r>
    </w:p>
    <w:p w14:paraId="5E98C2D7" w14:textId="77777777" w:rsidR="009D32BA" w:rsidRPr="00057ED8" w:rsidRDefault="009D32BA" w:rsidP="00B71DD3">
      <w:pPr>
        <w:pStyle w:val="CEABullet-Level1"/>
      </w:pPr>
      <w:r w:rsidRPr="00057ED8">
        <w:t>widely requested by climate reporting frameworks, lenders, investors, insurance underwriters and regional and national disclosure requirements; and</w:t>
      </w:r>
    </w:p>
    <w:p w14:paraId="2577A8F2" w14:textId="77777777" w:rsidR="009D32BA" w:rsidRPr="00057ED8" w:rsidRDefault="009D32BA" w:rsidP="00B71DD3">
      <w:pPr>
        <w:pStyle w:val="CEABullet-Level1"/>
      </w:pPr>
      <w:r w:rsidRPr="00057ED8">
        <w:t>important for estimating the financial effects of climate change on entities.</w:t>
      </w:r>
    </w:p>
    <w:p w14:paraId="095C1D4E" w14:textId="77777777" w:rsidR="002F6F71" w:rsidRPr="00057ED8" w:rsidRDefault="002F6F71" w:rsidP="00973DEE">
      <w:pPr>
        <w:rPr>
          <w:sz w:val="17"/>
          <w:szCs w:val="17"/>
        </w:rPr>
      </w:pPr>
    </w:p>
    <w:p w14:paraId="7A990289" w14:textId="5AA1B9A7" w:rsidR="009D32BA" w:rsidRPr="00057ED8" w:rsidRDefault="009D32BA" w:rsidP="00973DEE">
      <w:pPr>
        <w:rPr>
          <w:sz w:val="17"/>
          <w:szCs w:val="17"/>
        </w:rPr>
      </w:pPr>
      <w:r w:rsidRPr="00057ED8">
        <w:rPr>
          <w:sz w:val="17"/>
          <w:szCs w:val="17"/>
        </w:rPr>
        <w:t>The Exposure Draft thus proposes seven cross-industry metric categories that all entities would be required to disclose: greenhouse gas (GHG) emissions on an absolute basis and on an intensity basis; transition risks; physical risks; climate-related opportunities; capital deployment towards climate-related risks and opportunities; internal carbon prices; and the percentage of executive management remuneration that is linked to climate-related considerations. The Exposure Draft proposes that the GHG Protocol be applied to measure GHG emissions.</w:t>
      </w:r>
    </w:p>
    <w:p w14:paraId="23C0AA35" w14:textId="77777777" w:rsidR="002F6F71" w:rsidRPr="00057ED8" w:rsidRDefault="002F6F71" w:rsidP="00973DEE">
      <w:pPr>
        <w:rPr>
          <w:sz w:val="17"/>
          <w:szCs w:val="17"/>
        </w:rPr>
      </w:pPr>
    </w:p>
    <w:p w14:paraId="5B032B91" w14:textId="77777777" w:rsidR="009D32BA" w:rsidRPr="00057ED8" w:rsidRDefault="009D32BA" w:rsidP="00973DEE">
      <w:pPr>
        <w:rPr>
          <w:sz w:val="17"/>
          <w:szCs w:val="17"/>
        </w:rPr>
      </w:pPr>
      <w:r w:rsidRPr="00057ED8">
        <w:rPr>
          <w:sz w:val="17"/>
          <w:szCs w:val="17"/>
        </w:rPr>
        <w:t>The GHG Protocol allows varied approaches to be taken to determine which emissions an entity includes in the calculation of Scope 1, 2 and 3—including for example, how the emissions of unconsolidated entities such as associates are included. This means that the way in which information is provided about an entity’s investments in other entities in their financial statements may not align with how its GHG emissions are calculated. It also means that two entities with identical investments in other entities could report different GHG emissions in relation to those investments by virtue of choices made in applying the GHG Protocol.</w:t>
      </w:r>
    </w:p>
    <w:p w14:paraId="21095629" w14:textId="77777777" w:rsidR="002F6F71" w:rsidRPr="00057ED8" w:rsidRDefault="002F6F71" w:rsidP="00973DEE">
      <w:pPr>
        <w:rPr>
          <w:sz w:val="17"/>
          <w:szCs w:val="17"/>
        </w:rPr>
      </w:pPr>
    </w:p>
    <w:p w14:paraId="23AB45CD" w14:textId="77777777" w:rsidR="009D32BA" w:rsidRPr="00057ED8" w:rsidRDefault="009D32BA" w:rsidP="00973DEE">
      <w:pPr>
        <w:rPr>
          <w:sz w:val="17"/>
          <w:szCs w:val="17"/>
        </w:rPr>
      </w:pPr>
      <w:r w:rsidRPr="00057ED8">
        <w:rPr>
          <w:sz w:val="17"/>
          <w:szCs w:val="17"/>
        </w:rPr>
        <w:t>To facilitate comparability despite the varied approaches allowed in the GHG Protocol, the Exposure Draft proposes that an entity shall disclose:</w:t>
      </w:r>
    </w:p>
    <w:p w14:paraId="6503B3EF" w14:textId="77777777" w:rsidR="002F6F71" w:rsidRPr="00057ED8" w:rsidRDefault="002F6F71" w:rsidP="00973DEE">
      <w:pPr>
        <w:rPr>
          <w:sz w:val="17"/>
          <w:szCs w:val="17"/>
        </w:rPr>
      </w:pPr>
    </w:p>
    <w:p w14:paraId="7CA18111" w14:textId="77777777" w:rsidR="009D32BA" w:rsidRPr="00057ED8" w:rsidRDefault="009D32BA" w:rsidP="00B71DD3">
      <w:pPr>
        <w:pStyle w:val="CEABullet-Level1"/>
      </w:pPr>
      <w:r w:rsidRPr="00057ED8">
        <w:t>separately Scope 1 and Scope 2 emissions, for:</w:t>
      </w:r>
    </w:p>
    <w:p w14:paraId="5AE160D6" w14:textId="77777777" w:rsidR="009D32BA" w:rsidRPr="00057ED8" w:rsidRDefault="009D32BA" w:rsidP="002F6F71">
      <w:pPr>
        <w:pStyle w:val="CEABullet-Level2"/>
      </w:pPr>
      <w:r w:rsidRPr="00057ED8">
        <w:t>the consolidated accounting group (the parent and its subsidiaries);</w:t>
      </w:r>
    </w:p>
    <w:p w14:paraId="134CCEBB" w14:textId="77777777" w:rsidR="009D32BA" w:rsidRPr="00057ED8" w:rsidRDefault="009D32BA" w:rsidP="002F6F71">
      <w:pPr>
        <w:pStyle w:val="CEABullet-Level2"/>
      </w:pPr>
      <w:r w:rsidRPr="00057ED8">
        <w:t>the associates, joint ventures, unconsolidated subsidiaries or affiliates not included in the consolidated accounting group; and</w:t>
      </w:r>
    </w:p>
    <w:p w14:paraId="04A39F5F" w14:textId="77777777" w:rsidR="009D32BA" w:rsidRPr="00057ED8" w:rsidRDefault="009D32BA" w:rsidP="00B71DD3">
      <w:pPr>
        <w:pStyle w:val="CEABullet-Level1"/>
      </w:pPr>
      <w:r w:rsidRPr="00057ED8">
        <w:t xml:space="preserve">the approach it used to include emissions for associates, joint ventures, unconsolidated subsidiaries or affiliates not included in the consolidated accounting group (for example, the equity </w:t>
      </w:r>
      <w:proofErr w:type="gramStart"/>
      <w:r w:rsidRPr="00057ED8">
        <w:t>share</w:t>
      </w:r>
      <w:proofErr w:type="gramEnd"/>
      <w:r w:rsidRPr="00057ED8">
        <w:t xml:space="preserve"> or operational control method in the GHG Protocol Corporate Standard).</w:t>
      </w:r>
    </w:p>
    <w:p w14:paraId="138278BA" w14:textId="77777777" w:rsidR="002F6F71" w:rsidRPr="00057ED8" w:rsidRDefault="002F6F71" w:rsidP="002F6F71">
      <w:pPr>
        <w:pStyle w:val="CEABullet-Level1"/>
        <w:numPr>
          <w:ilvl w:val="0"/>
          <w:numId w:val="0"/>
        </w:numPr>
        <w:ind w:left="720"/>
      </w:pPr>
    </w:p>
    <w:p w14:paraId="36E7CE3B" w14:textId="77777777" w:rsidR="00775475" w:rsidRPr="00057ED8" w:rsidRDefault="00775475" w:rsidP="00973DEE">
      <w:pPr>
        <w:rPr>
          <w:sz w:val="17"/>
          <w:szCs w:val="17"/>
        </w:rPr>
      </w:pPr>
      <w:r w:rsidRPr="00057ED8">
        <w:rPr>
          <w:sz w:val="17"/>
          <w:szCs w:val="17"/>
        </w:rPr>
        <w:t>The disclosure of Scope 3 GHG emissions involves a number of challenges, including those related to data availability, use of estimates, calculation methodologies and other sources of uncertainty. However, despite these challenges, the disclosure of GHG emissions, including Scope 3 emissions, is becoming more common and the quality of the information provided across all sectors and jurisdictions is improving. This development reflects an increasing recognition that Scope 3 emissions are an important component of investment-risk analysis because, for most entities, they represent by far the largest portion of an entity’s carbon footprint.</w:t>
      </w:r>
    </w:p>
    <w:p w14:paraId="4CBAB3A5" w14:textId="77777777" w:rsidR="002F6F71" w:rsidRPr="00057ED8" w:rsidRDefault="002F6F71" w:rsidP="00973DEE">
      <w:pPr>
        <w:rPr>
          <w:sz w:val="17"/>
          <w:szCs w:val="17"/>
        </w:rPr>
      </w:pPr>
    </w:p>
    <w:p w14:paraId="75DF774F" w14:textId="77777777" w:rsidR="00775475" w:rsidRPr="00057ED8" w:rsidRDefault="00775475" w:rsidP="00973DEE">
      <w:r w:rsidRPr="00057ED8">
        <w:rPr>
          <w:sz w:val="17"/>
          <w:szCs w:val="17"/>
        </w:rPr>
        <w:t>Entities in many industries face risks and opportunities related to activities that drive Scope 3</w:t>
      </w:r>
      <w:r w:rsidRPr="00057ED8">
        <w:rPr>
          <w:spacing w:val="-36"/>
          <w:sz w:val="17"/>
          <w:szCs w:val="17"/>
        </w:rPr>
        <w:t xml:space="preserve"> </w:t>
      </w:r>
      <w:r w:rsidRPr="00057ED8">
        <w:rPr>
          <w:sz w:val="17"/>
          <w:szCs w:val="17"/>
        </w:rPr>
        <w:t>emissions</w:t>
      </w:r>
      <w:r w:rsidRPr="00057ED8">
        <w:rPr>
          <w:spacing w:val="-36"/>
          <w:sz w:val="17"/>
          <w:szCs w:val="17"/>
        </w:rPr>
        <w:t xml:space="preserve"> </w:t>
      </w:r>
      <w:r w:rsidRPr="00057ED8">
        <w:rPr>
          <w:sz w:val="17"/>
          <w:szCs w:val="17"/>
        </w:rPr>
        <w:t>both</w:t>
      </w:r>
      <w:r w:rsidRPr="00057ED8">
        <w:rPr>
          <w:spacing w:val="-36"/>
          <w:sz w:val="17"/>
          <w:szCs w:val="17"/>
        </w:rPr>
        <w:t xml:space="preserve"> </w:t>
      </w:r>
      <w:r w:rsidRPr="00057ED8">
        <w:rPr>
          <w:sz w:val="17"/>
          <w:szCs w:val="17"/>
        </w:rPr>
        <w:t>up</w:t>
      </w:r>
      <w:r w:rsidRPr="00057ED8">
        <w:rPr>
          <w:spacing w:val="-36"/>
          <w:sz w:val="17"/>
          <w:szCs w:val="17"/>
        </w:rPr>
        <w:t xml:space="preserve"> </w:t>
      </w:r>
      <w:r w:rsidRPr="00057ED8">
        <w:rPr>
          <w:sz w:val="17"/>
          <w:szCs w:val="17"/>
        </w:rPr>
        <w:t>and</w:t>
      </w:r>
      <w:r w:rsidRPr="00057ED8">
        <w:rPr>
          <w:spacing w:val="-36"/>
          <w:sz w:val="17"/>
          <w:szCs w:val="17"/>
        </w:rPr>
        <w:t xml:space="preserve"> </w:t>
      </w:r>
      <w:r w:rsidRPr="00057ED8">
        <w:rPr>
          <w:sz w:val="17"/>
          <w:szCs w:val="17"/>
        </w:rPr>
        <w:t>down</w:t>
      </w:r>
      <w:r w:rsidRPr="00057ED8">
        <w:rPr>
          <w:spacing w:val="-36"/>
          <w:sz w:val="17"/>
          <w:szCs w:val="17"/>
        </w:rPr>
        <w:t xml:space="preserve"> </w:t>
      </w:r>
      <w:r w:rsidRPr="00057ED8">
        <w:rPr>
          <w:sz w:val="17"/>
          <w:szCs w:val="17"/>
        </w:rPr>
        <w:t>the</w:t>
      </w:r>
      <w:r w:rsidRPr="00057ED8">
        <w:rPr>
          <w:spacing w:val="-36"/>
          <w:sz w:val="17"/>
          <w:szCs w:val="17"/>
        </w:rPr>
        <w:t xml:space="preserve"> </w:t>
      </w:r>
      <w:r w:rsidRPr="00057ED8">
        <w:rPr>
          <w:sz w:val="17"/>
          <w:szCs w:val="17"/>
        </w:rPr>
        <w:t>value</w:t>
      </w:r>
      <w:r w:rsidRPr="00057ED8">
        <w:rPr>
          <w:spacing w:val="-36"/>
          <w:sz w:val="17"/>
          <w:szCs w:val="17"/>
        </w:rPr>
        <w:t xml:space="preserve"> </w:t>
      </w:r>
      <w:r w:rsidRPr="00057ED8">
        <w:rPr>
          <w:sz w:val="17"/>
          <w:szCs w:val="17"/>
        </w:rPr>
        <w:t>chain.</w:t>
      </w:r>
      <w:r w:rsidRPr="00057ED8">
        <w:rPr>
          <w:spacing w:val="-36"/>
          <w:sz w:val="17"/>
          <w:szCs w:val="17"/>
        </w:rPr>
        <w:t xml:space="preserve"> </w:t>
      </w:r>
      <w:r w:rsidRPr="00057ED8">
        <w:rPr>
          <w:sz w:val="17"/>
          <w:szCs w:val="17"/>
        </w:rPr>
        <w:t>For</w:t>
      </w:r>
      <w:r w:rsidRPr="00057ED8">
        <w:rPr>
          <w:spacing w:val="-36"/>
          <w:sz w:val="17"/>
          <w:szCs w:val="17"/>
        </w:rPr>
        <w:t xml:space="preserve"> </w:t>
      </w:r>
      <w:r w:rsidRPr="00057ED8">
        <w:rPr>
          <w:sz w:val="17"/>
          <w:szCs w:val="17"/>
        </w:rPr>
        <w:t>example,</w:t>
      </w:r>
      <w:r w:rsidRPr="00057ED8">
        <w:rPr>
          <w:spacing w:val="-36"/>
          <w:sz w:val="17"/>
          <w:szCs w:val="17"/>
        </w:rPr>
        <w:t xml:space="preserve"> </w:t>
      </w:r>
      <w:r w:rsidRPr="00057ED8">
        <w:rPr>
          <w:sz w:val="17"/>
          <w:szCs w:val="17"/>
        </w:rPr>
        <w:t>they</w:t>
      </w:r>
      <w:r w:rsidRPr="00057ED8">
        <w:rPr>
          <w:spacing w:val="-36"/>
          <w:sz w:val="17"/>
          <w:szCs w:val="17"/>
        </w:rPr>
        <w:t xml:space="preserve"> </w:t>
      </w:r>
      <w:r w:rsidRPr="00057ED8">
        <w:rPr>
          <w:sz w:val="17"/>
          <w:szCs w:val="17"/>
        </w:rPr>
        <w:t>may</w:t>
      </w:r>
      <w:r w:rsidRPr="00057ED8">
        <w:rPr>
          <w:spacing w:val="-36"/>
          <w:sz w:val="17"/>
          <w:szCs w:val="17"/>
        </w:rPr>
        <w:t xml:space="preserve"> </w:t>
      </w:r>
      <w:r w:rsidRPr="00057ED8">
        <w:rPr>
          <w:sz w:val="17"/>
          <w:szCs w:val="17"/>
        </w:rPr>
        <w:t>need</w:t>
      </w:r>
      <w:r w:rsidRPr="00057ED8">
        <w:rPr>
          <w:spacing w:val="-36"/>
          <w:sz w:val="17"/>
          <w:szCs w:val="17"/>
        </w:rPr>
        <w:t xml:space="preserve"> </w:t>
      </w:r>
      <w:r w:rsidRPr="00057ED8">
        <w:rPr>
          <w:sz w:val="17"/>
          <w:szCs w:val="17"/>
        </w:rPr>
        <w:t>to address</w:t>
      </w:r>
      <w:r w:rsidRPr="00057ED8">
        <w:rPr>
          <w:spacing w:val="-32"/>
          <w:sz w:val="17"/>
          <w:szCs w:val="17"/>
        </w:rPr>
        <w:t xml:space="preserve"> </w:t>
      </w:r>
      <w:r w:rsidRPr="00057ED8">
        <w:rPr>
          <w:sz w:val="17"/>
          <w:szCs w:val="17"/>
        </w:rPr>
        <w:t>evolving</w:t>
      </w:r>
      <w:r w:rsidRPr="00057ED8">
        <w:rPr>
          <w:spacing w:val="-32"/>
          <w:sz w:val="17"/>
          <w:szCs w:val="17"/>
        </w:rPr>
        <w:t xml:space="preserve"> </w:t>
      </w:r>
      <w:r w:rsidRPr="00057ED8">
        <w:rPr>
          <w:sz w:val="17"/>
          <w:szCs w:val="17"/>
        </w:rPr>
        <w:t>and</w:t>
      </w:r>
      <w:r w:rsidRPr="00057ED8">
        <w:rPr>
          <w:spacing w:val="-32"/>
          <w:sz w:val="17"/>
          <w:szCs w:val="17"/>
        </w:rPr>
        <w:t xml:space="preserve"> </w:t>
      </w:r>
      <w:r w:rsidRPr="00057ED8">
        <w:rPr>
          <w:sz w:val="17"/>
          <w:szCs w:val="17"/>
        </w:rPr>
        <w:t>increasingly</w:t>
      </w:r>
      <w:r w:rsidRPr="00057ED8">
        <w:rPr>
          <w:spacing w:val="-32"/>
          <w:sz w:val="17"/>
          <w:szCs w:val="17"/>
        </w:rPr>
        <w:t xml:space="preserve"> </w:t>
      </w:r>
      <w:r w:rsidRPr="00057ED8">
        <w:rPr>
          <w:sz w:val="17"/>
          <w:szCs w:val="17"/>
        </w:rPr>
        <w:t xml:space="preserve">stringent energy efficiency standards through product design (a transition risk) or seek to capture growing demand for energy- efficient products or seek to enable or incentivise upstream emissions reduction (climate opportunities). In combination with industry metrics related to these specific drivers of risk and opportunity, Scope 3 data can help users evaluate the extent to which an entity is adapting to the transition to a lower-carbon economy. Thus, information about Scope 3 GHG emissions enables entities and their investors to identify the most significant </w:t>
      </w:r>
      <w:r w:rsidRPr="00057ED8">
        <w:rPr>
          <w:sz w:val="17"/>
          <w:szCs w:val="17"/>
        </w:rPr>
        <w:lastRenderedPageBreak/>
        <w:t>GHG reduction opportunities across an entity’s entire value chain, informing strategic and operational decisions regarding relevant inputs, activities and outputs.</w:t>
      </w:r>
    </w:p>
    <w:p w14:paraId="18F115A7" w14:textId="77777777" w:rsidR="00775475" w:rsidRPr="00057ED8" w:rsidRDefault="00775475" w:rsidP="002F6F71">
      <w:pPr>
        <w:pStyle w:val="Zkladntext"/>
        <w:spacing w:before="122"/>
        <w:rPr>
          <w:rFonts w:ascii="Verdana" w:eastAsia="Times New Roman" w:hAnsi="Verdana" w:cs="Times New Roman"/>
          <w:lang w:val="en-GB"/>
        </w:rPr>
      </w:pPr>
      <w:r w:rsidRPr="00057ED8">
        <w:rPr>
          <w:rFonts w:ascii="Verdana" w:eastAsia="Times New Roman" w:hAnsi="Verdana" w:cs="Times New Roman"/>
          <w:lang w:val="en-GB"/>
        </w:rPr>
        <w:t>For Scope 3 emissions, the Exposure Draft proposes that:</w:t>
      </w:r>
    </w:p>
    <w:p w14:paraId="73D85632" w14:textId="77777777" w:rsidR="00775475" w:rsidRPr="00057ED8" w:rsidRDefault="00775475" w:rsidP="00B71DD3">
      <w:pPr>
        <w:pStyle w:val="CEABullet-Level1"/>
      </w:pPr>
      <w:r w:rsidRPr="00057ED8">
        <w:t>an entity shall include upstream and downstream emissions in its measure of Scope 3 emissions;</w:t>
      </w:r>
    </w:p>
    <w:p w14:paraId="4D6FB4A6" w14:textId="77777777" w:rsidR="00775475" w:rsidRPr="00057ED8" w:rsidRDefault="00775475" w:rsidP="00B71DD3">
      <w:pPr>
        <w:pStyle w:val="CEABullet-Level1"/>
      </w:pPr>
      <w:r w:rsidRPr="00057ED8">
        <w:t xml:space="preserve">an entity shall disclose an explanation of the activities included within its measure of Scope 3 emissions, to enable users of </w:t>
      </w:r>
      <w:proofErr w:type="gramStart"/>
      <w:r w:rsidRPr="00057ED8">
        <w:t>general purpose</w:t>
      </w:r>
      <w:proofErr w:type="gramEnd"/>
      <w:r w:rsidRPr="00057ED8">
        <w:t xml:space="preserve"> financial reporting to understand which Scope 3 emissions have been included in, or excluded from, those reported;</w:t>
      </w:r>
    </w:p>
    <w:p w14:paraId="51722124" w14:textId="77777777" w:rsidR="00775475" w:rsidRPr="00057ED8" w:rsidRDefault="00775475" w:rsidP="00B71DD3">
      <w:pPr>
        <w:pStyle w:val="CEABullet-Level1"/>
      </w:pPr>
      <w:r w:rsidRPr="00057ED8">
        <w:t>if the entity includes emissions information provided by entities in its value chain in its measure of Scope 3 greenhouse gas emissions, it shall explain the basis for that measurement; and</w:t>
      </w:r>
    </w:p>
    <w:p w14:paraId="226E3DF1" w14:textId="77777777" w:rsidR="00775475" w:rsidRPr="00057ED8" w:rsidRDefault="00775475" w:rsidP="00B71DD3">
      <w:pPr>
        <w:pStyle w:val="CEABullet-Level1"/>
      </w:pPr>
      <w:r w:rsidRPr="00057ED8">
        <w:t>if the entity excludes those greenhouse gas emissions, it shall state the reason for omitting them, for example, because it is unable to obtain a faithful measure.</w:t>
      </w:r>
    </w:p>
    <w:p w14:paraId="7A4B148C" w14:textId="77777777" w:rsidR="00775475" w:rsidRPr="00057ED8" w:rsidRDefault="00775475" w:rsidP="00B71DD3">
      <w:pPr>
        <w:pStyle w:val="CEABullet-Level1"/>
        <w:rPr>
          <w:rFonts w:cs="Times New Roman"/>
        </w:rPr>
      </w:pPr>
      <w:r w:rsidRPr="00057ED8">
        <w:t>Aside from the GHG emissions category, the other cross-industry metric</w:t>
      </w:r>
      <w:r w:rsidRPr="00057ED8">
        <w:rPr>
          <w:rFonts w:cs="Times New Roman"/>
        </w:rPr>
        <w:t xml:space="preserve"> categories are defined broadly in the Exposure Draft. However, the Exposure Draft includes non- mandatory Illustrative Guidance for each cross-industry metric category to guide entities.</w:t>
      </w:r>
    </w:p>
    <w:p w14:paraId="3A78C7E5" w14:textId="77777777" w:rsidR="006A4D42" w:rsidRPr="00057ED8" w:rsidRDefault="006A4D42" w:rsidP="003D0236">
      <w:pPr>
        <w:autoSpaceDE w:val="0"/>
        <w:autoSpaceDN w:val="0"/>
        <w:adjustRightInd w:val="0"/>
        <w:rPr>
          <w:sz w:val="17"/>
          <w:szCs w:val="17"/>
        </w:rPr>
      </w:pPr>
    </w:p>
    <w:p w14:paraId="28FBDE18" w14:textId="77777777" w:rsidR="006A4D42" w:rsidRPr="00057ED8" w:rsidRDefault="006A4D42" w:rsidP="003D0236">
      <w:pPr>
        <w:autoSpaceDE w:val="0"/>
        <w:autoSpaceDN w:val="0"/>
        <w:adjustRightInd w:val="0"/>
        <w:rPr>
          <w:sz w:val="17"/>
          <w:szCs w:val="17"/>
        </w:rPr>
      </w:pPr>
    </w:p>
    <w:p w14:paraId="6723EBC7" w14:textId="2A1D1655" w:rsidR="002A365F" w:rsidRPr="00057ED8" w:rsidRDefault="002A365F" w:rsidP="00973DEE">
      <w:pPr>
        <w:rPr>
          <w:sz w:val="17"/>
          <w:szCs w:val="17"/>
        </w:rPr>
      </w:pPr>
      <w:r w:rsidRPr="00057ED8">
        <w:rPr>
          <w:sz w:val="17"/>
          <w:szCs w:val="17"/>
        </w:rPr>
        <w:t>Paragraphs BC105–BC118 of the Basis for Conclusions describe the reasoning behind</w:t>
      </w:r>
      <w:r w:rsidR="002F6F71" w:rsidRPr="00057ED8">
        <w:rPr>
          <w:sz w:val="17"/>
          <w:szCs w:val="17"/>
        </w:rPr>
        <w:t xml:space="preserve"> </w:t>
      </w:r>
      <w:r w:rsidRPr="00057ED8">
        <w:rPr>
          <w:sz w:val="17"/>
          <w:szCs w:val="17"/>
        </w:rPr>
        <w:t>the Exposure Draft’s proposals.</w:t>
      </w:r>
    </w:p>
    <w:p w14:paraId="68191D90" w14:textId="77777777" w:rsidR="002A365F" w:rsidRPr="00057ED8" w:rsidRDefault="002A365F" w:rsidP="00812D6D">
      <w:pPr>
        <w:pStyle w:val="Odsekzoznamu"/>
        <w:numPr>
          <w:ilvl w:val="0"/>
          <w:numId w:val="22"/>
        </w:numPr>
        <w:spacing w:before="0" w:line="288" w:lineRule="auto"/>
        <w:rPr>
          <w:szCs w:val="17"/>
          <w:lang w:val="en-GB"/>
        </w:rPr>
      </w:pPr>
      <w:r w:rsidRPr="00057ED8">
        <w:rPr>
          <w:szCs w:val="17"/>
          <w:lang w:val="en-GB"/>
        </w:rPr>
        <w:t xml:space="preserve">The cross-industry requirements are intended to provide a common set of </w:t>
      </w:r>
      <w:proofErr w:type="gramStart"/>
      <w:r w:rsidRPr="00057ED8">
        <w:rPr>
          <w:szCs w:val="17"/>
          <w:lang w:val="en-GB"/>
        </w:rPr>
        <w:t>core</w:t>
      </w:r>
      <w:proofErr w:type="gramEnd"/>
      <w:r w:rsidRPr="00057ED8">
        <w:rPr>
          <w:szCs w:val="17"/>
          <w:lang w:val="en-GB"/>
        </w:rPr>
        <w:t>, climate-related disclosures applicable across sectors and industries. Do you agree with the seven proposed cross-industry metric categories including their applicability across industries and business models and their usefulness in the assessment of enterprise value? Why or why not? If not, what do you suggest and why?</w:t>
      </w:r>
    </w:p>
    <w:p w14:paraId="00C833EB" w14:textId="77777777" w:rsidR="002F6F71" w:rsidRPr="00057ED8" w:rsidRDefault="002F6F71" w:rsidP="002F6F71">
      <w:pPr>
        <w:pStyle w:val="Odsekzoznamu"/>
        <w:spacing w:before="0" w:line="288" w:lineRule="auto"/>
        <w:ind w:left="720" w:firstLine="0"/>
        <w:rPr>
          <w:szCs w:val="17"/>
          <w:lang w:val="en-GB"/>
        </w:rPr>
      </w:pPr>
    </w:p>
    <w:p w14:paraId="26900936" w14:textId="77777777" w:rsidR="002A365F" w:rsidRPr="00057ED8" w:rsidRDefault="002A365F" w:rsidP="00812D6D">
      <w:pPr>
        <w:pStyle w:val="Odsekzoznamu"/>
        <w:numPr>
          <w:ilvl w:val="0"/>
          <w:numId w:val="22"/>
        </w:numPr>
        <w:spacing w:before="0" w:line="288" w:lineRule="auto"/>
        <w:rPr>
          <w:szCs w:val="17"/>
          <w:lang w:val="en-GB"/>
        </w:rPr>
      </w:pPr>
      <w:r w:rsidRPr="00057ED8">
        <w:rPr>
          <w:szCs w:val="17"/>
          <w:lang w:val="en-GB"/>
        </w:rPr>
        <w:t xml:space="preserve">Are there any additional cross-industry metric categories related to climate- related risks and opportunities that would be useful to facilitate cross-industry comparisons and assessments of enterprise value (or some proposed that are not)? If so, please describe those disclosures and explain why they would or would not be useful to users of </w:t>
      </w:r>
      <w:proofErr w:type="gramStart"/>
      <w:r w:rsidRPr="00057ED8">
        <w:rPr>
          <w:szCs w:val="17"/>
          <w:lang w:val="en-GB"/>
        </w:rPr>
        <w:t>general purpose</w:t>
      </w:r>
      <w:proofErr w:type="gramEnd"/>
      <w:r w:rsidRPr="00057ED8">
        <w:rPr>
          <w:szCs w:val="17"/>
          <w:lang w:val="en-GB"/>
        </w:rPr>
        <w:t xml:space="preserve"> financial reporting.</w:t>
      </w:r>
    </w:p>
    <w:p w14:paraId="2D5CCD77" w14:textId="77777777" w:rsidR="002F6F71" w:rsidRPr="00057ED8" w:rsidRDefault="002F6F71" w:rsidP="002F6F71">
      <w:pPr>
        <w:pStyle w:val="Odsekzoznamu"/>
        <w:rPr>
          <w:szCs w:val="17"/>
          <w:lang w:val="en-GB"/>
        </w:rPr>
      </w:pPr>
    </w:p>
    <w:p w14:paraId="7EBE25AB" w14:textId="77777777" w:rsidR="002A365F" w:rsidRPr="00057ED8" w:rsidRDefault="002A365F" w:rsidP="00812D6D">
      <w:pPr>
        <w:pStyle w:val="Odsekzoznamu"/>
        <w:numPr>
          <w:ilvl w:val="0"/>
          <w:numId w:val="22"/>
        </w:numPr>
        <w:spacing w:before="0" w:line="288" w:lineRule="auto"/>
        <w:rPr>
          <w:szCs w:val="17"/>
          <w:lang w:val="en-GB"/>
        </w:rPr>
      </w:pPr>
      <w:r w:rsidRPr="00057ED8">
        <w:rPr>
          <w:szCs w:val="17"/>
          <w:lang w:val="en-GB"/>
        </w:rPr>
        <w:t>Do you agree that entities should be required to use the GHG Protocol to define and measure Scope 1, Scope 2 and Scope 3 emissions? Why or why not? Should other methodologies be allowed? Why or why not?</w:t>
      </w:r>
    </w:p>
    <w:p w14:paraId="4DF8075B" w14:textId="77777777" w:rsidR="002F6F71" w:rsidRPr="00057ED8" w:rsidRDefault="002F6F71" w:rsidP="002F6F71">
      <w:pPr>
        <w:pStyle w:val="Odsekzoznamu"/>
        <w:rPr>
          <w:szCs w:val="17"/>
          <w:lang w:val="en-GB"/>
        </w:rPr>
      </w:pPr>
    </w:p>
    <w:p w14:paraId="5FB81525" w14:textId="77777777" w:rsidR="002A365F" w:rsidRPr="00057ED8" w:rsidRDefault="002A365F" w:rsidP="00812D6D">
      <w:pPr>
        <w:pStyle w:val="Odsekzoznamu"/>
        <w:numPr>
          <w:ilvl w:val="0"/>
          <w:numId w:val="22"/>
        </w:numPr>
        <w:spacing w:before="0" w:line="288" w:lineRule="auto"/>
        <w:rPr>
          <w:szCs w:val="17"/>
          <w:lang w:val="en-GB"/>
        </w:rPr>
      </w:pPr>
      <w:r w:rsidRPr="00057ED8">
        <w:rPr>
          <w:szCs w:val="17"/>
          <w:lang w:val="en-GB"/>
        </w:rPr>
        <w:t>Do you agree with the proposals that an entity be required to provide an aggregation of all seven greenhouse gases for Scope 1, Scope 2, and Scope 3— expressed in CO2 equivalent; or should the disclosures on Scope 1, Scope 2 and Scope 3 emissions be disaggregated by constituent greenhouse gas (for example, disclosing methane (CH4) separately from nitrous oxide (NO2))?</w:t>
      </w:r>
    </w:p>
    <w:p w14:paraId="59855A0F" w14:textId="77777777" w:rsidR="002F6F71" w:rsidRPr="00057ED8" w:rsidRDefault="002F6F71" w:rsidP="002F6F71">
      <w:pPr>
        <w:pStyle w:val="Odsekzoznamu"/>
        <w:rPr>
          <w:szCs w:val="17"/>
          <w:lang w:val="en-GB"/>
        </w:rPr>
      </w:pPr>
    </w:p>
    <w:p w14:paraId="34100861" w14:textId="77777777" w:rsidR="002A365F" w:rsidRPr="00057ED8" w:rsidRDefault="002A365F" w:rsidP="00812D6D">
      <w:pPr>
        <w:pStyle w:val="Odsekzoznamu"/>
        <w:numPr>
          <w:ilvl w:val="0"/>
          <w:numId w:val="22"/>
        </w:numPr>
        <w:spacing w:before="0" w:line="288" w:lineRule="auto"/>
        <w:rPr>
          <w:szCs w:val="17"/>
          <w:lang w:val="en-GB"/>
        </w:rPr>
      </w:pPr>
      <w:r w:rsidRPr="00057ED8">
        <w:rPr>
          <w:szCs w:val="17"/>
          <w:lang w:val="en-GB"/>
        </w:rPr>
        <w:t xml:space="preserve">Do you agree that entities should be required to separately disclose Scope 1 and Scope 2 emissions </w:t>
      </w:r>
      <w:proofErr w:type="gramStart"/>
      <w:r w:rsidRPr="00057ED8">
        <w:rPr>
          <w:szCs w:val="17"/>
          <w:lang w:val="en-GB"/>
        </w:rPr>
        <w:t>for:</w:t>
      </w:r>
      <w:proofErr w:type="gramEnd"/>
    </w:p>
    <w:p w14:paraId="22A3A3A7" w14:textId="77777777" w:rsidR="006A4D42" w:rsidRPr="00057ED8" w:rsidRDefault="006A4D42" w:rsidP="003D0236">
      <w:pPr>
        <w:autoSpaceDE w:val="0"/>
        <w:autoSpaceDN w:val="0"/>
        <w:adjustRightInd w:val="0"/>
        <w:rPr>
          <w:sz w:val="17"/>
          <w:szCs w:val="17"/>
        </w:rPr>
      </w:pPr>
    </w:p>
    <w:p w14:paraId="62CE7BC7" w14:textId="059E3918" w:rsidR="003A3CA8" w:rsidRPr="00057ED8" w:rsidRDefault="003A3CA8" w:rsidP="00812D6D">
      <w:pPr>
        <w:pStyle w:val="Odsekzoznamu"/>
        <w:numPr>
          <w:ilvl w:val="0"/>
          <w:numId w:val="23"/>
        </w:numPr>
        <w:spacing w:before="0" w:line="288" w:lineRule="auto"/>
        <w:rPr>
          <w:szCs w:val="17"/>
          <w:lang w:val="en-GB"/>
        </w:rPr>
      </w:pPr>
      <w:r w:rsidRPr="00057ED8">
        <w:rPr>
          <w:szCs w:val="17"/>
          <w:lang w:val="en-GB"/>
        </w:rPr>
        <w:t>the consolidated entity; and</w:t>
      </w:r>
    </w:p>
    <w:p w14:paraId="748401F1" w14:textId="113DCFB0" w:rsidR="00444134" w:rsidRPr="00057ED8" w:rsidRDefault="00444134" w:rsidP="00812D6D">
      <w:pPr>
        <w:pStyle w:val="Odsekzoznamu"/>
        <w:numPr>
          <w:ilvl w:val="0"/>
          <w:numId w:val="23"/>
        </w:numPr>
        <w:spacing w:before="0" w:line="288" w:lineRule="auto"/>
        <w:rPr>
          <w:szCs w:val="17"/>
          <w:lang w:val="en-GB"/>
        </w:rPr>
      </w:pPr>
      <w:r w:rsidRPr="00057ED8">
        <w:rPr>
          <w:szCs w:val="17"/>
          <w:lang w:val="en-GB"/>
        </w:rPr>
        <w:t>for any associates, joint ventures, unconsolidated subsidiaries and</w:t>
      </w:r>
      <w:r w:rsidR="006945DC" w:rsidRPr="00057ED8">
        <w:rPr>
          <w:szCs w:val="17"/>
          <w:lang w:val="en-GB"/>
        </w:rPr>
        <w:t xml:space="preserve"> </w:t>
      </w:r>
      <w:r w:rsidRPr="00057ED8">
        <w:rPr>
          <w:szCs w:val="17"/>
          <w:lang w:val="en-GB"/>
        </w:rPr>
        <w:t>affiliates? Why or why not?</w:t>
      </w:r>
    </w:p>
    <w:p w14:paraId="3B3CB7F1" w14:textId="77777777" w:rsidR="006A4D42" w:rsidRPr="00057ED8" w:rsidRDefault="006A4D42" w:rsidP="003D0236">
      <w:pPr>
        <w:autoSpaceDE w:val="0"/>
        <w:autoSpaceDN w:val="0"/>
        <w:adjustRightInd w:val="0"/>
        <w:rPr>
          <w:sz w:val="17"/>
          <w:szCs w:val="17"/>
        </w:rPr>
      </w:pPr>
    </w:p>
    <w:p w14:paraId="54E44B01" w14:textId="58F531EC" w:rsidR="00ED7F30" w:rsidRPr="00057ED8" w:rsidRDefault="00ED7F30" w:rsidP="00812D6D">
      <w:pPr>
        <w:pStyle w:val="Odsekzoznamu"/>
        <w:numPr>
          <w:ilvl w:val="0"/>
          <w:numId w:val="22"/>
        </w:numPr>
        <w:spacing w:before="0" w:line="288" w:lineRule="auto"/>
        <w:rPr>
          <w:szCs w:val="17"/>
          <w:lang w:val="en-GB"/>
        </w:rPr>
      </w:pPr>
      <w:r w:rsidRPr="00057ED8">
        <w:rPr>
          <w:szCs w:val="17"/>
          <w:lang w:val="en-GB"/>
        </w:rPr>
        <w:t>Do you agree with the proposed inclusion of absolute gross Scope 3 emissions as</w:t>
      </w:r>
      <w:r w:rsidR="003C19FA" w:rsidRPr="00057ED8">
        <w:rPr>
          <w:szCs w:val="17"/>
          <w:lang w:val="en-GB"/>
        </w:rPr>
        <w:t xml:space="preserve"> </w:t>
      </w:r>
      <w:r w:rsidRPr="00057ED8">
        <w:rPr>
          <w:szCs w:val="17"/>
          <w:lang w:val="en-GB"/>
        </w:rPr>
        <w:t>a cross-industry metric category for disclosure by all entities, subject to materiality? If not, what would you suggest and why?</w:t>
      </w:r>
    </w:p>
    <w:p w14:paraId="3ED16DC9" w14:textId="77777777" w:rsidR="00ED7F30" w:rsidRPr="00057ED8" w:rsidRDefault="00ED7F30" w:rsidP="003D0236">
      <w:pPr>
        <w:autoSpaceDE w:val="0"/>
        <w:autoSpaceDN w:val="0"/>
        <w:adjustRightInd w:val="0"/>
        <w:rPr>
          <w:sz w:val="17"/>
          <w:szCs w:val="17"/>
        </w:rPr>
      </w:pPr>
    </w:p>
    <w:tbl>
      <w:tblPr>
        <w:tblStyle w:val="Mriekatabuky"/>
        <w:tblW w:w="0" w:type="auto"/>
        <w:tblLook w:val="04A0" w:firstRow="1" w:lastRow="0" w:firstColumn="1" w:lastColumn="0" w:noHBand="0" w:noVBand="1"/>
      </w:tblPr>
      <w:tblGrid>
        <w:gridCol w:w="9521"/>
      </w:tblGrid>
      <w:tr w:rsidR="00CF12C2" w:rsidRPr="00057ED8" w14:paraId="098238E6" w14:textId="77777777" w:rsidTr="00C61B54">
        <w:trPr>
          <w:trHeight w:val="1625"/>
        </w:trPr>
        <w:tc>
          <w:tcPr>
            <w:tcW w:w="9521" w:type="dxa"/>
          </w:tcPr>
          <w:p w14:paraId="5EA4D123" w14:textId="77777777" w:rsidR="001C28EE" w:rsidRPr="00057ED8" w:rsidRDefault="001C28EE" w:rsidP="00812D6D">
            <w:pPr>
              <w:pStyle w:val="Odsekzoznamu"/>
              <w:numPr>
                <w:ilvl w:val="0"/>
                <w:numId w:val="46"/>
              </w:numPr>
              <w:rPr>
                <w:szCs w:val="17"/>
                <w:lang w:val="en-GB"/>
              </w:rPr>
            </w:pPr>
            <w:r w:rsidRPr="00057ED8">
              <w:rPr>
                <w:szCs w:val="17"/>
                <w:lang w:val="en-GB"/>
              </w:rPr>
              <w:lastRenderedPageBreak/>
              <w:t xml:space="preserve">Broadly agree / broadly disagree / </w:t>
            </w:r>
            <w:r w:rsidRPr="00057ED8">
              <w:rPr>
                <w:szCs w:val="17"/>
                <w:highlight w:val="cyan"/>
                <w:lang w:val="en-GB"/>
              </w:rPr>
              <w:t>other</w:t>
            </w:r>
          </w:p>
          <w:p w14:paraId="4F320933" w14:textId="22ABB4A3" w:rsidR="00C82871" w:rsidRDefault="00297F81" w:rsidP="00513987">
            <w:pPr>
              <w:pStyle w:val="Odsekzoznamu"/>
              <w:ind w:left="720" w:firstLine="0"/>
              <w:rPr>
                <w:szCs w:val="17"/>
                <w:lang w:val="en-GB"/>
              </w:rPr>
            </w:pPr>
            <w:r w:rsidRPr="00057ED8">
              <w:rPr>
                <w:szCs w:val="17"/>
                <w:lang w:val="en-GB"/>
              </w:rPr>
              <w:t xml:space="preserve">Apart from the disclosures “b” and “c” on “amount and percentage of assets and business activities vulnerable to transition/physical risks”, </w:t>
            </w:r>
            <w:r w:rsidR="00424060">
              <w:rPr>
                <w:szCs w:val="17"/>
                <w:lang w:val="en-GB"/>
              </w:rPr>
              <w:t xml:space="preserve">for which further </w:t>
            </w:r>
            <w:r w:rsidR="007D3A65">
              <w:rPr>
                <w:szCs w:val="17"/>
                <w:lang w:val="en-GB"/>
              </w:rPr>
              <w:t>clarity</w:t>
            </w:r>
            <w:r w:rsidR="00424060">
              <w:rPr>
                <w:szCs w:val="17"/>
                <w:lang w:val="en-GB"/>
              </w:rPr>
              <w:t xml:space="preserve"> is needed, </w:t>
            </w:r>
            <w:r w:rsidR="008F226B">
              <w:rPr>
                <w:szCs w:val="17"/>
                <w:lang w:val="en-GB"/>
              </w:rPr>
              <w:t>Insurance Europ</w:t>
            </w:r>
            <w:r w:rsidR="00AD499F" w:rsidRPr="00057ED8">
              <w:rPr>
                <w:szCs w:val="17"/>
                <w:lang w:val="en-GB"/>
              </w:rPr>
              <w:t>e agree</w:t>
            </w:r>
            <w:r w:rsidR="008F226B">
              <w:rPr>
                <w:szCs w:val="17"/>
                <w:lang w:val="en-GB"/>
              </w:rPr>
              <w:t>s</w:t>
            </w:r>
            <w:r w:rsidR="00AD499F" w:rsidRPr="00057ED8">
              <w:rPr>
                <w:szCs w:val="17"/>
                <w:lang w:val="en-GB"/>
              </w:rPr>
              <w:t xml:space="preserve"> with the proposed cross-industry metric categories including their applicability across industries and business models and their usefulness in the assessment of enterprise value. It is essential that requirements with cross-industry relevance are indeed located in the cross-industry/main section of the standard and not “parked” in industry-specific requirements. Therefore, </w:t>
            </w:r>
            <w:r w:rsidR="00541263">
              <w:rPr>
                <w:szCs w:val="17"/>
                <w:lang w:val="en-GB"/>
              </w:rPr>
              <w:t>Insurance Europe welcomes</w:t>
            </w:r>
            <w:r w:rsidR="00AD499F" w:rsidRPr="00057ED8">
              <w:rPr>
                <w:szCs w:val="17"/>
                <w:lang w:val="en-GB"/>
              </w:rPr>
              <w:t>, for example, the ISSB’s proposal for a mandatory cross-industry Scope 3 GHG emissions disclosure in addition to Scope 1 and Scope 2 GHG emissions disclosures.</w:t>
            </w:r>
            <w:r w:rsidR="00513987" w:rsidRPr="00057ED8">
              <w:rPr>
                <w:szCs w:val="17"/>
                <w:lang w:val="en-GB"/>
              </w:rPr>
              <w:t xml:space="preserve"> </w:t>
            </w:r>
          </w:p>
          <w:p w14:paraId="3E40904B" w14:textId="07B93BEB" w:rsidR="00513987" w:rsidRPr="00057ED8" w:rsidRDefault="00513987" w:rsidP="00513987">
            <w:pPr>
              <w:pStyle w:val="Odsekzoznamu"/>
              <w:ind w:left="720" w:firstLine="0"/>
              <w:rPr>
                <w:szCs w:val="17"/>
                <w:lang w:val="en-GB"/>
              </w:rPr>
            </w:pPr>
            <w:r w:rsidRPr="00057ED8">
              <w:rPr>
                <w:szCs w:val="17"/>
                <w:lang w:val="en-GB"/>
              </w:rPr>
              <w:t>Regarding the abovementioned disclosures “b”</w:t>
            </w:r>
            <w:r w:rsidR="00C02374">
              <w:rPr>
                <w:szCs w:val="17"/>
                <w:lang w:val="en-GB"/>
              </w:rPr>
              <w:t>,</w:t>
            </w:r>
            <w:r w:rsidRPr="00057ED8">
              <w:rPr>
                <w:szCs w:val="17"/>
                <w:lang w:val="en-GB"/>
              </w:rPr>
              <w:t xml:space="preserve"> “c”</w:t>
            </w:r>
            <w:r w:rsidR="00C02374">
              <w:rPr>
                <w:szCs w:val="17"/>
                <w:lang w:val="en-GB"/>
              </w:rPr>
              <w:t xml:space="preserve"> and “d”</w:t>
            </w:r>
            <w:r w:rsidRPr="00057ED8">
              <w:rPr>
                <w:szCs w:val="17"/>
                <w:lang w:val="en-GB"/>
              </w:rPr>
              <w:t xml:space="preserve">, a standardised definition should be provided on what is understood </w:t>
            </w:r>
            <w:r w:rsidR="002749E9">
              <w:rPr>
                <w:szCs w:val="17"/>
                <w:lang w:val="en-GB"/>
              </w:rPr>
              <w:t>by</w:t>
            </w:r>
            <w:r w:rsidRPr="00057ED8">
              <w:rPr>
                <w:szCs w:val="17"/>
                <w:lang w:val="en-GB"/>
              </w:rPr>
              <w:t xml:space="preserve"> “vulnerable to”.</w:t>
            </w:r>
            <w:r w:rsidR="00581696">
              <w:rPr>
                <w:szCs w:val="17"/>
                <w:lang w:val="en-GB"/>
              </w:rPr>
              <w:t xml:space="preserve"> </w:t>
            </w:r>
            <w:r w:rsidR="00581696">
              <w:rPr>
                <w:szCs w:val="17"/>
              </w:rPr>
              <w:t>T</w:t>
            </w:r>
            <w:r w:rsidR="00581696" w:rsidRPr="00B24FA7">
              <w:rPr>
                <w:szCs w:val="17"/>
              </w:rPr>
              <w:t>he term used for the quantitative indicator on remuneration (“linked to climate-related considerations”) in par</w:t>
            </w:r>
            <w:r w:rsidR="00C82871">
              <w:rPr>
                <w:szCs w:val="17"/>
              </w:rPr>
              <w:t>a</w:t>
            </w:r>
            <w:r w:rsidR="00581696" w:rsidRPr="00B24FA7">
              <w:rPr>
                <w:szCs w:val="17"/>
              </w:rPr>
              <w:t xml:space="preserve">. 21(g)(ii) is </w:t>
            </w:r>
            <w:r w:rsidR="00581696">
              <w:rPr>
                <w:szCs w:val="17"/>
              </w:rPr>
              <w:t xml:space="preserve">also </w:t>
            </w:r>
            <w:r w:rsidR="00581696" w:rsidRPr="00B24FA7">
              <w:rPr>
                <w:szCs w:val="17"/>
              </w:rPr>
              <w:t xml:space="preserve">too vague. </w:t>
            </w:r>
            <w:r w:rsidR="00235F08">
              <w:rPr>
                <w:szCs w:val="17"/>
              </w:rPr>
              <w:t>It is</w:t>
            </w:r>
            <w:r w:rsidR="00235F08" w:rsidRPr="00B24FA7">
              <w:rPr>
                <w:szCs w:val="17"/>
              </w:rPr>
              <w:t xml:space="preserve"> </w:t>
            </w:r>
            <w:r w:rsidR="00581696" w:rsidRPr="00B24FA7">
              <w:rPr>
                <w:szCs w:val="17"/>
              </w:rPr>
              <w:t>suggest</w:t>
            </w:r>
            <w:r w:rsidR="00235F08">
              <w:rPr>
                <w:szCs w:val="17"/>
              </w:rPr>
              <w:t>ed that</w:t>
            </w:r>
            <w:r w:rsidR="00581696" w:rsidRPr="00B24FA7">
              <w:rPr>
                <w:szCs w:val="17"/>
              </w:rPr>
              <w:t xml:space="preserve"> this requirement be further specified, while taking due </w:t>
            </w:r>
            <w:r w:rsidR="00235F08">
              <w:rPr>
                <w:szCs w:val="17"/>
              </w:rPr>
              <w:t>account</w:t>
            </w:r>
            <w:r w:rsidR="00235F08" w:rsidRPr="00B24FA7">
              <w:rPr>
                <w:szCs w:val="17"/>
              </w:rPr>
              <w:t xml:space="preserve"> </w:t>
            </w:r>
            <w:r w:rsidR="00581696" w:rsidRPr="00B24FA7">
              <w:rPr>
                <w:szCs w:val="17"/>
              </w:rPr>
              <w:t>of potential interlinkages with jurisdictional requirements on setting remuneration</w:t>
            </w:r>
            <w:r w:rsidR="00CF44C6">
              <w:rPr>
                <w:szCs w:val="17"/>
              </w:rPr>
              <w:t>.</w:t>
            </w:r>
          </w:p>
          <w:p w14:paraId="64AFDC62" w14:textId="0F5F1B3D" w:rsidR="00705194" w:rsidRPr="008C09F2" w:rsidRDefault="00705194" w:rsidP="00705194">
            <w:pPr>
              <w:pStyle w:val="Odsekzoznamu"/>
              <w:ind w:left="720" w:firstLine="0"/>
              <w:rPr>
                <w:szCs w:val="17"/>
              </w:rPr>
            </w:pPr>
            <w:r w:rsidRPr="008C09F2">
              <w:rPr>
                <w:szCs w:val="17"/>
              </w:rPr>
              <w:t xml:space="preserve">While </w:t>
            </w:r>
            <w:r w:rsidR="006B5E1C">
              <w:rPr>
                <w:szCs w:val="17"/>
              </w:rPr>
              <w:t>Insurance Europ</w:t>
            </w:r>
            <w:r w:rsidRPr="008C09F2">
              <w:rPr>
                <w:szCs w:val="17"/>
              </w:rPr>
              <w:t>e support</w:t>
            </w:r>
            <w:r w:rsidR="006B5E1C">
              <w:rPr>
                <w:szCs w:val="17"/>
              </w:rPr>
              <w:t>s</w:t>
            </w:r>
            <w:r w:rsidRPr="008C09F2">
              <w:rPr>
                <w:szCs w:val="17"/>
              </w:rPr>
              <w:t xml:space="preserve"> the ISSB</w:t>
            </w:r>
            <w:r w:rsidR="006B5E1C">
              <w:rPr>
                <w:szCs w:val="17"/>
              </w:rPr>
              <w:t>’</w:t>
            </w:r>
            <w:r w:rsidRPr="008C09F2">
              <w:rPr>
                <w:szCs w:val="17"/>
              </w:rPr>
              <w:t xml:space="preserve">s proposal when it comes to reporting on </w:t>
            </w:r>
            <w:r w:rsidR="00011269">
              <w:rPr>
                <w:szCs w:val="17"/>
              </w:rPr>
              <w:t>S</w:t>
            </w:r>
            <w:r w:rsidRPr="008C09F2">
              <w:rPr>
                <w:szCs w:val="17"/>
              </w:rPr>
              <w:t>cope 3</w:t>
            </w:r>
            <w:r w:rsidR="00011269">
              <w:rPr>
                <w:szCs w:val="17"/>
              </w:rPr>
              <w:t>,</w:t>
            </w:r>
            <w:r w:rsidRPr="008C09F2">
              <w:rPr>
                <w:szCs w:val="17"/>
              </w:rPr>
              <w:t xml:space="preserve"> as well as the requested information </w:t>
            </w:r>
            <w:r w:rsidR="003A40DC">
              <w:rPr>
                <w:szCs w:val="17"/>
              </w:rPr>
              <w:t xml:space="preserve">on </w:t>
            </w:r>
            <w:r w:rsidRPr="008C09F2">
              <w:rPr>
                <w:szCs w:val="17"/>
              </w:rPr>
              <w:t>the value chain, some of the inherent challenges should be kept in mind:</w:t>
            </w:r>
          </w:p>
          <w:p w14:paraId="49A680AE" w14:textId="77777777" w:rsidR="00705194" w:rsidRPr="008C09F2" w:rsidRDefault="00705194" w:rsidP="00705194">
            <w:pPr>
              <w:pStyle w:val="Odsekzoznamu"/>
              <w:widowControl/>
              <w:autoSpaceDE/>
              <w:autoSpaceDN/>
              <w:spacing w:before="0" w:after="160" w:line="252" w:lineRule="auto"/>
              <w:ind w:left="720" w:right="0" w:firstLine="0"/>
              <w:contextualSpacing/>
              <w:jc w:val="left"/>
              <w:rPr>
                <w:rFonts w:eastAsia="Times New Roman"/>
                <w:lang w:val="en-GB"/>
              </w:rPr>
            </w:pPr>
          </w:p>
          <w:p w14:paraId="38FECD6D" w14:textId="4CA533D2" w:rsidR="00705194" w:rsidRDefault="00011269" w:rsidP="00705194">
            <w:pPr>
              <w:pStyle w:val="Odsekzoznamu"/>
              <w:numPr>
                <w:ilvl w:val="1"/>
                <w:numId w:val="58"/>
              </w:numPr>
              <w:rPr>
                <w:lang w:val="en-GB"/>
              </w:rPr>
            </w:pPr>
            <w:r>
              <w:rPr>
                <w:lang w:val="en-GB"/>
              </w:rPr>
              <w:t>T</w:t>
            </w:r>
            <w:r w:rsidR="00705194" w:rsidRPr="008C09F2">
              <w:rPr>
                <w:lang w:val="en-GB"/>
              </w:rPr>
              <w:t xml:space="preserve">he ISSB </w:t>
            </w:r>
            <w:r>
              <w:rPr>
                <w:lang w:val="en-GB"/>
              </w:rPr>
              <w:t xml:space="preserve">is encouraged </w:t>
            </w:r>
            <w:r w:rsidR="00705194" w:rsidRPr="008C09F2">
              <w:rPr>
                <w:lang w:val="en-GB"/>
              </w:rPr>
              <w:t>to adopt a phased approach</w:t>
            </w:r>
            <w:r w:rsidR="00A11A39">
              <w:rPr>
                <w:lang w:val="en-GB"/>
              </w:rPr>
              <w:t xml:space="preserve"> (</w:t>
            </w:r>
            <w:proofErr w:type="spellStart"/>
            <w:r w:rsidR="00A11A39">
              <w:rPr>
                <w:lang w:val="en-GB"/>
              </w:rPr>
              <w:t>eg</w:t>
            </w:r>
            <w:proofErr w:type="spellEnd"/>
            <w:r>
              <w:rPr>
                <w:lang w:val="en-GB"/>
              </w:rPr>
              <w:t>,</w:t>
            </w:r>
            <w:r w:rsidR="00A11A39">
              <w:rPr>
                <w:lang w:val="en-GB"/>
              </w:rPr>
              <w:t xml:space="preserve"> </w:t>
            </w:r>
            <w:r w:rsidR="00E35163">
              <w:rPr>
                <w:lang w:val="en-GB"/>
              </w:rPr>
              <w:t>financial sector to disclose with a one-year delay to be able to rely on investee data)</w:t>
            </w:r>
            <w:r w:rsidR="00705194" w:rsidRPr="008C09F2">
              <w:rPr>
                <w:lang w:val="en-GB"/>
              </w:rPr>
              <w:t xml:space="preserve"> </w:t>
            </w:r>
            <w:r w:rsidR="00E35163">
              <w:rPr>
                <w:lang w:val="en-GB"/>
              </w:rPr>
              <w:t>and seek</w:t>
            </w:r>
            <w:r w:rsidR="00705194" w:rsidRPr="008C09F2">
              <w:rPr>
                <w:lang w:val="en-GB"/>
              </w:rPr>
              <w:t xml:space="preserve"> to enable the emergence of adequate best practice to sustainability reporting challenges, such as the lack of data</w:t>
            </w:r>
            <w:r w:rsidR="00002C9C">
              <w:rPr>
                <w:lang w:val="en-GB"/>
              </w:rPr>
              <w:t xml:space="preserve"> from investees and value chain partners for inclusion in own reporting</w:t>
            </w:r>
            <w:r w:rsidR="00705194" w:rsidRPr="008C09F2">
              <w:rPr>
                <w:lang w:val="en-GB"/>
              </w:rPr>
              <w:t xml:space="preserve">. </w:t>
            </w:r>
          </w:p>
          <w:p w14:paraId="1AF52A31" w14:textId="3A451EBE" w:rsidR="00705194" w:rsidRPr="00BB4FB0" w:rsidRDefault="00705194" w:rsidP="00BB4FB0">
            <w:pPr>
              <w:pStyle w:val="Odsekzoznamu"/>
              <w:numPr>
                <w:ilvl w:val="1"/>
                <w:numId w:val="58"/>
              </w:numPr>
              <w:rPr>
                <w:lang w:val="en-GB"/>
              </w:rPr>
            </w:pPr>
            <w:r w:rsidRPr="00705194">
              <w:t xml:space="preserve">With regards to information on </w:t>
            </w:r>
            <w:r w:rsidR="00011269">
              <w:t xml:space="preserve">the </w:t>
            </w:r>
            <w:r w:rsidRPr="00705194">
              <w:t xml:space="preserve">value chain, the provided definition is very broad </w:t>
            </w:r>
            <w:r w:rsidR="00011269">
              <w:t>and does not</w:t>
            </w:r>
            <w:r w:rsidR="00011269" w:rsidRPr="00705194">
              <w:t xml:space="preserve"> </w:t>
            </w:r>
            <w:r w:rsidRPr="00705194">
              <w:t>respect industry differences. Value chain reporting is complex</w:t>
            </w:r>
            <w:r w:rsidR="00792D9C">
              <w:t>,</w:t>
            </w:r>
            <w:r w:rsidRPr="00705194">
              <w:t xml:space="preserve"> as data is often not yet available. Hence reporting efforts would increase fundamentally. </w:t>
            </w:r>
            <w:r w:rsidR="00415D2F">
              <w:t>T</w:t>
            </w:r>
            <w:r w:rsidRPr="00705194">
              <w:t xml:space="preserve">he ISSB </w:t>
            </w:r>
            <w:r w:rsidR="00415D2F">
              <w:t xml:space="preserve">is encouraged </w:t>
            </w:r>
            <w:r w:rsidRPr="00705194">
              <w:t>to support the current data challenges with real economy data and mark value</w:t>
            </w:r>
            <w:r w:rsidR="00415D2F">
              <w:t>-</w:t>
            </w:r>
            <w:r w:rsidRPr="00705194">
              <w:t>chain</w:t>
            </w:r>
            <w:r w:rsidR="00415D2F">
              <w:t>-</w:t>
            </w:r>
            <w:r w:rsidRPr="00705194">
              <w:t xml:space="preserve">related information as </w:t>
            </w:r>
            <w:r w:rsidR="00415D2F">
              <w:t>“</w:t>
            </w:r>
            <w:r w:rsidRPr="00705194">
              <w:t>best effort</w:t>
            </w:r>
            <w:r w:rsidR="00415D2F">
              <w:t>”</w:t>
            </w:r>
            <w:r w:rsidRPr="00705194">
              <w:t xml:space="preserve"> (at least at this stage).</w:t>
            </w:r>
          </w:p>
          <w:p w14:paraId="6D8CE4C6" w14:textId="729618F7" w:rsidR="00AD499F" w:rsidRPr="00057ED8" w:rsidRDefault="00415D2F" w:rsidP="00513987">
            <w:pPr>
              <w:pStyle w:val="Odsekzoznamu"/>
              <w:ind w:left="720" w:firstLine="0"/>
              <w:rPr>
                <w:szCs w:val="17"/>
                <w:lang w:val="en-GB"/>
              </w:rPr>
            </w:pPr>
            <w:r>
              <w:rPr>
                <w:szCs w:val="17"/>
                <w:lang w:val="en-GB"/>
              </w:rPr>
              <w:t>Insurance Europ</w:t>
            </w:r>
            <w:r w:rsidR="00513987" w:rsidRPr="00057ED8">
              <w:rPr>
                <w:szCs w:val="17"/>
                <w:lang w:val="en-GB"/>
              </w:rPr>
              <w:t>e appreciate</w:t>
            </w:r>
            <w:r w:rsidR="00432500">
              <w:rPr>
                <w:szCs w:val="17"/>
                <w:lang w:val="en-GB"/>
              </w:rPr>
              <w:t>s</w:t>
            </w:r>
            <w:r w:rsidR="00513987" w:rsidRPr="00057ED8">
              <w:rPr>
                <w:szCs w:val="17"/>
                <w:lang w:val="en-GB"/>
              </w:rPr>
              <w:t xml:space="preserve"> the approach based on international reporting standards like TCFD. Comparability and consistency of the reporting KPIs are important. </w:t>
            </w:r>
            <w:r w:rsidR="00EA4453">
              <w:rPr>
                <w:szCs w:val="17"/>
                <w:lang w:val="en-GB"/>
              </w:rPr>
              <w:t>F</w:t>
            </w:r>
            <w:r w:rsidR="00513987" w:rsidRPr="00057ED8">
              <w:rPr>
                <w:szCs w:val="17"/>
                <w:lang w:val="en-GB"/>
              </w:rPr>
              <w:t xml:space="preserve">or the computation of material physical and transition risks </w:t>
            </w:r>
            <w:r w:rsidR="00EA4453">
              <w:rPr>
                <w:szCs w:val="17"/>
                <w:lang w:val="en-GB"/>
              </w:rPr>
              <w:t xml:space="preserve">in particular, </w:t>
            </w:r>
            <w:r w:rsidR="00513987" w:rsidRPr="00057ED8">
              <w:rPr>
                <w:szCs w:val="17"/>
                <w:lang w:val="en-GB"/>
              </w:rPr>
              <w:t>a more detailed specification is required. The regulation should clarify</w:t>
            </w:r>
            <w:r w:rsidR="0037030B">
              <w:rPr>
                <w:szCs w:val="17"/>
                <w:lang w:val="en-GB"/>
              </w:rPr>
              <w:t>,</w:t>
            </w:r>
            <w:r w:rsidR="00513987" w:rsidRPr="00057ED8">
              <w:rPr>
                <w:szCs w:val="17"/>
                <w:lang w:val="en-GB"/>
              </w:rPr>
              <w:t xml:space="preserve"> before </w:t>
            </w:r>
            <w:r w:rsidR="0037030B">
              <w:rPr>
                <w:szCs w:val="17"/>
                <w:lang w:val="en-GB"/>
              </w:rPr>
              <w:t xml:space="preserve">it </w:t>
            </w:r>
            <w:r w:rsidR="00513987" w:rsidRPr="00057ED8">
              <w:rPr>
                <w:szCs w:val="17"/>
                <w:lang w:val="en-GB"/>
              </w:rPr>
              <w:t>becom</w:t>
            </w:r>
            <w:r w:rsidR="0037030B">
              <w:rPr>
                <w:szCs w:val="17"/>
                <w:lang w:val="en-GB"/>
              </w:rPr>
              <w:t>es</w:t>
            </w:r>
            <w:r w:rsidR="00513987" w:rsidRPr="00057ED8">
              <w:rPr>
                <w:szCs w:val="17"/>
                <w:lang w:val="en-GB"/>
              </w:rPr>
              <w:t xml:space="preserve"> effective, whether the use of ESG data points from ESG data provider</w:t>
            </w:r>
            <w:r w:rsidR="00401FD5">
              <w:rPr>
                <w:szCs w:val="17"/>
                <w:lang w:val="en-GB"/>
              </w:rPr>
              <w:t>s</w:t>
            </w:r>
            <w:r w:rsidR="00513987" w:rsidRPr="00057ED8">
              <w:rPr>
                <w:szCs w:val="17"/>
                <w:lang w:val="en-GB"/>
              </w:rPr>
              <w:t xml:space="preserve"> based on their own research is allowed or whether only data points published by the undertakings should be applied (this is a lesson learn</w:t>
            </w:r>
            <w:r w:rsidR="0024477F" w:rsidRPr="00057ED8">
              <w:rPr>
                <w:szCs w:val="17"/>
                <w:lang w:val="en-GB"/>
              </w:rPr>
              <w:t>t</w:t>
            </w:r>
            <w:r w:rsidR="00513987" w:rsidRPr="00057ED8">
              <w:rPr>
                <w:szCs w:val="17"/>
                <w:lang w:val="en-GB"/>
              </w:rPr>
              <w:t xml:space="preserve"> from the EU Taxonomy Regulation).</w:t>
            </w:r>
          </w:p>
          <w:p w14:paraId="3263A483" w14:textId="77F3C9F6" w:rsidR="00AD499F" w:rsidRPr="00057ED8" w:rsidRDefault="00AD499F" w:rsidP="00366EC2">
            <w:pPr>
              <w:pStyle w:val="Odsekzoznamu"/>
              <w:ind w:left="720" w:firstLine="0"/>
              <w:rPr>
                <w:szCs w:val="17"/>
                <w:lang w:val="en-GB"/>
              </w:rPr>
            </w:pPr>
          </w:p>
          <w:p w14:paraId="3F7B8ABE" w14:textId="1A5CEA4A" w:rsidR="001C28EE" w:rsidRPr="00057ED8" w:rsidRDefault="001C28EE" w:rsidP="00812D6D">
            <w:pPr>
              <w:pStyle w:val="Odsekzoznamu"/>
              <w:numPr>
                <w:ilvl w:val="0"/>
                <w:numId w:val="46"/>
              </w:numPr>
              <w:rPr>
                <w:szCs w:val="17"/>
                <w:lang w:val="en-GB"/>
              </w:rPr>
            </w:pPr>
            <w:r w:rsidRPr="00057ED8">
              <w:rPr>
                <w:szCs w:val="17"/>
                <w:highlight w:val="cyan"/>
                <w:lang w:val="en-GB"/>
              </w:rPr>
              <w:t>Yes</w:t>
            </w:r>
            <w:r w:rsidRPr="00057ED8">
              <w:rPr>
                <w:szCs w:val="17"/>
                <w:lang w:val="en-GB"/>
              </w:rPr>
              <w:t xml:space="preserve"> / no / other</w:t>
            </w:r>
          </w:p>
          <w:p w14:paraId="62179E22" w14:textId="700E80AB" w:rsidR="00797238" w:rsidRPr="00057ED8" w:rsidRDefault="00797238" w:rsidP="00B57A3B">
            <w:pPr>
              <w:pStyle w:val="Odsekzoznamu"/>
              <w:ind w:left="720" w:firstLine="0"/>
              <w:rPr>
                <w:szCs w:val="17"/>
                <w:lang w:val="en-GB"/>
              </w:rPr>
            </w:pPr>
            <w:r w:rsidRPr="00057ED8">
              <w:rPr>
                <w:szCs w:val="17"/>
                <w:lang w:val="en-GB"/>
              </w:rPr>
              <w:t>As regards par</w:t>
            </w:r>
            <w:r w:rsidR="00F5675D">
              <w:rPr>
                <w:szCs w:val="17"/>
                <w:lang w:val="en-GB"/>
              </w:rPr>
              <w:t>a</w:t>
            </w:r>
            <w:r w:rsidRPr="00057ED8">
              <w:rPr>
                <w:szCs w:val="17"/>
                <w:lang w:val="en-GB"/>
              </w:rPr>
              <w:t>. 21(a)(</w:t>
            </w:r>
            <w:proofErr w:type="spellStart"/>
            <w:r w:rsidRPr="00057ED8">
              <w:rPr>
                <w:szCs w:val="17"/>
                <w:lang w:val="en-GB"/>
              </w:rPr>
              <w:t>i</w:t>
            </w:r>
            <w:proofErr w:type="spellEnd"/>
            <w:r w:rsidRPr="00057ED8">
              <w:rPr>
                <w:szCs w:val="17"/>
                <w:lang w:val="en-GB"/>
              </w:rPr>
              <w:t xml:space="preserve">)(ii), </w:t>
            </w:r>
            <w:r w:rsidR="00DB43BF">
              <w:rPr>
                <w:szCs w:val="17"/>
                <w:lang w:val="en-GB"/>
              </w:rPr>
              <w:t>Insurance Europ</w:t>
            </w:r>
            <w:r w:rsidRPr="00057ED8">
              <w:rPr>
                <w:szCs w:val="17"/>
                <w:lang w:val="en-GB"/>
              </w:rPr>
              <w:t>e recommend</w:t>
            </w:r>
            <w:r w:rsidR="00DB43BF">
              <w:rPr>
                <w:szCs w:val="17"/>
                <w:lang w:val="en-GB"/>
              </w:rPr>
              <w:t>s</w:t>
            </w:r>
            <w:r w:rsidRPr="00057ED8">
              <w:rPr>
                <w:szCs w:val="17"/>
                <w:lang w:val="en-GB"/>
              </w:rPr>
              <w:t xml:space="preserve"> </w:t>
            </w:r>
            <w:r w:rsidR="00DB43BF">
              <w:rPr>
                <w:szCs w:val="17"/>
                <w:lang w:val="en-GB"/>
              </w:rPr>
              <w:t>that</w:t>
            </w:r>
            <w:r w:rsidRPr="00057ED8">
              <w:rPr>
                <w:szCs w:val="17"/>
                <w:lang w:val="en-GB"/>
              </w:rPr>
              <w:t xml:space="preserve"> the ISSB require</w:t>
            </w:r>
            <w:r w:rsidR="00DB43BF">
              <w:rPr>
                <w:szCs w:val="17"/>
                <w:lang w:val="en-GB"/>
              </w:rPr>
              <w:t>s</w:t>
            </w:r>
            <w:r w:rsidRPr="00057ED8">
              <w:rPr>
                <w:szCs w:val="17"/>
                <w:lang w:val="en-GB"/>
              </w:rPr>
              <w:t xml:space="preserve"> the disclosure of the GHG intensity expressed as metric tonnes of CO</w:t>
            </w:r>
            <w:r w:rsidRPr="00CC6EA0">
              <w:rPr>
                <w:szCs w:val="17"/>
                <w:vertAlign w:val="subscript"/>
                <w:lang w:val="en-GB"/>
              </w:rPr>
              <w:t>2</w:t>
            </w:r>
            <w:r w:rsidRPr="00057ED8">
              <w:rPr>
                <w:szCs w:val="17"/>
                <w:lang w:val="en-GB"/>
              </w:rPr>
              <w:t xml:space="preserve"> equivalent in both physical and economic output (where applicable, </w:t>
            </w:r>
            <w:r w:rsidR="00597CEF">
              <w:rPr>
                <w:szCs w:val="17"/>
                <w:lang w:val="en-GB"/>
              </w:rPr>
              <w:t>for example</w:t>
            </w:r>
            <w:r w:rsidRPr="00057ED8">
              <w:rPr>
                <w:szCs w:val="17"/>
                <w:lang w:val="en-GB"/>
              </w:rPr>
              <w:t>, CO</w:t>
            </w:r>
            <w:r w:rsidRPr="00CC6EA0">
              <w:rPr>
                <w:szCs w:val="17"/>
                <w:vertAlign w:val="subscript"/>
                <w:lang w:val="en-GB"/>
              </w:rPr>
              <w:t>2</w:t>
            </w:r>
            <w:r w:rsidRPr="00057ED8">
              <w:rPr>
                <w:szCs w:val="17"/>
                <w:lang w:val="en-GB"/>
              </w:rPr>
              <w:t xml:space="preserve"> equivalent per ton of steel produced).</w:t>
            </w:r>
          </w:p>
          <w:p w14:paraId="73F816A2" w14:textId="77777777" w:rsidR="001C28EE" w:rsidRPr="00057ED8" w:rsidRDefault="001C28EE" w:rsidP="00812D6D">
            <w:pPr>
              <w:pStyle w:val="Odsekzoznamu"/>
              <w:numPr>
                <w:ilvl w:val="0"/>
                <w:numId w:val="46"/>
              </w:numPr>
              <w:rPr>
                <w:szCs w:val="17"/>
                <w:lang w:val="en-GB"/>
              </w:rPr>
            </w:pPr>
            <w:r w:rsidRPr="00057ED8">
              <w:rPr>
                <w:szCs w:val="17"/>
                <w:lang w:val="en-GB"/>
              </w:rPr>
              <w:t xml:space="preserve">Broadly agree / broadly disagree / </w:t>
            </w:r>
            <w:r w:rsidRPr="00057ED8">
              <w:rPr>
                <w:szCs w:val="17"/>
                <w:highlight w:val="cyan"/>
                <w:lang w:val="en-GB"/>
              </w:rPr>
              <w:t>other</w:t>
            </w:r>
          </w:p>
          <w:p w14:paraId="3FFA6DB9" w14:textId="55E41747" w:rsidR="00124E90" w:rsidRPr="00BB4FB0" w:rsidRDefault="00597CEF" w:rsidP="00BB4FB0">
            <w:pPr>
              <w:pStyle w:val="Odsekzoznamu"/>
              <w:ind w:left="720" w:firstLine="0"/>
            </w:pPr>
            <w:r>
              <w:rPr>
                <w:szCs w:val="17"/>
                <w:lang w:val="en-GB"/>
              </w:rPr>
              <w:t>Insurance Europ</w:t>
            </w:r>
            <w:r w:rsidR="00124E90" w:rsidRPr="00057ED8">
              <w:rPr>
                <w:szCs w:val="17"/>
                <w:lang w:val="en-GB"/>
              </w:rPr>
              <w:t>e agree</w:t>
            </w:r>
            <w:r>
              <w:rPr>
                <w:szCs w:val="17"/>
                <w:lang w:val="en-GB"/>
              </w:rPr>
              <w:t>s</w:t>
            </w:r>
            <w:r w:rsidR="00124E90" w:rsidRPr="00057ED8">
              <w:rPr>
                <w:szCs w:val="17"/>
                <w:lang w:val="en-GB"/>
              </w:rPr>
              <w:t xml:space="preserve"> that entities should be required to use the GHG Protocol to define and measure Scop</w:t>
            </w:r>
            <w:r w:rsidR="00156AF9">
              <w:rPr>
                <w:szCs w:val="17"/>
                <w:lang w:val="en-GB"/>
              </w:rPr>
              <w:t>e</w:t>
            </w:r>
            <w:r w:rsidR="00124E90" w:rsidRPr="00057ED8">
              <w:rPr>
                <w:szCs w:val="17"/>
                <w:lang w:val="en-GB"/>
              </w:rPr>
              <w:t xml:space="preserve"> 1, 2 and 3 emissions</w:t>
            </w:r>
            <w:r w:rsidR="00156AF9">
              <w:rPr>
                <w:szCs w:val="17"/>
                <w:lang w:val="en-GB"/>
              </w:rPr>
              <w:t>,</w:t>
            </w:r>
            <w:r w:rsidR="00124E90" w:rsidRPr="00057ED8">
              <w:rPr>
                <w:szCs w:val="17"/>
                <w:lang w:val="en-GB"/>
              </w:rPr>
              <w:t xml:space="preserve"> as it is internationally accepted and well established in practice. However,</w:t>
            </w:r>
            <w:r w:rsidR="00961DC1">
              <w:rPr>
                <w:szCs w:val="17"/>
                <w:lang w:val="en-GB"/>
              </w:rPr>
              <w:t xml:space="preserve"> </w:t>
            </w:r>
            <w:r w:rsidR="00124E90" w:rsidRPr="00961DC1">
              <w:t>the question remains whether the reported data from different undertakings will be comparable</w:t>
            </w:r>
            <w:r w:rsidR="002470BD" w:rsidRPr="00BB4FB0">
              <w:t>.</w:t>
            </w:r>
            <w:r w:rsidR="001267EB" w:rsidRPr="00BB4FB0">
              <w:t xml:space="preserve"> </w:t>
            </w:r>
            <w:r w:rsidR="002470BD" w:rsidRPr="00BB4FB0">
              <w:t>F</w:t>
            </w:r>
            <w:r w:rsidR="001267EB" w:rsidRPr="00BB4FB0">
              <w:t>or specification</w:t>
            </w:r>
            <w:r w:rsidR="002470BD" w:rsidRPr="00BB4FB0">
              <w:t>,</w:t>
            </w:r>
            <w:r w:rsidR="001267EB" w:rsidRPr="00BB4FB0">
              <w:t xml:space="preserve"> reference to further industry-specific guidance should be included in </w:t>
            </w:r>
            <w:r w:rsidR="009B083A" w:rsidRPr="00BB4FB0">
              <w:t>Appendix B</w:t>
            </w:r>
            <w:r w:rsidR="00C10D1E">
              <w:t>.</w:t>
            </w:r>
          </w:p>
          <w:p w14:paraId="3986219D" w14:textId="4C681421" w:rsidR="00124E90" w:rsidRPr="00057ED8" w:rsidRDefault="00124E90" w:rsidP="00124E90">
            <w:pPr>
              <w:rPr>
                <w:szCs w:val="17"/>
              </w:rPr>
            </w:pPr>
          </w:p>
          <w:p w14:paraId="0F2F886F" w14:textId="77777777" w:rsidR="001C28EE" w:rsidRPr="00057ED8" w:rsidRDefault="001C28EE" w:rsidP="00812D6D">
            <w:pPr>
              <w:pStyle w:val="Odsekzoznamu"/>
              <w:numPr>
                <w:ilvl w:val="0"/>
                <w:numId w:val="46"/>
              </w:numPr>
              <w:rPr>
                <w:szCs w:val="17"/>
                <w:lang w:val="en-GB"/>
              </w:rPr>
            </w:pPr>
            <w:r w:rsidRPr="00057ED8">
              <w:rPr>
                <w:szCs w:val="17"/>
                <w:highlight w:val="cyan"/>
                <w:lang w:val="en-GB"/>
              </w:rPr>
              <w:t>Broadly agree</w:t>
            </w:r>
            <w:r w:rsidRPr="00057ED8">
              <w:rPr>
                <w:szCs w:val="17"/>
                <w:lang w:val="en-GB"/>
              </w:rPr>
              <w:t xml:space="preserve"> / broadly disagree / other</w:t>
            </w:r>
          </w:p>
          <w:p w14:paraId="7AA8320C" w14:textId="77777777" w:rsidR="00E56311" w:rsidRDefault="00E56311" w:rsidP="00E56311">
            <w:pPr>
              <w:spacing w:line="240" w:lineRule="auto"/>
              <w:ind w:left="360" w:right="1057"/>
              <w:rPr>
                <w:rFonts w:eastAsia="Bookman Old Style" w:cs="Bookman Old Style"/>
                <w:sz w:val="17"/>
                <w:szCs w:val="17"/>
              </w:rPr>
            </w:pPr>
          </w:p>
          <w:p w14:paraId="26337A77" w14:textId="6D6F0EF8" w:rsidR="00A00D61" w:rsidRPr="00057ED8" w:rsidRDefault="00C10D1E" w:rsidP="00E56311">
            <w:pPr>
              <w:spacing w:line="240" w:lineRule="auto"/>
              <w:ind w:left="360" w:right="1057"/>
              <w:rPr>
                <w:szCs w:val="17"/>
              </w:rPr>
            </w:pPr>
            <w:r>
              <w:rPr>
                <w:rFonts w:eastAsia="Bookman Old Style" w:cs="Bookman Old Style"/>
                <w:sz w:val="17"/>
                <w:szCs w:val="17"/>
              </w:rPr>
              <w:t>Insurance Europ</w:t>
            </w:r>
            <w:r w:rsidR="00A00D61" w:rsidRPr="00057ED8">
              <w:rPr>
                <w:rFonts w:eastAsia="Bookman Old Style" w:cs="Bookman Old Style"/>
                <w:sz w:val="17"/>
                <w:szCs w:val="17"/>
              </w:rPr>
              <w:t>e generally agree</w:t>
            </w:r>
            <w:r>
              <w:rPr>
                <w:rFonts w:eastAsia="Bookman Old Style" w:cs="Bookman Old Style"/>
                <w:sz w:val="17"/>
                <w:szCs w:val="17"/>
              </w:rPr>
              <w:t>s</w:t>
            </w:r>
            <w:r w:rsidR="00A00D61" w:rsidRPr="00057ED8">
              <w:rPr>
                <w:rFonts w:eastAsia="Bookman Old Style" w:cs="Bookman Old Style"/>
                <w:sz w:val="17"/>
                <w:szCs w:val="17"/>
              </w:rPr>
              <w:t xml:space="preserve"> with the proposal to aggregate the seven greenhouse gases. </w:t>
            </w:r>
            <w:r w:rsidR="00BB5267">
              <w:rPr>
                <w:rFonts w:eastAsia="Bookman Old Style" w:cs="Bookman Old Style"/>
                <w:sz w:val="17"/>
                <w:szCs w:val="17"/>
              </w:rPr>
              <w:t>It</w:t>
            </w:r>
            <w:r w:rsidR="00BB5267" w:rsidRPr="00057ED8">
              <w:rPr>
                <w:rFonts w:eastAsia="Bookman Old Style" w:cs="Bookman Old Style"/>
                <w:sz w:val="17"/>
                <w:szCs w:val="17"/>
              </w:rPr>
              <w:t xml:space="preserve"> </w:t>
            </w:r>
            <w:r w:rsidR="00A00D61" w:rsidRPr="00057ED8">
              <w:rPr>
                <w:rFonts w:eastAsia="Bookman Old Style" w:cs="Bookman Old Style"/>
                <w:sz w:val="17"/>
                <w:szCs w:val="17"/>
              </w:rPr>
              <w:t>acknowledge</w:t>
            </w:r>
            <w:r w:rsidR="00BB5267">
              <w:rPr>
                <w:rFonts w:eastAsia="Bookman Old Style" w:cs="Bookman Old Style"/>
                <w:sz w:val="17"/>
                <w:szCs w:val="17"/>
              </w:rPr>
              <w:t>s</w:t>
            </w:r>
            <w:r w:rsidR="00A00D61" w:rsidRPr="00057ED8">
              <w:rPr>
                <w:rFonts w:eastAsia="Bookman Old Style" w:cs="Bookman Old Style"/>
                <w:sz w:val="17"/>
                <w:szCs w:val="17"/>
              </w:rPr>
              <w:t xml:space="preserve"> that it may prove difficult at the beginning to collect information on all the gases. As CO</w:t>
            </w:r>
            <w:r w:rsidR="00A00D61" w:rsidRPr="00CC6EA0">
              <w:rPr>
                <w:rFonts w:eastAsia="Bookman Old Style" w:cs="Bookman Old Style"/>
                <w:sz w:val="17"/>
                <w:szCs w:val="17"/>
                <w:vertAlign w:val="subscript"/>
              </w:rPr>
              <w:t>2</w:t>
            </w:r>
            <w:r w:rsidR="00A00D61" w:rsidRPr="00057ED8">
              <w:rPr>
                <w:rFonts w:eastAsia="Bookman Old Style" w:cs="Bookman Old Style"/>
                <w:sz w:val="17"/>
                <w:szCs w:val="17"/>
              </w:rPr>
              <w:t xml:space="preserve"> remains the most significant and undermining for climate change, entities should be allowed to only report CO</w:t>
            </w:r>
            <w:r w:rsidR="00A00D61" w:rsidRPr="00CC6EA0">
              <w:rPr>
                <w:rFonts w:eastAsia="Bookman Old Style" w:cs="Bookman Old Style"/>
                <w:sz w:val="17"/>
                <w:szCs w:val="17"/>
                <w:vertAlign w:val="subscript"/>
              </w:rPr>
              <w:t>2</w:t>
            </w:r>
            <w:r w:rsidR="00A00D61" w:rsidRPr="00057ED8">
              <w:rPr>
                <w:rFonts w:eastAsia="Bookman Old Style" w:cs="Bookman Old Style"/>
                <w:sz w:val="17"/>
                <w:szCs w:val="17"/>
              </w:rPr>
              <w:t xml:space="preserve"> emissions at the beginning if data is lacking.</w:t>
            </w:r>
          </w:p>
          <w:p w14:paraId="72F1EF36" w14:textId="77777777" w:rsidR="00A43F61" w:rsidRPr="00057ED8" w:rsidRDefault="00A43F61" w:rsidP="000832F1">
            <w:pPr>
              <w:ind w:left="360"/>
              <w:rPr>
                <w:szCs w:val="17"/>
              </w:rPr>
            </w:pPr>
          </w:p>
          <w:p w14:paraId="2D91C96A" w14:textId="77777777" w:rsidR="001C28EE" w:rsidRPr="00057ED8" w:rsidRDefault="001C28EE" w:rsidP="00812D6D">
            <w:pPr>
              <w:pStyle w:val="Odsekzoznamu"/>
              <w:numPr>
                <w:ilvl w:val="0"/>
                <w:numId w:val="46"/>
              </w:numPr>
              <w:rPr>
                <w:szCs w:val="17"/>
                <w:lang w:val="en-GB"/>
              </w:rPr>
            </w:pPr>
            <w:r w:rsidRPr="00057ED8">
              <w:rPr>
                <w:szCs w:val="17"/>
                <w:lang w:val="en-GB"/>
              </w:rPr>
              <w:t xml:space="preserve">Broadly agree / </w:t>
            </w:r>
            <w:r w:rsidRPr="00057ED8">
              <w:rPr>
                <w:szCs w:val="17"/>
                <w:highlight w:val="cyan"/>
                <w:lang w:val="en-GB"/>
              </w:rPr>
              <w:t>broadly disagree</w:t>
            </w:r>
            <w:r w:rsidRPr="00057ED8">
              <w:rPr>
                <w:szCs w:val="17"/>
                <w:lang w:val="en-GB"/>
              </w:rPr>
              <w:t xml:space="preserve"> / other</w:t>
            </w:r>
          </w:p>
          <w:p w14:paraId="7014C22A" w14:textId="1CEBBADD" w:rsidR="00443C94" w:rsidRPr="00057ED8" w:rsidRDefault="00443C94" w:rsidP="00443C94">
            <w:pPr>
              <w:pStyle w:val="Odsekzoznamu"/>
              <w:ind w:left="720" w:firstLine="0"/>
              <w:rPr>
                <w:szCs w:val="17"/>
                <w:lang w:val="en-GB"/>
              </w:rPr>
            </w:pPr>
            <w:r w:rsidRPr="00057ED8">
              <w:rPr>
                <w:szCs w:val="17"/>
                <w:lang w:val="en-GB"/>
              </w:rPr>
              <w:t>Disclosure should follow the same principles that are used for financial reporting.</w:t>
            </w:r>
            <w:r w:rsidR="001A25DC">
              <w:rPr>
                <w:szCs w:val="17"/>
                <w:lang w:val="en-GB"/>
              </w:rPr>
              <w:t xml:space="preserve"> </w:t>
            </w:r>
            <w:r w:rsidR="001A25DC" w:rsidRPr="00CC17C1">
              <w:rPr>
                <w:szCs w:val="17"/>
              </w:rPr>
              <w:t xml:space="preserve">The disclosure should only apply at group level and not for </w:t>
            </w:r>
            <w:r w:rsidR="00BB5267">
              <w:rPr>
                <w:szCs w:val="17"/>
              </w:rPr>
              <w:t>“</w:t>
            </w:r>
            <w:r w:rsidR="001A25DC" w:rsidRPr="00CC17C1">
              <w:rPr>
                <w:szCs w:val="17"/>
              </w:rPr>
              <w:t>associates, joint ventures, unconsolidated companies</w:t>
            </w:r>
            <w:r w:rsidR="00BB5267">
              <w:rPr>
                <w:szCs w:val="17"/>
              </w:rPr>
              <w:t>”</w:t>
            </w:r>
            <w:r w:rsidR="00891F84">
              <w:rPr>
                <w:szCs w:val="17"/>
              </w:rPr>
              <w:t xml:space="preserve">, </w:t>
            </w:r>
            <w:r w:rsidR="00F3364C">
              <w:rPr>
                <w:szCs w:val="17"/>
              </w:rPr>
              <w:t>as aligned with financial reporting</w:t>
            </w:r>
            <w:r w:rsidR="001A25DC" w:rsidRPr="00CC17C1">
              <w:rPr>
                <w:szCs w:val="17"/>
              </w:rPr>
              <w:t xml:space="preserve">. </w:t>
            </w:r>
            <w:r w:rsidR="001A25DC" w:rsidRPr="00DF62F0">
              <w:rPr>
                <w:szCs w:val="17"/>
              </w:rPr>
              <w:t xml:space="preserve">Data unavailability and lack of control regarding emission reduction measures are further arguments for not disclosing Scope 1 and 2 emissions for “ii. any associates, joint ventures, unconsolidated subsidiaries and affiliates”. Besides this, </w:t>
            </w:r>
            <w:r w:rsidR="00631C71">
              <w:rPr>
                <w:szCs w:val="17"/>
              </w:rPr>
              <w:t>Insurance Europe</w:t>
            </w:r>
            <w:r w:rsidR="00631C71" w:rsidRPr="00DF62F0">
              <w:rPr>
                <w:szCs w:val="17"/>
              </w:rPr>
              <w:t xml:space="preserve"> </w:t>
            </w:r>
            <w:r w:rsidR="001A25DC" w:rsidRPr="00DF62F0">
              <w:rPr>
                <w:szCs w:val="17"/>
              </w:rPr>
              <w:t>do</w:t>
            </w:r>
            <w:r w:rsidR="00631C71">
              <w:rPr>
                <w:szCs w:val="17"/>
              </w:rPr>
              <w:t>es</w:t>
            </w:r>
            <w:r w:rsidR="001A25DC" w:rsidRPr="00DF62F0">
              <w:rPr>
                <w:szCs w:val="17"/>
              </w:rPr>
              <w:t xml:space="preserve"> not think that the splits </w:t>
            </w:r>
            <w:r w:rsidR="00852B09">
              <w:rPr>
                <w:szCs w:val="17"/>
              </w:rPr>
              <w:t xml:space="preserve">are useful </w:t>
            </w:r>
            <w:r w:rsidR="00631C71">
              <w:rPr>
                <w:szCs w:val="17"/>
              </w:rPr>
              <w:t>for</w:t>
            </w:r>
            <w:r w:rsidR="00631C71" w:rsidRPr="00DF62F0">
              <w:rPr>
                <w:szCs w:val="17"/>
              </w:rPr>
              <w:t xml:space="preserve"> </w:t>
            </w:r>
            <w:r w:rsidR="001A25DC" w:rsidRPr="00DF62F0">
              <w:rPr>
                <w:szCs w:val="17"/>
              </w:rPr>
              <w:t>users</w:t>
            </w:r>
            <w:r w:rsidR="00631C71">
              <w:rPr>
                <w:szCs w:val="17"/>
              </w:rPr>
              <w:t>’ decision-making</w:t>
            </w:r>
            <w:r w:rsidR="001A25DC">
              <w:rPr>
                <w:szCs w:val="17"/>
              </w:rPr>
              <w:t>.</w:t>
            </w:r>
          </w:p>
          <w:p w14:paraId="4CE8BF19" w14:textId="77777777" w:rsidR="001C28EE" w:rsidRPr="00057ED8" w:rsidRDefault="001C28EE" w:rsidP="00812D6D">
            <w:pPr>
              <w:pStyle w:val="Odsekzoznamu"/>
              <w:numPr>
                <w:ilvl w:val="0"/>
                <w:numId w:val="46"/>
              </w:numPr>
              <w:rPr>
                <w:szCs w:val="17"/>
                <w:lang w:val="en-GB"/>
              </w:rPr>
            </w:pPr>
            <w:r w:rsidRPr="00057ED8">
              <w:rPr>
                <w:szCs w:val="17"/>
                <w:highlight w:val="cyan"/>
                <w:lang w:val="en-GB"/>
              </w:rPr>
              <w:t>Broadly agree</w:t>
            </w:r>
            <w:r w:rsidRPr="00057ED8">
              <w:rPr>
                <w:szCs w:val="17"/>
                <w:lang w:val="en-GB"/>
              </w:rPr>
              <w:t xml:space="preserve"> / broadly disagree / other</w:t>
            </w:r>
          </w:p>
          <w:p w14:paraId="5B257EAC" w14:textId="7EDF2C2B" w:rsidR="00622A1C" w:rsidRPr="00057ED8" w:rsidRDefault="0039345F" w:rsidP="00622A1C">
            <w:pPr>
              <w:pStyle w:val="Odsekzoznamu"/>
              <w:ind w:left="720" w:firstLine="0"/>
              <w:rPr>
                <w:szCs w:val="17"/>
                <w:lang w:val="en-GB"/>
              </w:rPr>
            </w:pPr>
            <w:r>
              <w:rPr>
                <w:szCs w:val="17"/>
                <w:lang w:val="en-GB"/>
              </w:rPr>
              <w:t xml:space="preserve">From an investor’s point of view, </w:t>
            </w:r>
            <w:r w:rsidR="00631C71">
              <w:rPr>
                <w:szCs w:val="17"/>
                <w:lang w:val="en-GB"/>
              </w:rPr>
              <w:t>Insurance Europe</w:t>
            </w:r>
            <w:r w:rsidR="00631C71" w:rsidRPr="00057ED8">
              <w:rPr>
                <w:szCs w:val="17"/>
                <w:lang w:val="en-GB"/>
              </w:rPr>
              <w:t xml:space="preserve"> </w:t>
            </w:r>
            <w:r w:rsidR="00622A1C" w:rsidRPr="00057ED8">
              <w:rPr>
                <w:szCs w:val="17"/>
                <w:lang w:val="en-GB"/>
              </w:rPr>
              <w:t>strongly support</w:t>
            </w:r>
            <w:r w:rsidR="00631C71">
              <w:rPr>
                <w:szCs w:val="17"/>
                <w:lang w:val="en-GB"/>
              </w:rPr>
              <w:t>s</w:t>
            </w:r>
            <w:r w:rsidR="00622A1C" w:rsidRPr="00057ED8">
              <w:rPr>
                <w:szCs w:val="17"/>
                <w:lang w:val="en-GB"/>
              </w:rPr>
              <w:t xml:space="preserve"> the ISSB’s proposal for a mandatory</w:t>
            </w:r>
            <w:r w:rsidR="00631C71">
              <w:rPr>
                <w:szCs w:val="17"/>
                <w:lang w:val="en-GB"/>
              </w:rPr>
              <w:t>,</w:t>
            </w:r>
            <w:r w:rsidR="00622A1C" w:rsidRPr="00057ED8">
              <w:rPr>
                <w:szCs w:val="17"/>
                <w:lang w:val="en-GB"/>
              </w:rPr>
              <w:t xml:space="preserve"> cross-industry</w:t>
            </w:r>
            <w:r w:rsidR="00631C71">
              <w:rPr>
                <w:szCs w:val="17"/>
                <w:lang w:val="en-GB"/>
              </w:rPr>
              <w:t>,</w:t>
            </w:r>
            <w:r w:rsidR="00622A1C" w:rsidRPr="00057ED8">
              <w:rPr>
                <w:szCs w:val="17"/>
                <w:lang w:val="en-GB"/>
              </w:rPr>
              <w:t xml:space="preserve"> Scope 3 GHG emissions disclosure. This information is not only material </w:t>
            </w:r>
            <w:r w:rsidR="00631C71">
              <w:rPr>
                <w:szCs w:val="17"/>
                <w:lang w:val="en-GB"/>
              </w:rPr>
              <w:t>in</w:t>
            </w:r>
            <w:r w:rsidR="00631C71" w:rsidRPr="00057ED8">
              <w:rPr>
                <w:szCs w:val="17"/>
                <w:lang w:val="en-GB"/>
              </w:rPr>
              <w:t xml:space="preserve"> </w:t>
            </w:r>
            <w:r w:rsidR="00622A1C" w:rsidRPr="00057ED8">
              <w:rPr>
                <w:szCs w:val="17"/>
                <w:lang w:val="en-GB"/>
              </w:rPr>
              <w:t>virtually all sectors, but also essential for users to dive into different industries and understand a compan</w:t>
            </w:r>
            <w:r w:rsidR="00631C71">
              <w:rPr>
                <w:szCs w:val="17"/>
                <w:lang w:val="en-GB"/>
              </w:rPr>
              <w:t>y’</w:t>
            </w:r>
            <w:r w:rsidR="00622A1C" w:rsidRPr="00057ED8">
              <w:rPr>
                <w:szCs w:val="17"/>
                <w:lang w:val="en-GB"/>
              </w:rPr>
              <w:t xml:space="preserve">s consolidation approach when calculating its GHG emissions. </w:t>
            </w:r>
            <w:r w:rsidR="006D3F28" w:rsidRPr="00D55430">
              <w:rPr>
                <w:szCs w:val="17"/>
              </w:rPr>
              <w:t xml:space="preserve">However, a clear methodology is necessary to ensure comparability. Besides this, </w:t>
            </w:r>
            <w:r w:rsidR="006D3F28" w:rsidRPr="00855458">
              <w:rPr>
                <w:szCs w:val="17"/>
              </w:rPr>
              <w:t xml:space="preserve">an obligation to publish the methodology used to calculate </w:t>
            </w:r>
            <w:r w:rsidR="005627D2">
              <w:rPr>
                <w:szCs w:val="17"/>
              </w:rPr>
              <w:t>S</w:t>
            </w:r>
            <w:r w:rsidR="006D3F28" w:rsidRPr="00855458">
              <w:rPr>
                <w:szCs w:val="17"/>
              </w:rPr>
              <w:t>cope 3 emissions should be considered.</w:t>
            </w:r>
            <w:r w:rsidR="006D3F28">
              <w:rPr>
                <w:szCs w:val="17"/>
              </w:rPr>
              <w:t xml:space="preserve"> </w:t>
            </w:r>
            <w:r w:rsidR="005423E6">
              <w:rPr>
                <w:szCs w:val="17"/>
                <w:lang w:val="en-GB"/>
              </w:rPr>
              <w:t xml:space="preserve">For </w:t>
            </w:r>
            <w:r w:rsidR="00622A1C" w:rsidRPr="00057ED8">
              <w:rPr>
                <w:szCs w:val="17"/>
                <w:lang w:val="en-GB"/>
              </w:rPr>
              <w:t>Scope 3, the ISSB should (at least) require the disclosure of companies’ Scope 3 GHG emissions separated by upstream/downstream (as per par</w:t>
            </w:r>
            <w:r w:rsidR="005423E6">
              <w:rPr>
                <w:szCs w:val="17"/>
                <w:lang w:val="en-GB"/>
              </w:rPr>
              <w:t>a</w:t>
            </w:r>
            <w:r w:rsidR="00622A1C" w:rsidRPr="00057ED8">
              <w:rPr>
                <w:szCs w:val="17"/>
                <w:lang w:val="en-GB"/>
              </w:rPr>
              <w:t>. 21(a)(vi)(1)), separated by category (as per par</w:t>
            </w:r>
            <w:r w:rsidR="005423E6">
              <w:rPr>
                <w:szCs w:val="17"/>
                <w:lang w:val="en-GB"/>
              </w:rPr>
              <w:t>a</w:t>
            </w:r>
            <w:r w:rsidR="00622A1C" w:rsidRPr="00057ED8">
              <w:rPr>
                <w:szCs w:val="17"/>
                <w:lang w:val="en-GB"/>
              </w:rPr>
              <w:t>. 21(a)(vi)(2))</w:t>
            </w:r>
            <w:r w:rsidR="005627D2">
              <w:rPr>
                <w:szCs w:val="17"/>
                <w:lang w:val="en-GB"/>
              </w:rPr>
              <w:t xml:space="preserve"> and</w:t>
            </w:r>
            <w:r w:rsidR="00622A1C" w:rsidRPr="00057ED8">
              <w:rPr>
                <w:szCs w:val="17"/>
                <w:lang w:val="en-GB"/>
              </w:rPr>
              <w:t xml:space="preserve"> separated by GHG, </w:t>
            </w:r>
            <w:r w:rsidR="005627D2">
              <w:rPr>
                <w:szCs w:val="17"/>
                <w:lang w:val="en-GB"/>
              </w:rPr>
              <w:t>as well as</w:t>
            </w:r>
            <w:r w:rsidR="005627D2" w:rsidRPr="00057ED8">
              <w:rPr>
                <w:szCs w:val="17"/>
                <w:lang w:val="en-GB"/>
              </w:rPr>
              <w:t xml:space="preserve"> </w:t>
            </w:r>
            <w:r w:rsidR="00622A1C" w:rsidRPr="00057ED8">
              <w:rPr>
                <w:szCs w:val="17"/>
                <w:lang w:val="en-GB"/>
              </w:rPr>
              <w:t>a split of the emissions in</w:t>
            </w:r>
            <w:r w:rsidR="006B2CFD">
              <w:rPr>
                <w:szCs w:val="17"/>
                <w:lang w:val="en-GB"/>
              </w:rPr>
              <w:t>to</w:t>
            </w:r>
            <w:r w:rsidR="00622A1C" w:rsidRPr="00057ED8">
              <w:rPr>
                <w:szCs w:val="17"/>
                <w:lang w:val="en-GB"/>
              </w:rPr>
              <w:t xml:space="preserve"> estimated/measured/assured.</w:t>
            </w:r>
          </w:p>
          <w:p w14:paraId="754E62EE" w14:textId="48796294" w:rsidR="00622A1C" w:rsidRPr="00057ED8" w:rsidRDefault="00622A1C" w:rsidP="001323A7">
            <w:pPr>
              <w:pStyle w:val="Odsekzoznamu"/>
              <w:ind w:left="720" w:firstLine="0"/>
              <w:rPr>
                <w:szCs w:val="17"/>
                <w:lang w:val="en-GB"/>
              </w:rPr>
            </w:pPr>
          </w:p>
          <w:p w14:paraId="68E738FD" w14:textId="77777777" w:rsidR="00CF12C2" w:rsidRPr="00057ED8" w:rsidRDefault="00CF12C2" w:rsidP="00121EC8">
            <w:pPr>
              <w:rPr>
                <w:szCs w:val="17"/>
              </w:rPr>
            </w:pPr>
          </w:p>
        </w:tc>
      </w:tr>
    </w:tbl>
    <w:p w14:paraId="7E9D8C64" w14:textId="77777777" w:rsidR="007B228E" w:rsidRPr="00057ED8" w:rsidRDefault="007B228E" w:rsidP="003D0236">
      <w:pPr>
        <w:autoSpaceDE w:val="0"/>
        <w:autoSpaceDN w:val="0"/>
        <w:adjustRightInd w:val="0"/>
        <w:rPr>
          <w:sz w:val="17"/>
          <w:szCs w:val="17"/>
        </w:rPr>
      </w:pPr>
    </w:p>
    <w:p w14:paraId="7752820B" w14:textId="77777777" w:rsidR="00716BD9" w:rsidRPr="00057ED8" w:rsidRDefault="00716BD9" w:rsidP="00A20516">
      <w:pPr>
        <w:rPr>
          <w:b/>
          <w:bCs/>
          <w:sz w:val="17"/>
          <w:szCs w:val="17"/>
        </w:rPr>
      </w:pPr>
      <w:r w:rsidRPr="00057ED8">
        <w:rPr>
          <w:b/>
          <w:bCs/>
          <w:sz w:val="17"/>
          <w:szCs w:val="17"/>
        </w:rPr>
        <w:t>Question 10—Targets</w:t>
      </w:r>
    </w:p>
    <w:p w14:paraId="335437AF" w14:textId="77777777" w:rsidR="00E20C3D" w:rsidRPr="00057ED8" w:rsidRDefault="00E20C3D" w:rsidP="00973DEE">
      <w:pPr>
        <w:rPr>
          <w:sz w:val="17"/>
          <w:szCs w:val="17"/>
        </w:rPr>
      </w:pPr>
      <w:r w:rsidRPr="00057ED8">
        <w:rPr>
          <w:sz w:val="17"/>
          <w:szCs w:val="17"/>
        </w:rPr>
        <w:t>Paragraph 23 of the Exposure Draft proposes that an entity be required to disclose information about its emission-reduction targets, including the objective of the target (for example, mitigation, adaptation or conformance with sector or science-based initiatives), as well as information about how the entity’s targets compare with those prescribed in the latest international agreement on climate change.</w:t>
      </w:r>
    </w:p>
    <w:p w14:paraId="47D5704D" w14:textId="77777777" w:rsidR="007B228E" w:rsidRPr="00057ED8" w:rsidRDefault="007B228E" w:rsidP="00973DEE">
      <w:pPr>
        <w:rPr>
          <w:sz w:val="17"/>
          <w:szCs w:val="17"/>
        </w:rPr>
      </w:pPr>
    </w:p>
    <w:p w14:paraId="40E91143" w14:textId="77777777" w:rsidR="00E20C3D" w:rsidRPr="00057ED8" w:rsidRDefault="00E20C3D" w:rsidP="00973DEE">
      <w:pPr>
        <w:rPr>
          <w:sz w:val="17"/>
          <w:szCs w:val="17"/>
        </w:rPr>
      </w:pPr>
      <w:r w:rsidRPr="00057ED8">
        <w:rPr>
          <w:sz w:val="17"/>
          <w:szCs w:val="17"/>
        </w:rPr>
        <w:t>The ‘latest international agreement on climate change’ is defined as the latest agreement between members of the United Nations Framework Convention on Climate Change (UNFCCC). The agreements made under the UNFCCC set norms and targets for a reduction in greenhouse gases. At the time of publication of the Exposure Draft, the latest such agreement is the Paris Agreement (April 2016); its signatories agreed to limit global warming to well below 2 degrees Celsius above pre-industrial levels, and to pursue efforts to limit warming to 1.5 degrees Celsius above pre-industrial levels. Until the Paris Agreement is replaced, the effect of the proposals in the Exposure Draft is that an entity is required to reference the targets set out in the Paris Agreement when disclosing whether or to what degree its own targets compare to the targets in the Paris Agreement.</w:t>
      </w:r>
    </w:p>
    <w:p w14:paraId="42A8FBCE" w14:textId="77777777" w:rsidR="007B228E" w:rsidRPr="00057ED8" w:rsidRDefault="007B228E" w:rsidP="00973DEE">
      <w:pPr>
        <w:rPr>
          <w:sz w:val="17"/>
          <w:szCs w:val="17"/>
        </w:rPr>
      </w:pPr>
    </w:p>
    <w:p w14:paraId="48480544" w14:textId="77777777" w:rsidR="00E20C3D" w:rsidRPr="00057ED8" w:rsidRDefault="00E20C3D" w:rsidP="00973DEE">
      <w:pPr>
        <w:rPr>
          <w:sz w:val="17"/>
          <w:szCs w:val="17"/>
        </w:rPr>
      </w:pPr>
      <w:r w:rsidRPr="00057ED8">
        <w:rPr>
          <w:sz w:val="17"/>
          <w:szCs w:val="17"/>
        </w:rPr>
        <w:t>Paragraphs BC119–BC122 of the Basis for Conclusions describe the reasoning behind the Exposure Draft’s proposals.</w:t>
      </w:r>
    </w:p>
    <w:p w14:paraId="0DFED7F3" w14:textId="77777777" w:rsidR="00E20C3D" w:rsidRPr="00057ED8" w:rsidRDefault="00E20C3D" w:rsidP="00812D6D">
      <w:pPr>
        <w:pStyle w:val="Odsekzoznamu"/>
        <w:numPr>
          <w:ilvl w:val="0"/>
          <w:numId w:val="24"/>
        </w:numPr>
        <w:spacing w:before="0" w:line="288" w:lineRule="auto"/>
        <w:rPr>
          <w:szCs w:val="17"/>
          <w:lang w:val="en-GB"/>
        </w:rPr>
      </w:pPr>
      <w:r w:rsidRPr="00057ED8">
        <w:rPr>
          <w:szCs w:val="17"/>
          <w:lang w:val="en-GB"/>
        </w:rPr>
        <w:t>Do you agree with the proposed disclosure about climate-related targets? Why or why not?</w:t>
      </w:r>
    </w:p>
    <w:p w14:paraId="4896594D" w14:textId="77777777" w:rsidR="007B228E" w:rsidRPr="00057ED8" w:rsidRDefault="007B228E" w:rsidP="007B228E">
      <w:pPr>
        <w:pStyle w:val="Odsekzoznamu"/>
        <w:spacing w:before="0" w:line="288" w:lineRule="auto"/>
        <w:ind w:left="720" w:firstLine="0"/>
        <w:rPr>
          <w:szCs w:val="17"/>
          <w:lang w:val="en-GB"/>
        </w:rPr>
      </w:pPr>
    </w:p>
    <w:p w14:paraId="04AF3B61" w14:textId="77777777" w:rsidR="00E20C3D" w:rsidRPr="00057ED8" w:rsidRDefault="00E20C3D" w:rsidP="00812D6D">
      <w:pPr>
        <w:pStyle w:val="Odsekzoznamu"/>
        <w:numPr>
          <w:ilvl w:val="0"/>
          <w:numId w:val="24"/>
        </w:numPr>
        <w:spacing w:before="0" w:line="288" w:lineRule="auto"/>
        <w:rPr>
          <w:szCs w:val="17"/>
          <w:lang w:val="en-GB"/>
        </w:rPr>
      </w:pPr>
      <w:r w:rsidRPr="00057ED8">
        <w:rPr>
          <w:szCs w:val="17"/>
          <w:lang w:val="en-GB"/>
        </w:rPr>
        <w:t>Do you think the proposed definition of ‘latest international agreement on climate change’ is sufficiently clear? If not, what would you suggest and why?</w:t>
      </w:r>
    </w:p>
    <w:p w14:paraId="64F31FA9" w14:textId="77777777" w:rsidR="006A4D42" w:rsidRPr="00057ED8" w:rsidRDefault="006A4D42" w:rsidP="003D0236">
      <w:pPr>
        <w:autoSpaceDE w:val="0"/>
        <w:autoSpaceDN w:val="0"/>
        <w:adjustRightInd w:val="0"/>
        <w:rPr>
          <w:sz w:val="17"/>
          <w:szCs w:val="17"/>
        </w:rPr>
      </w:pPr>
    </w:p>
    <w:tbl>
      <w:tblPr>
        <w:tblStyle w:val="Mriekatabuky"/>
        <w:tblW w:w="0" w:type="auto"/>
        <w:tblLook w:val="04A0" w:firstRow="1" w:lastRow="0" w:firstColumn="1" w:lastColumn="0" w:noHBand="0" w:noVBand="1"/>
      </w:tblPr>
      <w:tblGrid>
        <w:gridCol w:w="9521"/>
      </w:tblGrid>
      <w:tr w:rsidR="00CF12C2" w:rsidRPr="00057ED8" w14:paraId="74F487A1" w14:textId="77777777" w:rsidTr="00C61B54">
        <w:trPr>
          <w:trHeight w:val="1625"/>
        </w:trPr>
        <w:tc>
          <w:tcPr>
            <w:tcW w:w="9521" w:type="dxa"/>
          </w:tcPr>
          <w:p w14:paraId="19139244" w14:textId="77777777" w:rsidR="00121EC8" w:rsidRPr="00057ED8" w:rsidRDefault="00121EC8" w:rsidP="00812D6D">
            <w:pPr>
              <w:pStyle w:val="Odsekzoznamu"/>
              <w:numPr>
                <w:ilvl w:val="0"/>
                <w:numId w:val="47"/>
              </w:numPr>
              <w:rPr>
                <w:szCs w:val="17"/>
                <w:lang w:val="en-GB"/>
              </w:rPr>
            </w:pPr>
            <w:r w:rsidRPr="00057ED8">
              <w:rPr>
                <w:szCs w:val="17"/>
                <w:highlight w:val="cyan"/>
                <w:lang w:val="en-GB"/>
              </w:rPr>
              <w:t>Broadly agree</w:t>
            </w:r>
            <w:r w:rsidRPr="00057ED8">
              <w:rPr>
                <w:szCs w:val="17"/>
                <w:lang w:val="en-GB"/>
              </w:rPr>
              <w:t xml:space="preserve"> / broadly disagree / other</w:t>
            </w:r>
          </w:p>
          <w:p w14:paraId="26916DF2" w14:textId="77777777" w:rsidR="00B173EB" w:rsidRDefault="00B173EB" w:rsidP="004521E1">
            <w:pPr>
              <w:ind w:left="360"/>
              <w:rPr>
                <w:rFonts w:eastAsia="Bookman Old Style" w:cs="Arial"/>
                <w:sz w:val="17"/>
                <w:szCs w:val="22"/>
              </w:rPr>
            </w:pPr>
          </w:p>
          <w:p w14:paraId="79B012F6" w14:textId="702A892A" w:rsidR="00CB3F87" w:rsidRPr="00057ED8" w:rsidRDefault="006B2CFD" w:rsidP="0042445F">
            <w:pPr>
              <w:spacing w:line="240" w:lineRule="auto"/>
              <w:ind w:left="360"/>
              <w:rPr>
                <w:rFonts w:eastAsia="Bookman Old Style" w:cs="Arial"/>
                <w:sz w:val="17"/>
                <w:szCs w:val="22"/>
              </w:rPr>
            </w:pPr>
            <w:r>
              <w:rPr>
                <w:rFonts w:eastAsia="Bookman Old Style" w:cs="Arial"/>
                <w:sz w:val="17"/>
                <w:szCs w:val="22"/>
              </w:rPr>
              <w:t>Insurance Europ</w:t>
            </w:r>
            <w:r w:rsidR="00CB3F87" w:rsidRPr="00057ED8">
              <w:rPr>
                <w:rFonts w:eastAsia="Bookman Old Style" w:cs="Arial"/>
                <w:sz w:val="17"/>
                <w:szCs w:val="22"/>
              </w:rPr>
              <w:t>e generally agree</w:t>
            </w:r>
            <w:r>
              <w:rPr>
                <w:rFonts w:eastAsia="Bookman Old Style" w:cs="Arial"/>
                <w:sz w:val="17"/>
                <w:szCs w:val="22"/>
              </w:rPr>
              <w:t>s</w:t>
            </w:r>
            <w:r w:rsidR="00CB3F87" w:rsidRPr="00057ED8">
              <w:rPr>
                <w:rFonts w:eastAsia="Bookman Old Style" w:cs="Arial"/>
                <w:sz w:val="17"/>
                <w:szCs w:val="22"/>
              </w:rPr>
              <w:t xml:space="preserve"> with the proposed disclosure </w:t>
            </w:r>
            <w:r w:rsidR="004D3C2B">
              <w:rPr>
                <w:rFonts w:eastAsia="Bookman Old Style" w:cs="Arial"/>
                <w:sz w:val="17"/>
                <w:szCs w:val="22"/>
              </w:rPr>
              <w:t>of</w:t>
            </w:r>
            <w:r w:rsidR="004D3C2B" w:rsidRPr="00057ED8">
              <w:rPr>
                <w:rFonts w:eastAsia="Bookman Old Style" w:cs="Arial"/>
                <w:sz w:val="17"/>
                <w:szCs w:val="22"/>
              </w:rPr>
              <w:t xml:space="preserve"> </w:t>
            </w:r>
            <w:r w:rsidR="00CB3F87" w:rsidRPr="00057ED8">
              <w:rPr>
                <w:rFonts w:eastAsia="Bookman Old Style" w:cs="Arial"/>
                <w:sz w:val="17"/>
                <w:szCs w:val="22"/>
              </w:rPr>
              <w:t>climate-related targets</w:t>
            </w:r>
            <w:r w:rsidR="00086A8C" w:rsidRPr="00057ED8">
              <w:rPr>
                <w:rFonts w:eastAsia="Bookman Old Style" w:cs="Arial"/>
                <w:sz w:val="17"/>
                <w:szCs w:val="22"/>
              </w:rPr>
              <w:t xml:space="preserve"> and support a holistic reporting oriented towards the four core contents of the well-established TCFD recommendations: </w:t>
            </w:r>
            <w:r w:rsidR="00BC5DE7">
              <w:rPr>
                <w:rFonts w:eastAsia="Bookman Old Style" w:cs="Arial"/>
                <w:sz w:val="17"/>
                <w:szCs w:val="22"/>
              </w:rPr>
              <w:t>g</w:t>
            </w:r>
            <w:r w:rsidR="00086A8C" w:rsidRPr="00057ED8">
              <w:rPr>
                <w:rFonts w:eastAsia="Bookman Old Style" w:cs="Arial"/>
                <w:sz w:val="17"/>
                <w:szCs w:val="22"/>
              </w:rPr>
              <w:t xml:space="preserve">overnance, </w:t>
            </w:r>
            <w:r w:rsidR="00BC5DE7">
              <w:rPr>
                <w:rFonts w:eastAsia="Bookman Old Style" w:cs="Arial"/>
                <w:sz w:val="17"/>
                <w:szCs w:val="22"/>
              </w:rPr>
              <w:t>s</w:t>
            </w:r>
            <w:r w:rsidR="00086A8C" w:rsidRPr="00057ED8">
              <w:rPr>
                <w:rFonts w:eastAsia="Bookman Old Style" w:cs="Arial"/>
                <w:sz w:val="17"/>
                <w:szCs w:val="22"/>
              </w:rPr>
              <w:t xml:space="preserve">trategy, </w:t>
            </w:r>
            <w:r w:rsidR="00BC5DE7">
              <w:rPr>
                <w:rFonts w:eastAsia="Bookman Old Style" w:cs="Arial"/>
                <w:sz w:val="17"/>
                <w:szCs w:val="22"/>
              </w:rPr>
              <w:t>r</w:t>
            </w:r>
            <w:r w:rsidR="00086A8C" w:rsidRPr="00057ED8">
              <w:rPr>
                <w:rFonts w:eastAsia="Bookman Old Style" w:cs="Arial"/>
                <w:sz w:val="17"/>
                <w:szCs w:val="22"/>
              </w:rPr>
              <w:t xml:space="preserve">isk </w:t>
            </w:r>
            <w:r w:rsidR="00BC5DE7">
              <w:rPr>
                <w:rFonts w:eastAsia="Bookman Old Style" w:cs="Arial"/>
                <w:sz w:val="17"/>
                <w:szCs w:val="22"/>
              </w:rPr>
              <w:t>m</w:t>
            </w:r>
            <w:r w:rsidR="00086A8C" w:rsidRPr="00057ED8">
              <w:rPr>
                <w:rFonts w:eastAsia="Bookman Old Style" w:cs="Arial"/>
                <w:sz w:val="17"/>
                <w:szCs w:val="22"/>
              </w:rPr>
              <w:t xml:space="preserve">anagement, </w:t>
            </w:r>
            <w:r w:rsidR="00BC5DE7">
              <w:rPr>
                <w:rFonts w:eastAsia="Bookman Old Style" w:cs="Arial"/>
                <w:sz w:val="17"/>
                <w:szCs w:val="22"/>
              </w:rPr>
              <w:t>m</w:t>
            </w:r>
            <w:r w:rsidR="00086A8C" w:rsidRPr="00057ED8">
              <w:rPr>
                <w:rFonts w:eastAsia="Bookman Old Style" w:cs="Arial"/>
                <w:sz w:val="17"/>
                <w:szCs w:val="22"/>
              </w:rPr>
              <w:t xml:space="preserve">etrics and </w:t>
            </w:r>
            <w:r w:rsidR="00BC5DE7">
              <w:rPr>
                <w:rFonts w:eastAsia="Bookman Old Style" w:cs="Arial"/>
                <w:sz w:val="17"/>
                <w:szCs w:val="22"/>
              </w:rPr>
              <w:t>t</w:t>
            </w:r>
            <w:r w:rsidR="00086A8C" w:rsidRPr="00057ED8">
              <w:rPr>
                <w:rFonts w:eastAsia="Bookman Old Style" w:cs="Arial"/>
                <w:sz w:val="17"/>
                <w:szCs w:val="22"/>
              </w:rPr>
              <w:t>argets</w:t>
            </w:r>
            <w:r w:rsidR="00CB3F87" w:rsidRPr="00057ED8">
              <w:rPr>
                <w:rFonts w:eastAsia="Bookman Old Style" w:cs="Arial"/>
                <w:sz w:val="17"/>
                <w:szCs w:val="22"/>
              </w:rPr>
              <w:t xml:space="preserve">. However, </w:t>
            </w:r>
            <w:r w:rsidR="00F71B4A">
              <w:rPr>
                <w:rFonts w:eastAsia="Bookman Old Style" w:cs="Arial"/>
                <w:sz w:val="17"/>
                <w:szCs w:val="22"/>
              </w:rPr>
              <w:t>it</w:t>
            </w:r>
            <w:r w:rsidR="00F71B4A" w:rsidRPr="00057ED8">
              <w:rPr>
                <w:rFonts w:eastAsia="Bookman Old Style" w:cs="Arial"/>
                <w:sz w:val="17"/>
                <w:szCs w:val="22"/>
              </w:rPr>
              <w:t xml:space="preserve"> </w:t>
            </w:r>
            <w:r w:rsidR="00CB3F87" w:rsidRPr="00057ED8">
              <w:rPr>
                <w:rFonts w:eastAsia="Bookman Old Style" w:cs="Arial"/>
                <w:sz w:val="17"/>
                <w:szCs w:val="22"/>
              </w:rPr>
              <w:t>strongly recommend</w:t>
            </w:r>
            <w:r w:rsidR="00F71B4A">
              <w:rPr>
                <w:rFonts w:eastAsia="Bookman Old Style" w:cs="Arial"/>
                <w:sz w:val="17"/>
                <w:szCs w:val="22"/>
              </w:rPr>
              <w:t>s that</w:t>
            </w:r>
            <w:r w:rsidR="00CB3F87" w:rsidRPr="00057ED8">
              <w:rPr>
                <w:rFonts w:eastAsia="Bookman Old Style" w:cs="Arial"/>
                <w:sz w:val="17"/>
                <w:szCs w:val="22"/>
              </w:rPr>
              <w:t xml:space="preserve"> the ISSB also include</w:t>
            </w:r>
            <w:r w:rsidR="00F71B4A">
              <w:rPr>
                <w:rFonts w:eastAsia="Bookman Old Style" w:cs="Arial"/>
                <w:sz w:val="17"/>
                <w:szCs w:val="22"/>
              </w:rPr>
              <w:t>s</w:t>
            </w:r>
            <w:r w:rsidR="00CB3F87" w:rsidRPr="00057ED8">
              <w:rPr>
                <w:rFonts w:eastAsia="Bookman Old Style" w:cs="Arial"/>
                <w:sz w:val="17"/>
                <w:szCs w:val="22"/>
              </w:rPr>
              <w:t xml:space="preserve"> disclosure requirements </w:t>
            </w:r>
            <w:r w:rsidR="00CF19EC">
              <w:rPr>
                <w:rFonts w:eastAsia="Bookman Old Style" w:cs="Arial"/>
                <w:sz w:val="17"/>
                <w:szCs w:val="22"/>
              </w:rPr>
              <w:t>for</w:t>
            </w:r>
            <w:r w:rsidR="00CB3F87" w:rsidRPr="00057ED8">
              <w:rPr>
                <w:rFonts w:eastAsia="Bookman Old Style" w:cs="Arial"/>
                <w:sz w:val="17"/>
                <w:szCs w:val="22"/>
              </w:rPr>
              <w:t xml:space="preserve">: </w:t>
            </w:r>
          </w:p>
          <w:p w14:paraId="72D4616C" w14:textId="2ADCF9D5" w:rsidR="00CB3F87" w:rsidRPr="00057ED8" w:rsidRDefault="00CF19EC" w:rsidP="0042445F">
            <w:pPr>
              <w:pStyle w:val="Odsekzoznamu"/>
              <w:widowControl/>
              <w:numPr>
                <w:ilvl w:val="0"/>
                <w:numId w:val="52"/>
              </w:numPr>
              <w:autoSpaceDE/>
              <w:autoSpaceDN/>
              <w:spacing w:before="120" w:after="120"/>
              <w:ind w:right="0"/>
              <w:contextualSpacing/>
              <w:rPr>
                <w:rFonts w:cs="Arial"/>
                <w:lang w:val="en-GB"/>
              </w:rPr>
            </w:pPr>
            <w:r>
              <w:rPr>
                <w:rFonts w:cs="Arial"/>
                <w:lang w:val="en-GB"/>
              </w:rPr>
              <w:t>t</w:t>
            </w:r>
            <w:r w:rsidR="00CB3F87" w:rsidRPr="00057ED8">
              <w:rPr>
                <w:rFonts w:cs="Arial"/>
                <w:lang w:val="en-GB"/>
              </w:rPr>
              <w:t xml:space="preserve">he scenarios applied when setting a target; </w:t>
            </w:r>
          </w:p>
          <w:p w14:paraId="58AA6864" w14:textId="04DC8A90" w:rsidR="00CB3F87" w:rsidRPr="00057ED8" w:rsidRDefault="00CF19EC" w:rsidP="0042445F">
            <w:pPr>
              <w:pStyle w:val="Odsekzoznamu"/>
              <w:widowControl/>
              <w:numPr>
                <w:ilvl w:val="0"/>
                <w:numId w:val="52"/>
              </w:numPr>
              <w:autoSpaceDE/>
              <w:autoSpaceDN/>
              <w:spacing w:before="120" w:after="120"/>
              <w:ind w:right="0"/>
              <w:contextualSpacing/>
              <w:rPr>
                <w:rFonts w:cs="Arial"/>
                <w:lang w:val="en-GB"/>
              </w:rPr>
            </w:pPr>
            <w:r>
              <w:rPr>
                <w:rFonts w:cs="Arial"/>
                <w:lang w:val="en-GB"/>
              </w:rPr>
              <w:t>t</w:t>
            </w:r>
            <w:r w:rsidR="00CB3F87" w:rsidRPr="00057ED8">
              <w:rPr>
                <w:rFonts w:cs="Arial"/>
                <w:lang w:val="en-GB"/>
              </w:rPr>
              <w:t>he target scope (</w:t>
            </w:r>
            <w:proofErr w:type="spellStart"/>
            <w:r w:rsidR="00CB3F87" w:rsidRPr="00057ED8">
              <w:rPr>
                <w:rFonts w:cs="Arial"/>
                <w:lang w:val="en-GB"/>
              </w:rPr>
              <w:t>ie</w:t>
            </w:r>
            <w:proofErr w:type="spellEnd"/>
            <w:r w:rsidR="00CB3F87" w:rsidRPr="00057ED8">
              <w:rPr>
                <w:rFonts w:cs="Arial"/>
                <w:lang w:val="en-GB"/>
              </w:rPr>
              <w:t xml:space="preserve">, Scope 1, 2 or 3 in case of GHG emissions-related targets); </w:t>
            </w:r>
            <w:r w:rsidR="00D32343">
              <w:rPr>
                <w:rFonts w:cs="Arial"/>
                <w:lang w:val="en-GB"/>
              </w:rPr>
              <w:t>and,</w:t>
            </w:r>
          </w:p>
          <w:p w14:paraId="79675938" w14:textId="1BBC77CD" w:rsidR="00CB3F87" w:rsidRPr="00057ED8" w:rsidRDefault="002F46A1" w:rsidP="0042445F">
            <w:pPr>
              <w:pStyle w:val="Odsekzoznamu"/>
              <w:widowControl/>
              <w:numPr>
                <w:ilvl w:val="0"/>
                <w:numId w:val="52"/>
              </w:numPr>
              <w:autoSpaceDE/>
              <w:autoSpaceDN/>
              <w:spacing w:before="120" w:after="120"/>
              <w:ind w:right="0"/>
              <w:contextualSpacing/>
              <w:rPr>
                <w:rFonts w:cs="Arial"/>
                <w:lang w:val="en-GB"/>
              </w:rPr>
            </w:pPr>
            <w:r>
              <w:rPr>
                <w:rFonts w:cs="Arial"/>
                <w:lang w:val="en-GB"/>
              </w:rPr>
              <w:t>a</w:t>
            </w:r>
            <w:r w:rsidR="00CB3F87" w:rsidRPr="00057ED8">
              <w:rPr>
                <w:rFonts w:cs="Arial"/>
                <w:lang w:val="en-GB"/>
              </w:rPr>
              <w:t>ny assumptions made in target-setting</w:t>
            </w:r>
            <w:r w:rsidR="00D32343">
              <w:rPr>
                <w:rFonts w:cs="Arial"/>
                <w:lang w:val="en-GB"/>
              </w:rPr>
              <w:t>.</w:t>
            </w:r>
          </w:p>
          <w:p w14:paraId="71BBAE3F" w14:textId="77777777" w:rsidR="00E62F54" w:rsidRPr="00057ED8" w:rsidRDefault="00E62F54" w:rsidP="0042445F">
            <w:pPr>
              <w:spacing w:before="120" w:after="120" w:line="240" w:lineRule="auto"/>
              <w:ind w:left="1704"/>
              <w:contextualSpacing/>
              <w:rPr>
                <w:rFonts w:cs="Arial"/>
                <w:szCs w:val="22"/>
              </w:rPr>
            </w:pPr>
          </w:p>
          <w:p w14:paraId="1EDEE856" w14:textId="77777777" w:rsidR="00121EC8" w:rsidRPr="00057ED8" w:rsidRDefault="00121EC8" w:rsidP="00812D6D">
            <w:pPr>
              <w:pStyle w:val="Odsekzoznamu"/>
              <w:numPr>
                <w:ilvl w:val="0"/>
                <w:numId w:val="47"/>
              </w:numPr>
              <w:rPr>
                <w:szCs w:val="17"/>
                <w:lang w:val="en-GB"/>
              </w:rPr>
            </w:pPr>
            <w:r w:rsidRPr="00057ED8">
              <w:rPr>
                <w:szCs w:val="17"/>
                <w:lang w:val="en-GB"/>
              </w:rPr>
              <w:t xml:space="preserve">Broadly agree / </w:t>
            </w:r>
            <w:r w:rsidRPr="00057ED8">
              <w:rPr>
                <w:szCs w:val="17"/>
                <w:highlight w:val="cyan"/>
                <w:lang w:val="en-GB"/>
              </w:rPr>
              <w:t>broadly disagree</w:t>
            </w:r>
            <w:r w:rsidRPr="00057ED8">
              <w:rPr>
                <w:szCs w:val="17"/>
                <w:lang w:val="en-GB"/>
              </w:rPr>
              <w:t xml:space="preserve"> / other</w:t>
            </w:r>
          </w:p>
          <w:p w14:paraId="07858FEB" w14:textId="77777777" w:rsidR="00B173EB" w:rsidRDefault="00B173EB" w:rsidP="0042445F">
            <w:pPr>
              <w:spacing w:line="240" w:lineRule="auto"/>
              <w:ind w:left="360"/>
              <w:rPr>
                <w:rFonts w:eastAsia="Bookman Old Style" w:cs="Arial"/>
                <w:sz w:val="17"/>
                <w:szCs w:val="22"/>
              </w:rPr>
            </w:pPr>
          </w:p>
          <w:p w14:paraId="7463532D" w14:textId="24031808" w:rsidR="00F86AD3" w:rsidRPr="00057ED8" w:rsidRDefault="00C641FA" w:rsidP="0042445F">
            <w:pPr>
              <w:spacing w:line="240" w:lineRule="auto"/>
              <w:ind w:left="360"/>
              <w:rPr>
                <w:rFonts w:eastAsia="Bookman Old Style" w:cs="Arial"/>
                <w:sz w:val="17"/>
                <w:szCs w:val="22"/>
              </w:rPr>
            </w:pPr>
            <w:r w:rsidRPr="00057ED8">
              <w:rPr>
                <w:rFonts w:eastAsia="Bookman Old Style" w:cs="Arial"/>
                <w:sz w:val="17"/>
                <w:szCs w:val="22"/>
              </w:rPr>
              <w:t xml:space="preserve">While the proposed definition of “latest international agreement on climate change” in the above paragraph included as part of “Question 10 - Targets” is deemed sufficiently clear, </w:t>
            </w:r>
            <w:r w:rsidR="00C20965" w:rsidRPr="00057ED8">
              <w:rPr>
                <w:rFonts w:eastAsia="Bookman Old Style" w:cs="Arial"/>
                <w:sz w:val="17"/>
                <w:szCs w:val="22"/>
              </w:rPr>
              <w:t>the proposed definition</w:t>
            </w:r>
            <w:r w:rsidR="00910DB5" w:rsidRPr="00057ED8">
              <w:rPr>
                <w:rFonts w:eastAsia="Bookman Old Style" w:cs="Arial"/>
                <w:sz w:val="17"/>
                <w:szCs w:val="22"/>
              </w:rPr>
              <w:t xml:space="preserve"> included in the </w:t>
            </w:r>
            <w:r w:rsidR="001551E1">
              <w:rPr>
                <w:rFonts w:eastAsia="Bookman Old Style" w:cs="Arial"/>
                <w:sz w:val="17"/>
                <w:szCs w:val="22"/>
              </w:rPr>
              <w:t>E</w:t>
            </w:r>
            <w:r w:rsidR="00910DB5" w:rsidRPr="00057ED8">
              <w:rPr>
                <w:rFonts w:eastAsia="Bookman Old Style" w:cs="Arial"/>
                <w:sz w:val="17"/>
                <w:szCs w:val="22"/>
              </w:rPr>
              <w:t xml:space="preserve">xposure </w:t>
            </w:r>
            <w:r w:rsidR="001551E1">
              <w:rPr>
                <w:rFonts w:eastAsia="Bookman Old Style" w:cs="Arial"/>
                <w:sz w:val="17"/>
                <w:szCs w:val="22"/>
              </w:rPr>
              <w:t>D</w:t>
            </w:r>
            <w:r w:rsidR="00910DB5" w:rsidRPr="00057ED8">
              <w:rPr>
                <w:rFonts w:eastAsia="Bookman Old Style" w:cs="Arial"/>
                <w:sz w:val="17"/>
                <w:szCs w:val="22"/>
              </w:rPr>
              <w:t xml:space="preserve">raft under </w:t>
            </w:r>
            <w:r w:rsidR="00C508F3" w:rsidRPr="00057ED8">
              <w:rPr>
                <w:rFonts w:eastAsia="Bookman Old Style" w:cs="Arial"/>
                <w:sz w:val="17"/>
                <w:szCs w:val="22"/>
              </w:rPr>
              <w:t>“Appendix A: Defined Terms” is insufficient as it does not name the latest agreement in question and it</w:t>
            </w:r>
            <w:r w:rsidR="00C20965" w:rsidRPr="00057ED8">
              <w:rPr>
                <w:rFonts w:eastAsia="Bookman Old Style" w:cs="Arial"/>
                <w:sz w:val="17"/>
                <w:szCs w:val="22"/>
              </w:rPr>
              <w:t xml:space="preserve"> leads to a wide scope </w:t>
            </w:r>
            <w:r w:rsidR="00126FA3">
              <w:rPr>
                <w:rFonts w:eastAsia="Bookman Old Style" w:cs="Arial"/>
                <w:sz w:val="17"/>
                <w:szCs w:val="22"/>
              </w:rPr>
              <w:t xml:space="preserve">of </w:t>
            </w:r>
            <w:r w:rsidR="00C20965" w:rsidRPr="00057ED8">
              <w:rPr>
                <w:rFonts w:eastAsia="Bookman Old Style" w:cs="Arial"/>
                <w:sz w:val="17"/>
                <w:szCs w:val="22"/>
              </w:rPr>
              <w:t xml:space="preserve">interpretation. </w:t>
            </w:r>
            <w:r w:rsidR="00F86AD3" w:rsidRPr="00057ED8">
              <w:rPr>
                <w:rFonts w:eastAsia="Bookman Old Style" w:cs="Arial"/>
                <w:sz w:val="17"/>
                <w:szCs w:val="22"/>
              </w:rPr>
              <w:t>It would be of great value to adherents of the future standard if the standard-setter were to include and update the specific agreement referenced by the term.</w:t>
            </w:r>
          </w:p>
          <w:p w14:paraId="744225B4" w14:textId="4D47D9EE" w:rsidR="00C20965" w:rsidRPr="00057ED8" w:rsidRDefault="00C20965" w:rsidP="0042445F">
            <w:pPr>
              <w:spacing w:line="240" w:lineRule="auto"/>
              <w:ind w:left="360"/>
              <w:rPr>
                <w:rFonts w:eastAsia="Bookman Old Style" w:cs="Arial"/>
                <w:sz w:val="17"/>
                <w:szCs w:val="22"/>
              </w:rPr>
            </w:pPr>
            <w:r w:rsidRPr="00057ED8">
              <w:rPr>
                <w:rFonts w:eastAsia="Bookman Old Style" w:cs="Arial"/>
                <w:sz w:val="17"/>
                <w:szCs w:val="22"/>
              </w:rPr>
              <w:t xml:space="preserve">Furthermore, </w:t>
            </w:r>
            <w:r w:rsidR="00F86AD3" w:rsidRPr="00057ED8">
              <w:rPr>
                <w:rFonts w:eastAsia="Bookman Old Style" w:cs="Arial"/>
                <w:sz w:val="17"/>
                <w:szCs w:val="22"/>
              </w:rPr>
              <w:t xml:space="preserve">from an investor’s point of view, </w:t>
            </w:r>
            <w:r w:rsidR="008E4899">
              <w:rPr>
                <w:rFonts w:eastAsia="Bookman Old Style" w:cs="Arial"/>
                <w:sz w:val="17"/>
                <w:szCs w:val="22"/>
              </w:rPr>
              <w:t>Insurance Europe</w:t>
            </w:r>
            <w:r w:rsidR="008E4899" w:rsidRPr="00057ED8">
              <w:rPr>
                <w:rFonts w:eastAsia="Bookman Old Style" w:cs="Arial"/>
                <w:sz w:val="17"/>
                <w:szCs w:val="22"/>
              </w:rPr>
              <w:t xml:space="preserve"> </w:t>
            </w:r>
            <w:r w:rsidRPr="00057ED8">
              <w:rPr>
                <w:rFonts w:eastAsia="Bookman Old Style" w:cs="Arial"/>
                <w:sz w:val="17"/>
                <w:szCs w:val="22"/>
              </w:rPr>
              <w:t>also do</w:t>
            </w:r>
            <w:r w:rsidR="008E4899">
              <w:rPr>
                <w:rFonts w:eastAsia="Bookman Old Style" w:cs="Arial"/>
                <w:sz w:val="17"/>
                <w:szCs w:val="22"/>
              </w:rPr>
              <w:t>es</w:t>
            </w:r>
            <w:r w:rsidRPr="00057ED8">
              <w:rPr>
                <w:rFonts w:eastAsia="Bookman Old Style" w:cs="Arial"/>
                <w:sz w:val="17"/>
                <w:szCs w:val="22"/>
              </w:rPr>
              <w:t xml:space="preserve"> not consider the definition </w:t>
            </w:r>
            <w:r w:rsidR="008E4899">
              <w:rPr>
                <w:rFonts w:eastAsia="Bookman Old Style" w:cs="Arial"/>
                <w:sz w:val="17"/>
                <w:szCs w:val="22"/>
              </w:rPr>
              <w:t>to be</w:t>
            </w:r>
            <w:r w:rsidR="008E4899" w:rsidRPr="00057ED8">
              <w:rPr>
                <w:rFonts w:eastAsia="Bookman Old Style" w:cs="Arial"/>
                <w:sz w:val="17"/>
                <w:szCs w:val="22"/>
              </w:rPr>
              <w:t xml:space="preserve"> </w:t>
            </w:r>
            <w:r w:rsidRPr="00057ED8">
              <w:rPr>
                <w:rFonts w:eastAsia="Bookman Old Style" w:cs="Arial"/>
                <w:sz w:val="17"/>
                <w:szCs w:val="22"/>
              </w:rPr>
              <w:t>sufficiently ambitious. Rather, more ambitious targets need to be set in line with a 1.5</w:t>
            </w:r>
            <w:r w:rsidR="00DF75AF">
              <w:rPr>
                <w:rFonts w:eastAsia="Bookman Old Style" w:cs="Arial"/>
                <w:sz w:val="17"/>
                <w:szCs w:val="22"/>
              </w:rPr>
              <w:t>°</w:t>
            </w:r>
            <w:r w:rsidR="00A31687">
              <w:rPr>
                <w:rFonts w:eastAsia="Bookman Old Style" w:cs="Arial"/>
                <w:sz w:val="17"/>
                <w:szCs w:val="22"/>
              </w:rPr>
              <w:t>C</w:t>
            </w:r>
            <w:r w:rsidRPr="00057ED8">
              <w:rPr>
                <w:rFonts w:eastAsia="Bookman Old Style" w:cs="Arial"/>
                <w:sz w:val="17"/>
                <w:szCs w:val="22"/>
              </w:rPr>
              <w:t xml:space="preserve"> decarboni</w:t>
            </w:r>
            <w:r w:rsidR="008E4899">
              <w:rPr>
                <w:rFonts w:eastAsia="Bookman Old Style" w:cs="Arial"/>
                <w:sz w:val="17"/>
                <w:szCs w:val="22"/>
              </w:rPr>
              <w:t>s</w:t>
            </w:r>
            <w:r w:rsidRPr="00057ED8">
              <w:rPr>
                <w:rFonts w:eastAsia="Bookman Old Style" w:cs="Arial"/>
                <w:sz w:val="17"/>
                <w:szCs w:val="22"/>
              </w:rPr>
              <w:t>ation pathway.</w:t>
            </w:r>
          </w:p>
          <w:p w14:paraId="61DD376E" w14:textId="28AD7010" w:rsidR="00C20965" w:rsidRPr="00057ED8" w:rsidRDefault="00C20965" w:rsidP="00CF09F6">
            <w:pPr>
              <w:pStyle w:val="Odsekzoznamu"/>
              <w:ind w:left="720" w:firstLine="0"/>
              <w:rPr>
                <w:szCs w:val="17"/>
                <w:lang w:val="en-GB"/>
              </w:rPr>
            </w:pPr>
          </w:p>
          <w:p w14:paraId="51B05688" w14:textId="77777777" w:rsidR="00CF12C2" w:rsidRPr="00057ED8" w:rsidRDefault="00CF12C2" w:rsidP="00C61B54">
            <w:pPr>
              <w:rPr>
                <w:sz w:val="17"/>
                <w:szCs w:val="17"/>
              </w:rPr>
            </w:pPr>
          </w:p>
        </w:tc>
      </w:tr>
    </w:tbl>
    <w:p w14:paraId="2D15CCCA" w14:textId="77777777" w:rsidR="00126B44" w:rsidRPr="00057ED8" w:rsidRDefault="00126B44" w:rsidP="003D0236">
      <w:pPr>
        <w:autoSpaceDE w:val="0"/>
        <w:autoSpaceDN w:val="0"/>
        <w:adjustRightInd w:val="0"/>
        <w:rPr>
          <w:sz w:val="17"/>
          <w:szCs w:val="17"/>
        </w:rPr>
      </w:pPr>
    </w:p>
    <w:p w14:paraId="6855C110" w14:textId="77777777" w:rsidR="007B228E" w:rsidRPr="00057ED8" w:rsidRDefault="007B228E" w:rsidP="003D0236">
      <w:pPr>
        <w:autoSpaceDE w:val="0"/>
        <w:autoSpaceDN w:val="0"/>
        <w:adjustRightInd w:val="0"/>
        <w:rPr>
          <w:sz w:val="17"/>
          <w:szCs w:val="17"/>
        </w:rPr>
      </w:pPr>
    </w:p>
    <w:p w14:paraId="2874C7DF" w14:textId="4EAD73F9" w:rsidR="00126B44" w:rsidRPr="00057ED8" w:rsidRDefault="00126B44" w:rsidP="00A20516">
      <w:pPr>
        <w:rPr>
          <w:b/>
          <w:bCs/>
          <w:sz w:val="17"/>
          <w:szCs w:val="17"/>
        </w:rPr>
      </w:pPr>
      <w:r w:rsidRPr="00057ED8">
        <w:rPr>
          <w:b/>
          <w:bCs/>
          <w:sz w:val="17"/>
          <w:szCs w:val="17"/>
        </w:rPr>
        <w:t>Question 11—Industry-based requirements</w:t>
      </w:r>
    </w:p>
    <w:p w14:paraId="5EBF1570" w14:textId="77777777" w:rsidR="00B85DC5" w:rsidRPr="00057ED8" w:rsidRDefault="00B85DC5" w:rsidP="00973DEE">
      <w:pPr>
        <w:rPr>
          <w:sz w:val="17"/>
          <w:szCs w:val="17"/>
        </w:rPr>
      </w:pPr>
      <w:r w:rsidRPr="00057ED8">
        <w:rPr>
          <w:sz w:val="17"/>
          <w:szCs w:val="17"/>
        </w:rPr>
        <w:t>The Exposure Draft proposes industry-based disclosure requirements in Appendix B that address significant sustainability-related risks and opportunities related to climate change. Because the requirements are industry-based, only a subset will apply to a particular entity. The requirements have been derived from the SASB Standards. This is consistent with the responses to the Trustees’ 2020 consultation on sustainability that recommended that the ISSB build upon existing sustainability standards and frameworks. This approach is also consistent with the TRWG's climate-related disclosure prototype.</w:t>
      </w:r>
    </w:p>
    <w:p w14:paraId="633C3906" w14:textId="77777777" w:rsidR="007B228E" w:rsidRPr="00057ED8" w:rsidRDefault="007B228E" w:rsidP="00973DEE">
      <w:pPr>
        <w:rPr>
          <w:sz w:val="17"/>
          <w:szCs w:val="17"/>
        </w:rPr>
      </w:pPr>
    </w:p>
    <w:p w14:paraId="63A6471F" w14:textId="77777777" w:rsidR="00B85DC5" w:rsidRPr="00057ED8" w:rsidRDefault="00B85DC5" w:rsidP="00973DEE">
      <w:pPr>
        <w:rPr>
          <w:sz w:val="17"/>
          <w:szCs w:val="17"/>
        </w:rPr>
      </w:pPr>
      <w:r w:rsidRPr="00057ED8">
        <w:rPr>
          <w:sz w:val="17"/>
          <w:szCs w:val="17"/>
        </w:rPr>
        <w:t>The proposed industry-based disclosure requirements are largely unchanged from the equivalent requirements in the SASB Standards. However, the requirements included in the Exposure Draft include some targeted amendments relative to the existing SASB Standards. The proposed enhancements have been developed since the publication of the TRWG's climate-related disclosure prototype.</w:t>
      </w:r>
    </w:p>
    <w:p w14:paraId="538FA982" w14:textId="77777777" w:rsidR="007B228E" w:rsidRPr="00057ED8" w:rsidRDefault="007B228E" w:rsidP="00973DEE">
      <w:pPr>
        <w:rPr>
          <w:sz w:val="17"/>
          <w:szCs w:val="17"/>
        </w:rPr>
      </w:pPr>
    </w:p>
    <w:p w14:paraId="7D035D81" w14:textId="1E36DF3F" w:rsidR="00B85DC5" w:rsidRPr="00057ED8" w:rsidRDefault="00B85DC5" w:rsidP="00973DEE">
      <w:pPr>
        <w:rPr>
          <w:sz w:val="17"/>
          <w:szCs w:val="17"/>
        </w:rPr>
      </w:pPr>
      <w:r w:rsidRPr="00057ED8">
        <w:rPr>
          <w:sz w:val="17"/>
          <w:szCs w:val="17"/>
        </w:rPr>
        <w:t>The first set of proposed changes address the international applicability of a subset of metrics that cited jurisdiction-specific regulations or standards. In this case, the Exposure Draft proposes amendments (relative to the SASB Standards) to include references to international standards and definitions or, where appropriate, jurisdictional equivalents.</w:t>
      </w:r>
    </w:p>
    <w:p w14:paraId="765299D2" w14:textId="77777777" w:rsidR="007B228E" w:rsidRPr="00057ED8" w:rsidRDefault="007B228E" w:rsidP="00973DEE">
      <w:pPr>
        <w:rPr>
          <w:sz w:val="17"/>
          <w:szCs w:val="17"/>
        </w:rPr>
      </w:pPr>
    </w:p>
    <w:p w14:paraId="052717A0" w14:textId="77777777" w:rsidR="00B85DC5" w:rsidRPr="00057ED8" w:rsidRDefault="00B85DC5" w:rsidP="00973DEE">
      <w:pPr>
        <w:rPr>
          <w:sz w:val="17"/>
          <w:szCs w:val="17"/>
        </w:rPr>
      </w:pPr>
      <w:r w:rsidRPr="00057ED8">
        <w:rPr>
          <w:sz w:val="17"/>
          <w:szCs w:val="17"/>
        </w:rPr>
        <w:t>Paragraphs BC130–BC148 of the Basis for Conclusions describe the reasoning behind the Exposure Draft’s proposals to improve the international applicability of the industry-based requirements.</w:t>
      </w:r>
    </w:p>
    <w:p w14:paraId="47C20F0B" w14:textId="77777777" w:rsidR="00B85DC5" w:rsidRPr="00057ED8" w:rsidRDefault="00B85DC5" w:rsidP="00812D6D">
      <w:pPr>
        <w:pStyle w:val="Odsekzoznamu"/>
        <w:numPr>
          <w:ilvl w:val="0"/>
          <w:numId w:val="25"/>
        </w:numPr>
        <w:spacing w:before="0" w:line="288" w:lineRule="auto"/>
        <w:rPr>
          <w:szCs w:val="17"/>
          <w:lang w:val="en-GB"/>
        </w:rPr>
      </w:pPr>
      <w:r w:rsidRPr="00057ED8">
        <w:rPr>
          <w:szCs w:val="17"/>
          <w:lang w:val="en-GB"/>
        </w:rPr>
        <w:t>Do you agree with the approach taken to revising the SASB Standards to improve the international applicability, including that it will enable entities to apply the requirements regardless of jurisdiction without reducing the clarity of the guidance or substantively altering its meaning? If not, what alternative approach would you suggest and why?</w:t>
      </w:r>
    </w:p>
    <w:p w14:paraId="4A790BC8" w14:textId="77777777" w:rsidR="007B228E" w:rsidRPr="00057ED8" w:rsidRDefault="007B228E" w:rsidP="00833AF3">
      <w:pPr>
        <w:rPr>
          <w:sz w:val="17"/>
          <w:szCs w:val="17"/>
        </w:rPr>
      </w:pPr>
    </w:p>
    <w:p w14:paraId="7F422411" w14:textId="41B61F39" w:rsidR="00F730A1" w:rsidRPr="00057ED8" w:rsidRDefault="00B85DC5" w:rsidP="00812D6D">
      <w:pPr>
        <w:pStyle w:val="Odsekzoznamu"/>
        <w:numPr>
          <w:ilvl w:val="0"/>
          <w:numId w:val="25"/>
        </w:numPr>
        <w:spacing w:before="0" w:line="288" w:lineRule="auto"/>
        <w:rPr>
          <w:szCs w:val="17"/>
          <w:lang w:val="en-GB"/>
        </w:rPr>
      </w:pPr>
      <w:r w:rsidRPr="00057ED8">
        <w:rPr>
          <w:szCs w:val="17"/>
          <w:lang w:val="en-GB"/>
        </w:rPr>
        <w:t>Do you agree with the proposed amendments that are intended to improve the international applicability of a subset of industry disclosure requirements? If not, why not?</w:t>
      </w:r>
      <w:r w:rsidR="00F730A1" w:rsidRPr="00057ED8">
        <w:rPr>
          <w:szCs w:val="17"/>
          <w:lang w:val="en-GB"/>
        </w:rPr>
        <w:t xml:space="preserve"> Please select which industries you would like to comment on. If you would like to comment on all industries select 'All industries'.</w:t>
      </w:r>
    </w:p>
    <w:p w14:paraId="10572239" w14:textId="77777777" w:rsidR="007B228E" w:rsidRPr="00057ED8" w:rsidRDefault="007B228E" w:rsidP="007B228E">
      <w:pPr>
        <w:pStyle w:val="Odsekzoznamu"/>
        <w:rPr>
          <w:szCs w:val="17"/>
          <w:lang w:val="en-GB"/>
        </w:rPr>
      </w:pPr>
    </w:p>
    <w:p w14:paraId="66149262" w14:textId="77777777" w:rsidR="00B85DC5" w:rsidRPr="00057ED8" w:rsidRDefault="00B85DC5" w:rsidP="00812D6D">
      <w:pPr>
        <w:pStyle w:val="Odsekzoznamu"/>
        <w:numPr>
          <w:ilvl w:val="0"/>
          <w:numId w:val="25"/>
        </w:numPr>
        <w:spacing w:before="0" w:line="288" w:lineRule="auto"/>
        <w:rPr>
          <w:szCs w:val="17"/>
          <w:lang w:val="en-GB"/>
        </w:rPr>
      </w:pPr>
      <w:r w:rsidRPr="00057ED8">
        <w:rPr>
          <w:szCs w:val="17"/>
          <w:lang w:val="en-GB"/>
        </w:rPr>
        <w:t>Do you agree that the proposed amendments will enable an entity that has used the relevant SASB Standards in prior periods to continue to provide information consistent with the equivalent disclosures in prior periods? If not, why not?</w:t>
      </w:r>
    </w:p>
    <w:p w14:paraId="3A7C66CB" w14:textId="77777777" w:rsidR="007B228E" w:rsidRPr="00057ED8" w:rsidRDefault="007B228E" w:rsidP="007B228E">
      <w:pPr>
        <w:pStyle w:val="Odsekzoznamu"/>
        <w:rPr>
          <w:szCs w:val="17"/>
          <w:lang w:val="en-GB"/>
        </w:rPr>
      </w:pPr>
    </w:p>
    <w:p w14:paraId="3E40A81F" w14:textId="77777777" w:rsidR="00B85DC5" w:rsidRPr="00057ED8" w:rsidRDefault="00B85DC5" w:rsidP="00973DEE">
      <w:pPr>
        <w:rPr>
          <w:sz w:val="17"/>
          <w:szCs w:val="17"/>
        </w:rPr>
      </w:pPr>
      <w:r w:rsidRPr="00057ED8">
        <w:rPr>
          <w:sz w:val="17"/>
          <w:szCs w:val="17"/>
        </w:rPr>
        <w:t xml:space="preserve">The second set of proposed changes relative to existing SASB Standards address emerging consensus on the measurement and disclosure of financed or facilitated emissions in the financial sector. To address this, the Exposure Draft proposes adding disclosure topics and associated metrics in four industries: commercial banks, investment banks, insurance and asset management. The proposed requirements relate to the lending, </w:t>
      </w:r>
      <w:r w:rsidRPr="00057ED8">
        <w:rPr>
          <w:sz w:val="17"/>
          <w:szCs w:val="17"/>
        </w:rPr>
        <w:lastRenderedPageBreak/>
        <w:t>underwriting and/or investment activities that finance or facilitate emissions. The proposal builds on the GHG Protocol Corporate Value Chain (Scope 3) Standard which includes guidance on calculating indirect emissions resulting from Category 15 (investments).</w:t>
      </w:r>
    </w:p>
    <w:p w14:paraId="282A8286" w14:textId="77777777" w:rsidR="006A4D42" w:rsidRPr="00057ED8" w:rsidRDefault="006A4D42" w:rsidP="00973DEE">
      <w:pPr>
        <w:rPr>
          <w:sz w:val="17"/>
          <w:szCs w:val="17"/>
        </w:rPr>
      </w:pPr>
    </w:p>
    <w:p w14:paraId="20AEE8F4" w14:textId="77777777" w:rsidR="002E61DE" w:rsidRPr="00057ED8" w:rsidRDefault="002E61DE" w:rsidP="00973DEE">
      <w:pPr>
        <w:rPr>
          <w:sz w:val="17"/>
          <w:szCs w:val="17"/>
        </w:rPr>
      </w:pPr>
      <w:r w:rsidRPr="00057ED8">
        <w:rPr>
          <w:sz w:val="17"/>
          <w:szCs w:val="17"/>
        </w:rPr>
        <w:t>Paragraphs BC149–BC172 of the Basis for Conclusions describe the reasoning behind the Exposure Draft’s proposals for financed or facilitated emissions.</w:t>
      </w:r>
    </w:p>
    <w:p w14:paraId="712B9ABA" w14:textId="77777777" w:rsidR="002E61DE" w:rsidRPr="00057ED8" w:rsidRDefault="002E61DE" w:rsidP="00812D6D">
      <w:pPr>
        <w:pStyle w:val="Odsekzoznamu"/>
        <w:numPr>
          <w:ilvl w:val="0"/>
          <w:numId w:val="25"/>
        </w:numPr>
        <w:spacing w:before="0" w:line="288" w:lineRule="auto"/>
        <w:rPr>
          <w:szCs w:val="17"/>
          <w:lang w:val="en-GB"/>
        </w:rPr>
      </w:pPr>
      <w:r w:rsidRPr="00057ED8">
        <w:rPr>
          <w:szCs w:val="17"/>
          <w:lang w:val="en-GB"/>
        </w:rPr>
        <w:t>Do you agree with the proposed industry-based disclosure requirements for financed and facilitated emissions, or would the cross-industry requirement to disclose Scope 3 emissions (which includes Category 15: Investments) facilitate adequate disclosure? Why or why not?</w:t>
      </w:r>
    </w:p>
    <w:p w14:paraId="2C327EB1" w14:textId="12B26A24" w:rsidR="00E506E2" w:rsidRPr="00057ED8" w:rsidRDefault="00E506E2" w:rsidP="00E506E2">
      <w:pPr>
        <w:pStyle w:val="Odsekzoznamu"/>
        <w:spacing w:before="0" w:line="288" w:lineRule="auto"/>
        <w:ind w:left="720" w:firstLine="0"/>
        <w:rPr>
          <w:szCs w:val="17"/>
          <w:lang w:val="en-GB"/>
        </w:rPr>
      </w:pPr>
      <w:r w:rsidRPr="00057ED8">
        <w:rPr>
          <w:szCs w:val="17"/>
          <w:lang w:val="en-GB"/>
        </w:rPr>
        <w:t>Please select which industries you would like to comment on. If you would like to comment on all industries select 'All industries'.</w:t>
      </w:r>
    </w:p>
    <w:p w14:paraId="4E31EF4C" w14:textId="77777777" w:rsidR="0037650D" w:rsidRPr="00057ED8" w:rsidRDefault="0037650D" w:rsidP="0037650D">
      <w:pPr>
        <w:pStyle w:val="Odsekzoznamu"/>
        <w:spacing w:before="0" w:line="288" w:lineRule="auto"/>
        <w:ind w:left="720" w:firstLine="0"/>
        <w:rPr>
          <w:szCs w:val="17"/>
          <w:lang w:val="en-GB"/>
        </w:rPr>
      </w:pPr>
    </w:p>
    <w:p w14:paraId="30DBB35A" w14:textId="77777777" w:rsidR="002E61DE" w:rsidRPr="00057ED8" w:rsidRDefault="002E61DE" w:rsidP="00812D6D">
      <w:pPr>
        <w:pStyle w:val="Odsekzoznamu"/>
        <w:numPr>
          <w:ilvl w:val="0"/>
          <w:numId w:val="25"/>
        </w:numPr>
        <w:spacing w:before="0" w:line="288" w:lineRule="auto"/>
        <w:rPr>
          <w:szCs w:val="17"/>
          <w:lang w:val="en-GB"/>
        </w:rPr>
      </w:pPr>
      <w:r w:rsidRPr="00057ED8">
        <w:rPr>
          <w:szCs w:val="17"/>
          <w:lang w:val="en-GB"/>
        </w:rPr>
        <w:t>Do you agree with the industries classified as ‘carbon-related’ in the proposals for commercial banks and insurance entities? Why or why not? Are there other industries you would include in this classification? If so, why?</w:t>
      </w:r>
    </w:p>
    <w:p w14:paraId="49B86542" w14:textId="77777777" w:rsidR="0037650D" w:rsidRPr="00057ED8" w:rsidRDefault="0037650D" w:rsidP="0037650D">
      <w:pPr>
        <w:pStyle w:val="Odsekzoznamu"/>
        <w:rPr>
          <w:szCs w:val="17"/>
          <w:lang w:val="en-GB"/>
        </w:rPr>
      </w:pPr>
    </w:p>
    <w:p w14:paraId="777C5F2E" w14:textId="77777777" w:rsidR="002E61DE" w:rsidRPr="00057ED8" w:rsidRDefault="002E61DE" w:rsidP="00812D6D">
      <w:pPr>
        <w:pStyle w:val="Odsekzoznamu"/>
        <w:numPr>
          <w:ilvl w:val="0"/>
          <w:numId w:val="25"/>
        </w:numPr>
        <w:spacing w:before="0" w:line="288" w:lineRule="auto"/>
        <w:rPr>
          <w:szCs w:val="17"/>
          <w:lang w:val="en-GB"/>
        </w:rPr>
      </w:pPr>
      <w:r w:rsidRPr="00057ED8">
        <w:rPr>
          <w:szCs w:val="17"/>
          <w:lang w:val="en-GB"/>
        </w:rPr>
        <w:t>Do you agree with the proposed requirement to disclose both absolute- and intensity-based financed emissions? Why or why not?</w:t>
      </w:r>
    </w:p>
    <w:p w14:paraId="13141224" w14:textId="77777777" w:rsidR="0037650D" w:rsidRPr="00057ED8" w:rsidRDefault="0037650D" w:rsidP="0037650D">
      <w:pPr>
        <w:pStyle w:val="Odsekzoznamu"/>
        <w:rPr>
          <w:szCs w:val="17"/>
          <w:lang w:val="en-GB"/>
        </w:rPr>
      </w:pPr>
    </w:p>
    <w:p w14:paraId="795C5F98" w14:textId="77777777" w:rsidR="002E61DE" w:rsidRPr="00057ED8" w:rsidRDefault="002E61DE" w:rsidP="00812D6D">
      <w:pPr>
        <w:pStyle w:val="Odsekzoznamu"/>
        <w:numPr>
          <w:ilvl w:val="0"/>
          <w:numId w:val="25"/>
        </w:numPr>
        <w:spacing w:before="0" w:line="288" w:lineRule="auto"/>
        <w:rPr>
          <w:szCs w:val="17"/>
          <w:lang w:val="en-GB"/>
        </w:rPr>
      </w:pPr>
      <w:r w:rsidRPr="00057ED8">
        <w:rPr>
          <w:szCs w:val="17"/>
          <w:lang w:val="en-GB"/>
        </w:rPr>
        <w:t>Do you agree with the proposals to require disclosure of the methodology used to calculate financed emissions? If not, what would you suggest and why?</w:t>
      </w:r>
    </w:p>
    <w:p w14:paraId="197A4B4B" w14:textId="77777777" w:rsidR="0037650D" w:rsidRPr="00057ED8" w:rsidRDefault="0037650D" w:rsidP="0037650D">
      <w:pPr>
        <w:pStyle w:val="Odsekzoznamu"/>
        <w:rPr>
          <w:szCs w:val="17"/>
          <w:lang w:val="en-GB"/>
        </w:rPr>
      </w:pPr>
    </w:p>
    <w:p w14:paraId="67CC3C08" w14:textId="77777777" w:rsidR="002E61DE" w:rsidRPr="00057ED8" w:rsidRDefault="002E61DE" w:rsidP="00812D6D">
      <w:pPr>
        <w:pStyle w:val="Odsekzoznamu"/>
        <w:numPr>
          <w:ilvl w:val="0"/>
          <w:numId w:val="25"/>
        </w:numPr>
        <w:spacing w:before="0" w:line="288" w:lineRule="auto"/>
        <w:rPr>
          <w:szCs w:val="17"/>
          <w:lang w:val="en-GB"/>
        </w:rPr>
      </w:pPr>
      <w:r w:rsidRPr="00057ED8">
        <w:rPr>
          <w:szCs w:val="17"/>
          <w:lang w:val="en-GB"/>
        </w:rPr>
        <w:t>Do you agree that an entity be required to use the GHG Protocol Corporate Value Chain (Scope 3) Accounting and Reporting Standard to provide the proposed disclosures on financed emissions without the ISSB prescribing a more specific methodology (such as that of the Partnership for Carbon Accounting Financials (PCAF) Global GHG Accounting &amp; Reporting Standard for the Financial Industry)? If you don’t agree, what methodology would you suggest and why?</w:t>
      </w:r>
    </w:p>
    <w:p w14:paraId="2127FBD0" w14:textId="77777777" w:rsidR="002E61DE" w:rsidRPr="00057ED8" w:rsidRDefault="002E61DE" w:rsidP="00812D6D">
      <w:pPr>
        <w:pStyle w:val="Odsekzoznamu"/>
        <w:numPr>
          <w:ilvl w:val="0"/>
          <w:numId w:val="25"/>
        </w:numPr>
        <w:spacing w:before="0" w:line="288" w:lineRule="auto"/>
        <w:rPr>
          <w:szCs w:val="17"/>
          <w:lang w:val="en-GB"/>
        </w:rPr>
      </w:pPr>
      <w:r w:rsidRPr="00057ED8">
        <w:rPr>
          <w:szCs w:val="17"/>
          <w:lang w:val="en-GB"/>
        </w:rPr>
        <w:t>In the proposal for entities in the asset management and custody activities industry, does the disclosure of financed emissions associated with total assets under management provide useful information for the assessment of the entity's indirect transition risk exposure? Why or why not?</w:t>
      </w:r>
    </w:p>
    <w:p w14:paraId="7972048D" w14:textId="77777777" w:rsidR="006A4D42" w:rsidRPr="00057ED8" w:rsidRDefault="006A4D42" w:rsidP="003D0236">
      <w:pPr>
        <w:autoSpaceDE w:val="0"/>
        <w:autoSpaceDN w:val="0"/>
        <w:adjustRightInd w:val="0"/>
        <w:rPr>
          <w:sz w:val="17"/>
          <w:szCs w:val="17"/>
        </w:rPr>
      </w:pPr>
    </w:p>
    <w:p w14:paraId="7B4F6109" w14:textId="77777777" w:rsidR="0006150E" w:rsidRPr="00057ED8" w:rsidRDefault="0006150E" w:rsidP="00973DEE">
      <w:pPr>
        <w:rPr>
          <w:sz w:val="17"/>
          <w:szCs w:val="17"/>
        </w:rPr>
      </w:pPr>
      <w:r w:rsidRPr="00057ED8">
        <w:rPr>
          <w:sz w:val="17"/>
          <w:szCs w:val="17"/>
        </w:rPr>
        <w:t>Overall, the proposed industry-based approach acknowledges that climate-related risks and opportunities tend to manifest differently in relation to an entity’s business model, the underlying economic activities in which it is engaged and the natural resources upon which its business depends or which its activities affect. This affects the assessment of enterprise value. The Exposure Draft thus incorporates industry-based requirements derived from the SASB Standards.</w:t>
      </w:r>
    </w:p>
    <w:p w14:paraId="7A9DCD86" w14:textId="77777777" w:rsidR="0037650D" w:rsidRPr="00057ED8" w:rsidRDefault="0037650D" w:rsidP="00973DEE">
      <w:pPr>
        <w:rPr>
          <w:sz w:val="17"/>
          <w:szCs w:val="17"/>
        </w:rPr>
      </w:pPr>
    </w:p>
    <w:p w14:paraId="2F4A9D4B" w14:textId="77777777" w:rsidR="0006150E" w:rsidRPr="00057ED8" w:rsidRDefault="0006150E" w:rsidP="00973DEE">
      <w:pPr>
        <w:rPr>
          <w:sz w:val="17"/>
          <w:szCs w:val="17"/>
        </w:rPr>
      </w:pPr>
      <w:r w:rsidRPr="00057ED8">
        <w:rPr>
          <w:sz w:val="17"/>
          <w:szCs w:val="17"/>
        </w:rPr>
        <w:t>The SASB Standards were developed by an independent standard-setting board through a rigorous and open due process over nearly 10 years with the aim of enabling entities to communicate sustainability information relevant to assessments of enterprise value to investors in a cost-effective manner. The outcomes of that process identify and define the sustainability-related risks and opportunities (disclosure topics) most likely to have a significant effect on the enterprise value of an entity in a given industry. Further, they set out standardised measures to help investors assess an entity’s performance on the topic.</w:t>
      </w:r>
    </w:p>
    <w:p w14:paraId="0CB45BE5" w14:textId="77777777" w:rsidR="0037650D" w:rsidRPr="00057ED8" w:rsidRDefault="0037650D" w:rsidP="00973DEE">
      <w:pPr>
        <w:rPr>
          <w:sz w:val="17"/>
          <w:szCs w:val="17"/>
        </w:rPr>
      </w:pPr>
    </w:p>
    <w:p w14:paraId="5C810602" w14:textId="77777777" w:rsidR="0006150E" w:rsidRPr="00057ED8" w:rsidRDefault="0006150E" w:rsidP="00973DEE">
      <w:pPr>
        <w:rPr>
          <w:sz w:val="17"/>
          <w:szCs w:val="17"/>
        </w:rPr>
      </w:pPr>
      <w:r w:rsidRPr="00057ED8">
        <w:rPr>
          <w:sz w:val="17"/>
          <w:szCs w:val="17"/>
        </w:rPr>
        <w:t>Paragraphs BC123–BC129 of the Basis for Conclusions describe the reasoning behind the Exposure Draft’s proposals related to the industry-based disclosure requirements.</w:t>
      </w:r>
    </w:p>
    <w:p w14:paraId="2C9F9382" w14:textId="77777777" w:rsidR="0037650D" w:rsidRPr="00057ED8" w:rsidRDefault="0037650D" w:rsidP="00973DEE">
      <w:pPr>
        <w:rPr>
          <w:sz w:val="17"/>
          <w:szCs w:val="17"/>
        </w:rPr>
      </w:pPr>
    </w:p>
    <w:p w14:paraId="5CD06AAB" w14:textId="77777777" w:rsidR="0006150E" w:rsidRPr="00057ED8" w:rsidRDefault="0006150E" w:rsidP="00973DEE">
      <w:pPr>
        <w:rPr>
          <w:sz w:val="17"/>
          <w:szCs w:val="17"/>
        </w:rPr>
      </w:pPr>
      <w:r w:rsidRPr="00057ED8">
        <w:rPr>
          <w:sz w:val="17"/>
          <w:szCs w:val="17"/>
        </w:rPr>
        <w:t>While the industry-based requirements in Appendix B are an integral part of the Exposure Draft, forming part of its requirements, it is noted that the requirements can also inform the fulfilment of other requirements in the Exposure Draft, such as the identification of significant climate-related risks and opportunities (see paragraphs BC49–BC52).</w:t>
      </w:r>
    </w:p>
    <w:p w14:paraId="42990A32" w14:textId="77777777" w:rsidR="0006150E" w:rsidRPr="00057ED8" w:rsidRDefault="0006150E" w:rsidP="00812D6D">
      <w:pPr>
        <w:pStyle w:val="Odsekzoznamu"/>
        <w:numPr>
          <w:ilvl w:val="0"/>
          <w:numId w:val="25"/>
        </w:numPr>
        <w:spacing w:before="0" w:line="288" w:lineRule="auto"/>
        <w:rPr>
          <w:szCs w:val="17"/>
          <w:lang w:val="en-GB"/>
        </w:rPr>
      </w:pPr>
      <w:r w:rsidRPr="00057ED8">
        <w:rPr>
          <w:szCs w:val="17"/>
          <w:lang w:val="en-GB"/>
        </w:rPr>
        <w:lastRenderedPageBreak/>
        <w:t>Do you agree with the proposed industry-based requirements? Why or why not? If not, what do you suggest and why?</w:t>
      </w:r>
    </w:p>
    <w:p w14:paraId="494BF463" w14:textId="77777777" w:rsidR="002D5B5D" w:rsidRPr="00057ED8" w:rsidRDefault="002D5B5D" w:rsidP="002D5B5D">
      <w:pPr>
        <w:pStyle w:val="Odsekzoznamu"/>
        <w:spacing w:before="0" w:line="288" w:lineRule="auto"/>
        <w:ind w:left="720" w:firstLine="0"/>
        <w:rPr>
          <w:szCs w:val="17"/>
          <w:lang w:val="en-GB"/>
        </w:rPr>
      </w:pPr>
    </w:p>
    <w:p w14:paraId="04290579" w14:textId="35E5BB37" w:rsidR="0006150E" w:rsidRPr="00057ED8" w:rsidRDefault="0006150E" w:rsidP="00812D6D">
      <w:pPr>
        <w:pStyle w:val="Odsekzoznamu"/>
        <w:numPr>
          <w:ilvl w:val="0"/>
          <w:numId w:val="25"/>
        </w:numPr>
        <w:spacing w:before="0" w:line="288" w:lineRule="auto"/>
        <w:rPr>
          <w:szCs w:val="17"/>
          <w:lang w:val="en-GB"/>
        </w:rPr>
      </w:pPr>
      <w:r w:rsidRPr="00057ED8">
        <w:rPr>
          <w:szCs w:val="17"/>
          <w:lang w:val="en-GB"/>
        </w:rPr>
        <w:t xml:space="preserve">Are there any additional industry-based requirements that address climate- related risks and opportunities that are necessary to enable users of </w:t>
      </w:r>
      <w:proofErr w:type="gramStart"/>
      <w:r w:rsidRPr="00057ED8">
        <w:rPr>
          <w:szCs w:val="17"/>
          <w:lang w:val="en-GB"/>
        </w:rPr>
        <w:t>general purpose</w:t>
      </w:r>
      <w:proofErr w:type="gramEnd"/>
      <w:r w:rsidRPr="00057ED8">
        <w:rPr>
          <w:szCs w:val="17"/>
          <w:lang w:val="en-GB"/>
        </w:rPr>
        <w:t xml:space="preserve"> financial reporting to assess enterprise value (or are some proposed that are not)? If so, please describe those disclosures and explain why they are or are not necessary.</w:t>
      </w:r>
    </w:p>
    <w:p w14:paraId="73AAAABA" w14:textId="77777777" w:rsidR="002D5B5D" w:rsidRPr="00057ED8" w:rsidRDefault="002D5B5D" w:rsidP="002D5B5D">
      <w:pPr>
        <w:pStyle w:val="Odsekzoznamu"/>
        <w:rPr>
          <w:szCs w:val="17"/>
          <w:lang w:val="en-GB"/>
        </w:rPr>
      </w:pPr>
    </w:p>
    <w:p w14:paraId="06D1E94F" w14:textId="1C6576F5" w:rsidR="006A4D42" w:rsidRPr="00057ED8" w:rsidRDefault="0006150E" w:rsidP="00812D6D">
      <w:pPr>
        <w:pStyle w:val="Odsekzoznamu"/>
        <w:numPr>
          <w:ilvl w:val="0"/>
          <w:numId w:val="25"/>
        </w:numPr>
        <w:spacing w:before="0" w:line="288" w:lineRule="auto"/>
        <w:rPr>
          <w:szCs w:val="17"/>
          <w:lang w:val="en-GB"/>
        </w:rPr>
      </w:pPr>
      <w:r w:rsidRPr="00057ED8">
        <w:rPr>
          <w:szCs w:val="17"/>
          <w:lang w:val="en-GB"/>
        </w:rPr>
        <w:t>In noting that the industry classifications are used to establish the applicability of the industry-based disclosure requirements, do you have any comments or suggestions on the industry descriptions that define the activities to which the requirements will apply? Why or why not? If not, what do you suggest and why?</w:t>
      </w:r>
    </w:p>
    <w:p w14:paraId="0F81A574" w14:textId="77777777" w:rsidR="00B97B75" w:rsidRPr="00057ED8" w:rsidRDefault="00B97B75" w:rsidP="003D0236">
      <w:pPr>
        <w:autoSpaceDE w:val="0"/>
        <w:autoSpaceDN w:val="0"/>
        <w:adjustRightInd w:val="0"/>
        <w:rPr>
          <w:sz w:val="17"/>
          <w:szCs w:val="17"/>
        </w:rPr>
      </w:pPr>
    </w:p>
    <w:tbl>
      <w:tblPr>
        <w:tblStyle w:val="Mriekatabuky"/>
        <w:tblW w:w="0" w:type="auto"/>
        <w:tblLook w:val="04A0" w:firstRow="1" w:lastRow="0" w:firstColumn="1" w:lastColumn="0" w:noHBand="0" w:noVBand="1"/>
      </w:tblPr>
      <w:tblGrid>
        <w:gridCol w:w="9521"/>
      </w:tblGrid>
      <w:tr w:rsidR="00CF12C2" w:rsidRPr="00057ED8" w14:paraId="5DE9708D" w14:textId="77777777" w:rsidTr="00C61B54">
        <w:trPr>
          <w:trHeight w:val="1625"/>
        </w:trPr>
        <w:tc>
          <w:tcPr>
            <w:tcW w:w="9521" w:type="dxa"/>
          </w:tcPr>
          <w:p w14:paraId="761853F8" w14:textId="77777777" w:rsidR="001D019C" w:rsidRPr="00057ED8" w:rsidRDefault="001D019C" w:rsidP="00812D6D">
            <w:pPr>
              <w:pStyle w:val="Odsekzoznamu"/>
              <w:numPr>
                <w:ilvl w:val="0"/>
                <w:numId w:val="48"/>
              </w:numPr>
              <w:rPr>
                <w:szCs w:val="17"/>
                <w:lang w:val="en-GB"/>
              </w:rPr>
            </w:pPr>
            <w:r w:rsidRPr="00057ED8">
              <w:rPr>
                <w:szCs w:val="17"/>
                <w:highlight w:val="cyan"/>
                <w:lang w:val="en-GB"/>
              </w:rPr>
              <w:t>Broadly agree</w:t>
            </w:r>
            <w:r w:rsidRPr="00057ED8">
              <w:rPr>
                <w:szCs w:val="17"/>
                <w:lang w:val="en-GB"/>
              </w:rPr>
              <w:t xml:space="preserve"> / broadly disagree / other</w:t>
            </w:r>
          </w:p>
          <w:p w14:paraId="1F0AE1B1" w14:textId="6288FB27" w:rsidR="00890683" w:rsidRPr="00057ED8" w:rsidRDefault="002C0AFF" w:rsidP="008B4354">
            <w:pPr>
              <w:pStyle w:val="Odsekzoznamu"/>
              <w:ind w:left="720" w:firstLine="0"/>
            </w:pPr>
            <w:r>
              <w:rPr>
                <w:szCs w:val="17"/>
                <w:lang w:val="en-GB"/>
              </w:rPr>
              <w:t>Insuranc</w:t>
            </w:r>
            <w:r w:rsidR="006C74B5" w:rsidRPr="00057ED8">
              <w:rPr>
                <w:szCs w:val="17"/>
                <w:lang w:val="en-GB"/>
              </w:rPr>
              <w:t>e</w:t>
            </w:r>
            <w:r>
              <w:rPr>
                <w:szCs w:val="17"/>
                <w:lang w:val="en-GB"/>
              </w:rPr>
              <w:t xml:space="preserve"> Europe</w:t>
            </w:r>
            <w:r w:rsidR="006C74B5" w:rsidRPr="00057ED8">
              <w:rPr>
                <w:szCs w:val="17"/>
                <w:lang w:val="en-GB"/>
              </w:rPr>
              <w:t xml:space="preserve"> support</w:t>
            </w:r>
            <w:r>
              <w:rPr>
                <w:szCs w:val="17"/>
                <w:lang w:val="en-GB"/>
              </w:rPr>
              <w:t>s</w:t>
            </w:r>
            <w:r w:rsidR="006C74B5" w:rsidRPr="00057ED8">
              <w:rPr>
                <w:szCs w:val="17"/>
                <w:lang w:val="en-GB"/>
              </w:rPr>
              <w:t xml:space="preserve"> the approach to improve international applicability to enable undertakings to apply the requirements regardless of jurisdiction.</w:t>
            </w:r>
            <w:r w:rsidR="00EB2E6B">
              <w:rPr>
                <w:szCs w:val="17"/>
                <w:lang w:val="en-GB"/>
              </w:rPr>
              <w:t xml:space="preserve"> </w:t>
            </w:r>
            <w:r w:rsidR="00890683" w:rsidRPr="00057ED8">
              <w:t xml:space="preserve">Furthermore, </w:t>
            </w:r>
            <w:r w:rsidR="00EB2E6B">
              <w:t>Insurance Europe</w:t>
            </w:r>
            <w:r w:rsidR="00EB2E6B" w:rsidRPr="00057ED8">
              <w:t xml:space="preserve"> </w:t>
            </w:r>
            <w:r w:rsidR="00890683" w:rsidRPr="00057ED8">
              <w:t>fully support</w:t>
            </w:r>
            <w:r w:rsidR="00EB2E6B">
              <w:t>s</w:t>
            </w:r>
            <w:r w:rsidR="00890683" w:rsidRPr="00057ED8">
              <w:t xml:space="preserve"> the ISSB’s intention of leveraging the industry-based standards by </w:t>
            </w:r>
            <w:r w:rsidR="006A7327">
              <w:t xml:space="preserve">the </w:t>
            </w:r>
            <w:r w:rsidR="00890683" w:rsidRPr="00057ED8">
              <w:t>SASB as the most well-established</w:t>
            </w:r>
            <w:r w:rsidR="00B703D9">
              <w:t>,</w:t>
            </w:r>
            <w:r w:rsidR="00890683" w:rsidRPr="00057ED8">
              <w:t xml:space="preserve"> industry-based</w:t>
            </w:r>
            <w:r w:rsidR="00B703D9">
              <w:t>,</w:t>
            </w:r>
            <w:r w:rsidR="00890683" w:rsidRPr="00057ED8">
              <w:t xml:space="preserve"> investor-focused reporting initiative. </w:t>
            </w:r>
            <w:r w:rsidR="00BB1D71" w:rsidRPr="00057ED8">
              <w:t>A</w:t>
            </w:r>
            <w:r w:rsidR="00890683" w:rsidRPr="00057ED8">
              <w:t xml:space="preserve">ddressing </w:t>
            </w:r>
            <w:r w:rsidR="00B703D9">
              <w:t xml:space="preserve">the </w:t>
            </w:r>
            <w:r w:rsidR="00890683" w:rsidRPr="00057ED8">
              <w:t xml:space="preserve">international applicability of the SASB standards is also mentioned as a priority going forward and </w:t>
            </w:r>
            <w:r w:rsidR="00FD2EF4">
              <w:t>will</w:t>
            </w:r>
            <w:r w:rsidR="00FD2EF4" w:rsidRPr="00057ED8">
              <w:t xml:space="preserve"> </w:t>
            </w:r>
            <w:r w:rsidR="00890683" w:rsidRPr="00057ED8">
              <w:t xml:space="preserve">form part of the ISSB’s initial workplan as the SASB standards have a US focus and in-depth assessments per industry are needed. </w:t>
            </w:r>
            <w:r w:rsidR="0051098A">
              <w:t>Insurance Europe</w:t>
            </w:r>
            <w:r w:rsidR="0051098A" w:rsidRPr="00057ED8">
              <w:t xml:space="preserve"> </w:t>
            </w:r>
            <w:r w:rsidR="00890683" w:rsidRPr="00057ED8">
              <w:t>urge</w:t>
            </w:r>
            <w:r w:rsidR="0051098A">
              <w:t>s</w:t>
            </w:r>
            <w:r w:rsidR="00890683" w:rsidRPr="00057ED8">
              <w:t xml:space="preserve"> the ISSB to conduct</w:t>
            </w:r>
            <w:r w:rsidR="0051098A">
              <w:t>, for instance,</w:t>
            </w:r>
            <w:r w:rsidR="00890683" w:rsidRPr="00057ED8">
              <w:t xml:space="preserve"> fieldwork and dedicated outreach to industries in this context.</w:t>
            </w:r>
            <w:r w:rsidR="00196AD0" w:rsidRPr="00057ED8">
              <w:t xml:space="preserve"> Besides this, </w:t>
            </w:r>
            <w:r w:rsidR="00706C4C" w:rsidRPr="0004221A">
              <w:rPr>
                <w:szCs w:val="17"/>
              </w:rPr>
              <w:t xml:space="preserve">an appropriate balance between principles and </w:t>
            </w:r>
            <w:r w:rsidR="00337620">
              <w:rPr>
                <w:szCs w:val="17"/>
              </w:rPr>
              <w:t>specific guidance</w:t>
            </w:r>
            <w:r w:rsidR="00706C4C" w:rsidRPr="0004221A">
              <w:rPr>
                <w:szCs w:val="17"/>
              </w:rPr>
              <w:t xml:space="preserve"> needs to be found under the condition that</w:t>
            </w:r>
            <w:r w:rsidR="00706C4C">
              <w:rPr>
                <w:szCs w:val="17"/>
              </w:rPr>
              <w:t xml:space="preserve"> </w:t>
            </w:r>
            <w:r w:rsidR="00706C4C" w:rsidRPr="0004221A">
              <w:rPr>
                <w:szCs w:val="17"/>
              </w:rPr>
              <w:t>these are indeed relevant for the entire industry and do not trigger disclosure, unless material</w:t>
            </w:r>
            <w:r w:rsidR="00706C4C">
              <w:rPr>
                <w:szCs w:val="17"/>
              </w:rPr>
              <w:t xml:space="preserve">. </w:t>
            </w:r>
          </w:p>
          <w:p w14:paraId="1E5A49BB" w14:textId="77777777" w:rsidR="001D019C" w:rsidRPr="00057ED8" w:rsidRDefault="001D019C" w:rsidP="00812D6D">
            <w:pPr>
              <w:pStyle w:val="Odsekzoznamu"/>
              <w:numPr>
                <w:ilvl w:val="0"/>
                <w:numId w:val="48"/>
              </w:numPr>
              <w:rPr>
                <w:szCs w:val="17"/>
                <w:lang w:val="en-GB"/>
              </w:rPr>
            </w:pPr>
            <w:r w:rsidRPr="00057ED8">
              <w:rPr>
                <w:szCs w:val="17"/>
                <w:lang w:val="en-GB"/>
              </w:rPr>
              <w:t xml:space="preserve">Broadly agree / broadly disagree / </w:t>
            </w:r>
            <w:r w:rsidRPr="00057ED8">
              <w:rPr>
                <w:szCs w:val="17"/>
                <w:highlight w:val="cyan"/>
                <w:lang w:val="en-GB"/>
              </w:rPr>
              <w:t>other</w:t>
            </w:r>
          </w:p>
          <w:p w14:paraId="045554A3" w14:textId="7DF15AEF" w:rsidR="00861786" w:rsidRPr="00057ED8" w:rsidRDefault="0051098A" w:rsidP="00861786">
            <w:pPr>
              <w:pStyle w:val="Odsekzoznamu"/>
              <w:ind w:left="720" w:firstLine="0"/>
              <w:rPr>
                <w:szCs w:val="17"/>
                <w:lang w:val="en-GB"/>
              </w:rPr>
            </w:pPr>
            <w:r>
              <w:rPr>
                <w:szCs w:val="17"/>
                <w:lang w:val="en-GB"/>
              </w:rPr>
              <w:t>Insurance Europ</w:t>
            </w:r>
            <w:r w:rsidR="00861786" w:rsidRPr="00057ED8">
              <w:rPr>
                <w:szCs w:val="17"/>
                <w:lang w:val="en-GB"/>
              </w:rPr>
              <w:t>e fully agree</w:t>
            </w:r>
            <w:r>
              <w:rPr>
                <w:szCs w:val="17"/>
                <w:lang w:val="en-GB"/>
              </w:rPr>
              <w:t>s</w:t>
            </w:r>
            <w:r w:rsidR="00861786" w:rsidRPr="00057ED8">
              <w:rPr>
                <w:szCs w:val="17"/>
                <w:lang w:val="en-GB"/>
              </w:rPr>
              <w:t xml:space="preserve"> with the proposed amendments that were made to the insurance-specific and asset</w:t>
            </w:r>
            <w:r w:rsidR="00FB5EB3">
              <w:rPr>
                <w:szCs w:val="17"/>
                <w:lang w:val="en-GB"/>
              </w:rPr>
              <w:t>-</w:t>
            </w:r>
            <w:r w:rsidR="00861786" w:rsidRPr="00057ED8">
              <w:rPr>
                <w:szCs w:val="17"/>
                <w:lang w:val="en-GB"/>
              </w:rPr>
              <w:t xml:space="preserve">management-specific disclosure requirements. However, the amendments resulted in two references to IFRS 17 in the Appendix for Insurance. If the IFRS SDSs are to be applied by non-IFRS preparers, references to IFRS 17 are not suitable, especially for this complex standard, so that either another reference size or a fallback solution would be required </w:t>
            </w:r>
            <w:r w:rsidR="004E3FD8" w:rsidRPr="00057ED8">
              <w:rPr>
                <w:szCs w:val="17"/>
                <w:lang w:val="en-GB"/>
              </w:rPr>
              <w:t>fo</w:t>
            </w:r>
            <w:r w:rsidR="00D97545" w:rsidRPr="00057ED8">
              <w:rPr>
                <w:szCs w:val="17"/>
                <w:lang w:val="en-GB"/>
              </w:rPr>
              <w:t>r</w:t>
            </w:r>
            <w:r w:rsidR="00861786" w:rsidRPr="00057ED8">
              <w:rPr>
                <w:szCs w:val="17"/>
                <w:lang w:val="en-GB"/>
              </w:rPr>
              <w:t xml:space="preserve"> non-IFRS users.</w:t>
            </w:r>
          </w:p>
          <w:p w14:paraId="4992CA6C" w14:textId="1289CD87" w:rsidR="00501374" w:rsidRPr="00057ED8" w:rsidRDefault="00D97545" w:rsidP="00501374">
            <w:pPr>
              <w:pStyle w:val="Odsekzoznamu"/>
              <w:ind w:left="720" w:firstLine="0"/>
              <w:rPr>
                <w:szCs w:val="17"/>
                <w:lang w:val="en-GB"/>
              </w:rPr>
            </w:pPr>
            <w:r w:rsidRPr="00057ED8">
              <w:rPr>
                <w:szCs w:val="17"/>
                <w:lang w:val="en-GB"/>
              </w:rPr>
              <w:t>S</w:t>
            </w:r>
            <w:r w:rsidR="00501374" w:rsidRPr="00057ED8">
              <w:rPr>
                <w:szCs w:val="17"/>
                <w:lang w:val="en-GB"/>
              </w:rPr>
              <w:t>pecific</w:t>
            </w:r>
            <w:r w:rsidRPr="00057ED8">
              <w:rPr>
                <w:szCs w:val="17"/>
                <w:lang w:val="en-GB"/>
              </w:rPr>
              <w:t>ally,</w:t>
            </w:r>
          </w:p>
          <w:p w14:paraId="09D40715" w14:textId="2F3A8400" w:rsidR="002F459E" w:rsidRPr="00057ED8" w:rsidRDefault="00501374" w:rsidP="00BB4FB0">
            <w:pPr>
              <w:pStyle w:val="CEABullet-Level1"/>
              <w:numPr>
                <w:ilvl w:val="1"/>
                <w:numId w:val="1"/>
              </w:numPr>
              <w:spacing w:line="240" w:lineRule="auto"/>
              <w:rPr>
                <w:szCs w:val="17"/>
              </w:rPr>
            </w:pPr>
            <w:r w:rsidRPr="00057ED8">
              <w:t xml:space="preserve">FN-IN-1. (1): </w:t>
            </w:r>
            <w:r w:rsidR="00FB5EB3">
              <w:t>Insuranc</w:t>
            </w:r>
            <w:r w:rsidRPr="00057ED8">
              <w:rPr>
                <w:szCs w:val="17"/>
              </w:rPr>
              <w:t>e</w:t>
            </w:r>
            <w:r w:rsidR="00FB5EB3">
              <w:rPr>
                <w:szCs w:val="17"/>
              </w:rPr>
              <w:t xml:space="preserve"> Europe</w:t>
            </w:r>
            <w:r w:rsidRPr="00057ED8">
              <w:rPr>
                <w:szCs w:val="17"/>
              </w:rPr>
              <w:t xml:space="preserve"> appreciate</w:t>
            </w:r>
            <w:r w:rsidR="00FB5EB3">
              <w:rPr>
                <w:szCs w:val="17"/>
              </w:rPr>
              <w:t>s</w:t>
            </w:r>
            <w:r w:rsidRPr="00057ED8">
              <w:rPr>
                <w:szCs w:val="17"/>
              </w:rPr>
              <w:t xml:space="preserve"> the use of GICS instead of NAICS. </w:t>
            </w:r>
          </w:p>
          <w:p w14:paraId="589C99E6" w14:textId="404EA616" w:rsidR="00861786" w:rsidRPr="00057ED8" w:rsidRDefault="00501374" w:rsidP="00D1370E">
            <w:pPr>
              <w:pStyle w:val="CEABullet-Level1"/>
              <w:numPr>
                <w:ilvl w:val="1"/>
                <w:numId w:val="1"/>
              </w:numPr>
              <w:spacing w:line="240" w:lineRule="auto"/>
              <w:ind w:right="1056"/>
            </w:pPr>
            <w:r w:rsidRPr="00057ED8">
              <w:t>For financial institutions</w:t>
            </w:r>
            <w:r w:rsidR="00720201" w:rsidRPr="00057ED8">
              <w:t>,</w:t>
            </w:r>
            <w:r w:rsidRPr="00057ED8">
              <w:t xml:space="preserve"> the reason for omission is </w:t>
            </w:r>
            <w:r w:rsidR="00FB5EB3">
              <w:t xml:space="preserve">a lack of </w:t>
            </w:r>
            <w:r w:rsidRPr="00057ED8">
              <w:t xml:space="preserve">transparency </w:t>
            </w:r>
            <w:r w:rsidR="00FB5EB3">
              <w:t>over the</w:t>
            </w:r>
            <w:r w:rsidR="00FB5EB3" w:rsidRPr="00057ED8">
              <w:t xml:space="preserve"> </w:t>
            </w:r>
            <w:r w:rsidRPr="00057ED8">
              <w:t>GHG emissions of investees as ESG data provider</w:t>
            </w:r>
            <w:r w:rsidR="00335B2D">
              <w:t>s</w:t>
            </w:r>
            <w:r w:rsidRPr="00057ED8">
              <w:t xml:space="preserve"> are not providing relevant information. The reporting requirement can only lead to comparability if all financial institutions source their reporting on high-quality available data. </w:t>
            </w:r>
            <w:r w:rsidR="00861786" w:rsidRPr="00057ED8">
              <w:t>As regards the newly added</w:t>
            </w:r>
            <w:r w:rsidR="00335B2D">
              <w:t>,</w:t>
            </w:r>
            <w:r w:rsidR="00861786" w:rsidRPr="00057ED8">
              <w:t xml:space="preserve"> insurance-specific and asset</w:t>
            </w:r>
            <w:r w:rsidR="00335B2D">
              <w:t>-</w:t>
            </w:r>
            <w:r w:rsidR="00861786" w:rsidRPr="00057ED8">
              <w:t>management-specific disclosure requirements (</w:t>
            </w:r>
            <w:proofErr w:type="spellStart"/>
            <w:r w:rsidR="00861786" w:rsidRPr="00057ED8">
              <w:t>ie</w:t>
            </w:r>
            <w:proofErr w:type="spellEnd"/>
            <w:r w:rsidR="00335B2D">
              <w:t>,</w:t>
            </w:r>
            <w:r w:rsidR="00861786" w:rsidRPr="00057ED8">
              <w:t xml:space="preserve"> on transition risk exposure), please refer to </w:t>
            </w:r>
            <w:r w:rsidR="00335B2D">
              <w:t>the</w:t>
            </w:r>
            <w:r w:rsidR="00335B2D" w:rsidRPr="00057ED8">
              <w:t xml:space="preserve"> </w:t>
            </w:r>
            <w:r w:rsidR="00861786" w:rsidRPr="00057ED8">
              <w:t xml:space="preserve">responses to the </w:t>
            </w:r>
            <w:r w:rsidR="00335B2D">
              <w:t>subsequent</w:t>
            </w:r>
            <w:r w:rsidR="00335B2D" w:rsidRPr="00057ED8">
              <w:t xml:space="preserve"> </w:t>
            </w:r>
            <w:r w:rsidR="00861786" w:rsidRPr="00057ED8">
              <w:t>questions.</w:t>
            </w:r>
          </w:p>
          <w:p w14:paraId="7F6BC877" w14:textId="0AC8FE99" w:rsidR="00861786" w:rsidRPr="00057ED8" w:rsidRDefault="00861786" w:rsidP="004521E1">
            <w:pPr>
              <w:pStyle w:val="Odsekzoznamu"/>
              <w:ind w:left="720" w:firstLine="0"/>
              <w:rPr>
                <w:szCs w:val="17"/>
                <w:lang w:val="en-GB"/>
              </w:rPr>
            </w:pPr>
          </w:p>
          <w:p w14:paraId="08CB5AE3" w14:textId="77777777" w:rsidR="001D019C" w:rsidRPr="00057ED8" w:rsidRDefault="001D019C" w:rsidP="00812D6D">
            <w:pPr>
              <w:pStyle w:val="Odsekzoznamu"/>
              <w:numPr>
                <w:ilvl w:val="0"/>
                <w:numId w:val="48"/>
              </w:numPr>
              <w:rPr>
                <w:szCs w:val="17"/>
                <w:lang w:val="en-GB"/>
              </w:rPr>
            </w:pPr>
            <w:r w:rsidRPr="00057ED8">
              <w:rPr>
                <w:szCs w:val="17"/>
                <w:lang w:val="en-GB"/>
              </w:rPr>
              <w:t xml:space="preserve">Broadly agree / broadly disagree / </w:t>
            </w:r>
            <w:r w:rsidRPr="00057ED8">
              <w:rPr>
                <w:szCs w:val="17"/>
                <w:highlight w:val="cyan"/>
                <w:lang w:val="en-GB"/>
              </w:rPr>
              <w:t>other</w:t>
            </w:r>
          </w:p>
          <w:p w14:paraId="5AA98C51" w14:textId="669083DA" w:rsidR="00FA2068" w:rsidRPr="00057ED8" w:rsidRDefault="00FA2068" w:rsidP="000832F1">
            <w:pPr>
              <w:pStyle w:val="Odsekzoznamu"/>
              <w:ind w:left="720" w:firstLine="0"/>
              <w:rPr>
                <w:szCs w:val="17"/>
                <w:lang w:val="en-GB"/>
              </w:rPr>
            </w:pPr>
          </w:p>
          <w:p w14:paraId="1AD2A1D2" w14:textId="77777777" w:rsidR="009478A1" w:rsidRPr="009478A1" w:rsidRDefault="0036290A" w:rsidP="009478A1">
            <w:pPr>
              <w:pStyle w:val="Odsekzoznamu"/>
              <w:numPr>
                <w:ilvl w:val="0"/>
                <w:numId w:val="48"/>
              </w:numPr>
              <w:rPr>
                <w:rFonts w:cs="Arial"/>
              </w:rPr>
            </w:pPr>
            <w:r w:rsidRPr="00057ED8">
              <w:rPr>
                <w:szCs w:val="17"/>
                <w:lang w:val="en-GB"/>
              </w:rPr>
              <w:t xml:space="preserve">Broadly agree / </w:t>
            </w:r>
            <w:r w:rsidRPr="00057ED8">
              <w:rPr>
                <w:szCs w:val="17"/>
                <w:highlight w:val="cyan"/>
                <w:lang w:val="en-GB"/>
              </w:rPr>
              <w:t>broadly disagree</w:t>
            </w:r>
            <w:r w:rsidRPr="00057ED8">
              <w:rPr>
                <w:szCs w:val="17"/>
                <w:lang w:val="en-GB"/>
              </w:rPr>
              <w:t xml:space="preserve"> / other</w:t>
            </w:r>
          </w:p>
          <w:p w14:paraId="63AB403A" w14:textId="232ADC1B" w:rsidR="00427EEE" w:rsidRPr="009478A1" w:rsidRDefault="00335B2D" w:rsidP="009478A1">
            <w:pPr>
              <w:pStyle w:val="Odsekzoznamu"/>
              <w:ind w:left="720" w:firstLine="0"/>
              <w:rPr>
                <w:rFonts w:cs="Arial"/>
              </w:rPr>
            </w:pPr>
            <w:r>
              <w:rPr>
                <w:rFonts w:cs="Arial"/>
              </w:rPr>
              <w:t>Insuranc</w:t>
            </w:r>
            <w:r w:rsidR="00427EEE" w:rsidRPr="009478A1">
              <w:rPr>
                <w:rFonts w:cs="Arial"/>
              </w:rPr>
              <w:t>e</w:t>
            </w:r>
            <w:r>
              <w:rPr>
                <w:rFonts w:cs="Arial"/>
              </w:rPr>
              <w:t xml:space="preserve"> Europe</w:t>
            </w:r>
            <w:r w:rsidR="00427EEE" w:rsidRPr="009478A1">
              <w:rPr>
                <w:rFonts w:cs="Arial"/>
              </w:rPr>
              <w:t xml:space="preserve"> fully agree</w:t>
            </w:r>
            <w:r>
              <w:rPr>
                <w:rFonts w:cs="Arial"/>
              </w:rPr>
              <w:t>s</w:t>
            </w:r>
            <w:r w:rsidR="00427EEE" w:rsidRPr="009478A1">
              <w:rPr>
                <w:rFonts w:cs="Arial"/>
              </w:rPr>
              <w:t xml:space="preserve"> with the proposed industry-based disclosure requirements for financed and facilitated emissions, subject to consideration of </w:t>
            </w:r>
            <w:r w:rsidR="000F184D">
              <w:rPr>
                <w:rFonts w:cs="Arial"/>
              </w:rPr>
              <w:t xml:space="preserve">the </w:t>
            </w:r>
            <w:r w:rsidR="00427EEE" w:rsidRPr="009478A1">
              <w:rPr>
                <w:rFonts w:cs="Arial"/>
              </w:rPr>
              <w:t xml:space="preserve">concerns outlined in the </w:t>
            </w:r>
            <w:r w:rsidR="000F184D">
              <w:rPr>
                <w:rFonts w:cs="Arial"/>
              </w:rPr>
              <w:t>responses below</w:t>
            </w:r>
            <w:r w:rsidR="00427EEE" w:rsidRPr="009478A1">
              <w:rPr>
                <w:rFonts w:cs="Arial"/>
              </w:rPr>
              <w:t xml:space="preserve">. However, there are differences between financed emissions and insurance-associated/insured emissions, hence measurement of Scope 3 emissions in an underwriting portfolio may (need to) be based on a different approach </w:t>
            </w:r>
            <w:r w:rsidR="007714BD">
              <w:rPr>
                <w:rFonts w:cs="Arial"/>
              </w:rPr>
              <w:t>to</w:t>
            </w:r>
            <w:r w:rsidR="007714BD" w:rsidRPr="009478A1">
              <w:rPr>
                <w:rFonts w:cs="Arial"/>
              </w:rPr>
              <w:t xml:space="preserve"> </w:t>
            </w:r>
            <w:r w:rsidR="00427EEE" w:rsidRPr="009478A1">
              <w:rPr>
                <w:rFonts w:cs="Arial"/>
              </w:rPr>
              <w:t xml:space="preserve">that for an investment portfolio. The insurance industry is partnering with the Net Zero Insurance Alliance and PCAF </w:t>
            </w:r>
            <w:r w:rsidR="002A2859">
              <w:rPr>
                <w:rFonts w:cs="Arial"/>
              </w:rPr>
              <w:t>to get</w:t>
            </w:r>
            <w:r w:rsidR="00427EEE" w:rsidRPr="009478A1">
              <w:rPr>
                <w:rFonts w:cs="Arial"/>
              </w:rPr>
              <w:t xml:space="preserve"> clarity on the appropriate GHG accounting method to measure insured emissions.</w:t>
            </w:r>
          </w:p>
          <w:p w14:paraId="3BCBEA3B" w14:textId="77777777" w:rsidR="00427EEE" w:rsidRPr="008620F7" w:rsidRDefault="00427EEE" w:rsidP="009478A1">
            <w:pPr>
              <w:pStyle w:val="Odsekzoznamu"/>
              <w:spacing w:before="120" w:after="120"/>
              <w:ind w:left="720"/>
              <w:contextualSpacing/>
              <w:rPr>
                <w:rFonts w:cs="Arial"/>
                <w:lang w:val="en-GB"/>
              </w:rPr>
            </w:pPr>
          </w:p>
          <w:p w14:paraId="51CCD2F2" w14:textId="1928B526" w:rsidR="00717D42" w:rsidRPr="00057ED8" w:rsidRDefault="00427EEE" w:rsidP="001C37B0">
            <w:pPr>
              <w:pStyle w:val="Odsekzoznamu"/>
              <w:ind w:left="720" w:firstLine="0"/>
              <w:rPr>
                <w:szCs w:val="17"/>
                <w:lang w:val="en-GB"/>
              </w:rPr>
            </w:pPr>
            <w:r w:rsidRPr="008620F7">
              <w:rPr>
                <w:rFonts w:cs="Arial"/>
                <w:lang w:val="en-GB"/>
              </w:rPr>
              <w:t xml:space="preserve">As to Scope 3 GHG emissions by investors, it is essential that only </w:t>
            </w:r>
            <w:r w:rsidR="00A44BD4">
              <w:rPr>
                <w:rFonts w:cs="Arial"/>
                <w:lang w:val="en-GB"/>
              </w:rPr>
              <w:t xml:space="preserve">the </w:t>
            </w:r>
            <w:r w:rsidRPr="008620F7">
              <w:rPr>
                <w:rFonts w:cs="Arial"/>
                <w:lang w:val="en-GB"/>
              </w:rPr>
              <w:t xml:space="preserve">Scope 1 and 2 </w:t>
            </w:r>
            <w:r w:rsidRPr="008620F7">
              <w:rPr>
                <w:rFonts w:cs="Arial"/>
                <w:lang w:val="en-GB"/>
              </w:rPr>
              <w:lastRenderedPageBreak/>
              <w:t xml:space="preserve">GHG emissions of investees need to be considered at this stage. At some point, conceptually, it would make sense to also consider </w:t>
            </w:r>
            <w:r w:rsidR="00A44BD4">
              <w:rPr>
                <w:rFonts w:cs="Arial"/>
                <w:lang w:val="en-GB"/>
              </w:rPr>
              <w:t xml:space="preserve">the </w:t>
            </w:r>
            <w:r w:rsidRPr="008620F7">
              <w:rPr>
                <w:rFonts w:cs="Arial"/>
                <w:lang w:val="en-GB"/>
              </w:rPr>
              <w:t>Scope 3 GHG emissions of investees (despite the issue of double</w:t>
            </w:r>
            <w:r w:rsidR="00D50CFE">
              <w:rPr>
                <w:rFonts w:cs="Arial"/>
                <w:lang w:val="en-GB"/>
              </w:rPr>
              <w:t>-</w:t>
            </w:r>
            <w:r w:rsidRPr="008620F7">
              <w:rPr>
                <w:rFonts w:cs="Arial"/>
                <w:lang w:val="en-GB"/>
              </w:rPr>
              <w:t>counting). However, such a requirement should only be imposed as soon as data availability (namely of actual reported data by investees) is significantly increased, which can only be achieved via mandatory reporting requirements on Scope 1, 2 and 3 for investee companies in a first step</w:t>
            </w:r>
            <w:r w:rsidR="004146AD">
              <w:rPr>
                <w:rFonts w:cs="Arial"/>
                <w:lang w:val="en-GB"/>
              </w:rPr>
              <w:t xml:space="preserve">. </w:t>
            </w:r>
            <w:proofErr w:type="gramStart"/>
            <w:r w:rsidR="004146AD">
              <w:rPr>
                <w:rFonts w:cs="Arial"/>
                <w:lang w:val="en-GB"/>
              </w:rPr>
              <w:t>This</w:t>
            </w:r>
            <w:r w:rsidRPr="008620F7">
              <w:rPr>
                <w:rFonts w:cs="Arial"/>
                <w:lang w:val="en-GB"/>
              </w:rPr>
              <w:t xml:space="preserve"> further </w:t>
            </w:r>
            <w:r w:rsidR="004146AD">
              <w:rPr>
                <w:rFonts w:cs="Arial"/>
                <w:lang w:val="en-GB"/>
              </w:rPr>
              <w:t>underscores</w:t>
            </w:r>
            <w:proofErr w:type="gramEnd"/>
            <w:r w:rsidRPr="008620F7">
              <w:rPr>
                <w:rFonts w:cs="Arial"/>
                <w:lang w:val="en-GB"/>
              </w:rPr>
              <w:t xml:space="preserve"> the strong need for mandatory Scope 3 disclosures across industries</w:t>
            </w:r>
            <w:r w:rsidR="004146AD">
              <w:rPr>
                <w:rFonts w:cs="Arial"/>
                <w:lang w:val="en-GB"/>
              </w:rPr>
              <w:t xml:space="preserve">. </w:t>
            </w:r>
          </w:p>
          <w:p w14:paraId="4090067D" w14:textId="77777777" w:rsidR="0036290A" w:rsidRPr="00057ED8" w:rsidRDefault="0036290A" w:rsidP="00812D6D">
            <w:pPr>
              <w:pStyle w:val="Odsekzoznamu"/>
              <w:numPr>
                <w:ilvl w:val="0"/>
                <w:numId w:val="48"/>
              </w:numPr>
              <w:rPr>
                <w:szCs w:val="17"/>
                <w:lang w:val="en-GB"/>
              </w:rPr>
            </w:pPr>
            <w:r w:rsidRPr="00057ED8">
              <w:rPr>
                <w:szCs w:val="17"/>
                <w:lang w:val="en-GB"/>
              </w:rPr>
              <w:t xml:space="preserve">Broadly agree / </w:t>
            </w:r>
            <w:r w:rsidRPr="00057ED8">
              <w:rPr>
                <w:szCs w:val="17"/>
                <w:highlight w:val="cyan"/>
                <w:lang w:val="en-GB"/>
              </w:rPr>
              <w:t>broadly disagree</w:t>
            </w:r>
            <w:r w:rsidRPr="00057ED8">
              <w:rPr>
                <w:szCs w:val="17"/>
                <w:lang w:val="en-GB"/>
              </w:rPr>
              <w:t xml:space="preserve"> / other</w:t>
            </w:r>
          </w:p>
          <w:p w14:paraId="5117A03D" w14:textId="1B8DBEEB" w:rsidR="000A5896" w:rsidRPr="00057ED8" w:rsidRDefault="00D50CFE" w:rsidP="000A5896">
            <w:pPr>
              <w:pStyle w:val="Odsekzoznamu"/>
              <w:ind w:left="720" w:firstLine="0"/>
              <w:rPr>
                <w:szCs w:val="17"/>
                <w:lang w:val="en-GB"/>
              </w:rPr>
            </w:pPr>
            <w:r>
              <w:rPr>
                <w:szCs w:val="17"/>
                <w:lang w:val="en-GB"/>
              </w:rPr>
              <w:t>Insurance Europ</w:t>
            </w:r>
            <w:r w:rsidR="000A5896" w:rsidRPr="00057ED8">
              <w:rPr>
                <w:szCs w:val="17"/>
                <w:lang w:val="en-GB"/>
              </w:rPr>
              <w:t>e do</w:t>
            </w:r>
            <w:r>
              <w:rPr>
                <w:szCs w:val="17"/>
                <w:lang w:val="en-GB"/>
              </w:rPr>
              <w:t>es</w:t>
            </w:r>
            <w:r w:rsidR="000A5896" w:rsidRPr="00057ED8">
              <w:rPr>
                <w:szCs w:val="17"/>
                <w:lang w:val="en-GB"/>
              </w:rPr>
              <w:t xml:space="preserve"> not agree with the industries classified as “carbon-related” in the proposals for insurance entities (par</w:t>
            </w:r>
            <w:r w:rsidR="00243D02">
              <w:rPr>
                <w:szCs w:val="17"/>
                <w:lang w:val="en-GB"/>
              </w:rPr>
              <w:t>a</w:t>
            </w:r>
            <w:r w:rsidR="000A5896" w:rsidRPr="00057ED8">
              <w:rPr>
                <w:szCs w:val="17"/>
                <w:lang w:val="en-GB"/>
              </w:rPr>
              <w:t xml:space="preserve">. 1.4.1) as the list is not sufficiently discriminatory. For example, it lists utilities, which could be all-renewable. Instead, </w:t>
            </w:r>
            <w:r w:rsidR="00DD1CA7">
              <w:rPr>
                <w:szCs w:val="17"/>
                <w:lang w:val="en-GB"/>
              </w:rPr>
              <w:t>it</w:t>
            </w:r>
            <w:r w:rsidR="00DD1CA7" w:rsidRPr="00057ED8">
              <w:rPr>
                <w:szCs w:val="17"/>
                <w:lang w:val="en-GB"/>
              </w:rPr>
              <w:t xml:space="preserve"> </w:t>
            </w:r>
            <w:r w:rsidR="000A5896" w:rsidRPr="00057ED8">
              <w:rPr>
                <w:szCs w:val="17"/>
                <w:lang w:val="en-GB"/>
              </w:rPr>
              <w:t>strongly recommend</w:t>
            </w:r>
            <w:r w:rsidR="00DD1CA7">
              <w:rPr>
                <w:szCs w:val="17"/>
                <w:lang w:val="en-GB"/>
              </w:rPr>
              <w:t>s</w:t>
            </w:r>
            <w:r w:rsidR="000A5896" w:rsidRPr="00057ED8">
              <w:rPr>
                <w:szCs w:val="17"/>
                <w:lang w:val="en-GB"/>
              </w:rPr>
              <w:t xml:space="preserve"> </w:t>
            </w:r>
            <w:r w:rsidR="00DD1CA7">
              <w:rPr>
                <w:szCs w:val="17"/>
                <w:lang w:val="en-GB"/>
              </w:rPr>
              <w:t>that</w:t>
            </w:r>
            <w:r w:rsidR="00DD1CA7" w:rsidRPr="00057ED8">
              <w:rPr>
                <w:szCs w:val="17"/>
                <w:lang w:val="en-GB"/>
              </w:rPr>
              <w:t xml:space="preserve"> </w:t>
            </w:r>
            <w:r w:rsidR="000A5896" w:rsidRPr="00057ED8">
              <w:rPr>
                <w:szCs w:val="17"/>
                <w:lang w:val="en-GB"/>
              </w:rPr>
              <w:t>the ISSB define</w:t>
            </w:r>
            <w:r w:rsidR="00DD1CA7">
              <w:rPr>
                <w:szCs w:val="17"/>
                <w:lang w:val="en-GB"/>
              </w:rPr>
              <w:t>s</w:t>
            </w:r>
            <w:r w:rsidR="000A5896" w:rsidRPr="00057ED8">
              <w:rPr>
                <w:szCs w:val="17"/>
                <w:lang w:val="en-GB"/>
              </w:rPr>
              <w:t xml:space="preserve"> sectors with ISIC/NACE and </w:t>
            </w:r>
            <w:r w:rsidR="00DD1CA7">
              <w:rPr>
                <w:szCs w:val="17"/>
                <w:lang w:val="en-GB"/>
              </w:rPr>
              <w:t>changes</w:t>
            </w:r>
            <w:r w:rsidR="00DD1CA7" w:rsidRPr="00057ED8">
              <w:rPr>
                <w:szCs w:val="17"/>
                <w:lang w:val="en-GB"/>
              </w:rPr>
              <w:t xml:space="preserve"> </w:t>
            </w:r>
            <w:r w:rsidR="000A5896" w:rsidRPr="00057ED8">
              <w:rPr>
                <w:szCs w:val="17"/>
                <w:lang w:val="en-GB"/>
              </w:rPr>
              <w:t>the framing to “usually carbon-related”, as almost any industry is related to GHG.</w:t>
            </w:r>
          </w:p>
          <w:p w14:paraId="4E7465C5" w14:textId="126B2904" w:rsidR="000A5896" w:rsidRPr="00057ED8" w:rsidRDefault="000A5896" w:rsidP="001C37B0">
            <w:pPr>
              <w:pStyle w:val="Odsekzoznamu"/>
              <w:ind w:left="720" w:firstLine="0"/>
              <w:rPr>
                <w:szCs w:val="17"/>
                <w:lang w:val="en-GB"/>
              </w:rPr>
            </w:pPr>
          </w:p>
          <w:p w14:paraId="7055C63E" w14:textId="77777777" w:rsidR="0036290A" w:rsidRDefault="0036290A" w:rsidP="00812D6D">
            <w:pPr>
              <w:pStyle w:val="Odsekzoznamu"/>
              <w:numPr>
                <w:ilvl w:val="0"/>
                <w:numId w:val="48"/>
              </w:numPr>
              <w:rPr>
                <w:szCs w:val="17"/>
                <w:lang w:val="en-GB"/>
              </w:rPr>
            </w:pPr>
            <w:r w:rsidRPr="00057ED8">
              <w:rPr>
                <w:szCs w:val="17"/>
                <w:highlight w:val="cyan"/>
                <w:lang w:val="en-GB"/>
              </w:rPr>
              <w:t>Broadly agree</w:t>
            </w:r>
            <w:r w:rsidRPr="00057ED8">
              <w:rPr>
                <w:szCs w:val="17"/>
                <w:lang w:val="en-GB"/>
              </w:rPr>
              <w:t xml:space="preserve"> / broadly disagree / other</w:t>
            </w:r>
          </w:p>
          <w:p w14:paraId="246247D6" w14:textId="1E57543A" w:rsidR="00B034FA" w:rsidRPr="00485C85" w:rsidRDefault="00DD1CA7" w:rsidP="00B034FA">
            <w:pPr>
              <w:pStyle w:val="Odsekzoznamu"/>
              <w:ind w:left="720" w:firstLine="0"/>
              <w:rPr>
                <w:szCs w:val="17"/>
              </w:rPr>
            </w:pPr>
            <w:r>
              <w:rPr>
                <w:szCs w:val="17"/>
              </w:rPr>
              <w:t>Insuranc</w:t>
            </w:r>
            <w:r w:rsidR="00B034FA" w:rsidRPr="00C81CB9">
              <w:rPr>
                <w:szCs w:val="17"/>
              </w:rPr>
              <w:t xml:space="preserve">e </w:t>
            </w:r>
            <w:r>
              <w:rPr>
                <w:szCs w:val="17"/>
              </w:rPr>
              <w:t xml:space="preserve">Europe </w:t>
            </w:r>
            <w:r w:rsidR="00B034FA" w:rsidRPr="00C81CB9">
              <w:rPr>
                <w:szCs w:val="17"/>
              </w:rPr>
              <w:t>fully agree</w:t>
            </w:r>
            <w:r>
              <w:rPr>
                <w:szCs w:val="17"/>
              </w:rPr>
              <w:t>s</w:t>
            </w:r>
            <w:r w:rsidR="00B034FA" w:rsidRPr="00C81CB9">
              <w:rPr>
                <w:szCs w:val="17"/>
              </w:rPr>
              <w:t xml:space="preserve"> with the proposed requirement to disclose both absolute and intensity-based financed emissions as both indicators are </w:t>
            </w:r>
            <w:r w:rsidR="005E1D44">
              <w:rPr>
                <w:szCs w:val="17"/>
              </w:rPr>
              <w:t>extremely useful for decision-making</w:t>
            </w:r>
            <w:r w:rsidR="00B034FA" w:rsidRPr="00C81CB9">
              <w:rPr>
                <w:szCs w:val="17"/>
              </w:rPr>
              <w:t>.</w:t>
            </w:r>
          </w:p>
          <w:p w14:paraId="3225F58D" w14:textId="696AA951" w:rsidR="00B034FA" w:rsidRPr="00057ED8" w:rsidRDefault="00B034FA" w:rsidP="00B034FA">
            <w:pPr>
              <w:pStyle w:val="Odsekzoznamu"/>
              <w:ind w:left="720" w:firstLine="0"/>
              <w:rPr>
                <w:szCs w:val="17"/>
                <w:lang w:val="en-GB"/>
              </w:rPr>
            </w:pPr>
          </w:p>
          <w:p w14:paraId="29881035" w14:textId="77777777" w:rsidR="0036290A" w:rsidRPr="00057ED8" w:rsidRDefault="0036290A" w:rsidP="00812D6D">
            <w:pPr>
              <w:pStyle w:val="Odsekzoznamu"/>
              <w:numPr>
                <w:ilvl w:val="0"/>
                <w:numId w:val="48"/>
              </w:numPr>
              <w:rPr>
                <w:szCs w:val="17"/>
                <w:lang w:val="en-GB"/>
              </w:rPr>
            </w:pPr>
            <w:r w:rsidRPr="00057ED8">
              <w:rPr>
                <w:szCs w:val="17"/>
                <w:highlight w:val="cyan"/>
                <w:lang w:val="en-GB"/>
              </w:rPr>
              <w:t>Broadly agree</w:t>
            </w:r>
            <w:r w:rsidRPr="00057ED8">
              <w:rPr>
                <w:szCs w:val="17"/>
                <w:lang w:val="en-GB"/>
              </w:rPr>
              <w:t xml:space="preserve"> / broadly disagree / other</w:t>
            </w:r>
          </w:p>
          <w:p w14:paraId="1EADA0FD" w14:textId="1AD1E0CE" w:rsidR="00F15F6C" w:rsidRPr="00057ED8" w:rsidRDefault="00F15F6C" w:rsidP="00F15F6C">
            <w:pPr>
              <w:pStyle w:val="Odsekzoznamu"/>
              <w:ind w:left="720" w:firstLine="0"/>
              <w:rPr>
                <w:szCs w:val="17"/>
                <w:lang w:val="en-GB"/>
              </w:rPr>
            </w:pPr>
            <w:r w:rsidRPr="00057ED8">
              <w:rPr>
                <w:szCs w:val="17"/>
                <w:lang w:val="en-GB"/>
              </w:rPr>
              <w:t xml:space="preserve">An obligation to publish the methodology used to calculate </w:t>
            </w:r>
            <w:r w:rsidR="005E1D44">
              <w:rPr>
                <w:szCs w:val="17"/>
                <w:lang w:val="en-GB"/>
              </w:rPr>
              <w:t>S</w:t>
            </w:r>
            <w:r w:rsidRPr="00057ED8">
              <w:rPr>
                <w:szCs w:val="17"/>
                <w:lang w:val="en-GB"/>
              </w:rPr>
              <w:t>cope 3 emissions should be considered a minimum requirement.</w:t>
            </w:r>
            <w:r w:rsidR="00BD4BAD">
              <w:rPr>
                <w:szCs w:val="17"/>
                <w:lang w:val="en-GB"/>
              </w:rPr>
              <w:t xml:space="preserve"> Further</w:t>
            </w:r>
            <w:r w:rsidR="00F96B27">
              <w:rPr>
                <w:szCs w:val="17"/>
                <w:lang w:val="en-GB"/>
              </w:rPr>
              <w:t>more</w:t>
            </w:r>
            <w:r w:rsidR="00BD4BAD">
              <w:rPr>
                <w:szCs w:val="17"/>
                <w:lang w:val="en-GB"/>
              </w:rPr>
              <w:t>, alignment with other regulatory requirements needs to be ensured.</w:t>
            </w:r>
          </w:p>
          <w:p w14:paraId="6A3F03F5" w14:textId="29166469" w:rsidR="00F15F6C" w:rsidRPr="00057ED8" w:rsidRDefault="00F15F6C" w:rsidP="000832F1">
            <w:pPr>
              <w:pStyle w:val="Odsekzoznamu"/>
              <w:ind w:left="720" w:firstLine="0"/>
              <w:rPr>
                <w:szCs w:val="17"/>
                <w:lang w:val="en-GB"/>
              </w:rPr>
            </w:pPr>
          </w:p>
          <w:p w14:paraId="63E288A9" w14:textId="77777777" w:rsidR="0036290A" w:rsidRPr="00057ED8" w:rsidRDefault="0036290A" w:rsidP="00812D6D">
            <w:pPr>
              <w:pStyle w:val="Odsekzoznamu"/>
              <w:numPr>
                <w:ilvl w:val="0"/>
                <w:numId w:val="48"/>
              </w:numPr>
              <w:rPr>
                <w:szCs w:val="17"/>
                <w:lang w:val="en-GB"/>
              </w:rPr>
            </w:pPr>
            <w:r w:rsidRPr="00057ED8">
              <w:rPr>
                <w:szCs w:val="17"/>
                <w:highlight w:val="cyan"/>
                <w:lang w:val="en-GB"/>
              </w:rPr>
              <w:t>Broadly agree</w:t>
            </w:r>
            <w:r w:rsidRPr="00057ED8">
              <w:rPr>
                <w:szCs w:val="17"/>
                <w:lang w:val="en-GB"/>
              </w:rPr>
              <w:t xml:space="preserve"> / broadly disagree / other</w:t>
            </w:r>
          </w:p>
          <w:p w14:paraId="05819304" w14:textId="4192F7E3" w:rsidR="00D60744" w:rsidRPr="00057ED8" w:rsidRDefault="007F6BD7" w:rsidP="00D60744">
            <w:pPr>
              <w:pStyle w:val="Odsekzoznamu"/>
              <w:ind w:left="720" w:firstLine="0"/>
              <w:rPr>
                <w:szCs w:val="17"/>
                <w:lang w:val="en-GB"/>
              </w:rPr>
            </w:pPr>
            <w:r>
              <w:rPr>
                <w:szCs w:val="17"/>
              </w:rPr>
              <w:t xml:space="preserve">We broadly agree with </w:t>
            </w:r>
            <w:r w:rsidR="00FE5D62">
              <w:rPr>
                <w:szCs w:val="17"/>
              </w:rPr>
              <w:t xml:space="preserve">the proposal for companies to be required to use the GHG Protocol Corporate Value Chain (Scope 3) Accounting and Reporting Standard to provide the proposed disclosures on financed emissions. In that perspective, </w:t>
            </w:r>
            <w:r w:rsidR="00FF57FF">
              <w:rPr>
                <w:szCs w:val="17"/>
              </w:rPr>
              <w:t>Insurance Europe would highlight the importance to find</w:t>
            </w:r>
            <w:r w:rsidR="00FE5D62">
              <w:rPr>
                <w:szCs w:val="17"/>
              </w:rPr>
              <w:t xml:space="preserve"> </w:t>
            </w:r>
            <w:r w:rsidR="00FF57FF">
              <w:rPr>
                <w:szCs w:val="17"/>
              </w:rPr>
              <w:t>a</w:t>
            </w:r>
            <w:r w:rsidR="00892BF1" w:rsidRPr="00DB5801">
              <w:rPr>
                <w:szCs w:val="17"/>
              </w:rPr>
              <w:t xml:space="preserve">n appropriate balance between principles and </w:t>
            </w:r>
            <w:r w:rsidR="00FF57FF">
              <w:rPr>
                <w:szCs w:val="17"/>
              </w:rPr>
              <w:t xml:space="preserve">such </w:t>
            </w:r>
            <w:r w:rsidR="00337620">
              <w:rPr>
                <w:szCs w:val="17"/>
              </w:rPr>
              <w:t>specific guidance</w:t>
            </w:r>
            <w:r w:rsidR="00892BF1" w:rsidRPr="00DB5801">
              <w:rPr>
                <w:szCs w:val="17"/>
              </w:rPr>
              <w:t xml:space="preserve"> under the condition that</w:t>
            </w:r>
            <w:r w:rsidR="00892BF1">
              <w:rPr>
                <w:szCs w:val="17"/>
              </w:rPr>
              <w:t xml:space="preserve"> </w:t>
            </w:r>
            <w:r w:rsidR="00892BF1" w:rsidRPr="00DB5801">
              <w:rPr>
                <w:szCs w:val="17"/>
              </w:rPr>
              <w:t>these are indeed relevant for the entire industry and do not trigger disclosure</w:t>
            </w:r>
            <w:r w:rsidR="00892BF1">
              <w:rPr>
                <w:szCs w:val="17"/>
              </w:rPr>
              <w:t>s</w:t>
            </w:r>
            <w:r w:rsidR="00892BF1" w:rsidRPr="00DB5801">
              <w:rPr>
                <w:szCs w:val="17"/>
              </w:rPr>
              <w:t>, unless mate</w:t>
            </w:r>
            <w:r w:rsidR="00892BF1">
              <w:rPr>
                <w:szCs w:val="17"/>
              </w:rPr>
              <w:t>rial</w:t>
            </w:r>
            <w:r w:rsidR="00D60744" w:rsidRPr="00057ED8">
              <w:rPr>
                <w:szCs w:val="17"/>
                <w:lang w:val="en-GB"/>
              </w:rPr>
              <w:t>.</w:t>
            </w:r>
          </w:p>
          <w:p w14:paraId="0ED14607" w14:textId="56F1AFA8" w:rsidR="00D60744" w:rsidRPr="00057ED8" w:rsidRDefault="00D60744" w:rsidP="000832F1">
            <w:pPr>
              <w:pStyle w:val="Odsekzoznamu"/>
              <w:ind w:left="720" w:firstLine="0"/>
              <w:rPr>
                <w:szCs w:val="17"/>
                <w:lang w:val="en-GB"/>
              </w:rPr>
            </w:pPr>
          </w:p>
          <w:p w14:paraId="04A19935" w14:textId="77777777" w:rsidR="0036290A" w:rsidRPr="00057ED8" w:rsidRDefault="0036290A" w:rsidP="00812D6D">
            <w:pPr>
              <w:pStyle w:val="Odsekzoznamu"/>
              <w:numPr>
                <w:ilvl w:val="0"/>
                <w:numId w:val="48"/>
              </w:numPr>
              <w:rPr>
                <w:szCs w:val="17"/>
                <w:lang w:val="en-GB"/>
              </w:rPr>
            </w:pPr>
            <w:r w:rsidRPr="00057ED8">
              <w:rPr>
                <w:szCs w:val="17"/>
                <w:lang w:val="en-GB"/>
              </w:rPr>
              <w:t xml:space="preserve">Broadly agree / </w:t>
            </w:r>
            <w:r w:rsidRPr="00CC6EA0">
              <w:rPr>
                <w:szCs w:val="17"/>
                <w:lang w:val="en-GB"/>
              </w:rPr>
              <w:t>broadly disagree</w:t>
            </w:r>
            <w:r w:rsidRPr="00057ED8">
              <w:rPr>
                <w:szCs w:val="17"/>
                <w:lang w:val="en-GB"/>
              </w:rPr>
              <w:t xml:space="preserve"> / </w:t>
            </w:r>
            <w:r w:rsidRPr="00CC6EA0">
              <w:rPr>
                <w:szCs w:val="17"/>
                <w:highlight w:val="cyan"/>
                <w:lang w:val="en-GB"/>
              </w:rPr>
              <w:t>other</w:t>
            </w:r>
          </w:p>
          <w:p w14:paraId="6470ABF0" w14:textId="3E3C9449" w:rsidR="00B10C53" w:rsidRPr="00057ED8" w:rsidRDefault="00A62CC8" w:rsidP="00B10C53">
            <w:pPr>
              <w:pStyle w:val="Odsekzoznamu"/>
              <w:ind w:left="720" w:firstLine="0"/>
              <w:rPr>
                <w:szCs w:val="17"/>
                <w:lang w:val="en-GB"/>
              </w:rPr>
            </w:pPr>
            <w:r>
              <w:rPr>
                <w:szCs w:val="17"/>
              </w:rPr>
              <w:t>The disclosure of financed emissions associated with total assets under management generally provides useful information for the assessment of the entity</w:t>
            </w:r>
            <w:r w:rsidR="00471C6E">
              <w:rPr>
                <w:szCs w:val="17"/>
              </w:rPr>
              <w:t>’</w:t>
            </w:r>
            <w:r>
              <w:rPr>
                <w:szCs w:val="17"/>
              </w:rPr>
              <w:t xml:space="preserve">s indirect transition risk exposure, subject to consideration of the specific challenges arising for different asset classes.   </w:t>
            </w:r>
          </w:p>
          <w:p w14:paraId="151EBFD0" w14:textId="77777777" w:rsidR="00BE53BD" w:rsidRPr="00057ED8" w:rsidRDefault="00BE53BD" w:rsidP="000832F1">
            <w:pPr>
              <w:pStyle w:val="Odsekzoznamu"/>
              <w:ind w:left="720" w:firstLine="0"/>
              <w:rPr>
                <w:szCs w:val="17"/>
                <w:lang w:val="en-GB"/>
              </w:rPr>
            </w:pPr>
          </w:p>
          <w:p w14:paraId="3C53234B" w14:textId="77777777" w:rsidR="0036290A" w:rsidRPr="00057ED8" w:rsidRDefault="0036290A" w:rsidP="00812D6D">
            <w:pPr>
              <w:pStyle w:val="Odsekzoznamu"/>
              <w:numPr>
                <w:ilvl w:val="0"/>
                <w:numId w:val="48"/>
              </w:numPr>
              <w:rPr>
                <w:szCs w:val="17"/>
                <w:lang w:val="en-GB"/>
              </w:rPr>
            </w:pPr>
            <w:r w:rsidRPr="00057ED8">
              <w:rPr>
                <w:szCs w:val="17"/>
                <w:lang w:val="en-GB"/>
              </w:rPr>
              <w:t xml:space="preserve">Broadly agree / broadly disagree / </w:t>
            </w:r>
            <w:r w:rsidRPr="00057ED8">
              <w:rPr>
                <w:szCs w:val="17"/>
                <w:highlight w:val="cyan"/>
                <w:lang w:val="en-GB"/>
              </w:rPr>
              <w:t>other</w:t>
            </w:r>
          </w:p>
          <w:p w14:paraId="6D6EC3B8" w14:textId="36237BBB" w:rsidR="008461C3" w:rsidRDefault="00C47489" w:rsidP="006E0E6F">
            <w:pPr>
              <w:pStyle w:val="Odsekzoznamu"/>
              <w:ind w:left="720" w:firstLine="0"/>
              <w:rPr>
                <w:szCs w:val="17"/>
              </w:rPr>
            </w:pPr>
            <w:r w:rsidRPr="00057ED8">
              <w:rPr>
                <w:szCs w:val="17"/>
                <w:lang w:val="en-GB"/>
              </w:rPr>
              <w:t xml:space="preserve">While </w:t>
            </w:r>
            <w:r w:rsidR="00471C6E">
              <w:rPr>
                <w:szCs w:val="17"/>
                <w:lang w:val="en-GB"/>
              </w:rPr>
              <w:t>Insurance Europ</w:t>
            </w:r>
            <w:r w:rsidRPr="00057ED8">
              <w:rPr>
                <w:szCs w:val="17"/>
                <w:lang w:val="en-GB"/>
              </w:rPr>
              <w:t>e appreciate</w:t>
            </w:r>
            <w:r w:rsidR="00471C6E">
              <w:rPr>
                <w:szCs w:val="17"/>
                <w:lang w:val="en-GB"/>
              </w:rPr>
              <w:t>s</w:t>
            </w:r>
            <w:r w:rsidRPr="00057ED8">
              <w:rPr>
                <w:szCs w:val="17"/>
                <w:lang w:val="en-GB"/>
              </w:rPr>
              <w:t xml:space="preserve"> the attempt to standardi</w:t>
            </w:r>
            <w:r w:rsidR="0028185A">
              <w:rPr>
                <w:szCs w:val="17"/>
                <w:lang w:val="en-GB"/>
              </w:rPr>
              <w:t>s</w:t>
            </w:r>
            <w:r w:rsidRPr="00057ED8">
              <w:rPr>
                <w:szCs w:val="17"/>
                <w:lang w:val="en-GB"/>
              </w:rPr>
              <w:t xml:space="preserve">e and harmonise, </w:t>
            </w:r>
            <w:r w:rsidR="00471C6E">
              <w:rPr>
                <w:szCs w:val="17"/>
                <w:lang w:val="en-GB"/>
              </w:rPr>
              <w:t>it</w:t>
            </w:r>
            <w:r w:rsidR="00471C6E" w:rsidRPr="00057ED8">
              <w:rPr>
                <w:szCs w:val="17"/>
                <w:lang w:val="en-GB"/>
              </w:rPr>
              <w:t xml:space="preserve"> </w:t>
            </w:r>
            <w:r w:rsidR="008461C3" w:rsidRPr="004A2974">
              <w:rPr>
                <w:szCs w:val="17"/>
              </w:rPr>
              <w:t>ha</w:t>
            </w:r>
            <w:r w:rsidR="00471C6E">
              <w:rPr>
                <w:szCs w:val="17"/>
              </w:rPr>
              <w:t>s</w:t>
            </w:r>
            <w:r w:rsidR="008461C3" w:rsidRPr="004A2974">
              <w:rPr>
                <w:szCs w:val="17"/>
              </w:rPr>
              <w:t xml:space="preserve"> concerns </w:t>
            </w:r>
            <w:r w:rsidR="00471C6E">
              <w:rPr>
                <w:szCs w:val="17"/>
              </w:rPr>
              <w:t>over:</w:t>
            </w:r>
            <w:r w:rsidR="00471C6E" w:rsidRPr="004A2974">
              <w:rPr>
                <w:szCs w:val="17"/>
              </w:rPr>
              <w:t xml:space="preserve"> </w:t>
            </w:r>
          </w:p>
          <w:p w14:paraId="0F7631A3" w14:textId="01AB8069" w:rsidR="008461C3" w:rsidRDefault="00471C6E" w:rsidP="00BB4FB0">
            <w:pPr>
              <w:pStyle w:val="CEABullet-Level1"/>
              <w:numPr>
                <w:ilvl w:val="1"/>
                <w:numId w:val="1"/>
              </w:numPr>
              <w:spacing w:line="240" w:lineRule="auto"/>
              <w:ind w:right="1057"/>
            </w:pPr>
            <w:r>
              <w:t>D</w:t>
            </w:r>
            <w:r w:rsidR="008461C3" w:rsidRPr="004A2974">
              <w:t>ata availability</w:t>
            </w:r>
            <w:r w:rsidR="008461C3">
              <w:t xml:space="preserve">: as explained in </w:t>
            </w:r>
            <w:r>
              <w:t xml:space="preserve">the </w:t>
            </w:r>
            <w:r w:rsidR="008461C3">
              <w:t xml:space="preserve">answer in (d), </w:t>
            </w:r>
            <w:r w:rsidR="008461C3" w:rsidRPr="004A2974">
              <w:t xml:space="preserve">it is essential that only Scope 1 and 2 emissions related to investments </w:t>
            </w:r>
            <w:r w:rsidR="008461C3">
              <w:t>are</w:t>
            </w:r>
            <w:r w:rsidR="008461C3" w:rsidRPr="004A2974">
              <w:t xml:space="preserve"> considered</w:t>
            </w:r>
            <w:r>
              <w:t>.</w:t>
            </w:r>
          </w:p>
          <w:p w14:paraId="2A5B1BA7" w14:textId="6D6A22DE" w:rsidR="00EE2EC4" w:rsidRDefault="00471C6E" w:rsidP="00D1094D">
            <w:pPr>
              <w:pStyle w:val="CEABullet-Level1"/>
              <w:numPr>
                <w:ilvl w:val="1"/>
                <w:numId w:val="1"/>
              </w:numPr>
              <w:spacing w:line="240" w:lineRule="auto"/>
              <w:ind w:right="1057"/>
            </w:pPr>
            <w:r>
              <w:t>H</w:t>
            </w:r>
            <w:r w:rsidR="008461C3" w:rsidRPr="004A2974">
              <w:t>igh degree of interpretation</w:t>
            </w:r>
            <w:r w:rsidR="008461C3">
              <w:t>:</w:t>
            </w:r>
            <w:r w:rsidR="00950BE9">
              <w:t xml:space="preserve"> as described </w:t>
            </w:r>
            <w:r>
              <w:t xml:space="preserve">in the </w:t>
            </w:r>
            <w:r w:rsidR="00950BE9">
              <w:t>answer</w:t>
            </w:r>
            <w:r>
              <w:t>s</w:t>
            </w:r>
            <w:r w:rsidR="00950BE9">
              <w:t xml:space="preserve"> in (a) and (h), </w:t>
            </w:r>
            <w:r w:rsidR="008461C3" w:rsidRPr="004A2974">
              <w:t xml:space="preserve">an appropriate balance between principles and </w:t>
            </w:r>
            <w:r w:rsidR="00337620">
              <w:t>specific guidance</w:t>
            </w:r>
            <w:r w:rsidR="008461C3" w:rsidRPr="004A2974">
              <w:t xml:space="preserve"> could be helpful</w:t>
            </w:r>
            <w:r>
              <w:t>.</w:t>
            </w:r>
          </w:p>
          <w:p w14:paraId="1E375812" w14:textId="72CA9A12" w:rsidR="00964B42" w:rsidRPr="0005223E" w:rsidRDefault="00471C6E" w:rsidP="00D1094D">
            <w:pPr>
              <w:pStyle w:val="CEABullet-Level1"/>
              <w:numPr>
                <w:ilvl w:val="1"/>
                <w:numId w:val="1"/>
              </w:numPr>
              <w:spacing w:line="240" w:lineRule="auto"/>
              <w:ind w:right="1057"/>
            </w:pPr>
            <w:r>
              <w:t>L</w:t>
            </w:r>
            <w:r w:rsidR="00964B42">
              <w:t xml:space="preserve">evel of detail: </w:t>
            </w:r>
            <w:r>
              <w:t xml:space="preserve">a </w:t>
            </w:r>
            <w:r w:rsidR="00FD1018" w:rsidRPr="000842EF">
              <w:rPr>
                <w:szCs w:val="17"/>
              </w:rPr>
              <w:t xml:space="preserve">definition of applicable metrics </w:t>
            </w:r>
            <w:r>
              <w:rPr>
                <w:szCs w:val="17"/>
              </w:rPr>
              <w:t xml:space="preserve">that is too descriptive </w:t>
            </w:r>
            <w:r w:rsidR="00FD1018" w:rsidRPr="000842EF">
              <w:rPr>
                <w:szCs w:val="17"/>
              </w:rPr>
              <w:t>will limit firms to choos</w:t>
            </w:r>
            <w:r>
              <w:rPr>
                <w:szCs w:val="17"/>
              </w:rPr>
              <w:t>ing</w:t>
            </w:r>
            <w:r w:rsidR="00FD1018" w:rsidRPr="000842EF">
              <w:rPr>
                <w:szCs w:val="17"/>
              </w:rPr>
              <w:t xml:space="preserve"> the metrics/design scenarios adapted to their business model to generate meaningful information for investors. There is more flexibility needed, </w:t>
            </w:r>
            <w:r>
              <w:rPr>
                <w:szCs w:val="17"/>
              </w:rPr>
              <w:t>given</w:t>
            </w:r>
            <w:r w:rsidRPr="000842EF">
              <w:rPr>
                <w:szCs w:val="17"/>
              </w:rPr>
              <w:t xml:space="preserve"> </w:t>
            </w:r>
            <w:r w:rsidR="00FD1018" w:rsidRPr="000842EF">
              <w:rPr>
                <w:szCs w:val="17"/>
              </w:rPr>
              <w:t>that some metrics are still being developed (as also acknowledge</w:t>
            </w:r>
            <w:r>
              <w:rPr>
                <w:szCs w:val="17"/>
              </w:rPr>
              <w:t>d</w:t>
            </w:r>
            <w:r w:rsidR="00FD1018" w:rsidRPr="000842EF">
              <w:rPr>
                <w:szCs w:val="17"/>
              </w:rPr>
              <w:t xml:space="preserve"> by </w:t>
            </w:r>
            <w:r>
              <w:rPr>
                <w:szCs w:val="17"/>
              </w:rPr>
              <w:t xml:space="preserve">the </w:t>
            </w:r>
            <w:r w:rsidR="00FD1018" w:rsidRPr="000842EF">
              <w:rPr>
                <w:szCs w:val="17"/>
              </w:rPr>
              <w:t>TCFD) and disclosure of the requested information is not always feasible</w:t>
            </w:r>
            <w:r w:rsidR="00FD1018">
              <w:rPr>
                <w:szCs w:val="17"/>
              </w:rPr>
              <w:t xml:space="preserve">. </w:t>
            </w:r>
            <w:r w:rsidR="00FD1018" w:rsidRPr="000842EF">
              <w:rPr>
                <w:szCs w:val="17"/>
              </w:rPr>
              <w:t xml:space="preserve">For example, net premiums (premiums after reinsurance) are not always available </w:t>
            </w:r>
            <w:r w:rsidR="007E7272">
              <w:rPr>
                <w:szCs w:val="17"/>
              </w:rPr>
              <w:t>at</w:t>
            </w:r>
            <w:r w:rsidR="00FD1018" w:rsidRPr="000842EF">
              <w:rPr>
                <w:szCs w:val="17"/>
              </w:rPr>
              <w:t xml:space="preserve"> policy level</w:t>
            </w:r>
            <w:r w:rsidR="007E7272">
              <w:rPr>
                <w:szCs w:val="17"/>
              </w:rPr>
              <w:t>,</w:t>
            </w:r>
            <w:r w:rsidR="00FD1018" w:rsidRPr="000842EF">
              <w:rPr>
                <w:szCs w:val="17"/>
              </w:rPr>
              <w:t xml:space="preserve"> which is needed for FN-IN-410b.1.</w:t>
            </w:r>
          </w:p>
          <w:p w14:paraId="5EBBD9AE" w14:textId="0645AD91" w:rsidR="0005223E" w:rsidRDefault="007E7272" w:rsidP="00BB4FB0">
            <w:pPr>
              <w:pStyle w:val="CEABullet-Level1"/>
              <w:numPr>
                <w:ilvl w:val="1"/>
                <w:numId w:val="1"/>
              </w:numPr>
              <w:spacing w:line="240" w:lineRule="auto"/>
              <w:ind w:right="1057"/>
            </w:pPr>
            <w:r>
              <w:t>O</w:t>
            </w:r>
            <w:r w:rsidR="0005223E" w:rsidRPr="0005223E">
              <w:t xml:space="preserve">ne size </w:t>
            </w:r>
            <w:proofErr w:type="gramStart"/>
            <w:r w:rsidR="0005223E" w:rsidRPr="0005223E">
              <w:t>fits</w:t>
            </w:r>
            <w:proofErr w:type="gramEnd"/>
            <w:r w:rsidR="0005223E" w:rsidRPr="0005223E">
              <w:t xml:space="preserve"> all: the proposal does not reflect the different nature of (some types</w:t>
            </w:r>
            <w:r>
              <w:t xml:space="preserve"> of</w:t>
            </w:r>
            <w:r w:rsidR="0005223E" w:rsidRPr="0005223E">
              <w:t xml:space="preserve">) </w:t>
            </w:r>
            <w:r>
              <w:t>(</w:t>
            </w:r>
            <w:r w:rsidR="0005223E" w:rsidRPr="0005223E">
              <w:t>re</w:t>
            </w:r>
            <w:r>
              <w:t>)</w:t>
            </w:r>
            <w:r w:rsidR="0005223E" w:rsidRPr="0005223E">
              <w:t xml:space="preserve">insurance business, in terms of </w:t>
            </w:r>
            <w:r w:rsidR="00DA78EC">
              <w:t xml:space="preserve">the </w:t>
            </w:r>
            <w:r w:rsidR="0005223E" w:rsidRPr="0005223E">
              <w:t>transparency o</w:t>
            </w:r>
            <w:r w:rsidR="00DA78EC">
              <w:t>f</w:t>
            </w:r>
            <w:r w:rsidR="0005223E" w:rsidRPr="0005223E">
              <w:t xml:space="preserve"> the underlying </w:t>
            </w:r>
            <w:r w:rsidR="0005223E" w:rsidRPr="0005223E">
              <w:lastRenderedPageBreak/>
              <w:t xml:space="preserve">business or data availability. Certain information might not be relevant for the entire insurance sector, </w:t>
            </w:r>
            <w:proofErr w:type="spellStart"/>
            <w:r w:rsidR="0005223E" w:rsidRPr="0005223E">
              <w:t>eg</w:t>
            </w:r>
            <w:proofErr w:type="spellEnd"/>
            <w:r w:rsidR="00DA78EC">
              <w:t>,</w:t>
            </w:r>
            <w:r w:rsidR="0005223E" w:rsidRPr="0005223E">
              <w:t xml:space="preserve"> </w:t>
            </w:r>
            <w:r w:rsidR="007004A5">
              <w:t xml:space="preserve">the </w:t>
            </w:r>
            <w:r w:rsidR="0005223E" w:rsidRPr="0005223E">
              <w:t>section on Policies designed to Incentivi</w:t>
            </w:r>
            <w:r w:rsidR="00DA78EC">
              <w:t>s</w:t>
            </w:r>
            <w:r w:rsidR="0005223E" w:rsidRPr="0005223E">
              <w:t xml:space="preserve">e Responsible Behaviour seems more relevant for direct insurers </w:t>
            </w:r>
            <w:r w:rsidR="00DA78EC">
              <w:t>than</w:t>
            </w:r>
            <w:r w:rsidR="0005223E" w:rsidRPr="0005223E">
              <w:t xml:space="preserve"> reinsurers.</w:t>
            </w:r>
          </w:p>
          <w:p w14:paraId="64B6DD1C" w14:textId="6E08968F" w:rsidR="006E0E6F" w:rsidRPr="0005223E" w:rsidRDefault="00EA02A9" w:rsidP="00BB4FB0">
            <w:pPr>
              <w:pStyle w:val="CEABullet-Level1"/>
              <w:numPr>
                <w:ilvl w:val="1"/>
                <w:numId w:val="1"/>
              </w:numPr>
              <w:spacing w:line="240" w:lineRule="auto"/>
              <w:ind w:right="1057"/>
              <w:rPr>
                <w:szCs w:val="17"/>
              </w:rPr>
            </w:pPr>
            <w:r>
              <w:rPr>
                <w:szCs w:val="17"/>
              </w:rPr>
              <w:t>D</w:t>
            </w:r>
            <w:r w:rsidR="00E14FD6" w:rsidRPr="00BB4FB0">
              <w:rPr>
                <w:szCs w:val="17"/>
              </w:rPr>
              <w:t xml:space="preserve">isclosure of </w:t>
            </w:r>
            <w:r w:rsidR="00FF0FB4" w:rsidRPr="00BB4FB0">
              <w:rPr>
                <w:szCs w:val="17"/>
              </w:rPr>
              <w:t>confidential</w:t>
            </w:r>
            <w:r>
              <w:rPr>
                <w:szCs w:val="17"/>
              </w:rPr>
              <w:t>,</w:t>
            </w:r>
            <w:r w:rsidR="00FF0FB4" w:rsidRPr="00BB4FB0">
              <w:rPr>
                <w:szCs w:val="17"/>
              </w:rPr>
              <w:t xml:space="preserve"> </w:t>
            </w:r>
            <w:r w:rsidR="00B2756F" w:rsidRPr="00BB4FB0">
              <w:rPr>
                <w:szCs w:val="17"/>
              </w:rPr>
              <w:t>business</w:t>
            </w:r>
            <w:r>
              <w:rPr>
                <w:szCs w:val="17"/>
              </w:rPr>
              <w:t>-</w:t>
            </w:r>
            <w:r w:rsidR="00B2756F" w:rsidRPr="00BB4FB0">
              <w:rPr>
                <w:szCs w:val="17"/>
              </w:rPr>
              <w:t>sensitive information</w:t>
            </w:r>
            <w:r>
              <w:rPr>
                <w:szCs w:val="17"/>
              </w:rPr>
              <w:t>:</w:t>
            </w:r>
            <w:r w:rsidR="00CC6991" w:rsidRPr="00BB4FB0">
              <w:rPr>
                <w:szCs w:val="17"/>
              </w:rPr>
              <w:t xml:space="preserve"> </w:t>
            </w:r>
            <w:r>
              <w:rPr>
                <w:szCs w:val="17"/>
              </w:rPr>
              <w:t>d</w:t>
            </w:r>
            <w:r w:rsidR="00CC6991" w:rsidRPr="00BB4FB0">
              <w:rPr>
                <w:szCs w:val="17"/>
              </w:rPr>
              <w:t xml:space="preserve">rafts in the current form ask for </w:t>
            </w:r>
            <w:r w:rsidR="008D212C">
              <w:rPr>
                <w:szCs w:val="17"/>
              </w:rPr>
              <w:t xml:space="preserve">a </w:t>
            </w:r>
            <w:r w:rsidR="00CC6991" w:rsidRPr="00BB4FB0">
              <w:rPr>
                <w:szCs w:val="17"/>
              </w:rPr>
              <w:t>considerable amount of information that might be commercially sensitive and/or propriet</w:t>
            </w:r>
            <w:r w:rsidR="008D212C">
              <w:rPr>
                <w:szCs w:val="17"/>
              </w:rPr>
              <w:t>ar</w:t>
            </w:r>
            <w:r w:rsidR="00CC6991" w:rsidRPr="00BB4FB0">
              <w:rPr>
                <w:szCs w:val="17"/>
              </w:rPr>
              <w:t>y</w:t>
            </w:r>
            <w:r w:rsidR="00690E72">
              <w:rPr>
                <w:szCs w:val="17"/>
              </w:rPr>
              <w:t xml:space="preserve"> when disclosing </w:t>
            </w:r>
            <w:r w:rsidR="00CC6991" w:rsidRPr="00BB4FB0">
              <w:rPr>
                <w:szCs w:val="17"/>
              </w:rPr>
              <w:t>opportunities, transition plans or scenario analysis</w:t>
            </w:r>
            <w:r w:rsidR="00C83F6C" w:rsidRPr="00BB4FB0">
              <w:rPr>
                <w:szCs w:val="17"/>
              </w:rPr>
              <w:t>.</w:t>
            </w:r>
            <w:r w:rsidR="00B2756F" w:rsidRPr="00BB4FB0">
              <w:rPr>
                <w:szCs w:val="17"/>
              </w:rPr>
              <w:t xml:space="preserve"> </w:t>
            </w:r>
            <w:r w:rsidR="0046767B">
              <w:rPr>
                <w:szCs w:val="17"/>
              </w:rPr>
              <w:t>Insurance Europ</w:t>
            </w:r>
            <w:r w:rsidR="00081ABC">
              <w:rPr>
                <w:szCs w:val="17"/>
              </w:rPr>
              <w:t>e support</w:t>
            </w:r>
            <w:r w:rsidR="0046767B">
              <w:rPr>
                <w:szCs w:val="17"/>
              </w:rPr>
              <w:t>s</w:t>
            </w:r>
            <w:r w:rsidR="00081ABC">
              <w:rPr>
                <w:szCs w:val="17"/>
              </w:rPr>
              <w:t xml:space="preserve"> disclosure requirements </w:t>
            </w:r>
            <w:r w:rsidR="0046767B">
              <w:rPr>
                <w:szCs w:val="17"/>
              </w:rPr>
              <w:t>for</w:t>
            </w:r>
            <w:r w:rsidR="00081ABC">
              <w:rPr>
                <w:szCs w:val="17"/>
              </w:rPr>
              <w:t xml:space="preserve"> those aspects,</w:t>
            </w:r>
            <w:r w:rsidR="00ED1398">
              <w:rPr>
                <w:szCs w:val="17"/>
              </w:rPr>
              <w:t xml:space="preserve"> but</w:t>
            </w:r>
            <w:r w:rsidR="00AF54EF">
              <w:rPr>
                <w:szCs w:val="17"/>
              </w:rPr>
              <w:t xml:space="preserve"> it is essential that</w:t>
            </w:r>
            <w:r w:rsidR="00081ABC">
              <w:rPr>
                <w:szCs w:val="17"/>
              </w:rPr>
              <w:t xml:space="preserve"> </w:t>
            </w:r>
            <w:r w:rsidR="006A52C0">
              <w:rPr>
                <w:szCs w:val="17"/>
              </w:rPr>
              <w:t>confidential</w:t>
            </w:r>
            <w:r w:rsidR="0046767B">
              <w:rPr>
                <w:szCs w:val="17"/>
              </w:rPr>
              <w:t>,</w:t>
            </w:r>
            <w:r w:rsidR="006A52C0">
              <w:rPr>
                <w:szCs w:val="17"/>
              </w:rPr>
              <w:t xml:space="preserve"> sensitive information </w:t>
            </w:r>
            <w:r w:rsidR="0056017D">
              <w:rPr>
                <w:szCs w:val="17"/>
              </w:rPr>
              <w:t xml:space="preserve">requirements </w:t>
            </w:r>
            <w:r w:rsidR="00AF54EF">
              <w:rPr>
                <w:szCs w:val="17"/>
              </w:rPr>
              <w:t>are</w:t>
            </w:r>
            <w:r w:rsidR="006A52C0">
              <w:rPr>
                <w:szCs w:val="17"/>
              </w:rPr>
              <w:t xml:space="preserve"> </w:t>
            </w:r>
            <w:r w:rsidR="0056017D">
              <w:rPr>
                <w:szCs w:val="17"/>
              </w:rPr>
              <w:t>avoided</w:t>
            </w:r>
            <w:r w:rsidR="006A52C0">
              <w:rPr>
                <w:szCs w:val="17"/>
              </w:rPr>
              <w:t xml:space="preserve">. </w:t>
            </w:r>
            <w:r w:rsidR="00C83F6C" w:rsidRPr="00BB4FB0">
              <w:rPr>
                <w:szCs w:val="17"/>
              </w:rPr>
              <w:t>For instance,</w:t>
            </w:r>
            <w:r w:rsidR="00E14FD6" w:rsidRPr="00BB4FB0">
              <w:rPr>
                <w:szCs w:val="17"/>
              </w:rPr>
              <w:t xml:space="preserve"> </w:t>
            </w:r>
            <w:r w:rsidR="00004573" w:rsidRPr="00BB4FB0">
              <w:rPr>
                <w:szCs w:val="17"/>
              </w:rPr>
              <w:t>regarding</w:t>
            </w:r>
            <w:r w:rsidR="00E14FD6" w:rsidRPr="00BB4FB0">
              <w:rPr>
                <w:szCs w:val="17"/>
              </w:rPr>
              <w:t xml:space="preserve"> </w:t>
            </w:r>
            <w:r w:rsidR="00332F31" w:rsidRPr="00BB4FB0">
              <w:rPr>
                <w:szCs w:val="17"/>
              </w:rPr>
              <w:t>the requirement to disclose climate-related probable maximum losses</w:t>
            </w:r>
            <w:r w:rsidR="00004573" w:rsidRPr="00BB4FB0">
              <w:rPr>
                <w:szCs w:val="17"/>
              </w:rPr>
              <w:t>,</w:t>
            </w:r>
            <w:r w:rsidR="00332F31" w:rsidRPr="00BB4FB0">
              <w:rPr>
                <w:szCs w:val="17"/>
              </w:rPr>
              <w:t xml:space="preserve"> not only could </w:t>
            </w:r>
            <w:r w:rsidR="0046767B">
              <w:rPr>
                <w:szCs w:val="17"/>
              </w:rPr>
              <w:t xml:space="preserve">this </w:t>
            </w:r>
            <w:r w:rsidR="00332F31" w:rsidRPr="00BB4FB0">
              <w:rPr>
                <w:szCs w:val="17"/>
              </w:rPr>
              <w:t xml:space="preserve">be highly sensitive information but </w:t>
            </w:r>
            <w:r w:rsidR="00121A1B">
              <w:rPr>
                <w:szCs w:val="17"/>
              </w:rPr>
              <w:t>it</w:t>
            </w:r>
            <w:r w:rsidR="00332F31" w:rsidRPr="00BB4FB0">
              <w:rPr>
                <w:szCs w:val="17"/>
              </w:rPr>
              <w:t xml:space="preserve"> may depend on a wide variety of circumstances that may lead to difficult calculations and little accurate information</w:t>
            </w:r>
            <w:r w:rsidR="003D3444" w:rsidRPr="00BB4FB0">
              <w:rPr>
                <w:szCs w:val="17"/>
              </w:rPr>
              <w:t>.</w:t>
            </w:r>
          </w:p>
          <w:p w14:paraId="1FD08F71" w14:textId="488D869C" w:rsidR="006E0E6F" w:rsidRPr="00057ED8" w:rsidRDefault="00C1044A" w:rsidP="006E0E6F">
            <w:pPr>
              <w:pStyle w:val="Odsekzoznamu"/>
              <w:ind w:left="720" w:firstLine="0"/>
              <w:rPr>
                <w:szCs w:val="17"/>
                <w:lang w:val="en-GB"/>
              </w:rPr>
            </w:pPr>
            <w:r w:rsidRPr="00057ED8">
              <w:rPr>
                <w:szCs w:val="17"/>
                <w:lang w:val="en-GB"/>
              </w:rPr>
              <w:t>I</w:t>
            </w:r>
            <w:r w:rsidR="006E0E6F" w:rsidRPr="00057ED8">
              <w:rPr>
                <w:szCs w:val="17"/>
                <w:lang w:val="en-GB"/>
              </w:rPr>
              <w:t xml:space="preserve">f the ISSB decides to include industry-based requirements in the IFRS S2, </w:t>
            </w:r>
            <w:r w:rsidR="00285031">
              <w:rPr>
                <w:szCs w:val="17"/>
                <w:lang w:val="en-GB"/>
              </w:rPr>
              <w:t>Insurance Europe</w:t>
            </w:r>
            <w:r w:rsidR="00285031" w:rsidRPr="00057ED8">
              <w:rPr>
                <w:szCs w:val="17"/>
                <w:lang w:val="en-GB"/>
              </w:rPr>
              <w:t xml:space="preserve"> </w:t>
            </w:r>
            <w:r w:rsidR="006E0E6F" w:rsidRPr="00057ED8">
              <w:rPr>
                <w:szCs w:val="17"/>
                <w:lang w:val="en-GB"/>
              </w:rPr>
              <w:t xml:space="preserve">would have the following comments </w:t>
            </w:r>
            <w:r w:rsidR="00285031">
              <w:rPr>
                <w:szCs w:val="17"/>
                <w:lang w:val="en-GB"/>
              </w:rPr>
              <w:t>on</w:t>
            </w:r>
            <w:r w:rsidR="006E0E6F" w:rsidRPr="00057ED8">
              <w:rPr>
                <w:szCs w:val="17"/>
                <w:lang w:val="en-GB"/>
              </w:rPr>
              <w:t xml:space="preserve"> the industry-specific requirements for </w:t>
            </w:r>
            <w:r w:rsidR="00285031">
              <w:rPr>
                <w:szCs w:val="17"/>
                <w:lang w:val="en-GB"/>
              </w:rPr>
              <w:t>i</w:t>
            </w:r>
            <w:r w:rsidR="006E0E6F" w:rsidRPr="00057ED8">
              <w:rPr>
                <w:szCs w:val="17"/>
                <w:lang w:val="en-GB"/>
              </w:rPr>
              <w:t>nsurance outlined in Appendix B17:</w:t>
            </w:r>
          </w:p>
          <w:p w14:paraId="01E104B7" w14:textId="64C69A12" w:rsidR="002F4AA7" w:rsidRDefault="00507344" w:rsidP="00C45022">
            <w:pPr>
              <w:pStyle w:val="Odsekzoznamu"/>
              <w:numPr>
                <w:ilvl w:val="0"/>
                <w:numId w:val="59"/>
              </w:numPr>
              <w:ind w:left="1298"/>
              <w:rPr>
                <w:szCs w:val="17"/>
                <w:lang w:val="en-GB"/>
              </w:rPr>
            </w:pPr>
            <w:r>
              <w:rPr>
                <w:szCs w:val="17"/>
                <w:lang w:val="en-GB"/>
              </w:rPr>
              <w:t>FN-IN</w:t>
            </w:r>
            <w:r w:rsidR="006D58BE">
              <w:rPr>
                <w:szCs w:val="17"/>
                <w:lang w:val="en-GB"/>
              </w:rPr>
              <w:t>-410b.1</w:t>
            </w:r>
            <w:r w:rsidR="006E0E6F" w:rsidRPr="00057ED8">
              <w:rPr>
                <w:szCs w:val="17"/>
                <w:lang w:val="en-GB"/>
              </w:rPr>
              <w:t xml:space="preserve">: </w:t>
            </w:r>
          </w:p>
          <w:p w14:paraId="3567ED92" w14:textId="37A57484" w:rsidR="002F4AA7" w:rsidRDefault="006E0E6F" w:rsidP="00D30A1E">
            <w:pPr>
              <w:pStyle w:val="Odsekzoznamu"/>
              <w:numPr>
                <w:ilvl w:val="1"/>
                <w:numId w:val="59"/>
              </w:numPr>
              <w:spacing w:before="0"/>
              <w:rPr>
                <w:szCs w:val="17"/>
                <w:lang w:val="en-GB"/>
              </w:rPr>
            </w:pPr>
            <w:r w:rsidRPr="00057ED8">
              <w:rPr>
                <w:szCs w:val="17"/>
                <w:lang w:val="en-GB"/>
              </w:rPr>
              <w:t>“</w:t>
            </w:r>
            <w:r w:rsidR="00285031">
              <w:rPr>
                <w:szCs w:val="17"/>
                <w:lang w:val="en-GB"/>
              </w:rPr>
              <w:t>L</w:t>
            </w:r>
            <w:r w:rsidRPr="00057ED8">
              <w:rPr>
                <w:szCs w:val="17"/>
                <w:lang w:val="en-GB"/>
              </w:rPr>
              <w:t xml:space="preserve">ow carbon technology” is an undefined term </w:t>
            </w:r>
            <w:r w:rsidR="00285031">
              <w:rPr>
                <w:szCs w:val="17"/>
                <w:lang w:val="en-GB"/>
              </w:rPr>
              <w:t>that</w:t>
            </w:r>
            <w:r w:rsidR="00285031" w:rsidRPr="00057ED8">
              <w:rPr>
                <w:szCs w:val="17"/>
                <w:lang w:val="en-GB"/>
              </w:rPr>
              <w:t xml:space="preserve"> </w:t>
            </w:r>
            <w:r w:rsidRPr="00057ED8">
              <w:rPr>
                <w:szCs w:val="17"/>
                <w:lang w:val="en-GB"/>
              </w:rPr>
              <w:t xml:space="preserve">could include renewable energy, blue hydrogen </w:t>
            </w:r>
            <w:r w:rsidR="00285031">
              <w:rPr>
                <w:szCs w:val="17"/>
                <w:lang w:val="en-GB"/>
              </w:rPr>
              <w:t>and</w:t>
            </w:r>
            <w:r w:rsidRPr="00057ED8">
              <w:rPr>
                <w:szCs w:val="17"/>
                <w:lang w:val="en-GB"/>
              </w:rPr>
              <w:t xml:space="preserve"> “clean coal”. This should be specified</w:t>
            </w:r>
            <w:r w:rsidR="00285031">
              <w:rPr>
                <w:szCs w:val="17"/>
                <w:lang w:val="en-GB"/>
              </w:rPr>
              <w:t>.</w:t>
            </w:r>
          </w:p>
          <w:p w14:paraId="04380032" w14:textId="52FB246C" w:rsidR="006E0E6F" w:rsidRPr="00F9166E" w:rsidRDefault="00CB507C" w:rsidP="00D30A1E">
            <w:pPr>
              <w:pStyle w:val="Odsekzoznamu"/>
              <w:numPr>
                <w:ilvl w:val="1"/>
                <w:numId w:val="59"/>
              </w:numPr>
              <w:spacing w:before="0"/>
              <w:rPr>
                <w:szCs w:val="17"/>
              </w:rPr>
            </w:pPr>
            <w:r w:rsidRPr="00C45022">
              <w:rPr>
                <w:szCs w:val="17"/>
                <w:lang w:val="en-GB"/>
              </w:rPr>
              <w:t>Net premiums are not known on a contract or deal level, as reinsurance is often arrange</w:t>
            </w:r>
            <w:r w:rsidR="004A7112">
              <w:rPr>
                <w:szCs w:val="17"/>
                <w:lang w:val="en-GB"/>
              </w:rPr>
              <w:t>d</w:t>
            </w:r>
            <w:r w:rsidRPr="00C45022">
              <w:rPr>
                <w:szCs w:val="17"/>
                <w:lang w:val="en-GB"/>
              </w:rPr>
              <w:t xml:space="preserve"> on a higher level. Gross </w:t>
            </w:r>
            <w:r>
              <w:rPr>
                <w:szCs w:val="17"/>
                <w:lang w:val="en-GB"/>
              </w:rPr>
              <w:t xml:space="preserve">written </w:t>
            </w:r>
            <w:r w:rsidRPr="00C45022">
              <w:rPr>
                <w:szCs w:val="17"/>
                <w:lang w:val="en-GB"/>
              </w:rPr>
              <w:t>premiums, excluding external costs such as brokerage</w:t>
            </w:r>
            <w:r>
              <w:rPr>
                <w:szCs w:val="17"/>
                <w:lang w:val="en-GB"/>
              </w:rPr>
              <w:t>,</w:t>
            </w:r>
            <w:r w:rsidRPr="00C45022">
              <w:rPr>
                <w:szCs w:val="17"/>
                <w:lang w:val="en-GB"/>
              </w:rPr>
              <w:t xml:space="preserve"> would be a better measure to use</w:t>
            </w:r>
            <w:r w:rsidR="008D084E">
              <w:rPr>
                <w:szCs w:val="17"/>
                <w:lang w:val="en-GB"/>
              </w:rPr>
              <w:t>,</w:t>
            </w:r>
            <w:r>
              <w:rPr>
                <w:szCs w:val="17"/>
                <w:lang w:val="en-GB"/>
              </w:rPr>
              <w:t xml:space="preserve"> as</w:t>
            </w:r>
            <w:r w:rsidR="00E82570">
              <w:rPr>
                <w:szCs w:val="17"/>
                <w:lang w:val="en-GB"/>
              </w:rPr>
              <w:t xml:space="preserve"> they</w:t>
            </w:r>
            <w:r w:rsidR="006455F6" w:rsidRPr="00BB4FB0">
              <w:rPr>
                <w:szCs w:val="17"/>
              </w:rPr>
              <w:t xml:space="preserve"> would better reflect the willingness of an insurer to underwrite such markets and from an operational point of view would also be more robust information to collect and disclose</w:t>
            </w:r>
            <w:r w:rsidR="006E0E6F" w:rsidRPr="00F9166E">
              <w:rPr>
                <w:szCs w:val="17"/>
              </w:rPr>
              <w:t>.</w:t>
            </w:r>
          </w:p>
          <w:p w14:paraId="1D321786" w14:textId="7A3DDEC2" w:rsidR="00C45022" w:rsidRPr="00C45022" w:rsidRDefault="00C921EE" w:rsidP="00D30A1E">
            <w:pPr>
              <w:pStyle w:val="Odsekzoznamu"/>
              <w:numPr>
                <w:ilvl w:val="1"/>
                <w:numId w:val="59"/>
              </w:numPr>
              <w:spacing w:before="0"/>
              <w:rPr>
                <w:szCs w:val="17"/>
                <w:lang w:val="en-GB"/>
              </w:rPr>
            </w:pPr>
            <w:r>
              <w:rPr>
                <w:szCs w:val="17"/>
                <w:lang w:val="en-GB"/>
              </w:rPr>
              <w:t>The d</w:t>
            </w:r>
            <w:r w:rsidR="00C45022" w:rsidRPr="00C45022">
              <w:rPr>
                <w:szCs w:val="17"/>
                <w:lang w:val="en-GB"/>
              </w:rPr>
              <w:t xml:space="preserve">efinition </w:t>
            </w:r>
            <w:r>
              <w:rPr>
                <w:szCs w:val="17"/>
                <w:lang w:val="en-GB"/>
              </w:rPr>
              <w:t>should</w:t>
            </w:r>
            <w:r w:rsidR="00C45022" w:rsidRPr="00C45022">
              <w:rPr>
                <w:szCs w:val="17"/>
                <w:lang w:val="en-GB"/>
              </w:rPr>
              <w:t xml:space="preserve"> allow the identification of such business in a treaty reinsurance structure, where renewable business is written alongside other business. </w:t>
            </w:r>
          </w:p>
          <w:p w14:paraId="09BEDC57" w14:textId="5AB23779" w:rsidR="00C45022" w:rsidRPr="00057ED8" w:rsidRDefault="00C45022" w:rsidP="00D30A1E">
            <w:pPr>
              <w:pStyle w:val="Odsekzoznamu"/>
              <w:numPr>
                <w:ilvl w:val="1"/>
                <w:numId w:val="59"/>
              </w:numPr>
              <w:spacing w:before="0"/>
              <w:rPr>
                <w:szCs w:val="17"/>
                <w:lang w:val="en-GB"/>
              </w:rPr>
            </w:pPr>
            <w:r w:rsidRPr="00C45022">
              <w:rPr>
                <w:szCs w:val="17"/>
                <w:lang w:val="en-GB"/>
              </w:rPr>
              <w:t xml:space="preserve">Disclosure of such detailed information is beyond what is typically contained in a financial report and </w:t>
            </w:r>
            <w:r w:rsidR="008D084E">
              <w:rPr>
                <w:szCs w:val="17"/>
                <w:lang w:val="en-GB"/>
              </w:rPr>
              <w:t xml:space="preserve">is </w:t>
            </w:r>
            <w:r w:rsidRPr="00C45022">
              <w:rPr>
                <w:szCs w:val="17"/>
                <w:lang w:val="en-GB"/>
              </w:rPr>
              <w:t>commercially sensitive.</w:t>
            </w:r>
          </w:p>
          <w:p w14:paraId="0A41A3D8" w14:textId="678840A4" w:rsidR="001F5F42" w:rsidRDefault="00A81512" w:rsidP="00E21B57">
            <w:pPr>
              <w:pStyle w:val="Odsekzoznamu"/>
              <w:numPr>
                <w:ilvl w:val="0"/>
                <w:numId w:val="59"/>
              </w:numPr>
              <w:ind w:left="1298"/>
              <w:rPr>
                <w:szCs w:val="17"/>
                <w:lang w:val="en-GB"/>
              </w:rPr>
            </w:pPr>
            <w:r>
              <w:rPr>
                <w:szCs w:val="17"/>
                <w:lang w:val="en-GB"/>
              </w:rPr>
              <w:t>FN-IN-1</w:t>
            </w:r>
            <w:r w:rsidR="006E0E6F" w:rsidRPr="00057ED8">
              <w:rPr>
                <w:szCs w:val="17"/>
                <w:lang w:val="en-GB"/>
              </w:rPr>
              <w:t xml:space="preserve">: </w:t>
            </w:r>
          </w:p>
          <w:p w14:paraId="19BBE69D" w14:textId="6173AC3D" w:rsidR="006E0E6F" w:rsidRPr="00057ED8" w:rsidRDefault="006E0E6F" w:rsidP="00BB4FB0">
            <w:pPr>
              <w:pStyle w:val="Odsekzoznamu"/>
              <w:numPr>
                <w:ilvl w:val="1"/>
                <w:numId w:val="59"/>
              </w:numPr>
              <w:spacing w:before="0"/>
              <w:rPr>
                <w:szCs w:val="17"/>
                <w:lang w:val="en-GB"/>
              </w:rPr>
            </w:pPr>
            <w:r w:rsidRPr="00057ED8">
              <w:rPr>
                <w:szCs w:val="17"/>
                <w:lang w:val="en-GB"/>
              </w:rPr>
              <w:t>“</w:t>
            </w:r>
            <w:r w:rsidR="00A523E0">
              <w:rPr>
                <w:szCs w:val="17"/>
                <w:lang w:val="en-GB"/>
              </w:rPr>
              <w:t>C</w:t>
            </w:r>
            <w:r w:rsidRPr="00057ED8">
              <w:rPr>
                <w:szCs w:val="17"/>
                <w:lang w:val="en-GB"/>
              </w:rPr>
              <w:t>arbon-related industry” is an undefined term; almost any industry is related to greenhouse gases. This should be specified.</w:t>
            </w:r>
          </w:p>
          <w:p w14:paraId="2DA6DA52" w14:textId="786BAB8B" w:rsidR="001F5F42" w:rsidRPr="001F5F42" w:rsidRDefault="006E0E6F" w:rsidP="001F5F42">
            <w:pPr>
              <w:pStyle w:val="Odsekzoznamu"/>
              <w:numPr>
                <w:ilvl w:val="1"/>
                <w:numId w:val="59"/>
              </w:numPr>
              <w:spacing w:before="0"/>
              <w:rPr>
                <w:szCs w:val="17"/>
              </w:rPr>
            </w:pPr>
            <w:r w:rsidRPr="00057ED8">
              <w:rPr>
                <w:szCs w:val="17"/>
                <w:lang w:val="en-GB"/>
              </w:rPr>
              <w:t xml:space="preserve"> If the item </w:t>
            </w:r>
            <w:r w:rsidR="00A523E0">
              <w:rPr>
                <w:szCs w:val="17"/>
                <w:lang w:val="en-GB"/>
              </w:rPr>
              <w:t>should</w:t>
            </w:r>
            <w:r w:rsidR="00A523E0" w:rsidRPr="00057ED8">
              <w:rPr>
                <w:szCs w:val="17"/>
                <w:lang w:val="en-GB"/>
              </w:rPr>
              <w:t xml:space="preserve"> </w:t>
            </w:r>
            <w:r w:rsidRPr="00057ED8">
              <w:rPr>
                <w:szCs w:val="17"/>
                <w:lang w:val="en-GB"/>
              </w:rPr>
              <w:t>refer to greenhouse gases</w:t>
            </w:r>
            <w:r w:rsidR="00D66FA3">
              <w:rPr>
                <w:szCs w:val="17"/>
                <w:lang w:val="en-GB"/>
              </w:rPr>
              <w:t xml:space="preserve"> more generally (instead of </w:t>
            </w:r>
            <w:r w:rsidR="00763BD8">
              <w:rPr>
                <w:szCs w:val="17"/>
                <w:lang w:val="en-GB"/>
              </w:rPr>
              <w:t>only carbon dioxide)</w:t>
            </w:r>
            <w:r w:rsidRPr="00057ED8">
              <w:rPr>
                <w:szCs w:val="17"/>
                <w:lang w:val="en-GB"/>
              </w:rPr>
              <w:t>, this should be specified.</w:t>
            </w:r>
          </w:p>
          <w:p w14:paraId="1EAD88CD" w14:textId="170E95AE" w:rsidR="006E0E6F" w:rsidRPr="00BB4FB0" w:rsidRDefault="006E0E6F" w:rsidP="00BB4FB0">
            <w:pPr>
              <w:pStyle w:val="Odsekzoznamu"/>
              <w:numPr>
                <w:ilvl w:val="1"/>
                <w:numId w:val="59"/>
              </w:numPr>
              <w:spacing w:before="0"/>
              <w:rPr>
                <w:szCs w:val="17"/>
              </w:rPr>
            </w:pPr>
            <w:r w:rsidRPr="001F5F42">
              <w:rPr>
                <w:szCs w:val="17"/>
              </w:rPr>
              <w:t xml:space="preserve">The sector list </w:t>
            </w:r>
            <w:r w:rsidR="00190401" w:rsidRPr="001F5F42">
              <w:rPr>
                <w:szCs w:val="17"/>
              </w:rPr>
              <w:t>i</w:t>
            </w:r>
            <w:r w:rsidR="00190401" w:rsidRPr="00BB4FB0">
              <w:rPr>
                <w:szCs w:val="17"/>
              </w:rPr>
              <w:t xml:space="preserve">n FN-IN-1 </w:t>
            </w:r>
            <w:r w:rsidR="00CB75E5" w:rsidRPr="00BB4FB0">
              <w:rPr>
                <w:szCs w:val="17"/>
              </w:rPr>
              <w:t>(</w:t>
            </w:r>
            <w:r w:rsidR="00190401" w:rsidRPr="00BB4FB0">
              <w:rPr>
                <w:szCs w:val="17"/>
              </w:rPr>
              <w:t>point 1.4</w:t>
            </w:r>
            <w:r w:rsidR="00CB75E5" w:rsidRPr="00BB4FB0">
              <w:rPr>
                <w:szCs w:val="17"/>
              </w:rPr>
              <w:t>,</w:t>
            </w:r>
            <w:r w:rsidR="00190401" w:rsidRPr="00BB4FB0">
              <w:rPr>
                <w:szCs w:val="17"/>
              </w:rPr>
              <w:t xml:space="preserve"> p</w:t>
            </w:r>
            <w:r w:rsidR="00B557A5">
              <w:rPr>
                <w:szCs w:val="17"/>
              </w:rPr>
              <w:t>.</w:t>
            </w:r>
            <w:r w:rsidR="00190401" w:rsidRPr="00BB4FB0">
              <w:rPr>
                <w:szCs w:val="17"/>
              </w:rPr>
              <w:t xml:space="preserve">168) </w:t>
            </w:r>
            <w:r w:rsidRPr="00BB4FB0">
              <w:rPr>
                <w:szCs w:val="17"/>
              </w:rPr>
              <w:t xml:space="preserve">is not sufficiently discriminatory; it lists, for instance, utilities, which could be all-renewable. Instead, </w:t>
            </w:r>
            <w:r w:rsidR="00190401" w:rsidRPr="00BB4FB0">
              <w:rPr>
                <w:szCs w:val="17"/>
              </w:rPr>
              <w:t xml:space="preserve">IFRS S2 </w:t>
            </w:r>
            <w:r w:rsidRPr="00BB4FB0">
              <w:rPr>
                <w:szCs w:val="17"/>
              </w:rPr>
              <w:t xml:space="preserve">should define sectors with ISIC/NACE and </w:t>
            </w:r>
            <w:r w:rsidR="00154515">
              <w:rPr>
                <w:szCs w:val="17"/>
              </w:rPr>
              <w:t>change</w:t>
            </w:r>
            <w:r w:rsidR="00154515" w:rsidRPr="00BB4FB0">
              <w:rPr>
                <w:szCs w:val="17"/>
              </w:rPr>
              <w:t xml:space="preserve"> </w:t>
            </w:r>
            <w:r w:rsidRPr="00BB4FB0">
              <w:rPr>
                <w:szCs w:val="17"/>
              </w:rPr>
              <w:t>the framing to “usually carbon-related”.</w:t>
            </w:r>
          </w:p>
          <w:p w14:paraId="2FFECFCA" w14:textId="2590E6B7" w:rsidR="002F6772" w:rsidRDefault="002F6772" w:rsidP="00F34936">
            <w:pPr>
              <w:pStyle w:val="Odsekzoznamu"/>
              <w:numPr>
                <w:ilvl w:val="0"/>
                <w:numId w:val="59"/>
              </w:numPr>
              <w:ind w:left="1298"/>
              <w:rPr>
                <w:szCs w:val="17"/>
                <w:lang w:val="en-GB"/>
              </w:rPr>
            </w:pPr>
            <w:r>
              <w:rPr>
                <w:szCs w:val="17"/>
                <w:lang w:val="en-GB"/>
              </w:rPr>
              <w:t xml:space="preserve">FN-IN-2: </w:t>
            </w:r>
            <w:r w:rsidR="003A2425">
              <w:rPr>
                <w:szCs w:val="17"/>
                <w:lang w:val="en-GB"/>
              </w:rPr>
              <w:t xml:space="preserve">the “financed emissions calculation” method is not sufficiently defined. There should at least be a reference to </w:t>
            </w:r>
            <w:r w:rsidR="0018569F">
              <w:rPr>
                <w:szCs w:val="17"/>
                <w:lang w:val="en-GB"/>
              </w:rPr>
              <w:t xml:space="preserve">PCAF’s Global GHG Accounting and Reporting Standard for the Financial Industry. This applies, for example, </w:t>
            </w:r>
            <w:r w:rsidR="00FA49DB">
              <w:rPr>
                <w:szCs w:val="17"/>
                <w:lang w:val="en-GB"/>
              </w:rPr>
              <w:t>to</w:t>
            </w:r>
            <w:r w:rsidR="0018569F">
              <w:rPr>
                <w:szCs w:val="17"/>
                <w:lang w:val="en-GB"/>
              </w:rPr>
              <w:t xml:space="preserve"> “gross exposure”.</w:t>
            </w:r>
          </w:p>
          <w:p w14:paraId="3255E0AE" w14:textId="0B16642A" w:rsidR="00BF723C" w:rsidRDefault="00BF723C" w:rsidP="00F34936">
            <w:pPr>
              <w:pStyle w:val="Odsekzoznamu"/>
              <w:numPr>
                <w:ilvl w:val="0"/>
                <w:numId w:val="59"/>
              </w:numPr>
              <w:ind w:left="1298"/>
              <w:rPr>
                <w:szCs w:val="17"/>
                <w:lang w:val="en-GB"/>
              </w:rPr>
            </w:pPr>
            <w:r w:rsidRPr="00BF723C">
              <w:rPr>
                <w:szCs w:val="17"/>
                <w:lang w:val="en-GB"/>
              </w:rPr>
              <w:t>FN-IN-410b.2</w:t>
            </w:r>
            <w:r w:rsidR="00190401">
              <w:rPr>
                <w:szCs w:val="17"/>
                <w:lang w:val="en-GB"/>
              </w:rPr>
              <w:t>:</w:t>
            </w:r>
            <w:r w:rsidRPr="00BF723C">
              <w:rPr>
                <w:szCs w:val="17"/>
                <w:lang w:val="en-GB"/>
              </w:rPr>
              <w:t xml:space="preserve"> Discussion of products and/or product features that incentivi</w:t>
            </w:r>
            <w:r w:rsidR="00FA49DB">
              <w:rPr>
                <w:szCs w:val="17"/>
                <w:lang w:val="en-GB"/>
              </w:rPr>
              <w:t>s</w:t>
            </w:r>
            <w:r w:rsidRPr="00BF723C">
              <w:rPr>
                <w:szCs w:val="17"/>
                <w:lang w:val="en-GB"/>
              </w:rPr>
              <w:t>e health, safety, and/or environmentally responsible actions and/or behavio</w:t>
            </w:r>
            <w:r w:rsidR="00B731D5">
              <w:rPr>
                <w:szCs w:val="17"/>
                <w:lang w:val="en-GB"/>
              </w:rPr>
              <w:t>u</w:t>
            </w:r>
            <w:r w:rsidRPr="00BF723C">
              <w:rPr>
                <w:szCs w:val="17"/>
                <w:lang w:val="en-GB"/>
              </w:rPr>
              <w:t xml:space="preserve">rs”: it is unclear </w:t>
            </w:r>
            <w:r w:rsidR="003B30D9">
              <w:rPr>
                <w:szCs w:val="17"/>
                <w:lang w:val="en-GB"/>
              </w:rPr>
              <w:t>whether</w:t>
            </w:r>
            <w:r w:rsidRPr="00BF723C">
              <w:rPr>
                <w:szCs w:val="17"/>
                <w:lang w:val="en-GB"/>
              </w:rPr>
              <w:t xml:space="preserve"> health insurance is in the scope. Indeed</w:t>
            </w:r>
            <w:r w:rsidR="003B30D9">
              <w:rPr>
                <w:szCs w:val="17"/>
                <w:lang w:val="en-GB"/>
              </w:rPr>
              <w:t>,</w:t>
            </w:r>
            <w:r w:rsidRPr="00BF723C">
              <w:rPr>
                <w:szCs w:val="17"/>
                <w:lang w:val="en-GB"/>
              </w:rPr>
              <w:t xml:space="preserve"> point 1.1 </w:t>
            </w:r>
            <w:r w:rsidR="00407A4A">
              <w:rPr>
                <w:szCs w:val="17"/>
                <w:lang w:val="en-GB"/>
              </w:rPr>
              <w:t>(p</w:t>
            </w:r>
            <w:r w:rsidR="003B30D9">
              <w:rPr>
                <w:szCs w:val="17"/>
                <w:lang w:val="en-GB"/>
              </w:rPr>
              <w:t>.</w:t>
            </w:r>
            <w:r w:rsidR="00407A4A">
              <w:rPr>
                <w:szCs w:val="17"/>
                <w:lang w:val="en-GB"/>
              </w:rPr>
              <w:t xml:space="preserve">161) </w:t>
            </w:r>
            <w:r w:rsidRPr="00BF723C">
              <w:rPr>
                <w:szCs w:val="17"/>
                <w:lang w:val="en-GB"/>
              </w:rPr>
              <w:t>reads “The scope of disclosure includes policies underwritten in the Property Casualty (P&amp;C) and Life segments and excludes Health Insurance policies” but then point 1.2 indicates that information on “supplemental health and accident insurance” should be provided and also paragraph 2.5 states that information related to “Premium discounts for healthy behavio</w:t>
            </w:r>
            <w:r w:rsidR="00B731D5">
              <w:rPr>
                <w:szCs w:val="17"/>
                <w:lang w:val="en-GB"/>
              </w:rPr>
              <w:t>u</w:t>
            </w:r>
            <w:r w:rsidRPr="00BF723C">
              <w:rPr>
                <w:szCs w:val="17"/>
                <w:lang w:val="en-GB"/>
              </w:rPr>
              <w:t>r (healthy diet, routine exercise” should be published</w:t>
            </w:r>
            <w:r w:rsidR="00A60A2E">
              <w:rPr>
                <w:szCs w:val="17"/>
                <w:lang w:val="en-GB"/>
              </w:rPr>
              <w:t>.</w:t>
            </w:r>
          </w:p>
          <w:p w14:paraId="38302A05" w14:textId="50F620F3" w:rsidR="001F41D5" w:rsidRPr="00BB4FB0" w:rsidRDefault="00134C03" w:rsidP="00BB4FB0">
            <w:pPr>
              <w:pStyle w:val="Odsekzoznamu"/>
              <w:numPr>
                <w:ilvl w:val="0"/>
                <w:numId w:val="59"/>
              </w:numPr>
              <w:ind w:left="1298"/>
              <w:rPr>
                <w:szCs w:val="17"/>
                <w:lang w:val="en-GB"/>
              </w:rPr>
            </w:pPr>
            <w:r>
              <w:rPr>
                <w:szCs w:val="17"/>
                <w:lang w:val="en-GB"/>
              </w:rPr>
              <w:t>FN-IN-450a</w:t>
            </w:r>
            <w:r w:rsidR="001F41D5">
              <w:rPr>
                <w:szCs w:val="17"/>
                <w:lang w:val="en-GB"/>
              </w:rPr>
              <w:t>.1:</w:t>
            </w:r>
          </w:p>
          <w:p w14:paraId="2AC8E5D9" w14:textId="59CC2514" w:rsidR="001F41D5" w:rsidRPr="001F41D5" w:rsidRDefault="001F41D5" w:rsidP="00D30A1E">
            <w:pPr>
              <w:pStyle w:val="Odsekzoznamu"/>
              <w:numPr>
                <w:ilvl w:val="0"/>
                <w:numId w:val="59"/>
              </w:numPr>
              <w:spacing w:before="0"/>
              <w:rPr>
                <w:szCs w:val="17"/>
                <w:lang w:val="en-GB"/>
              </w:rPr>
            </w:pPr>
            <w:r w:rsidRPr="001F41D5">
              <w:rPr>
                <w:szCs w:val="17"/>
                <w:lang w:val="en-GB"/>
              </w:rPr>
              <w:t xml:space="preserve">Only weather-related perils </w:t>
            </w:r>
            <w:r w:rsidR="00EC5DDF">
              <w:rPr>
                <w:szCs w:val="17"/>
                <w:lang w:val="en-GB"/>
              </w:rPr>
              <w:t>should</w:t>
            </w:r>
            <w:r w:rsidRPr="001F41D5">
              <w:rPr>
                <w:szCs w:val="17"/>
                <w:lang w:val="en-GB"/>
              </w:rPr>
              <w:t xml:space="preserve"> be reported</w:t>
            </w:r>
            <w:r w:rsidR="00D63336">
              <w:rPr>
                <w:szCs w:val="17"/>
                <w:lang w:val="en-GB"/>
              </w:rPr>
              <w:t>.</w:t>
            </w:r>
          </w:p>
          <w:p w14:paraId="78267C1D" w14:textId="52503FD0" w:rsidR="001F41D5" w:rsidRPr="001F41D5" w:rsidRDefault="001F41D5" w:rsidP="00D30A1E">
            <w:pPr>
              <w:pStyle w:val="Odsekzoznamu"/>
              <w:numPr>
                <w:ilvl w:val="0"/>
                <w:numId w:val="59"/>
              </w:numPr>
              <w:spacing w:before="0"/>
              <w:rPr>
                <w:szCs w:val="17"/>
                <w:lang w:val="en-GB"/>
              </w:rPr>
            </w:pPr>
            <w:r w:rsidRPr="001F41D5">
              <w:rPr>
                <w:szCs w:val="17"/>
                <w:lang w:val="en-GB"/>
              </w:rPr>
              <w:t xml:space="preserve">Only net </w:t>
            </w:r>
            <w:r w:rsidR="00D63336">
              <w:rPr>
                <w:szCs w:val="17"/>
                <w:lang w:val="en-GB"/>
              </w:rPr>
              <w:t xml:space="preserve">probable maximum losses </w:t>
            </w:r>
            <w:r w:rsidR="00C75E97">
              <w:rPr>
                <w:szCs w:val="17"/>
                <w:lang w:val="en-GB"/>
              </w:rPr>
              <w:t>(</w:t>
            </w:r>
            <w:r w:rsidRPr="001F41D5">
              <w:rPr>
                <w:szCs w:val="17"/>
                <w:lang w:val="en-GB"/>
              </w:rPr>
              <w:t>PMLs</w:t>
            </w:r>
            <w:r w:rsidR="00C75E97">
              <w:rPr>
                <w:szCs w:val="17"/>
                <w:lang w:val="en-GB"/>
              </w:rPr>
              <w:t>)</w:t>
            </w:r>
            <w:r w:rsidRPr="001F41D5">
              <w:rPr>
                <w:szCs w:val="17"/>
                <w:lang w:val="en-GB"/>
              </w:rPr>
              <w:t xml:space="preserve"> should be required, as this is what is financially relevant.</w:t>
            </w:r>
          </w:p>
          <w:p w14:paraId="344447F6" w14:textId="18BE9975" w:rsidR="001F41D5" w:rsidRPr="00D30A1E" w:rsidRDefault="00C75E97" w:rsidP="00D30A1E">
            <w:pPr>
              <w:pStyle w:val="Odsekzoznamu"/>
              <w:numPr>
                <w:ilvl w:val="0"/>
                <w:numId w:val="59"/>
              </w:numPr>
              <w:spacing w:before="0"/>
              <w:rPr>
                <w:szCs w:val="17"/>
                <w:lang w:val="en-GB"/>
              </w:rPr>
            </w:pPr>
            <w:r>
              <w:rPr>
                <w:szCs w:val="17"/>
                <w:lang w:val="en-GB"/>
              </w:rPr>
              <w:t>There is a request</w:t>
            </w:r>
            <w:r w:rsidR="001F41D5" w:rsidRPr="001F41D5">
              <w:rPr>
                <w:szCs w:val="17"/>
                <w:lang w:val="en-GB"/>
              </w:rPr>
              <w:t xml:space="preserve"> to </w:t>
            </w:r>
            <w:r>
              <w:rPr>
                <w:szCs w:val="17"/>
                <w:lang w:val="en-GB"/>
              </w:rPr>
              <w:t>“</w:t>
            </w:r>
            <w:r w:rsidR="001F41D5" w:rsidRPr="001F41D5">
              <w:rPr>
                <w:szCs w:val="17"/>
                <w:lang w:val="en-GB"/>
              </w:rPr>
              <w:t>discuss how climate change-related impacts and variability of weather-related losses impact the cost of reinsurance and the entity's approach to transferring risk through reinsurance</w:t>
            </w:r>
            <w:r>
              <w:rPr>
                <w:szCs w:val="17"/>
                <w:lang w:val="en-GB"/>
              </w:rPr>
              <w:t>”</w:t>
            </w:r>
            <w:r w:rsidR="001F41D5" w:rsidRPr="001F41D5">
              <w:rPr>
                <w:szCs w:val="17"/>
                <w:lang w:val="en-GB"/>
              </w:rPr>
              <w:t xml:space="preserve">. It is very difficult to </w:t>
            </w:r>
            <w:r w:rsidR="0005690A">
              <w:rPr>
                <w:szCs w:val="17"/>
                <w:lang w:val="en-GB"/>
              </w:rPr>
              <w:t>assess</w:t>
            </w:r>
            <w:r w:rsidR="0005690A" w:rsidRPr="001F41D5">
              <w:rPr>
                <w:szCs w:val="17"/>
                <w:lang w:val="en-GB"/>
              </w:rPr>
              <w:t xml:space="preserve"> </w:t>
            </w:r>
            <w:r w:rsidR="001F41D5" w:rsidRPr="001F41D5">
              <w:rPr>
                <w:szCs w:val="17"/>
                <w:lang w:val="en-GB"/>
              </w:rPr>
              <w:t>the impact of climate change on reinsurance.</w:t>
            </w:r>
          </w:p>
          <w:p w14:paraId="7967F19F" w14:textId="77777777" w:rsidR="00A26421" w:rsidRPr="00057ED8" w:rsidRDefault="00A26421" w:rsidP="00BB4FB0"/>
          <w:p w14:paraId="7FDDC943" w14:textId="534A73BD" w:rsidR="00A26421" w:rsidRPr="00057ED8" w:rsidRDefault="00581AB2" w:rsidP="00A26421">
            <w:pPr>
              <w:pStyle w:val="Odsekzoznamu"/>
              <w:widowControl/>
              <w:autoSpaceDE/>
              <w:autoSpaceDN/>
              <w:spacing w:before="0"/>
              <w:ind w:left="720" w:right="0" w:firstLine="0"/>
              <w:rPr>
                <w:rFonts w:cs="Arial"/>
                <w:szCs w:val="17"/>
                <w:lang w:val="en-GB"/>
              </w:rPr>
            </w:pPr>
            <w:r>
              <w:rPr>
                <w:szCs w:val="17"/>
                <w:lang w:val="en-GB"/>
              </w:rPr>
              <w:t xml:space="preserve">Finally, </w:t>
            </w:r>
            <w:r w:rsidR="003746AD">
              <w:rPr>
                <w:szCs w:val="17"/>
                <w:lang w:val="en-GB"/>
              </w:rPr>
              <w:t>Insurance Europe</w:t>
            </w:r>
            <w:r w:rsidR="00A26421" w:rsidRPr="00057ED8">
              <w:rPr>
                <w:szCs w:val="17"/>
                <w:lang w:val="en-GB"/>
              </w:rPr>
              <w:t xml:space="preserve"> welcome</w:t>
            </w:r>
            <w:r w:rsidR="003746AD">
              <w:rPr>
                <w:szCs w:val="17"/>
                <w:lang w:val="en-GB"/>
              </w:rPr>
              <w:t>s</w:t>
            </w:r>
            <w:r w:rsidR="00A26421" w:rsidRPr="00057ED8">
              <w:rPr>
                <w:szCs w:val="17"/>
                <w:lang w:val="en-GB"/>
              </w:rPr>
              <w:t xml:space="preserve"> the opportunity to comment on the industry descriptions. Indeed, with regards </w:t>
            </w:r>
            <w:r w:rsidR="003746AD">
              <w:rPr>
                <w:szCs w:val="17"/>
                <w:lang w:val="en-GB"/>
              </w:rPr>
              <w:t xml:space="preserve">to </w:t>
            </w:r>
            <w:r w:rsidR="00A26421" w:rsidRPr="00057ED8">
              <w:rPr>
                <w:szCs w:val="17"/>
                <w:lang w:val="en-GB"/>
              </w:rPr>
              <w:t xml:space="preserve">the insurance sector description, </w:t>
            </w:r>
            <w:r w:rsidR="003746AD">
              <w:rPr>
                <w:szCs w:val="17"/>
                <w:lang w:val="en-GB"/>
              </w:rPr>
              <w:t>it</w:t>
            </w:r>
            <w:r w:rsidR="003746AD" w:rsidRPr="00057ED8">
              <w:rPr>
                <w:szCs w:val="17"/>
                <w:lang w:val="en-GB"/>
              </w:rPr>
              <w:t xml:space="preserve"> </w:t>
            </w:r>
            <w:r w:rsidR="00A26421" w:rsidRPr="00057ED8">
              <w:rPr>
                <w:szCs w:val="17"/>
                <w:lang w:val="en-GB"/>
              </w:rPr>
              <w:t>strongly believe</w:t>
            </w:r>
            <w:r w:rsidR="003746AD">
              <w:rPr>
                <w:szCs w:val="17"/>
                <w:lang w:val="en-GB"/>
              </w:rPr>
              <w:t>s</w:t>
            </w:r>
            <w:r w:rsidR="00A26421" w:rsidRPr="00057ED8">
              <w:rPr>
                <w:szCs w:val="17"/>
                <w:lang w:val="en-GB"/>
              </w:rPr>
              <w:t xml:space="preserve"> that the description is not appropriate and does not </w:t>
            </w:r>
            <w:r w:rsidR="000C21DD" w:rsidRPr="00057ED8">
              <w:rPr>
                <w:szCs w:val="17"/>
                <w:lang w:val="en-GB"/>
              </w:rPr>
              <w:t>fairly</w:t>
            </w:r>
            <w:r w:rsidR="00A26421" w:rsidRPr="00057ED8">
              <w:rPr>
                <w:szCs w:val="17"/>
                <w:lang w:val="en-GB"/>
              </w:rPr>
              <w:t xml:space="preserve"> reflect the key components and mechanisms of the insurance business</w:t>
            </w:r>
            <w:r w:rsidR="003746AD">
              <w:rPr>
                <w:szCs w:val="17"/>
                <w:lang w:val="en-GB"/>
              </w:rPr>
              <w:t xml:space="preserve"> </w:t>
            </w:r>
            <w:r w:rsidR="00A26421" w:rsidRPr="00057ED8">
              <w:rPr>
                <w:szCs w:val="17"/>
                <w:lang w:val="en-GB"/>
              </w:rPr>
              <w:t>or its primary objective</w:t>
            </w:r>
            <w:r w:rsidR="003746AD">
              <w:rPr>
                <w:szCs w:val="17"/>
                <w:lang w:val="en-GB"/>
              </w:rPr>
              <w:t>,</w:t>
            </w:r>
            <w:r w:rsidR="00A26421" w:rsidRPr="00057ED8">
              <w:rPr>
                <w:szCs w:val="17"/>
                <w:lang w:val="en-GB"/>
              </w:rPr>
              <w:t xml:space="preserve"> which is the protection of policyholders. </w:t>
            </w:r>
            <w:r w:rsidR="00A26421" w:rsidRPr="00057ED8">
              <w:rPr>
                <w:rFonts w:cs="Arial"/>
                <w:szCs w:val="17"/>
                <w:lang w:val="en-GB"/>
              </w:rPr>
              <w:t xml:space="preserve">Europe’s insurers </w:t>
            </w:r>
            <w:r w:rsidR="003746AD">
              <w:rPr>
                <w:rFonts w:cs="Arial"/>
                <w:szCs w:val="17"/>
                <w:lang w:val="en-GB"/>
              </w:rPr>
              <w:t xml:space="preserve">therefore </w:t>
            </w:r>
            <w:r w:rsidR="00A26421" w:rsidRPr="00057ED8">
              <w:rPr>
                <w:rFonts w:cs="Arial"/>
                <w:szCs w:val="17"/>
                <w:lang w:val="en-GB"/>
              </w:rPr>
              <w:t xml:space="preserve">suggest rephrasing the </w:t>
            </w:r>
            <w:r w:rsidR="003746AD">
              <w:rPr>
                <w:rFonts w:cs="Arial"/>
                <w:szCs w:val="17"/>
                <w:lang w:val="en-GB"/>
              </w:rPr>
              <w:t>i</w:t>
            </w:r>
            <w:r w:rsidR="00A26421" w:rsidRPr="00057ED8">
              <w:rPr>
                <w:rFonts w:cs="Arial"/>
                <w:szCs w:val="17"/>
                <w:lang w:val="en-GB"/>
              </w:rPr>
              <w:t>nsurance industry description (p.155 of the IFRS S2 Appendix B, Volume B17 on Insurance) to better reflect the insurance business model and specific</w:t>
            </w:r>
            <w:r w:rsidR="003746AD">
              <w:rPr>
                <w:rFonts w:cs="Arial"/>
                <w:szCs w:val="17"/>
                <w:lang w:val="en-GB"/>
              </w:rPr>
              <w:t xml:space="preserve"> characteristics</w:t>
            </w:r>
            <w:r w:rsidR="00A26421" w:rsidRPr="00057ED8">
              <w:rPr>
                <w:rFonts w:cs="Arial"/>
                <w:szCs w:val="17"/>
                <w:lang w:val="en-GB"/>
              </w:rPr>
              <w:t xml:space="preserve"> as follows: </w:t>
            </w:r>
          </w:p>
          <w:p w14:paraId="7A7F0D37" w14:textId="77777777" w:rsidR="00A26421" w:rsidRDefault="00A26421" w:rsidP="00A26421">
            <w:pPr>
              <w:rPr>
                <w:rFonts w:cs="Arial"/>
                <w:szCs w:val="17"/>
              </w:rPr>
            </w:pPr>
          </w:p>
          <w:p w14:paraId="58831F58" w14:textId="79F9ADCF" w:rsidR="00A26421" w:rsidRPr="00057ED8" w:rsidRDefault="00A26421" w:rsidP="00A26421">
            <w:pPr>
              <w:rPr>
                <w:rFonts w:cs="Arial"/>
                <w:i/>
                <w:iCs/>
                <w:sz w:val="17"/>
                <w:szCs w:val="17"/>
              </w:rPr>
            </w:pPr>
            <w:r w:rsidRPr="00057ED8">
              <w:rPr>
                <w:rFonts w:cs="Arial"/>
                <w:i/>
                <w:iCs/>
                <w:sz w:val="17"/>
                <w:szCs w:val="17"/>
              </w:rPr>
              <w:t xml:space="preserve"> </w:t>
            </w:r>
          </w:p>
          <w:p w14:paraId="30C24E6B" w14:textId="77777777" w:rsidR="001139B6" w:rsidRDefault="001139B6" w:rsidP="001139B6">
            <w:pPr>
              <w:rPr>
                <w:rFonts w:cs="Arial"/>
                <w:i/>
                <w:iCs/>
                <w:sz w:val="17"/>
                <w:szCs w:val="17"/>
              </w:rPr>
            </w:pPr>
          </w:p>
          <w:p w14:paraId="16A560FC" w14:textId="3E0DF89F" w:rsidR="001139B6" w:rsidRPr="008B0B51" w:rsidRDefault="001139B6" w:rsidP="001139B6">
            <w:pPr>
              <w:rPr>
                <w:rFonts w:cs="Arial"/>
                <w:i/>
                <w:iCs/>
                <w:sz w:val="17"/>
                <w:szCs w:val="17"/>
                <w:lang w:val="en-US"/>
              </w:rPr>
            </w:pPr>
            <w:r w:rsidRPr="008B0B51">
              <w:rPr>
                <w:rFonts w:cs="Arial"/>
                <w:i/>
                <w:iCs/>
                <w:sz w:val="17"/>
                <w:szCs w:val="17"/>
                <w:lang w:val="en-US"/>
              </w:rPr>
              <w:t xml:space="preserve">The </w:t>
            </w:r>
            <w:r w:rsidR="003746AD">
              <w:rPr>
                <w:rFonts w:cs="Arial"/>
                <w:i/>
                <w:iCs/>
                <w:sz w:val="17"/>
                <w:szCs w:val="17"/>
                <w:lang w:val="en-US"/>
              </w:rPr>
              <w:t>i</w:t>
            </w:r>
            <w:r w:rsidRPr="008B0B51">
              <w:rPr>
                <w:rFonts w:cs="Arial"/>
                <w:i/>
                <w:iCs/>
                <w:sz w:val="17"/>
                <w:szCs w:val="17"/>
                <w:lang w:val="en-US"/>
              </w:rPr>
              <w:t xml:space="preserve">nsurance sector aims </w:t>
            </w:r>
            <w:r w:rsidR="003746AD">
              <w:rPr>
                <w:rFonts w:cs="Arial"/>
                <w:i/>
                <w:iCs/>
                <w:sz w:val="17"/>
                <w:szCs w:val="17"/>
                <w:lang w:val="en-US"/>
              </w:rPr>
              <w:t xml:space="preserve">to </w:t>
            </w:r>
            <w:r w:rsidRPr="008B0B51">
              <w:rPr>
                <w:rFonts w:cs="Arial"/>
                <w:i/>
                <w:iCs/>
                <w:sz w:val="17"/>
                <w:szCs w:val="17"/>
                <w:lang w:val="en-US"/>
              </w:rPr>
              <w:t>protect and secur</w:t>
            </w:r>
            <w:r w:rsidR="003746AD">
              <w:rPr>
                <w:rFonts w:cs="Arial"/>
                <w:i/>
                <w:iCs/>
                <w:sz w:val="17"/>
                <w:szCs w:val="17"/>
                <w:lang w:val="en-US"/>
              </w:rPr>
              <w:t>e</w:t>
            </w:r>
            <w:r w:rsidRPr="008B0B51">
              <w:rPr>
                <w:rFonts w:cs="Arial"/>
                <w:i/>
                <w:iCs/>
                <w:sz w:val="17"/>
                <w:szCs w:val="17"/>
                <w:lang w:val="en-US"/>
              </w:rPr>
              <w:t xml:space="preserve"> economic stakeholders</w:t>
            </w:r>
            <w:r w:rsidR="00901AA4">
              <w:rPr>
                <w:rFonts w:cs="Arial"/>
                <w:i/>
                <w:iCs/>
                <w:sz w:val="17"/>
                <w:szCs w:val="17"/>
                <w:lang w:val="en-US"/>
              </w:rPr>
              <w:t xml:space="preserve"> </w:t>
            </w:r>
            <w:r w:rsidR="001E7DAE" w:rsidRPr="001E7DAE">
              <w:rPr>
                <w:rFonts w:cs="Arial"/>
                <w:i/>
                <w:iCs/>
                <w:sz w:val="17"/>
                <w:szCs w:val="17"/>
                <w:lang w:val="en-US"/>
              </w:rPr>
              <w:t>—</w:t>
            </w:r>
            <w:r w:rsidRPr="008B0B51">
              <w:rPr>
                <w:rFonts w:cs="Arial"/>
                <w:i/>
                <w:iCs/>
                <w:sz w:val="17"/>
                <w:szCs w:val="17"/>
                <w:lang w:val="en-US"/>
              </w:rPr>
              <w:t xml:space="preserve"> from individuals to very large firms</w:t>
            </w:r>
            <w:r w:rsidR="001E7DAE">
              <w:rPr>
                <w:rFonts w:cs="Arial"/>
                <w:i/>
                <w:iCs/>
                <w:sz w:val="17"/>
                <w:szCs w:val="17"/>
                <w:lang w:val="en-US"/>
              </w:rPr>
              <w:t xml:space="preserve"> </w:t>
            </w:r>
            <w:r w:rsidR="001E7DAE" w:rsidRPr="001E7DAE">
              <w:rPr>
                <w:rFonts w:cs="Arial"/>
                <w:i/>
                <w:iCs/>
                <w:sz w:val="17"/>
                <w:szCs w:val="17"/>
                <w:lang w:val="en-US"/>
              </w:rPr>
              <w:t>—</w:t>
            </w:r>
            <w:r w:rsidRPr="008B0B51">
              <w:rPr>
                <w:rFonts w:cs="Arial"/>
                <w:i/>
                <w:iCs/>
                <w:sz w:val="17"/>
                <w:szCs w:val="17"/>
                <w:lang w:val="en-US"/>
              </w:rPr>
              <w:t xml:space="preserve"> </w:t>
            </w:r>
            <w:r w:rsidR="001E7DAE">
              <w:rPr>
                <w:rFonts w:cs="Arial"/>
                <w:i/>
                <w:iCs/>
                <w:sz w:val="17"/>
                <w:szCs w:val="17"/>
                <w:lang w:val="en-US"/>
              </w:rPr>
              <w:t>and is</w:t>
            </w:r>
            <w:r w:rsidR="001E7DAE" w:rsidRPr="008B0B51">
              <w:rPr>
                <w:rFonts w:cs="Arial"/>
                <w:i/>
                <w:iCs/>
                <w:sz w:val="17"/>
                <w:szCs w:val="17"/>
                <w:lang w:val="en-US"/>
              </w:rPr>
              <w:t xml:space="preserve"> </w:t>
            </w:r>
            <w:r w:rsidRPr="008B0B51">
              <w:rPr>
                <w:rFonts w:cs="Arial"/>
                <w:i/>
                <w:iCs/>
                <w:sz w:val="17"/>
                <w:szCs w:val="17"/>
                <w:lang w:val="en-US"/>
              </w:rPr>
              <w:t xml:space="preserve">a key driver </w:t>
            </w:r>
            <w:r w:rsidR="001E7DAE">
              <w:rPr>
                <w:rFonts w:cs="Arial"/>
                <w:i/>
                <w:iCs/>
                <w:sz w:val="17"/>
                <w:szCs w:val="17"/>
                <w:lang w:val="en-US"/>
              </w:rPr>
              <w:t>of</w:t>
            </w:r>
            <w:r w:rsidR="001E7DAE" w:rsidRPr="008B0B51">
              <w:rPr>
                <w:rFonts w:cs="Arial"/>
                <w:i/>
                <w:iCs/>
                <w:sz w:val="17"/>
                <w:szCs w:val="17"/>
                <w:lang w:val="en-US"/>
              </w:rPr>
              <w:t xml:space="preserve"> </w:t>
            </w:r>
            <w:r w:rsidRPr="008B0B51">
              <w:rPr>
                <w:rFonts w:cs="Arial"/>
                <w:i/>
                <w:iCs/>
                <w:sz w:val="17"/>
                <w:szCs w:val="17"/>
                <w:lang w:val="en-US"/>
              </w:rPr>
              <w:t>a well-functioning economy. It reduces uncertainty through the transfer of the risk of financial losses as a result of specified but unpredictable events from an individual or entity to an insurer in return for a fee or premium. Services provided by insurers vary from loss compensation to capital accumulation (savings) and financial support.</w:t>
            </w:r>
          </w:p>
          <w:p w14:paraId="618661BC" w14:textId="77777777" w:rsidR="001139B6" w:rsidRPr="008B0B51" w:rsidRDefault="001139B6" w:rsidP="001139B6">
            <w:pPr>
              <w:rPr>
                <w:rFonts w:cs="Arial"/>
                <w:i/>
                <w:iCs/>
                <w:sz w:val="17"/>
                <w:szCs w:val="17"/>
                <w:lang w:val="en-US"/>
              </w:rPr>
            </w:pPr>
          </w:p>
          <w:p w14:paraId="7B60605B" w14:textId="7A0C386D" w:rsidR="001139B6" w:rsidRPr="008B0B51" w:rsidRDefault="001139B6" w:rsidP="001139B6">
            <w:pPr>
              <w:rPr>
                <w:rFonts w:cs="Arial"/>
                <w:i/>
                <w:iCs/>
                <w:sz w:val="17"/>
                <w:szCs w:val="17"/>
                <w:lang w:val="en-US"/>
              </w:rPr>
            </w:pPr>
            <w:r w:rsidRPr="008B0B51">
              <w:rPr>
                <w:rFonts w:cs="Arial"/>
                <w:i/>
                <w:iCs/>
                <w:sz w:val="17"/>
                <w:szCs w:val="17"/>
                <w:lang w:val="en-US"/>
              </w:rPr>
              <w:t xml:space="preserve">Insurance products take the form of a contract between the insurer (underwriter) and the client (policyholder). </w:t>
            </w:r>
            <w:r w:rsidR="008008AE">
              <w:rPr>
                <w:rFonts w:cs="Arial"/>
                <w:i/>
                <w:iCs/>
                <w:sz w:val="17"/>
                <w:szCs w:val="17"/>
                <w:lang w:val="en-US"/>
              </w:rPr>
              <w:t>The b</w:t>
            </w:r>
            <w:r w:rsidRPr="008B0B51">
              <w:rPr>
                <w:rFonts w:cs="Arial"/>
                <w:i/>
                <w:iCs/>
                <w:sz w:val="17"/>
                <w:szCs w:val="17"/>
                <w:lang w:val="en-US"/>
              </w:rPr>
              <w:t>eneficial owners of the insurance policy can be the policyholder or a third</w:t>
            </w:r>
            <w:r w:rsidR="008008AE">
              <w:rPr>
                <w:rFonts w:cs="Arial"/>
                <w:i/>
                <w:iCs/>
                <w:sz w:val="17"/>
                <w:szCs w:val="17"/>
                <w:lang w:val="en-US"/>
              </w:rPr>
              <w:t xml:space="preserve"> </w:t>
            </w:r>
            <w:r w:rsidRPr="008B0B51">
              <w:rPr>
                <w:rFonts w:cs="Arial"/>
                <w:i/>
                <w:iCs/>
                <w:sz w:val="17"/>
                <w:szCs w:val="17"/>
                <w:lang w:val="en-US"/>
              </w:rPr>
              <w:t>party.</w:t>
            </w:r>
          </w:p>
          <w:p w14:paraId="3B5D74F3" w14:textId="77777777" w:rsidR="001139B6" w:rsidRPr="008B0B51" w:rsidRDefault="001139B6" w:rsidP="001139B6">
            <w:pPr>
              <w:rPr>
                <w:rFonts w:cs="Arial"/>
                <w:i/>
                <w:iCs/>
                <w:sz w:val="17"/>
                <w:szCs w:val="17"/>
                <w:lang w:val="en-US"/>
              </w:rPr>
            </w:pPr>
          </w:p>
          <w:p w14:paraId="0B5C6BB7" w14:textId="63A4B021" w:rsidR="001139B6" w:rsidRPr="008B0B51" w:rsidRDefault="001139B6" w:rsidP="001139B6">
            <w:pPr>
              <w:rPr>
                <w:rFonts w:cs="Arial"/>
                <w:i/>
                <w:iCs/>
                <w:sz w:val="17"/>
                <w:szCs w:val="17"/>
                <w:lang w:val="en-US"/>
              </w:rPr>
            </w:pPr>
            <w:r w:rsidRPr="008B0B51">
              <w:rPr>
                <w:rFonts w:cs="Arial"/>
                <w:i/>
                <w:iCs/>
                <w:sz w:val="17"/>
                <w:szCs w:val="17"/>
                <w:lang w:val="en-US"/>
              </w:rPr>
              <w:t xml:space="preserve">Insurance products may be provided by different </w:t>
            </w:r>
            <w:r w:rsidR="008008AE">
              <w:rPr>
                <w:rFonts w:cs="Arial"/>
                <w:i/>
                <w:iCs/>
                <w:sz w:val="17"/>
                <w:szCs w:val="17"/>
                <w:lang w:val="en-US"/>
              </w:rPr>
              <w:t>players,</w:t>
            </w:r>
            <w:r w:rsidR="008008AE" w:rsidRPr="008B0B51">
              <w:rPr>
                <w:rFonts w:cs="Arial"/>
                <w:i/>
                <w:iCs/>
                <w:sz w:val="17"/>
                <w:szCs w:val="17"/>
                <w:lang w:val="en-US"/>
              </w:rPr>
              <w:t xml:space="preserve"> </w:t>
            </w:r>
            <w:r w:rsidRPr="008B0B51">
              <w:rPr>
                <w:rFonts w:cs="Arial"/>
                <w:i/>
                <w:iCs/>
                <w:sz w:val="17"/>
                <w:szCs w:val="17"/>
                <w:lang w:val="en-US"/>
              </w:rPr>
              <w:t>such as mutual</w:t>
            </w:r>
            <w:r w:rsidR="008008AE">
              <w:rPr>
                <w:rFonts w:cs="Arial"/>
                <w:i/>
                <w:iCs/>
                <w:sz w:val="17"/>
                <w:szCs w:val="17"/>
                <w:lang w:val="en-US"/>
              </w:rPr>
              <w:t>-</w:t>
            </w:r>
            <w:r w:rsidRPr="008B0B51">
              <w:rPr>
                <w:rFonts w:cs="Arial"/>
                <w:i/>
                <w:iCs/>
                <w:sz w:val="17"/>
                <w:szCs w:val="17"/>
                <w:lang w:val="en-US"/>
              </w:rPr>
              <w:t xml:space="preserve">type entities with no shareholders or private stock companies, ranging from the smallest local </w:t>
            </w:r>
            <w:proofErr w:type="spellStart"/>
            <w:r w:rsidRPr="008B0B51">
              <w:rPr>
                <w:rFonts w:cs="Arial"/>
                <w:i/>
                <w:iCs/>
                <w:sz w:val="17"/>
                <w:szCs w:val="17"/>
                <w:lang w:val="en-US"/>
              </w:rPr>
              <w:t>organi</w:t>
            </w:r>
            <w:r w:rsidR="008008AE">
              <w:rPr>
                <w:rFonts w:cs="Arial"/>
                <w:i/>
                <w:iCs/>
                <w:sz w:val="17"/>
                <w:szCs w:val="17"/>
                <w:lang w:val="en-US"/>
              </w:rPr>
              <w:t>s</w:t>
            </w:r>
            <w:r w:rsidRPr="008B0B51">
              <w:rPr>
                <w:rFonts w:cs="Arial"/>
                <w:i/>
                <w:iCs/>
                <w:sz w:val="17"/>
                <w:szCs w:val="17"/>
                <w:lang w:val="en-US"/>
              </w:rPr>
              <w:t>ations</w:t>
            </w:r>
            <w:proofErr w:type="spellEnd"/>
            <w:r w:rsidRPr="008B0B51">
              <w:rPr>
                <w:rFonts w:cs="Arial"/>
                <w:i/>
                <w:iCs/>
                <w:sz w:val="17"/>
                <w:szCs w:val="17"/>
                <w:lang w:val="en-US"/>
              </w:rPr>
              <w:t xml:space="preserve"> to the largest global ones. As a result, the profile of insurance undertakings varies greatly in terms of size, geographical coverage, market coverage and customer segments.   </w:t>
            </w:r>
          </w:p>
          <w:p w14:paraId="739D125C" w14:textId="77777777" w:rsidR="001139B6" w:rsidRPr="008B0B51" w:rsidRDefault="001139B6" w:rsidP="001139B6">
            <w:pPr>
              <w:rPr>
                <w:rFonts w:cs="Arial"/>
                <w:i/>
                <w:iCs/>
                <w:sz w:val="17"/>
                <w:szCs w:val="17"/>
                <w:lang w:val="en-US"/>
              </w:rPr>
            </w:pPr>
          </w:p>
          <w:p w14:paraId="6BD64D2E" w14:textId="1067A447" w:rsidR="001139B6" w:rsidRPr="008B0B51" w:rsidRDefault="001139B6" w:rsidP="001139B6">
            <w:pPr>
              <w:rPr>
                <w:rFonts w:cs="Arial"/>
                <w:i/>
                <w:iCs/>
                <w:sz w:val="17"/>
                <w:szCs w:val="17"/>
                <w:lang w:val="en-US"/>
              </w:rPr>
            </w:pPr>
            <w:r w:rsidRPr="008B0B51">
              <w:rPr>
                <w:rFonts w:cs="Arial"/>
                <w:i/>
                <w:iCs/>
                <w:sz w:val="17"/>
                <w:szCs w:val="17"/>
                <w:lang w:val="en-US"/>
              </w:rPr>
              <w:t>There are commonly four types of insurance: non-life, life, protection and health. Non-life insurance offers property and casualty insurance for goods.</w:t>
            </w:r>
            <w:r w:rsidR="003B1844">
              <w:rPr>
                <w:rFonts w:cs="Arial"/>
                <w:i/>
                <w:iCs/>
                <w:sz w:val="17"/>
                <w:szCs w:val="17"/>
                <w:lang w:val="en-US"/>
              </w:rPr>
              <w:t xml:space="preserve"> The</w:t>
            </w:r>
            <w:r w:rsidRPr="008B0B51">
              <w:rPr>
                <w:rFonts w:cs="Arial"/>
                <w:i/>
                <w:iCs/>
                <w:sz w:val="17"/>
                <w:szCs w:val="17"/>
                <w:lang w:val="en-US"/>
              </w:rPr>
              <w:t xml:space="preserve"> </w:t>
            </w:r>
            <w:r w:rsidR="003B1844">
              <w:rPr>
                <w:rFonts w:cs="Arial"/>
                <w:i/>
                <w:iCs/>
                <w:sz w:val="17"/>
                <w:szCs w:val="17"/>
                <w:lang w:val="en-US"/>
              </w:rPr>
              <w:t>l</w:t>
            </w:r>
            <w:r w:rsidRPr="008B0B51">
              <w:rPr>
                <w:rFonts w:cs="Arial"/>
                <w:i/>
                <w:iCs/>
                <w:sz w:val="17"/>
                <w:szCs w:val="17"/>
                <w:lang w:val="en-US"/>
              </w:rPr>
              <w:t xml:space="preserve">ife insurance sector enables capital accumulation (savings) for old-age provision, retirement or long-term goals. Health insurance deals with medical expenses and services. Protection </w:t>
            </w:r>
            <w:r w:rsidR="003B1844">
              <w:rPr>
                <w:rFonts w:cs="Arial"/>
                <w:i/>
                <w:iCs/>
                <w:sz w:val="17"/>
                <w:szCs w:val="17"/>
                <w:lang w:val="en-US"/>
              </w:rPr>
              <w:t>i</w:t>
            </w:r>
            <w:r w:rsidRPr="008B0B51">
              <w:rPr>
                <w:rFonts w:cs="Arial"/>
                <w:i/>
                <w:iCs/>
                <w:sz w:val="17"/>
                <w:szCs w:val="17"/>
                <w:lang w:val="en-US"/>
              </w:rPr>
              <w:t xml:space="preserve">nsurance protects </w:t>
            </w:r>
            <w:r w:rsidR="003B1844">
              <w:rPr>
                <w:rFonts w:cs="Arial"/>
                <w:i/>
                <w:iCs/>
                <w:sz w:val="17"/>
                <w:szCs w:val="17"/>
                <w:lang w:val="en-US"/>
              </w:rPr>
              <w:t>against the</w:t>
            </w:r>
            <w:r w:rsidR="003B1844" w:rsidRPr="008B0B51">
              <w:rPr>
                <w:rFonts w:cs="Arial"/>
                <w:i/>
                <w:iCs/>
                <w:sz w:val="17"/>
                <w:szCs w:val="17"/>
                <w:lang w:val="en-US"/>
              </w:rPr>
              <w:t xml:space="preserve"> </w:t>
            </w:r>
            <w:r w:rsidRPr="008B0B51">
              <w:rPr>
                <w:rFonts w:cs="Arial"/>
                <w:i/>
                <w:iCs/>
                <w:sz w:val="17"/>
                <w:szCs w:val="17"/>
                <w:lang w:val="en-US"/>
              </w:rPr>
              <w:t xml:space="preserve">financial impact that may arise with accidents or illness. Health &amp; protection guarantees may be provided under individual or collective covers. Some insurance policies may be compulsory </w:t>
            </w:r>
            <w:r w:rsidR="003B1844">
              <w:rPr>
                <w:rFonts w:cs="Arial"/>
                <w:i/>
                <w:iCs/>
                <w:sz w:val="17"/>
                <w:szCs w:val="17"/>
                <w:lang w:val="en-US"/>
              </w:rPr>
              <w:t>under</w:t>
            </w:r>
            <w:r w:rsidRPr="008B0B51">
              <w:rPr>
                <w:rFonts w:cs="Arial"/>
                <w:i/>
                <w:iCs/>
                <w:sz w:val="17"/>
                <w:szCs w:val="17"/>
                <w:lang w:val="en-US"/>
              </w:rPr>
              <w:t xml:space="preserve"> national law, </w:t>
            </w:r>
            <w:r w:rsidR="003B1844">
              <w:rPr>
                <w:rFonts w:cs="Arial"/>
                <w:i/>
                <w:iCs/>
                <w:sz w:val="17"/>
                <w:szCs w:val="17"/>
                <w:lang w:val="en-US"/>
              </w:rPr>
              <w:t>such as</w:t>
            </w:r>
            <w:r w:rsidRPr="008B0B51">
              <w:rPr>
                <w:rFonts w:cs="Arial"/>
                <w:i/>
                <w:iCs/>
                <w:sz w:val="17"/>
                <w:szCs w:val="17"/>
                <w:lang w:val="en-US"/>
              </w:rPr>
              <w:t xml:space="preserve"> motor liability in the EU. </w:t>
            </w:r>
          </w:p>
          <w:p w14:paraId="06FFF62A" w14:textId="175BBDFF" w:rsidR="001139B6" w:rsidRDefault="001139B6" w:rsidP="00A26421">
            <w:pPr>
              <w:rPr>
                <w:rFonts w:cs="Arial"/>
                <w:i/>
                <w:iCs/>
                <w:sz w:val="17"/>
                <w:szCs w:val="17"/>
              </w:rPr>
            </w:pPr>
          </w:p>
          <w:p w14:paraId="39565640" w14:textId="7A8DE3CB" w:rsidR="00A26421" w:rsidRPr="00057ED8" w:rsidRDefault="00A26421" w:rsidP="00A26421">
            <w:pPr>
              <w:rPr>
                <w:rFonts w:cs="Arial"/>
                <w:i/>
                <w:iCs/>
                <w:sz w:val="17"/>
                <w:szCs w:val="17"/>
              </w:rPr>
            </w:pPr>
            <w:r w:rsidRPr="00057ED8">
              <w:rPr>
                <w:rFonts w:cs="Arial"/>
                <w:i/>
                <w:iCs/>
                <w:sz w:val="17"/>
                <w:szCs w:val="17"/>
              </w:rPr>
              <w:t xml:space="preserve">Insurance premiums, underwriting revenue, and investment income drive segment growth, while insurance claim payments present the most significant </w:t>
            </w:r>
            <w:r w:rsidR="00A8016E">
              <w:rPr>
                <w:rFonts w:cs="Arial"/>
                <w:i/>
                <w:iCs/>
                <w:sz w:val="17"/>
                <w:szCs w:val="17"/>
              </w:rPr>
              <w:t>charge</w:t>
            </w:r>
            <w:r w:rsidRPr="00057ED8">
              <w:rPr>
                <w:rFonts w:cs="Arial"/>
                <w:i/>
                <w:iCs/>
                <w:sz w:val="17"/>
                <w:szCs w:val="17"/>
              </w:rPr>
              <w:t xml:space="preserve">. </w:t>
            </w:r>
          </w:p>
          <w:p w14:paraId="4037A294" w14:textId="77777777" w:rsidR="00A26421" w:rsidRPr="00057ED8" w:rsidRDefault="00A26421" w:rsidP="00A26421">
            <w:pPr>
              <w:rPr>
                <w:rFonts w:cs="Arial"/>
                <w:i/>
                <w:iCs/>
                <w:sz w:val="17"/>
                <w:szCs w:val="17"/>
              </w:rPr>
            </w:pPr>
          </w:p>
          <w:p w14:paraId="3164CCA0" w14:textId="69974893" w:rsidR="00A26421" w:rsidRPr="00057ED8" w:rsidRDefault="00A26421" w:rsidP="00A26421">
            <w:pPr>
              <w:rPr>
                <w:rFonts w:cs="Arial"/>
                <w:i/>
                <w:iCs/>
                <w:sz w:val="17"/>
                <w:szCs w:val="17"/>
              </w:rPr>
            </w:pPr>
            <w:r w:rsidRPr="00057ED8">
              <w:rPr>
                <w:rFonts w:cs="Arial"/>
                <w:i/>
                <w:iCs/>
                <w:sz w:val="17"/>
                <w:szCs w:val="17"/>
              </w:rPr>
              <w:t xml:space="preserve">Insurance undertakings are highly regulated entities subject to prudential supervision. </w:t>
            </w:r>
            <w:r w:rsidR="003B1844">
              <w:rPr>
                <w:rFonts w:cs="Arial"/>
                <w:i/>
                <w:iCs/>
                <w:sz w:val="17"/>
                <w:szCs w:val="17"/>
              </w:rPr>
              <w:t>I</w:t>
            </w:r>
            <w:r w:rsidRPr="00057ED8">
              <w:rPr>
                <w:rFonts w:cs="Arial"/>
                <w:i/>
                <w:iCs/>
                <w:sz w:val="17"/>
                <w:szCs w:val="17"/>
              </w:rPr>
              <w:t xml:space="preserve">nsurers must </w:t>
            </w:r>
            <w:r w:rsidR="003B1844">
              <w:rPr>
                <w:rFonts w:cs="Arial"/>
                <w:i/>
                <w:iCs/>
                <w:sz w:val="17"/>
                <w:szCs w:val="17"/>
              </w:rPr>
              <w:t xml:space="preserve">therefore </w:t>
            </w:r>
            <w:r w:rsidRPr="00057ED8">
              <w:rPr>
                <w:rFonts w:cs="Arial"/>
                <w:i/>
                <w:iCs/>
                <w:sz w:val="17"/>
                <w:szCs w:val="17"/>
              </w:rPr>
              <w:t xml:space="preserve">comply with strict solvency and risk management rules. Also, insurance supervisors establish </w:t>
            </w:r>
            <w:r w:rsidR="001B69F0">
              <w:rPr>
                <w:rFonts w:cs="Arial"/>
                <w:i/>
                <w:iCs/>
                <w:sz w:val="17"/>
                <w:szCs w:val="17"/>
              </w:rPr>
              <w:t>the prudent person principle by which i</w:t>
            </w:r>
            <w:r w:rsidRPr="00057ED8">
              <w:rPr>
                <w:rFonts w:cs="Arial"/>
                <w:i/>
                <w:iCs/>
                <w:sz w:val="17"/>
                <w:szCs w:val="17"/>
              </w:rPr>
              <w:t xml:space="preserve">nsurers are required to invest in such a manner as to ensure the security, quality and liquidity of their asset portfolio, so that payments to policyholders or creditors can be made as they fall due and assets are adequately diversified. Insurers are also required to abide by conduct regulations that help support their focus on good customer outcomes.  </w:t>
            </w:r>
          </w:p>
          <w:p w14:paraId="536A62ED" w14:textId="77777777" w:rsidR="00A26421" w:rsidRPr="00057ED8" w:rsidRDefault="00A26421" w:rsidP="00A26421">
            <w:pPr>
              <w:rPr>
                <w:rFonts w:cs="Arial"/>
                <w:i/>
                <w:iCs/>
                <w:sz w:val="17"/>
                <w:szCs w:val="17"/>
              </w:rPr>
            </w:pPr>
          </w:p>
          <w:p w14:paraId="3361EFFF" w14:textId="6BC82CD4" w:rsidR="00A26421" w:rsidRPr="00057ED8" w:rsidRDefault="00A26421" w:rsidP="00A26421">
            <w:pPr>
              <w:rPr>
                <w:rFonts w:cs="Arial"/>
                <w:i/>
                <w:iCs/>
                <w:sz w:val="17"/>
                <w:szCs w:val="17"/>
              </w:rPr>
            </w:pPr>
            <w:proofErr w:type="gramStart"/>
            <w:r w:rsidRPr="00057ED8">
              <w:rPr>
                <w:rFonts w:cs="Arial"/>
                <w:i/>
                <w:iCs/>
                <w:sz w:val="17"/>
                <w:szCs w:val="17"/>
              </w:rPr>
              <w:t>Similarly</w:t>
            </w:r>
            <w:proofErr w:type="gramEnd"/>
            <w:r w:rsidRPr="00057ED8">
              <w:rPr>
                <w:rFonts w:cs="Arial"/>
                <w:i/>
                <w:iCs/>
                <w:sz w:val="17"/>
                <w:szCs w:val="17"/>
              </w:rPr>
              <w:t xml:space="preserve"> to insurance, reinsurance reduces an insurer’s risk of loss by sharing the risk with one or more reinsurers. Reinsurance generally works by either transferring a portion of a particularly large risk that has been taken on by an insurance company (facultative reinsurance), or by transferring a portion of all the pool (or book) of risks (treaty reinsurance) to a reinsurer in return for a share of the original premium. In the event of a claim, the reinsurer compensates the insurer for its share of the risk.</w:t>
            </w:r>
          </w:p>
          <w:p w14:paraId="7C059550" w14:textId="4F40D191" w:rsidR="006E0E6F" w:rsidRPr="00057ED8" w:rsidRDefault="006E0E6F" w:rsidP="006E0E6F">
            <w:pPr>
              <w:pStyle w:val="Odsekzoznamu"/>
              <w:ind w:left="720" w:firstLine="0"/>
              <w:rPr>
                <w:szCs w:val="17"/>
                <w:lang w:val="en-GB"/>
              </w:rPr>
            </w:pPr>
          </w:p>
          <w:p w14:paraId="5E93C312" w14:textId="77777777" w:rsidR="00A26421" w:rsidRPr="00057ED8" w:rsidRDefault="00A26421" w:rsidP="006E0E6F">
            <w:pPr>
              <w:pStyle w:val="Odsekzoznamu"/>
              <w:ind w:left="720" w:firstLine="0"/>
              <w:rPr>
                <w:szCs w:val="17"/>
                <w:lang w:val="en-GB"/>
              </w:rPr>
            </w:pPr>
          </w:p>
          <w:p w14:paraId="5C7DBC67" w14:textId="3BE619AB" w:rsidR="0036290A" w:rsidRDefault="0036290A" w:rsidP="00812D6D">
            <w:pPr>
              <w:pStyle w:val="Odsekzoznamu"/>
              <w:numPr>
                <w:ilvl w:val="0"/>
                <w:numId w:val="48"/>
              </w:numPr>
              <w:rPr>
                <w:szCs w:val="17"/>
                <w:lang w:val="en-GB"/>
              </w:rPr>
            </w:pPr>
            <w:r w:rsidRPr="00057ED8">
              <w:rPr>
                <w:szCs w:val="17"/>
                <w:lang w:val="en-GB"/>
              </w:rPr>
              <w:t xml:space="preserve">Yes / </w:t>
            </w:r>
            <w:r w:rsidRPr="00057ED8">
              <w:rPr>
                <w:szCs w:val="17"/>
                <w:highlight w:val="cyan"/>
                <w:lang w:val="en-GB"/>
              </w:rPr>
              <w:t>no</w:t>
            </w:r>
            <w:r w:rsidRPr="00057ED8">
              <w:rPr>
                <w:szCs w:val="17"/>
                <w:lang w:val="en-GB"/>
              </w:rPr>
              <w:t xml:space="preserve"> / other</w:t>
            </w:r>
          </w:p>
          <w:p w14:paraId="1A75B1AE" w14:textId="58820050" w:rsidR="00372D87" w:rsidRPr="00485C85" w:rsidRDefault="00372D87" w:rsidP="00372D87">
            <w:pPr>
              <w:pStyle w:val="Odsekzoznamu"/>
              <w:ind w:left="720" w:firstLine="0"/>
              <w:rPr>
                <w:szCs w:val="17"/>
              </w:rPr>
            </w:pPr>
            <w:r w:rsidRPr="005D7527">
              <w:rPr>
                <w:szCs w:val="17"/>
              </w:rPr>
              <w:t xml:space="preserve">As regards the insurance-specific disclosure requirements, </w:t>
            </w:r>
            <w:r w:rsidR="007A3F1F">
              <w:rPr>
                <w:szCs w:val="17"/>
              </w:rPr>
              <w:t>Insurance Europ</w:t>
            </w:r>
            <w:r w:rsidRPr="005D7527">
              <w:rPr>
                <w:szCs w:val="17"/>
              </w:rPr>
              <w:t>e do</w:t>
            </w:r>
            <w:r w:rsidR="007A3F1F">
              <w:rPr>
                <w:szCs w:val="17"/>
              </w:rPr>
              <w:t>es</w:t>
            </w:r>
            <w:r w:rsidRPr="005D7527">
              <w:rPr>
                <w:szCs w:val="17"/>
              </w:rPr>
              <w:t xml:space="preserve"> not consider there to be a need to add further industry-based requirements beyond those proposed by the ISSB in </w:t>
            </w:r>
            <w:r w:rsidR="00593E4F">
              <w:rPr>
                <w:szCs w:val="17"/>
              </w:rPr>
              <w:t>IFRS S2</w:t>
            </w:r>
            <w:r w:rsidRPr="005D7527">
              <w:rPr>
                <w:szCs w:val="17"/>
              </w:rPr>
              <w:t>. As regards the asset</w:t>
            </w:r>
            <w:r w:rsidR="007A3F1F">
              <w:rPr>
                <w:szCs w:val="17"/>
              </w:rPr>
              <w:t>-</w:t>
            </w:r>
            <w:r w:rsidRPr="005D7527">
              <w:rPr>
                <w:szCs w:val="17"/>
              </w:rPr>
              <w:t>management-specific disclosure requirements, asset managers should be required to provide the same splits as insurers (</w:t>
            </w:r>
            <w:r w:rsidR="00523174">
              <w:rPr>
                <w:szCs w:val="17"/>
              </w:rPr>
              <w:t xml:space="preserve">cf. </w:t>
            </w:r>
            <w:r w:rsidR="007A3F1F">
              <w:rPr>
                <w:szCs w:val="17"/>
              </w:rPr>
              <w:t>the</w:t>
            </w:r>
            <w:r w:rsidR="007A3F1F" w:rsidRPr="005D7527">
              <w:rPr>
                <w:szCs w:val="17"/>
              </w:rPr>
              <w:t xml:space="preserve"> </w:t>
            </w:r>
            <w:r w:rsidRPr="005D7527">
              <w:rPr>
                <w:szCs w:val="17"/>
              </w:rPr>
              <w:t>response to question (</w:t>
            </w:r>
            <w:proofErr w:type="spellStart"/>
            <w:r w:rsidRPr="005D7527">
              <w:rPr>
                <w:szCs w:val="17"/>
              </w:rPr>
              <w:t>i</w:t>
            </w:r>
            <w:proofErr w:type="spellEnd"/>
            <w:r w:rsidRPr="005D7527">
              <w:rPr>
                <w:szCs w:val="17"/>
              </w:rPr>
              <w:t>)). It is not clear why different approach</w:t>
            </w:r>
            <w:r w:rsidR="00BF4833">
              <w:rPr>
                <w:szCs w:val="17"/>
              </w:rPr>
              <w:t>es</w:t>
            </w:r>
            <w:r w:rsidRPr="005D7527">
              <w:rPr>
                <w:szCs w:val="17"/>
              </w:rPr>
              <w:t xml:space="preserve"> should apply </w:t>
            </w:r>
            <w:r w:rsidR="00BF4833">
              <w:rPr>
                <w:szCs w:val="17"/>
              </w:rPr>
              <w:lastRenderedPageBreak/>
              <w:t>to</w:t>
            </w:r>
            <w:r w:rsidR="00BF4833" w:rsidRPr="005D7527">
              <w:rPr>
                <w:szCs w:val="17"/>
              </w:rPr>
              <w:t xml:space="preserve"> </w:t>
            </w:r>
            <w:r w:rsidRPr="005D7527">
              <w:rPr>
                <w:szCs w:val="17"/>
              </w:rPr>
              <w:t xml:space="preserve">proprietary </w:t>
            </w:r>
            <w:r w:rsidR="00BF4833">
              <w:rPr>
                <w:szCs w:val="17"/>
              </w:rPr>
              <w:t>and</w:t>
            </w:r>
            <w:r w:rsidRPr="005D7527">
              <w:rPr>
                <w:szCs w:val="17"/>
              </w:rPr>
              <w:t xml:space="preserve"> third-party investments</w:t>
            </w:r>
            <w:r w:rsidR="00BF4833">
              <w:rPr>
                <w:szCs w:val="17"/>
              </w:rPr>
              <w:t>.</w:t>
            </w:r>
          </w:p>
          <w:p w14:paraId="75025E92" w14:textId="302E2A17" w:rsidR="00372D87" w:rsidRPr="00057ED8" w:rsidRDefault="00372D87" w:rsidP="00BB4FB0">
            <w:pPr>
              <w:pStyle w:val="Odsekzoznamu"/>
              <w:ind w:left="720" w:firstLine="0"/>
              <w:rPr>
                <w:szCs w:val="17"/>
                <w:lang w:val="en-GB"/>
              </w:rPr>
            </w:pPr>
          </w:p>
          <w:p w14:paraId="237BB2AC" w14:textId="69B7190F" w:rsidR="0036290A" w:rsidRPr="00057ED8" w:rsidRDefault="00A714DF" w:rsidP="00812D6D">
            <w:pPr>
              <w:pStyle w:val="Odsekzoznamu"/>
              <w:numPr>
                <w:ilvl w:val="0"/>
                <w:numId w:val="48"/>
              </w:numPr>
              <w:rPr>
                <w:szCs w:val="17"/>
                <w:lang w:val="en-GB"/>
              </w:rPr>
            </w:pPr>
            <w:r w:rsidRPr="00057ED8">
              <w:rPr>
                <w:szCs w:val="17"/>
                <w:highlight w:val="cyan"/>
                <w:lang w:val="en-GB"/>
              </w:rPr>
              <w:t>Yes</w:t>
            </w:r>
            <w:r w:rsidRPr="00057ED8">
              <w:rPr>
                <w:szCs w:val="17"/>
                <w:lang w:val="en-GB"/>
              </w:rPr>
              <w:t xml:space="preserve"> / no</w:t>
            </w:r>
            <w:r w:rsidR="0036290A" w:rsidRPr="00057ED8">
              <w:rPr>
                <w:szCs w:val="17"/>
                <w:lang w:val="en-GB"/>
              </w:rPr>
              <w:t xml:space="preserve"> / other</w:t>
            </w:r>
          </w:p>
          <w:p w14:paraId="0E4378E7" w14:textId="67987F45" w:rsidR="008C632B" w:rsidRPr="00057ED8" w:rsidRDefault="00BF4833" w:rsidP="008C632B">
            <w:pPr>
              <w:pStyle w:val="Odsekzoznamu"/>
              <w:ind w:left="720" w:firstLine="0"/>
              <w:rPr>
                <w:szCs w:val="17"/>
                <w:lang w:val="en-GB"/>
              </w:rPr>
            </w:pPr>
            <w:r>
              <w:rPr>
                <w:szCs w:val="17"/>
              </w:rPr>
              <w:t>Insurance Europ</w:t>
            </w:r>
            <w:r w:rsidR="00593E4F" w:rsidRPr="0049031A">
              <w:rPr>
                <w:szCs w:val="17"/>
              </w:rPr>
              <w:t>e generally agree</w:t>
            </w:r>
            <w:r>
              <w:rPr>
                <w:szCs w:val="17"/>
              </w:rPr>
              <w:t>s</w:t>
            </w:r>
            <w:r w:rsidR="00593E4F" w:rsidRPr="0049031A">
              <w:rPr>
                <w:szCs w:val="17"/>
              </w:rPr>
              <w:t xml:space="preserve"> with the industry classification to establish the applicability of the industry-based disclosure requirements. However, </w:t>
            </w:r>
            <w:r>
              <w:rPr>
                <w:szCs w:val="17"/>
              </w:rPr>
              <w:t>it</w:t>
            </w:r>
            <w:r w:rsidRPr="0049031A">
              <w:rPr>
                <w:szCs w:val="17"/>
              </w:rPr>
              <w:t xml:space="preserve"> </w:t>
            </w:r>
            <w:r w:rsidR="00593E4F" w:rsidRPr="0049031A">
              <w:rPr>
                <w:szCs w:val="17"/>
              </w:rPr>
              <w:t>strongly recommend</w:t>
            </w:r>
            <w:r>
              <w:rPr>
                <w:szCs w:val="17"/>
              </w:rPr>
              <w:t>s</w:t>
            </w:r>
            <w:r w:rsidR="00593E4F" w:rsidRPr="0049031A">
              <w:rPr>
                <w:szCs w:val="17"/>
              </w:rPr>
              <w:t xml:space="preserve"> </w:t>
            </w:r>
            <w:r>
              <w:rPr>
                <w:szCs w:val="17"/>
              </w:rPr>
              <w:t>that</w:t>
            </w:r>
            <w:r w:rsidRPr="0049031A">
              <w:rPr>
                <w:szCs w:val="17"/>
              </w:rPr>
              <w:t xml:space="preserve"> </w:t>
            </w:r>
            <w:r w:rsidR="00593E4F" w:rsidRPr="0049031A">
              <w:rPr>
                <w:szCs w:val="17"/>
              </w:rPr>
              <w:t>the ISSB include</w:t>
            </w:r>
            <w:r>
              <w:rPr>
                <w:szCs w:val="17"/>
              </w:rPr>
              <w:t>s</w:t>
            </w:r>
            <w:r w:rsidR="00593E4F" w:rsidRPr="0049031A">
              <w:rPr>
                <w:szCs w:val="17"/>
              </w:rPr>
              <w:t xml:space="preserve"> a mapping to NACE sectors</w:t>
            </w:r>
            <w:r>
              <w:rPr>
                <w:szCs w:val="17"/>
              </w:rPr>
              <w:t>,</w:t>
            </w:r>
            <w:r w:rsidR="00593E4F" w:rsidRPr="0049031A">
              <w:rPr>
                <w:szCs w:val="17"/>
              </w:rPr>
              <w:t xml:space="preserve"> as this would foster compatibility and interoperability with the EU’s regulatory framework</w:t>
            </w:r>
            <w:r w:rsidR="00593E4F">
              <w:rPr>
                <w:szCs w:val="17"/>
              </w:rPr>
              <w:t xml:space="preserve">. </w:t>
            </w:r>
          </w:p>
          <w:p w14:paraId="56B573EE" w14:textId="77777777" w:rsidR="004A31B2" w:rsidRPr="00057ED8" w:rsidRDefault="004A31B2" w:rsidP="00C96993">
            <w:pPr>
              <w:pStyle w:val="Odsekzoznamu"/>
              <w:ind w:left="720" w:firstLine="0"/>
              <w:rPr>
                <w:szCs w:val="17"/>
                <w:lang w:val="en-GB"/>
              </w:rPr>
            </w:pPr>
          </w:p>
          <w:p w14:paraId="076C3993" w14:textId="77777777" w:rsidR="00CF12C2" w:rsidRPr="00057ED8" w:rsidRDefault="00CF12C2" w:rsidP="00C61B54">
            <w:pPr>
              <w:rPr>
                <w:sz w:val="17"/>
                <w:szCs w:val="17"/>
              </w:rPr>
            </w:pPr>
          </w:p>
        </w:tc>
      </w:tr>
    </w:tbl>
    <w:p w14:paraId="1207D544" w14:textId="77777777" w:rsidR="008846F3" w:rsidRPr="00057ED8" w:rsidRDefault="008846F3" w:rsidP="003D0236">
      <w:pPr>
        <w:autoSpaceDE w:val="0"/>
        <w:autoSpaceDN w:val="0"/>
        <w:adjustRightInd w:val="0"/>
        <w:rPr>
          <w:sz w:val="17"/>
          <w:szCs w:val="17"/>
        </w:rPr>
      </w:pPr>
    </w:p>
    <w:p w14:paraId="1E842058" w14:textId="77777777" w:rsidR="00996AEB" w:rsidRPr="00057ED8" w:rsidRDefault="00996AEB" w:rsidP="00A20516">
      <w:pPr>
        <w:rPr>
          <w:b/>
          <w:bCs/>
          <w:sz w:val="17"/>
          <w:szCs w:val="17"/>
        </w:rPr>
      </w:pPr>
      <w:r w:rsidRPr="00057ED8">
        <w:rPr>
          <w:b/>
          <w:bCs/>
          <w:sz w:val="17"/>
          <w:szCs w:val="17"/>
        </w:rPr>
        <w:t>Question 12—Costs, benefits and likely effects</w:t>
      </w:r>
    </w:p>
    <w:p w14:paraId="5F01AF4C" w14:textId="77777777" w:rsidR="00247FC8" w:rsidRPr="00057ED8" w:rsidRDefault="00247FC8" w:rsidP="00973DEE">
      <w:pPr>
        <w:rPr>
          <w:sz w:val="17"/>
          <w:szCs w:val="17"/>
        </w:rPr>
      </w:pPr>
      <w:r w:rsidRPr="00057ED8">
        <w:rPr>
          <w:sz w:val="17"/>
          <w:szCs w:val="17"/>
        </w:rPr>
        <w:t>Paragraphs BC46–BC48 of the Basis for Conclusions set out the commitment to ensure that implementing the Exposure Draft proposals appropriately balances costs and benefits.</w:t>
      </w:r>
    </w:p>
    <w:p w14:paraId="5EAED04C" w14:textId="77777777" w:rsidR="00247FC8" w:rsidRPr="00057ED8" w:rsidRDefault="00247FC8" w:rsidP="00812D6D">
      <w:pPr>
        <w:pStyle w:val="Odsekzoznamu"/>
        <w:numPr>
          <w:ilvl w:val="0"/>
          <w:numId w:val="26"/>
        </w:numPr>
        <w:spacing w:before="0" w:line="288" w:lineRule="auto"/>
        <w:rPr>
          <w:szCs w:val="17"/>
          <w:lang w:val="en-GB"/>
        </w:rPr>
      </w:pPr>
      <w:r w:rsidRPr="00057ED8">
        <w:rPr>
          <w:szCs w:val="17"/>
          <w:lang w:val="en-GB"/>
        </w:rPr>
        <w:t>Do you have any comments on the likely benefits of implementing the proposals and the likely costs of implementing them that the ISSB should consider in analysing the likely effects of these proposals?</w:t>
      </w:r>
    </w:p>
    <w:p w14:paraId="543D7DD1" w14:textId="77777777" w:rsidR="002D5B5D" w:rsidRPr="00057ED8" w:rsidRDefault="002D5B5D" w:rsidP="002D5B5D">
      <w:pPr>
        <w:pStyle w:val="Odsekzoznamu"/>
        <w:spacing w:before="0" w:line="288" w:lineRule="auto"/>
        <w:ind w:left="720" w:firstLine="0"/>
        <w:rPr>
          <w:szCs w:val="17"/>
          <w:lang w:val="en-GB"/>
        </w:rPr>
      </w:pPr>
    </w:p>
    <w:p w14:paraId="7379DDB4" w14:textId="77777777" w:rsidR="00247FC8" w:rsidRPr="00057ED8" w:rsidRDefault="00247FC8" w:rsidP="00812D6D">
      <w:pPr>
        <w:pStyle w:val="Odsekzoznamu"/>
        <w:numPr>
          <w:ilvl w:val="0"/>
          <w:numId w:val="26"/>
        </w:numPr>
        <w:spacing w:before="0" w:line="288" w:lineRule="auto"/>
        <w:rPr>
          <w:szCs w:val="17"/>
          <w:lang w:val="en-GB"/>
        </w:rPr>
      </w:pPr>
      <w:r w:rsidRPr="00057ED8">
        <w:rPr>
          <w:szCs w:val="17"/>
          <w:lang w:val="en-GB"/>
        </w:rPr>
        <w:t>Do you have any comments on the costs of ongoing application of the proposals that the ISSB should consider?</w:t>
      </w:r>
    </w:p>
    <w:p w14:paraId="59BA2379" w14:textId="77777777" w:rsidR="002D5B5D" w:rsidRPr="00057ED8" w:rsidRDefault="002D5B5D" w:rsidP="002D5B5D">
      <w:pPr>
        <w:pStyle w:val="Odsekzoznamu"/>
        <w:rPr>
          <w:szCs w:val="17"/>
          <w:lang w:val="en-GB"/>
        </w:rPr>
      </w:pPr>
    </w:p>
    <w:p w14:paraId="253B4A63" w14:textId="77777777" w:rsidR="00247FC8" w:rsidRPr="00057ED8" w:rsidRDefault="00247FC8" w:rsidP="00812D6D">
      <w:pPr>
        <w:pStyle w:val="Odsekzoznamu"/>
        <w:numPr>
          <w:ilvl w:val="0"/>
          <w:numId w:val="26"/>
        </w:numPr>
        <w:spacing w:before="0" w:line="288" w:lineRule="auto"/>
        <w:rPr>
          <w:szCs w:val="17"/>
          <w:lang w:val="en-GB"/>
        </w:rPr>
      </w:pPr>
      <w:r w:rsidRPr="00057ED8">
        <w:rPr>
          <w:szCs w:val="17"/>
          <w:lang w:val="en-GB"/>
        </w:rPr>
        <w:t>Are there any disclosure requirements included in the Exposure Draft for which the benefits would not outweigh the costs associated with preparing that information? Why or why not?</w:t>
      </w:r>
    </w:p>
    <w:p w14:paraId="376440B0" w14:textId="77777777" w:rsidR="008846F3" w:rsidRPr="00057ED8" w:rsidRDefault="008846F3" w:rsidP="003D0236">
      <w:pPr>
        <w:autoSpaceDE w:val="0"/>
        <w:autoSpaceDN w:val="0"/>
        <w:adjustRightInd w:val="0"/>
        <w:rPr>
          <w:sz w:val="17"/>
          <w:szCs w:val="17"/>
        </w:rPr>
      </w:pPr>
    </w:p>
    <w:tbl>
      <w:tblPr>
        <w:tblStyle w:val="Mriekatabuky"/>
        <w:tblW w:w="0" w:type="auto"/>
        <w:tblLook w:val="04A0" w:firstRow="1" w:lastRow="0" w:firstColumn="1" w:lastColumn="0" w:noHBand="0" w:noVBand="1"/>
      </w:tblPr>
      <w:tblGrid>
        <w:gridCol w:w="9521"/>
      </w:tblGrid>
      <w:tr w:rsidR="00CF12C2" w:rsidRPr="00057ED8" w14:paraId="541FDD3F" w14:textId="77777777" w:rsidTr="00C61B54">
        <w:trPr>
          <w:trHeight w:val="1625"/>
        </w:trPr>
        <w:tc>
          <w:tcPr>
            <w:tcW w:w="9521" w:type="dxa"/>
          </w:tcPr>
          <w:p w14:paraId="4BB86B8F" w14:textId="0EFB36C0" w:rsidR="00CF12C2" w:rsidRPr="00057ED8" w:rsidRDefault="00A07DE8" w:rsidP="00812D6D">
            <w:pPr>
              <w:pStyle w:val="Odsekzoznamu"/>
              <w:numPr>
                <w:ilvl w:val="0"/>
                <w:numId w:val="49"/>
              </w:numPr>
              <w:rPr>
                <w:szCs w:val="17"/>
                <w:lang w:val="en-GB"/>
              </w:rPr>
            </w:pPr>
            <w:r>
              <w:rPr>
                <w:szCs w:val="17"/>
                <w:lang w:val="en-GB"/>
              </w:rPr>
              <w:t>Please see</w:t>
            </w:r>
            <w:r w:rsidR="00423F65" w:rsidRPr="00057ED8">
              <w:rPr>
                <w:szCs w:val="17"/>
                <w:lang w:val="en-GB"/>
              </w:rPr>
              <w:t xml:space="preserve"> </w:t>
            </w:r>
            <w:r w:rsidR="00BF4833">
              <w:rPr>
                <w:szCs w:val="17"/>
                <w:lang w:val="en-GB"/>
              </w:rPr>
              <w:t>the</w:t>
            </w:r>
            <w:r w:rsidR="00423F65" w:rsidRPr="00057ED8">
              <w:rPr>
                <w:szCs w:val="17"/>
                <w:lang w:val="en-GB"/>
              </w:rPr>
              <w:t xml:space="preserve"> response </w:t>
            </w:r>
            <w:r w:rsidR="00BF4833">
              <w:rPr>
                <w:szCs w:val="17"/>
                <w:lang w:val="en-GB"/>
              </w:rPr>
              <w:t>to</w:t>
            </w:r>
            <w:r w:rsidR="00423F65" w:rsidRPr="00057ED8">
              <w:rPr>
                <w:szCs w:val="17"/>
                <w:lang w:val="en-GB"/>
              </w:rPr>
              <w:t xml:space="preserve"> Question 16 (a) on the Exposure Draft of IFRS S1.</w:t>
            </w:r>
          </w:p>
          <w:p w14:paraId="14AC9F67" w14:textId="6249D68B" w:rsidR="008853BA" w:rsidRPr="00057ED8" w:rsidRDefault="008853BA" w:rsidP="008853BA">
            <w:pPr>
              <w:pStyle w:val="Odsekzoznamu"/>
              <w:ind w:left="720" w:firstLine="0"/>
              <w:rPr>
                <w:szCs w:val="17"/>
                <w:lang w:val="en-GB"/>
              </w:rPr>
            </w:pPr>
            <w:r w:rsidRPr="00057ED8">
              <w:rPr>
                <w:rFonts w:cs="Arial"/>
                <w:lang w:val="en-GB"/>
              </w:rPr>
              <w:t xml:space="preserve">In addition, the disclosure topics and metrics proposed in the draft are both broad and highly detailed. They include large parts of the TCFD recommendations and SASB reporting requirements. It remains unclear what the selection benefit of the ISSB standard is in focusing on the criteria that are most important to investors. If the detailed [Draft] IFRS S2 Climate-related Disclosures Appendix B Industry-based disclosure requirements become mandatory reporting requirements at this very granular level, the reporting burden for </w:t>
            </w:r>
            <w:r w:rsidR="007C3ECE">
              <w:rPr>
                <w:rFonts w:cs="Arial"/>
                <w:lang w:val="en-GB"/>
              </w:rPr>
              <w:t xml:space="preserve">some </w:t>
            </w:r>
            <w:r w:rsidRPr="00057ED8">
              <w:rPr>
                <w:rFonts w:cs="Arial"/>
                <w:lang w:val="en-GB"/>
              </w:rPr>
              <w:t>companies will further increase</w:t>
            </w:r>
            <w:r w:rsidR="0044537B">
              <w:rPr>
                <w:rFonts w:cs="Arial"/>
                <w:lang w:val="en-GB"/>
              </w:rPr>
              <w:t>,</w:t>
            </w:r>
            <w:r w:rsidR="00E66924">
              <w:rPr>
                <w:rFonts w:cs="Arial"/>
                <w:lang w:val="en-GB"/>
              </w:rPr>
              <w:t xml:space="preserve"> while at the same time the </w:t>
            </w:r>
            <w:r w:rsidRPr="00057ED8">
              <w:rPr>
                <w:rFonts w:cs="Arial"/>
                <w:lang w:val="en-GB"/>
              </w:rPr>
              <w:t>benefits are difficult to</w:t>
            </w:r>
            <w:r w:rsidR="00E66924">
              <w:rPr>
                <w:rFonts w:cs="Arial"/>
                <w:lang w:val="en-GB"/>
              </w:rPr>
              <w:t xml:space="preserve"> be</w:t>
            </w:r>
            <w:r w:rsidRPr="00057ED8">
              <w:rPr>
                <w:rFonts w:cs="Arial"/>
                <w:lang w:val="en-GB"/>
              </w:rPr>
              <w:t xml:space="preserve"> estimate</w:t>
            </w:r>
            <w:r w:rsidR="00E66924">
              <w:rPr>
                <w:rFonts w:cs="Arial"/>
                <w:lang w:val="en-GB"/>
              </w:rPr>
              <w:t>d by these undertakings</w:t>
            </w:r>
            <w:r w:rsidRPr="00057ED8">
              <w:rPr>
                <w:rFonts w:cs="Arial"/>
                <w:lang w:val="en-GB"/>
              </w:rPr>
              <w:t>.</w:t>
            </w:r>
          </w:p>
          <w:p w14:paraId="605F37ED" w14:textId="3D6BE4EC" w:rsidR="008853BA" w:rsidRPr="00057ED8" w:rsidRDefault="008853BA" w:rsidP="00C96993">
            <w:pPr>
              <w:pStyle w:val="Odsekzoznamu"/>
              <w:ind w:left="720" w:firstLine="0"/>
              <w:rPr>
                <w:szCs w:val="17"/>
                <w:lang w:val="en-GB"/>
              </w:rPr>
            </w:pPr>
          </w:p>
          <w:p w14:paraId="4E1FB58E" w14:textId="2448D325" w:rsidR="00A714DF" w:rsidRPr="00057ED8" w:rsidRDefault="00A07DE8" w:rsidP="00812D6D">
            <w:pPr>
              <w:pStyle w:val="Odsekzoznamu"/>
              <w:numPr>
                <w:ilvl w:val="0"/>
                <w:numId w:val="49"/>
              </w:numPr>
              <w:rPr>
                <w:szCs w:val="17"/>
                <w:lang w:val="en-GB"/>
              </w:rPr>
            </w:pPr>
            <w:r>
              <w:rPr>
                <w:szCs w:val="17"/>
                <w:lang w:val="en-GB"/>
              </w:rPr>
              <w:t>Please see</w:t>
            </w:r>
            <w:r w:rsidR="00423F65" w:rsidRPr="00057ED8">
              <w:rPr>
                <w:szCs w:val="17"/>
                <w:lang w:val="en-GB"/>
              </w:rPr>
              <w:t xml:space="preserve"> </w:t>
            </w:r>
            <w:r w:rsidR="004329D8">
              <w:rPr>
                <w:szCs w:val="17"/>
                <w:lang w:val="en-GB"/>
              </w:rPr>
              <w:t>the</w:t>
            </w:r>
            <w:r w:rsidR="00423F65" w:rsidRPr="00057ED8">
              <w:rPr>
                <w:szCs w:val="17"/>
                <w:lang w:val="en-GB"/>
              </w:rPr>
              <w:t xml:space="preserve"> response </w:t>
            </w:r>
            <w:r w:rsidR="004329D8">
              <w:rPr>
                <w:szCs w:val="17"/>
                <w:lang w:val="en-GB"/>
              </w:rPr>
              <w:t>to</w:t>
            </w:r>
            <w:r w:rsidR="004329D8" w:rsidRPr="00057ED8">
              <w:rPr>
                <w:szCs w:val="17"/>
                <w:lang w:val="en-GB"/>
              </w:rPr>
              <w:t xml:space="preserve"> </w:t>
            </w:r>
            <w:r w:rsidR="00423F65" w:rsidRPr="00057ED8">
              <w:rPr>
                <w:szCs w:val="17"/>
                <w:lang w:val="en-GB"/>
              </w:rPr>
              <w:t>Question 16 (b) on the Exposure Draft of IFRS S1.</w:t>
            </w:r>
          </w:p>
          <w:p w14:paraId="5FC4E617" w14:textId="5FD0D9C2" w:rsidR="00F20AD7" w:rsidRPr="00F20AD7" w:rsidRDefault="00F20AD7" w:rsidP="00BB4FB0">
            <w:pPr>
              <w:pStyle w:val="Odsekzoznamu"/>
              <w:ind w:left="720" w:firstLine="0"/>
              <w:rPr>
                <w:szCs w:val="17"/>
                <w:lang w:val="en-GB"/>
              </w:rPr>
            </w:pPr>
            <w:r w:rsidRPr="00F20AD7">
              <w:rPr>
                <w:szCs w:val="17"/>
                <w:lang w:val="en-GB"/>
              </w:rPr>
              <w:t xml:space="preserve">Depending on the current maturity of reporting, the interpretation of </w:t>
            </w:r>
            <w:r w:rsidR="004329D8">
              <w:rPr>
                <w:szCs w:val="17"/>
                <w:lang w:val="en-GB"/>
              </w:rPr>
              <w:t>S</w:t>
            </w:r>
            <w:r w:rsidRPr="00F20AD7">
              <w:rPr>
                <w:szCs w:val="17"/>
                <w:lang w:val="en-GB"/>
              </w:rPr>
              <w:t xml:space="preserve">cope 3 emissions can be difficult if financial undertaking 1 is invested in financial undertaking 2 and financial undertaking 2 is also invested in financial undertaking 1. There is a high model risk for computing GHG emissions, but also physical and transition risks for non-standardised assets </w:t>
            </w:r>
            <w:r w:rsidR="004329D8">
              <w:rPr>
                <w:szCs w:val="17"/>
                <w:lang w:val="en-GB"/>
              </w:rPr>
              <w:t>such as</w:t>
            </w:r>
            <w:r w:rsidR="004329D8" w:rsidRPr="00F20AD7">
              <w:rPr>
                <w:szCs w:val="17"/>
                <w:lang w:val="en-GB"/>
              </w:rPr>
              <w:t xml:space="preserve"> </w:t>
            </w:r>
            <w:r w:rsidRPr="00F20AD7">
              <w:rPr>
                <w:szCs w:val="17"/>
                <w:lang w:val="en-GB"/>
              </w:rPr>
              <w:t>infrastructure assets, property and so on. At the same time</w:t>
            </w:r>
            <w:r w:rsidR="004329D8">
              <w:rPr>
                <w:szCs w:val="17"/>
                <w:lang w:val="en-GB"/>
              </w:rPr>
              <w:t>,</w:t>
            </w:r>
            <w:r w:rsidRPr="00F20AD7">
              <w:rPr>
                <w:szCs w:val="17"/>
                <w:lang w:val="en-GB"/>
              </w:rPr>
              <w:t xml:space="preserve"> there are </w:t>
            </w:r>
            <w:r w:rsidR="004329D8">
              <w:rPr>
                <w:szCs w:val="17"/>
                <w:lang w:val="en-GB"/>
              </w:rPr>
              <w:t>significant</w:t>
            </w:r>
            <w:r w:rsidRPr="00F20AD7">
              <w:rPr>
                <w:szCs w:val="17"/>
                <w:lang w:val="en-GB"/>
              </w:rPr>
              <w:t xml:space="preserve"> efforts needed for the computation of the KPIs of these asset classes. </w:t>
            </w:r>
            <w:r w:rsidR="004329D8">
              <w:rPr>
                <w:szCs w:val="17"/>
                <w:lang w:val="en-GB"/>
              </w:rPr>
              <w:t>Insurance Europe</w:t>
            </w:r>
            <w:r w:rsidR="004329D8" w:rsidRPr="00F20AD7">
              <w:rPr>
                <w:szCs w:val="17"/>
                <w:lang w:val="en-GB"/>
              </w:rPr>
              <w:t xml:space="preserve"> </w:t>
            </w:r>
            <w:r w:rsidRPr="00F20AD7">
              <w:rPr>
                <w:szCs w:val="17"/>
                <w:lang w:val="en-GB"/>
              </w:rPr>
              <w:t>would therefore suggest that in a first step the complex KPIs should be limited to standardised assets like listed shares and bonds.</w:t>
            </w:r>
          </w:p>
          <w:p w14:paraId="1FBBEB6E" w14:textId="77777777" w:rsidR="00F20AD7" w:rsidRPr="00F20AD7" w:rsidRDefault="00F20AD7" w:rsidP="00BB4FB0">
            <w:pPr>
              <w:pStyle w:val="Odsekzoznamu"/>
              <w:ind w:left="720" w:firstLine="0"/>
              <w:rPr>
                <w:szCs w:val="17"/>
                <w:lang w:val="en-GB"/>
              </w:rPr>
            </w:pPr>
          </w:p>
          <w:p w14:paraId="59332783" w14:textId="1C8B3A0A" w:rsidR="00F20AD7" w:rsidRDefault="00F20AD7" w:rsidP="00BB4FB0">
            <w:pPr>
              <w:pStyle w:val="Odsekzoznamu"/>
              <w:ind w:left="720" w:firstLine="0"/>
              <w:rPr>
                <w:szCs w:val="17"/>
                <w:lang w:val="en-GB"/>
              </w:rPr>
            </w:pPr>
            <w:r w:rsidRPr="00F20AD7">
              <w:rPr>
                <w:szCs w:val="17"/>
                <w:lang w:val="en-GB"/>
              </w:rPr>
              <w:t xml:space="preserve">Overall, besides the costs </w:t>
            </w:r>
            <w:r w:rsidR="009442AF">
              <w:rPr>
                <w:szCs w:val="17"/>
                <w:lang w:val="en-GB"/>
              </w:rPr>
              <w:t>of</w:t>
            </w:r>
            <w:r w:rsidR="009442AF" w:rsidRPr="00F20AD7">
              <w:rPr>
                <w:szCs w:val="17"/>
                <w:lang w:val="en-GB"/>
              </w:rPr>
              <w:t xml:space="preserve"> </w:t>
            </w:r>
            <w:r w:rsidRPr="00F20AD7">
              <w:rPr>
                <w:szCs w:val="17"/>
                <w:lang w:val="en-GB"/>
              </w:rPr>
              <w:t xml:space="preserve">ongoing application, the key challenge </w:t>
            </w:r>
            <w:r w:rsidR="009442AF">
              <w:rPr>
                <w:szCs w:val="17"/>
                <w:lang w:val="en-GB"/>
              </w:rPr>
              <w:t>for</w:t>
            </w:r>
            <w:r w:rsidR="009442AF" w:rsidRPr="00F20AD7">
              <w:rPr>
                <w:szCs w:val="17"/>
                <w:lang w:val="en-GB"/>
              </w:rPr>
              <w:t xml:space="preserve"> </w:t>
            </w:r>
            <w:r w:rsidRPr="00F20AD7">
              <w:rPr>
                <w:szCs w:val="17"/>
                <w:lang w:val="en-GB"/>
              </w:rPr>
              <w:t>mitigat</w:t>
            </w:r>
            <w:r w:rsidR="009442AF">
              <w:rPr>
                <w:szCs w:val="17"/>
                <w:lang w:val="en-GB"/>
              </w:rPr>
              <w:t>ing</w:t>
            </w:r>
            <w:r w:rsidRPr="00F20AD7">
              <w:rPr>
                <w:szCs w:val="17"/>
                <w:lang w:val="en-GB"/>
              </w:rPr>
              <w:t xml:space="preserve"> costs and </w:t>
            </w:r>
            <w:r w:rsidR="009442AF">
              <w:rPr>
                <w:szCs w:val="17"/>
                <w:lang w:val="en-GB"/>
              </w:rPr>
              <w:t>producing</w:t>
            </w:r>
            <w:r w:rsidR="009442AF" w:rsidRPr="00F20AD7">
              <w:rPr>
                <w:szCs w:val="17"/>
                <w:lang w:val="en-GB"/>
              </w:rPr>
              <w:t xml:space="preserve"> </w:t>
            </w:r>
            <w:r w:rsidRPr="00F20AD7">
              <w:rPr>
                <w:szCs w:val="17"/>
                <w:lang w:val="en-GB"/>
              </w:rPr>
              <w:t>benefits (for EU preparers) is ensuring acceptance by the EU and incorporation in the EU regulatory framew</w:t>
            </w:r>
            <w:r>
              <w:rPr>
                <w:szCs w:val="17"/>
                <w:lang w:val="en-GB"/>
              </w:rPr>
              <w:t>ork.</w:t>
            </w:r>
          </w:p>
          <w:p w14:paraId="437F3D4B" w14:textId="1A804354" w:rsidR="00A82B65" w:rsidRPr="00057ED8" w:rsidRDefault="00A82B65" w:rsidP="00C96993">
            <w:pPr>
              <w:pStyle w:val="Odsekzoznamu"/>
              <w:ind w:left="720" w:firstLine="0"/>
              <w:rPr>
                <w:szCs w:val="17"/>
                <w:lang w:val="en-GB"/>
              </w:rPr>
            </w:pPr>
          </w:p>
          <w:p w14:paraId="5C42729D" w14:textId="77777777" w:rsidR="00A714DF" w:rsidRPr="00057ED8" w:rsidRDefault="003F6B66" w:rsidP="00812D6D">
            <w:pPr>
              <w:pStyle w:val="Odsekzoznamu"/>
              <w:numPr>
                <w:ilvl w:val="0"/>
                <w:numId w:val="49"/>
              </w:numPr>
              <w:rPr>
                <w:szCs w:val="17"/>
                <w:lang w:val="en-GB"/>
              </w:rPr>
            </w:pPr>
            <w:r w:rsidRPr="00057ED8">
              <w:rPr>
                <w:szCs w:val="17"/>
                <w:lang w:val="en-GB"/>
              </w:rPr>
              <w:t xml:space="preserve">Yes / </w:t>
            </w:r>
            <w:r w:rsidRPr="00057ED8">
              <w:rPr>
                <w:szCs w:val="17"/>
                <w:highlight w:val="cyan"/>
                <w:lang w:val="en-GB"/>
              </w:rPr>
              <w:t>no</w:t>
            </w:r>
            <w:r w:rsidRPr="00057ED8">
              <w:rPr>
                <w:szCs w:val="17"/>
                <w:lang w:val="en-GB"/>
              </w:rPr>
              <w:t xml:space="preserve"> / other</w:t>
            </w:r>
          </w:p>
          <w:p w14:paraId="5BA7EC44" w14:textId="7B3BDD9B" w:rsidR="00CB63E8" w:rsidRPr="00057ED8" w:rsidRDefault="00CB63E8" w:rsidP="00A47C89">
            <w:pPr>
              <w:pStyle w:val="Odsekzoznamu"/>
              <w:tabs>
                <w:tab w:val="left" w:pos="8229"/>
              </w:tabs>
              <w:ind w:left="720" w:firstLine="0"/>
              <w:rPr>
                <w:szCs w:val="17"/>
                <w:lang w:val="en-GB"/>
              </w:rPr>
            </w:pPr>
            <w:r w:rsidRPr="00057ED8">
              <w:rPr>
                <w:szCs w:val="17"/>
                <w:lang w:val="en-GB"/>
              </w:rPr>
              <w:t xml:space="preserve">In </w:t>
            </w:r>
            <w:r w:rsidR="009442AF">
              <w:rPr>
                <w:szCs w:val="17"/>
                <w:lang w:val="en-GB"/>
              </w:rPr>
              <w:t>Insurance Europe’s</w:t>
            </w:r>
            <w:r w:rsidR="009442AF" w:rsidRPr="00057ED8">
              <w:rPr>
                <w:szCs w:val="17"/>
                <w:lang w:val="en-GB"/>
              </w:rPr>
              <w:t xml:space="preserve"> </w:t>
            </w:r>
            <w:r w:rsidRPr="00057ED8">
              <w:rPr>
                <w:szCs w:val="17"/>
                <w:lang w:val="en-GB"/>
              </w:rPr>
              <w:t>view, the Climate</w:t>
            </w:r>
            <w:r w:rsidR="0088199D">
              <w:rPr>
                <w:szCs w:val="17"/>
                <w:lang w:val="en-GB"/>
              </w:rPr>
              <w:t xml:space="preserve"> Exposure Draft </w:t>
            </w:r>
            <w:r w:rsidRPr="00057ED8">
              <w:rPr>
                <w:szCs w:val="17"/>
                <w:lang w:val="en-GB"/>
              </w:rPr>
              <w:t xml:space="preserve">does not include disclosure requirements for which the benefits would not </w:t>
            </w:r>
            <w:r w:rsidR="009442AF">
              <w:rPr>
                <w:szCs w:val="17"/>
                <w:lang w:val="en-GB"/>
              </w:rPr>
              <w:t xml:space="preserve">be </w:t>
            </w:r>
            <w:r w:rsidRPr="00057ED8">
              <w:rPr>
                <w:szCs w:val="17"/>
                <w:lang w:val="en-GB"/>
              </w:rPr>
              <w:t>outweigh</w:t>
            </w:r>
            <w:r w:rsidR="009442AF">
              <w:rPr>
                <w:szCs w:val="17"/>
                <w:lang w:val="en-GB"/>
              </w:rPr>
              <w:t>ed by</w:t>
            </w:r>
            <w:r w:rsidRPr="00057ED8">
              <w:rPr>
                <w:szCs w:val="17"/>
                <w:lang w:val="en-GB"/>
              </w:rPr>
              <w:t xml:space="preserve"> the costs associated with preparing th</w:t>
            </w:r>
            <w:r w:rsidR="00814305">
              <w:rPr>
                <w:szCs w:val="17"/>
                <w:lang w:val="en-GB"/>
              </w:rPr>
              <w:t>e</w:t>
            </w:r>
            <w:r w:rsidRPr="00057ED8">
              <w:rPr>
                <w:szCs w:val="17"/>
                <w:lang w:val="en-GB"/>
              </w:rPr>
              <w:t xml:space="preserve"> information.</w:t>
            </w:r>
          </w:p>
        </w:tc>
      </w:tr>
    </w:tbl>
    <w:p w14:paraId="6809C7B2" w14:textId="77777777" w:rsidR="008846F3" w:rsidRPr="00057ED8" w:rsidRDefault="008846F3" w:rsidP="00A20516">
      <w:pPr>
        <w:rPr>
          <w:b/>
          <w:bCs/>
          <w:sz w:val="17"/>
          <w:szCs w:val="17"/>
        </w:rPr>
      </w:pPr>
    </w:p>
    <w:p w14:paraId="1CB81AA1" w14:textId="77777777" w:rsidR="008F5FA2" w:rsidRPr="00057ED8" w:rsidRDefault="008F5FA2" w:rsidP="00A20516">
      <w:pPr>
        <w:rPr>
          <w:b/>
          <w:bCs/>
          <w:sz w:val="17"/>
          <w:szCs w:val="17"/>
        </w:rPr>
      </w:pPr>
      <w:r w:rsidRPr="00057ED8">
        <w:rPr>
          <w:b/>
          <w:bCs/>
          <w:sz w:val="17"/>
          <w:szCs w:val="17"/>
        </w:rPr>
        <w:t>Question 13—Verifiability and enforceability</w:t>
      </w:r>
    </w:p>
    <w:p w14:paraId="1A4F3FAD" w14:textId="77777777" w:rsidR="00084A1E" w:rsidRPr="00057ED8" w:rsidRDefault="00084A1E" w:rsidP="00973DEE">
      <w:pPr>
        <w:rPr>
          <w:sz w:val="17"/>
          <w:szCs w:val="17"/>
        </w:rPr>
      </w:pPr>
      <w:r w:rsidRPr="00057ED8">
        <w:rPr>
          <w:sz w:val="17"/>
          <w:szCs w:val="17"/>
        </w:rPr>
        <w:lastRenderedPageBreak/>
        <w:t>Paragraphs C21–24 of [draft] IFRS S1 General Requirements for Disclosure of Sustainability- related Financial Information describes verifiability as one of the enhancing qualitative characteristics of sustainability-related financial information. Verifiability helps give investors and creditors confidence that information is complete, neutral and accurate. Verifiable information is more useful to investors and creditors than information that is not verifiable.</w:t>
      </w:r>
    </w:p>
    <w:p w14:paraId="6ED10DF4" w14:textId="77777777" w:rsidR="002D5B5D" w:rsidRPr="00057ED8" w:rsidRDefault="002D5B5D" w:rsidP="00973DEE">
      <w:pPr>
        <w:rPr>
          <w:sz w:val="17"/>
          <w:szCs w:val="17"/>
        </w:rPr>
      </w:pPr>
    </w:p>
    <w:p w14:paraId="6D4A9F7E" w14:textId="77777777" w:rsidR="00084A1E" w:rsidRPr="00057ED8" w:rsidRDefault="00084A1E" w:rsidP="00973DEE">
      <w:pPr>
        <w:rPr>
          <w:sz w:val="17"/>
          <w:szCs w:val="17"/>
        </w:rPr>
      </w:pPr>
      <w:r w:rsidRPr="00057ED8">
        <w:rPr>
          <w:sz w:val="17"/>
          <w:szCs w:val="17"/>
        </w:rPr>
        <w:t>Information is verifiable if it is possible to corroborate either the information itself or the inputs used to derive it. Verifiability means that various knowledgeable and independent observers could reach consensus, although not necessarily complete agreement, that a particular depiction is a faithful representation.</w:t>
      </w:r>
    </w:p>
    <w:p w14:paraId="1CF35D2A" w14:textId="77777777" w:rsidR="002D5B5D" w:rsidRPr="00057ED8" w:rsidRDefault="002D5B5D" w:rsidP="00973DEE">
      <w:pPr>
        <w:rPr>
          <w:sz w:val="17"/>
          <w:szCs w:val="17"/>
        </w:rPr>
      </w:pPr>
    </w:p>
    <w:p w14:paraId="62D5A832" w14:textId="77777777" w:rsidR="00084A1E" w:rsidRPr="00057ED8" w:rsidRDefault="00084A1E" w:rsidP="00973DEE">
      <w:pPr>
        <w:rPr>
          <w:sz w:val="17"/>
          <w:szCs w:val="17"/>
        </w:rPr>
      </w:pPr>
      <w:r w:rsidRPr="00057ED8">
        <w:rPr>
          <w:sz w:val="17"/>
          <w:szCs w:val="17"/>
        </w:rPr>
        <w:t>Are there any disclosure requirements proposed in the Exposure Draft that would present particular challenges to verify or to enforce (or that cannot be verified or enforced) by auditors and regulators? If you have identified any disclosure requirements that present challenges, please provide your reasoning.</w:t>
      </w:r>
    </w:p>
    <w:p w14:paraId="1A3B72EA" w14:textId="77777777" w:rsidR="008846F3" w:rsidRPr="00057ED8" w:rsidRDefault="008846F3" w:rsidP="003D0236">
      <w:pPr>
        <w:autoSpaceDE w:val="0"/>
        <w:autoSpaceDN w:val="0"/>
        <w:adjustRightInd w:val="0"/>
        <w:rPr>
          <w:sz w:val="17"/>
          <w:szCs w:val="17"/>
        </w:rPr>
      </w:pPr>
    </w:p>
    <w:tbl>
      <w:tblPr>
        <w:tblStyle w:val="Mriekatabuky"/>
        <w:tblW w:w="0" w:type="auto"/>
        <w:tblLook w:val="04A0" w:firstRow="1" w:lastRow="0" w:firstColumn="1" w:lastColumn="0" w:noHBand="0" w:noVBand="1"/>
      </w:tblPr>
      <w:tblGrid>
        <w:gridCol w:w="9521"/>
      </w:tblGrid>
      <w:tr w:rsidR="00CF12C2" w:rsidRPr="00057ED8" w14:paraId="114CDE09" w14:textId="77777777" w:rsidTr="00C61B54">
        <w:trPr>
          <w:trHeight w:val="1625"/>
        </w:trPr>
        <w:tc>
          <w:tcPr>
            <w:tcW w:w="9521" w:type="dxa"/>
          </w:tcPr>
          <w:p w14:paraId="2FC25D1A" w14:textId="05B8A774" w:rsidR="003F6B66" w:rsidRPr="00057ED8" w:rsidRDefault="003F6B66" w:rsidP="00C61B54">
            <w:pPr>
              <w:rPr>
                <w:sz w:val="17"/>
                <w:szCs w:val="17"/>
              </w:rPr>
            </w:pPr>
            <w:r w:rsidRPr="00057ED8">
              <w:rPr>
                <w:sz w:val="17"/>
                <w:szCs w:val="17"/>
              </w:rPr>
              <w:t xml:space="preserve">Yes / no / </w:t>
            </w:r>
            <w:r w:rsidRPr="00057ED8">
              <w:rPr>
                <w:sz w:val="17"/>
                <w:szCs w:val="17"/>
                <w:highlight w:val="cyan"/>
              </w:rPr>
              <w:t>other</w:t>
            </w:r>
          </w:p>
          <w:p w14:paraId="765D52FF" w14:textId="544E8582" w:rsidR="00124884" w:rsidRDefault="00814305" w:rsidP="00124884">
            <w:pPr>
              <w:spacing w:line="240" w:lineRule="auto"/>
              <w:ind w:right="1050"/>
              <w:rPr>
                <w:rFonts w:eastAsia="Bookman Old Style" w:cs="Bookman Old Style"/>
                <w:sz w:val="17"/>
                <w:szCs w:val="17"/>
              </w:rPr>
            </w:pPr>
            <w:r>
              <w:rPr>
                <w:rFonts w:eastAsia="Bookman Old Style" w:cs="Bookman Old Style"/>
                <w:sz w:val="17"/>
                <w:szCs w:val="17"/>
              </w:rPr>
              <w:t>Insurance Europe</w:t>
            </w:r>
            <w:r w:rsidR="00124884" w:rsidRPr="00057ED8">
              <w:rPr>
                <w:rFonts w:eastAsia="Bookman Old Style" w:cs="Bookman Old Style"/>
                <w:sz w:val="17"/>
                <w:szCs w:val="17"/>
              </w:rPr>
              <w:t xml:space="preserve"> support</w:t>
            </w:r>
            <w:r>
              <w:rPr>
                <w:rFonts w:eastAsia="Bookman Old Style" w:cs="Bookman Old Style"/>
                <w:sz w:val="17"/>
                <w:szCs w:val="17"/>
              </w:rPr>
              <w:t>s</w:t>
            </w:r>
            <w:r w:rsidR="00124884" w:rsidRPr="00057ED8">
              <w:rPr>
                <w:rFonts w:eastAsia="Bookman Old Style" w:cs="Bookman Old Style"/>
                <w:sz w:val="17"/>
                <w:szCs w:val="17"/>
              </w:rPr>
              <w:t xml:space="preserve"> a degree of verification by auditors that would provide comfort and confidence to investors while assessing and using </w:t>
            </w:r>
            <w:r w:rsidR="002966EC" w:rsidRPr="00057ED8">
              <w:rPr>
                <w:rFonts w:eastAsia="Bookman Old Style" w:cs="Bookman Old Style"/>
                <w:sz w:val="17"/>
                <w:szCs w:val="17"/>
              </w:rPr>
              <w:t>sustainability</w:t>
            </w:r>
            <w:r w:rsidR="00124884" w:rsidRPr="00057ED8">
              <w:rPr>
                <w:rFonts w:eastAsia="Bookman Old Style" w:cs="Bookman Old Style"/>
                <w:sz w:val="17"/>
                <w:szCs w:val="17"/>
              </w:rPr>
              <w:t xml:space="preserve"> information. Yet</w:t>
            </w:r>
            <w:r w:rsidR="00C00193" w:rsidRPr="00057ED8">
              <w:rPr>
                <w:rFonts w:eastAsia="Bookman Old Style" w:cs="Bookman Old Style"/>
                <w:sz w:val="17"/>
                <w:szCs w:val="17"/>
              </w:rPr>
              <w:t>,</w:t>
            </w:r>
            <w:r w:rsidR="00124884" w:rsidRPr="00057ED8">
              <w:rPr>
                <w:rFonts w:eastAsia="Bookman Old Style" w:cs="Bookman Old Style"/>
                <w:sz w:val="17"/>
                <w:szCs w:val="17"/>
              </w:rPr>
              <w:t xml:space="preserve"> as methodologies are new and most information will be qualitative and data will be estimated, </w:t>
            </w:r>
            <w:r>
              <w:rPr>
                <w:rFonts w:eastAsia="Bookman Old Style" w:cs="Bookman Old Style"/>
                <w:sz w:val="17"/>
                <w:szCs w:val="17"/>
              </w:rPr>
              <w:t>it</w:t>
            </w:r>
            <w:r w:rsidRPr="00057ED8">
              <w:rPr>
                <w:rFonts w:eastAsia="Bookman Old Style" w:cs="Bookman Old Style"/>
                <w:sz w:val="17"/>
                <w:szCs w:val="17"/>
              </w:rPr>
              <w:t xml:space="preserve"> </w:t>
            </w:r>
            <w:proofErr w:type="gramStart"/>
            <w:r w:rsidR="00124884" w:rsidRPr="00057ED8">
              <w:rPr>
                <w:rFonts w:eastAsia="Bookman Old Style" w:cs="Bookman Old Style"/>
                <w:sz w:val="17"/>
                <w:szCs w:val="17"/>
              </w:rPr>
              <w:t>anticipate</w:t>
            </w:r>
            <w:proofErr w:type="gramEnd"/>
            <w:r w:rsidR="00124884" w:rsidRPr="00057ED8">
              <w:rPr>
                <w:rFonts w:eastAsia="Bookman Old Style" w:cs="Bookman Old Style"/>
                <w:sz w:val="17"/>
                <w:szCs w:val="17"/>
              </w:rPr>
              <w:t xml:space="preserve"> challenges in verifying sustainability reporting in a first instance. To overcome such challenge</w:t>
            </w:r>
            <w:r>
              <w:rPr>
                <w:rFonts w:eastAsia="Bookman Old Style" w:cs="Bookman Old Style"/>
                <w:sz w:val="17"/>
                <w:szCs w:val="17"/>
              </w:rPr>
              <w:t>s</w:t>
            </w:r>
            <w:r w:rsidR="00124884" w:rsidRPr="00057ED8">
              <w:rPr>
                <w:rFonts w:eastAsia="Bookman Old Style" w:cs="Bookman Old Style"/>
                <w:sz w:val="17"/>
                <w:szCs w:val="17"/>
              </w:rPr>
              <w:t xml:space="preserve">, it is </w:t>
            </w:r>
            <w:r>
              <w:rPr>
                <w:rFonts w:eastAsia="Bookman Old Style" w:cs="Bookman Old Style"/>
                <w:sz w:val="17"/>
                <w:szCs w:val="17"/>
              </w:rPr>
              <w:t>vital</w:t>
            </w:r>
            <w:r w:rsidRPr="00057ED8">
              <w:rPr>
                <w:rFonts w:eastAsia="Bookman Old Style" w:cs="Bookman Old Style"/>
                <w:sz w:val="17"/>
                <w:szCs w:val="17"/>
              </w:rPr>
              <w:t xml:space="preserve"> </w:t>
            </w:r>
            <w:r w:rsidR="00124884" w:rsidRPr="00057ED8">
              <w:rPr>
                <w:rFonts w:eastAsia="Bookman Old Style" w:cs="Bookman Old Style"/>
                <w:sz w:val="17"/>
                <w:szCs w:val="17"/>
              </w:rPr>
              <w:t xml:space="preserve">that entities disclose </w:t>
            </w:r>
            <w:r>
              <w:rPr>
                <w:rFonts w:eastAsia="Bookman Old Style" w:cs="Bookman Old Style"/>
                <w:sz w:val="17"/>
                <w:szCs w:val="17"/>
              </w:rPr>
              <w:t xml:space="preserve">the </w:t>
            </w:r>
            <w:r w:rsidR="00124884" w:rsidRPr="00057ED8">
              <w:rPr>
                <w:rFonts w:eastAsia="Bookman Old Style" w:cs="Bookman Old Style"/>
                <w:sz w:val="17"/>
                <w:szCs w:val="17"/>
              </w:rPr>
              <w:t xml:space="preserve">methodologies and key assumptions </w:t>
            </w:r>
            <w:r w:rsidR="007F7F14">
              <w:rPr>
                <w:rFonts w:eastAsia="Bookman Old Style" w:cs="Bookman Old Style"/>
                <w:sz w:val="17"/>
                <w:szCs w:val="17"/>
              </w:rPr>
              <w:t xml:space="preserve">used </w:t>
            </w:r>
            <w:r w:rsidR="00124884" w:rsidRPr="00057ED8">
              <w:rPr>
                <w:rFonts w:eastAsia="Bookman Old Style" w:cs="Bookman Old Style"/>
                <w:sz w:val="17"/>
                <w:szCs w:val="17"/>
              </w:rPr>
              <w:t>and that the ISSB provides guidance on recogni</w:t>
            </w:r>
            <w:r w:rsidR="005A06D4" w:rsidRPr="00057ED8">
              <w:rPr>
                <w:rFonts w:eastAsia="Bookman Old Style" w:cs="Bookman Old Style"/>
                <w:sz w:val="17"/>
                <w:szCs w:val="17"/>
              </w:rPr>
              <w:t>s</w:t>
            </w:r>
            <w:r w:rsidR="00124884" w:rsidRPr="00057ED8">
              <w:rPr>
                <w:rFonts w:eastAsia="Bookman Old Style" w:cs="Bookman Old Style"/>
                <w:sz w:val="17"/>
                <w:szCs w:val="17"/>
              </w:rPr>
              <w:t xml:space="preserve">ed frameworks that can help entities in performing their calculations. </w:t>
            </w:r>
          </w:p>
          <w:p w14:paraId="61C44C18" w14:textId="3D790AD6" w:rsidR="006F3C8E" w:rsidRPr="00057ED8" w:rsidRDefault="006F3C8E" w:rsidP="00124884">
            <w:pPr>
              <w:spacing w:line="240" w:lineRule="auto"/>
              <w:ind w:right="1050"/>
              <w:rPr>
                <w:rFonts w:eastAsia="Bookman Old Style" w:cs="Bookman Old Style"/>
                <w:sz w:val="17"/>
                <w:szCs w:val="17"/>
              </w:rPr>
            </w:pPr>
            <w:r>
              <w:rPr>
                <w:rFonts w:eastAsia="Bookman Old Style" w:cs="Bookman Old Style"/>
                <w:sz w:val="17"/>
                <w:szCs w:val="17"/>
              </w:rPr>
              <w:t>Besides this, appropriate audit proof processes must be established.</w:t>
            </w:r>
          </w:p>
          <w:p w14:paraId="3774A78F" w14:textId="0C8D71D1" w:rsidR="00CF12C2" w:rsidRPr="00057ED8" w:rsidRDefault="00CF12C2" w:rsidP="00C61B54">
            <w:pPr>
              <w:rPr>
                <w:sz w:val="17"/>
                <w:szCs w:val="17"/>
              </w:rPr>
            </w:pPr>
          </w:p>
        </w:tc>
      </w:tr>
    </w:tbl>
    <w:p w14:paraId="6EFE904C" w14:textId="77777777" w:rsidR="008846F3" w:rsidRPr="00057ED8" w:rsidRDefault="008846F3" w:rsidP="003D0236">
      <w:pPr>
        <w:autoSpaceDE w:val="0"/>
        <w:autoSpaceDN w:val="0"/>
        <w:adjustRightInd w:val="0"/>
        <w:rPr>
          <w:sz w:val="17"/>
          <w:szCs w:val="17"/>
        </w:rPr>
      </w:pPr>
    </w:p>
    <w:p w14:paraId="7FC1B698" w14:textId="77777777" w:rsidR="0075460C" w:rsidRPr="00057ED8" w:rsidRDefault="0075460C" w:rsidP="00A20516">
      <w:pPr>
        <w:rPr>
          <w:b/>
          <w:bCs/>
          <w:sz w:val="17"/>
          <w:szCs w:val="17"/>
        </w:rPr>
      </w:pPr>
      <w:r w:rsidRPr="00057ED8">
        <w:rPr>
          <w:b/>
          <w:bCs/>
          <w:sz w:val="17"/>
          <w:szCs w:val="17"/>
        </w:rPr>
        <w:t>Question 14—Effective date</w:t>
      </w:r>
    </w:p>
    <w:p w14:paraId="27E52828" w14:textId="77777777" w:rsidR="00167E72" w:rsidRPr="00057ED8" w:rsidRDefault="00167E72" w:rsidP="00973DEE">
      <w:pPr>
        <w:rPr>
          <w:sz w:val="17"/>
          <w:szCs w:val="17"/>
        </w:rPr>
      </w:pPr>
      <w:r w:rsidRPr="00057ED8">
        <w:rPr>
          <w:sz w:val="17"/>
          <w:szCs w:val="17"/>
        </w:rPr>
        <w:t>Because the Exposure Draft is building upon sustainability-related and integrated reporting frameworks used by some entities, some may be able to apply a retrospective approach to provide comparative information in the first year of application. However, it is acknowledged that entities will vary in their ability to use a retrospective approach.</w:t>
      </w:r>
    </w:p>
    <w:p w14:paraId="0ACED82D" w14:textId="77777777" w:rsidR="002D5B5D" w:rsidRPr="00057ED8" w:rsidRDefault="002D5B5D" w:rsidP="00973DEE">
      <w:pPr>
        <w:rPr>
          <w:sz w:val="17"/>
          <w:szCs w:val="17"/>
        </w:rPr>
      </w:pPr>
    </w:p>
    <w:p w14:paraId="1D425908" w14:textId="77777777" w:rsidR="00167E72" w:rsidRPr="00057ED8" w:rsidRDefault="00167E72" w:rsidP="00973DEE">
      <w:pPr>
        <w:rPr>
          <w:sz w:val="17"/>
          <w:szCs w:val="17"/>
        </w:rPr>
      </w:pPr>
      <w:r w:rsidRPr="00057ED8">
        <w:rPr>
          <w:sz w:val="17"/>
          <w:szCs w:val="17"/>
        </w:rPr>
        <w:t>Acknowledging this situation and to facilitate timely application of the proposals in the Exposure Draft, it is proposed that an entity is not required to disclose comparative information in the first period of application.</w:t>
      </w:r>
    </w:p>
    <w:p w14:paraId="66F67D8C" w14:textId="77777777" w:rsidR="002D5B5D" w:rsidRPr="00057ED8" w:rsidRDefault="002D5B5D" w:rsidP="00973DEE">
      <w:pPr>
        <w:rPr>
          <w:sz w:val="17"/>
          <w:szCs w:val="17"/>
        </w:rPr>
      </w:pPr>
    </w:p>
    <w:p w14:paraId="155E3ADC" w14:textId="77777777" w:rsidR="00167E72" w:rsidRPr="00057ED8" w:rsidRDefault="00167E72" w:rsidP="00973DEE">
      <w:pPr>
        <w:rPr>
          <w:sz w:val="17"/>
          <w:szCs w:val="17"/>
        </w:rPr>
      </w:pPr>
      <w:r w:rsidRPr="00057ED8">
        <w:rPr>
          <w:sz w:val="17"/>
          <w:szCs w:val="17"/>
        </w:rPr>
        <w:t>[Draft] IFRS S1 General Requirements for Disclosure of Sustainability-related Financial Information requires entities to disclose all material information about sustainability- related risks and opportunities. It is intended that [draft] IFRS S1 General Requirements for Disclosure of Sustainability-related Financial Information be applied in conjunction with the Exposure Draft. This could pose challenges for preparers, given that the Exposure Draft proposes disclosure requirements for climate-related risks and opportunities, which are a subset of those sustainability-related risks and opportunities. Therefore, the requirements included in [draft] IFRS S1 General Requirements for Disclosure of Sustainability- related Financial Information could take longer to implement.</w:t>
      </w:r>
    </w:p>
    <w:p w14:paraId="743D8785" w14:textId="77777777" w:rsidR="002D5B5D" w:rsidRPr="00057ED8" w:rsidRDefault="002D5B5D" w:rsidP="00973DEE">
      <w:pPr>
        <w:rPr>
          <w:sz w:val="17"/>
          <w:szCs w:val="17"/>
        </w:rPr>
      </w:pPr>
    </w:p>
    <w:p w14:paraId="5B04D12D" w14:textId="77777777" w:rsidR="00167E72" w:rsidRPr="00057ED8" w:rsidRDefault="00167E72" w:rsidP="00973DEE">
      <w:pPr>
        <w:rPr>
          <w:sz w:val="17"/>
          <w:szCs w:val="17"/>
        </w:rPr>
      </w:pPr>
      <w:r w:rsidRPr="00057ED8">
        <w:rPr>
          <w:sz w:val="17"/>
          <w:szCs w:val="17"/>
        </w:rPr>
        <w:t>Paragraphs BC190–BC194 of the Basis for Conclusions describe the reasoning behind the Exposure Draft's proposals.</w:t>
      </w:r>
    </w:p>
    <w:p w14:paraId="62D9A195" w14:textId="77777777" w:rsidR="00167E72" w:rsidRPr="00057ED8" w:rsidRDefault="00167E72" w:rsidP="00812D6D">
      <w:pPr>
        <w:pStyle w:val="Odsekzoznamu"/>
        <w:numPr>
          <w:ilvl w:val="0"/>
          <w:numId w:val="27"/>
        </w:numPr>
        <w:spacing w:before="0" w:line="288" w:lineRule="auto"/>
        <w:rPr>
          <w:szCs w:val="17"/>
          <w:lang w:val="en-GB"/>
        </w:rPr>
      </w:pPr>
      <w:r w:rsidRPr="00057ED8">
        <w:rPr>
          <w:szCs w:val="17"/>
          <w:lang w:val="en-GB"/>
        </w:rPr>
        <w:t>Do you think that the effective date of the Exposure Draft should be earlier, later or the same as that of [draft] IFRS S1 General Requirements for Disclosure of Sustainability-related Financial Information? Why?</w:t>
      </w:r>
    </w:p>
    <w:p w14:paraId="02D17802" w14:textId="77777777" w:rsidR="002D5B5D" w:rsidRPr="00057ED8" w:rsidRDefault="002D5B5D" w:rsidP="002D5B5D">
      <w:pPr>
        <w:pStyle w:val="Odsekzoznamu"/>
        <w:spacing w:before="0" w:line="288" w:lineRule="auto"/>
        <w:ind w:left="720" w:firstLine="0"/>
        <w:rPr>
          <w:szCs w:val="17"/>
          <w:lang w:val="en-GB"/>
        </w:rPr>
      </w:pPr>
    </w:p>
    <w:p w14:paraId="5218C318" w14:textId="77777777" w:rsidR="00167E72" w:rsidRPr="00057ED8" w:rsidRDefault="00167E72" w:rsidP="00812D6D">
      <w:pPr>
        <w:pStyle w:val="Odsekzoznamu"/>
        <w:numPr>
          <w:ilvl w:val="0"/>
          <w:numId w:val="27"/>
        </w:numPr>
        <w:spacing w:before="0" w:line="288" w:lineRule="auto"/>
        <w:rPr>
          <w:szCs w:val="17"/>
          <w:lang w:val="en-GB"/>
        </w:rPr>
      </w:pPr>
      <w:r w:rsidRPr="00057ED8">
        <w:rPr>
          <w:szCs w:val="17"/>
          <w:lang w:val="en-GB"/>
        </w:rPr>
        <w:t>When the ISSB sets the effective date, how long does this need to be after a final Standard is issued? Please explain the reason for your answer including specific information about the preparation that will be required by entities applying the proposals in the Exposure Draft.</w:t>
      </w:r>
    </w:p>
    <w:p w14:paraId="1BCFACB0" w14:textId="77777777" w:rsidR="002D5B5D" w:rsidRPr="00057ED8" w:rsidRDefault="002D5B5D" w:rsidP="002D5B5D">
      <w:pPr>
        <w:pStyle w:val="Odsekzoznamu"/>
        <w:rPr>
          <w:szCs w:val="17"/>
          <w:lang w:val="en-GB"/>
        </w:rPr>
      </w:pPr>
    </w:p>
    <w:p w14:paraId="1B015420" w14:textId="77777777" w:rsidR="00167E72" w:rsidRPr="00057ED8" w:rsidRDefault="00167E72" w:rsidP="00812D6D">
      <w:pPr>
        <w:pStyle w:val="Odsekzoznamu"/>
        <w:numPr>
          <w:ilvl w:val="0"/>
          <w:numId w:val="27"/>
        </w:numPr>
        <w:spacing w:before="0" w:line="288" w:lineRule="auto"/>
        <w:rPr>
          <w:szCs w:val="17"/>
          <w:lang w:val="en-GB"/>
        </w:rPr>
      </w:pPr>
      <w:r w:rsidRPr="00057ED8">
        <w:rPr>
          <w:szCs w:val="17"/>
          <w:lang w:val="en-GB"/>
        </w:rPr>
        <w:t xml:space="preserve">Do you think that entities could apply any of the disclosure requirements included in the Exposure Draft earlier than others? (For example, could disclosure requirements related to </w:t>
      </w:r>
      <w:r w:rsidRPr="00057ED8">
        <w:rPr>
          <w:szCs w:val="17"/>
          <w:lang w:val="en-GB"/>
        </w:rPr>
        <w:lastRenderedPageBreak/>
        <w:t>governance be applied earlier than those related to the resilience of an entity’s strategy?) If so, which requirements could be applied earlier and do you believe that some requirements in the Exposure Draft should be required to be applied earlier than others?</w:t>
      </w:r>
    </w:p>
    <w:p w14:paraId="61651007" w14:textId="77777777" w:rsidR="008846F3" w:rsidRPr="00057ED8" w:rsidRDefault="008846F3" w:rsidP="003D0236">
      <w:pPr>
        <w:autoSpaceDE w:val="0"/>
        <w:autoSpaceDN w:val="0"/>
        <w:adjustRightInd w:val="0"/>
        <w:rPr>
          <w:sz w:val="17"/>
          <w:szCs w:val="17"/>
        </w:rPr>
      </w:pPr>
    </w:p>
    <w:tbl>
      <w:tblPr>
        <w:tblStyle w:val="Mriekatabuky"/>
        <w:tblW w:w="0" w:type="auto"/>
        <w:tblLook w:val="04A0" w:firstRow="1" w:lastRow="0" w:firstColumn="1" w:lastColumn="0" w:noHBand="0" w:noVBand="1"/>
      </w:tblPr>
      <w:tblGrid>
        <w:gridCol w:w="9521"/>
      </w:tblGrid>
      <w:tr w:rsidR="00CF12C2" w:rsidRPr="00057ED8" w14:paraId="01D60C10" w14:textId="77777777" w:rsidTr="00C61B54">
        <w:trPr>
          <w:trHeight w:val="1625"/>
        </w:trPr>
        <w:tc>
          <w:tcPr>
            <w:tcW w:w="9521" w:type="dxa"/>
          </w:tcPr>
          <w:p w14:paraId="0042A779" w14:textId="77777777" w:rsidR="0088174F" w:rsidRPr="00057ED8" w:rsidRDefault="00771D92" w:rsidP="00812D6D">
            <w:pPr>
              <w:pStyle w:val="Odsekzoznamu"/>
              <w:numPr>
                <w:ilvl w:val="0"/>
                <w:numId w:val="50"/>
              </w:numPr>
              <w:rPr>
                <w:szCs w:val="17"/>
                <w:lang w:val="en-GB"/>
              </w:rPr>
            </w:pPr>
            <w:r w:rsidRPr="00057ED8">
              <w:rPr>
                <w:lang w:val="en-GB"/>
              </w:rPr>
              <w:t xml:space="preserve">Earlier / Later / </w:t>
            </w:r>
            <w:r w:rsidRPr="00057ED8">
              <w:rPr>
                <w:highlight w:val="cyan"/>
                <w:lang w:val="en-GB"/>
              </w:rPr>
              <w:t>The same as</w:t>
            </w:r>
          </w:p>
          <w:p w14:paraId="2677B263" w14:textId="6F31A738" w:rsidR="005357C4" w:rsidRPr="00057ED8" w:rsidRDefault="0088174F" w:rsidP="0088174F">
            <w:pPr>
              <w:pStyle w:val="Odsekzoznamu"/>
              <w:ind w:left="720" w:firstLine="0"/>
              <w:rPr>
                <w:szCs w:val="17"/>
                <w:lang w:val="en-GB"/>
              </w:rPr>
            </w:pPr>
            <w:r w:rsidRPr="00057ED8">
              <w:rPr>
                <w:szCs w:val="17"/>
                <w:lang w:val="en-GB"/>
              </w:rPr>
              <w:t xml:space="preserve">Overall, given the urgent need for globally consistent and comparable sustainability-related data, </w:t>
            </w:r>
            <w:r w:rsidR="007F7F14">
              <w:rPr>
                <w:szCs w:val="17"/>
                <w:lang w:val="en-GB"/>
              </w:rPr>
              <w:t>Insurance Europ</w:t>
            </w:r>
            <w:r w:rsidRPr="00057ED8">
              <w:rPr>
                <w:szCs w:val="17"/>
                <w:lang w:val="en-GB"/>
              </w:rPr>
              <w:t>e strongly urge</w:t>
            </w:r>
            <w:r w:rsidR="007F7F14">
              <w:rPr>
                <w:szCs w:val="17"/>
                <w:lang w:val="en-GB"/>
              </w:rPr>
              <w:t>s</w:t>
            </w:r>
            <w:r w:rsidRPr="00057ED8">
              <w:rPr>
                <w:szCs w:val="17"/>
                <w:lang w:val="en-GB"/>
              </w:rPr>
              <w:t xml:space="preserve"> the ISSB to pursue an ambitious timeline. At the same time, the ISSB must ensure an appropriate due process to avoid achieving pace at the expense of quality. </w:t>
            </w:r>
            <w:r w:rsidR="005357C4" w:rsidRPr="00057ED8">
              <w:rPr>
                <w:szCs w:val="17"/>
                <w:lang w:val="en-GB"/>
              </w:rPr>
              <w:t>In general, preparers should be given at least 18 months between the adoption of a standard and its application. The ISSB should also consider aligning its application date with the EU’s CSRD.</w:t>
            </w:r>
            <w:r w:rsidR="00AF5979" w:rsidRPr="00057ED8">
              <w:rPr>
                <w:szCs w:val="17"/>
                <w:lang w:val="en-GB"/>
              </w:rPr>
              <w:t xml:space="preserve"> </w:t>
            </w:r>
            <w:r w:rsidR="00F07327">
              <w:rPr>
                <w:szCs w:val="17"/>
                <w:lang w:val="en-GB"/>
              </w:rPr>
              <w:t xml:space="preserve">Furthermore, </w:t>
            </w:r>
            <w:r w:rsidR="00330578" w:rsidRPr="00B22DF8">
              <w:rPr>
                <w:szCs w:val="17"/>
              </w:rPr>
              <w:t xml:space="preserve">given the complex and jurisdiction-specific sustainability reporting landscape, </w:t>
            </w:r>
            <w:r w:rsidR="00A07DE8">
              <w:rPr>
                <w:szCs w:val="17"/>
              </w:rPr>
              <w:t>Insurance Europe</w:t>
            </w:r>
            <w:r w:rsidR="00A07DE8" w:rsidRPr="00B22DF8">
              <w:rPr>
                <w:szCs w:val="17"/>
              </w:rPr>
              <w:t xml:space="preserve"> </w:t>
            </w:r>
            <w:r w:rsidR="00330578" w:rsidRPr="00B22DF8">
              <w:rPr>
                <w:szCs w:val="17"/>
              </w:rPr>
              <w:t>fully support</w:t>
            </w:r>
            <w:r w:rsidR="00A07DE8">
              <w:rPr>
                <w:szCs w:val="17"/>
              </w:rPr>
              <w:t>s</w:t>
            </w:r>
            <w:r w:rsidR="00330578" w:rsidRPr="00B22DF8">
              <w:rPr>
                <w:szCs w:val="17"/>
              </w:rPr>
              <w:t xml:space="preserve"> earlier application </w:t>
            </w:r>
            <w:r w:rsidR="00A07DE8">
              <w:rPr>
                <w:szCs w:val="17"/>
              </w:rPr>
              <w:t>being</w:t>
            </w:r>
            <w:r w:rsidR="00330578" w:rsidRPr="00B22DF8">
              <w:rPr>
                <w:szCs w:val="17"/>
              </w:rPr>
              <w:t xml:space="preserve"> allowed and deem</w:t>
            </w:r>
            <w:r w:rsidR="00A07DE8">
              <w:rPr>
                <w:szCs w:val="17"/>
              </w:rPr>
              <w:t>s</w:t>
            </w:r>
            <w:r w:rsidR="00330578" w:rsidRPr="00B22DF8">
              <w:rPr>
                <w:szCs w:val="17"/>
              </w:rPr>
              <w:t xml:space="preserve"> this as essential.</w:t>
            </w:r>
          </w:p>
          <w:p w14:paraId="4B66B442" w14:textId="77777777" w:rsidR="00CF12C2" w:rsidRPr="00057ED8" w:rsidRDefault="00CF12C2" w:rsidP="005357C4">
            <w:pPr>
              <w:rPr>
                <w:sz w:val="17"/>
                <w:szCs w:val="17"/>
              </w:rPr>
            </w:pPr>
          </w:p>
          <w:p w14:paraId="50882950" w14:textId="2DFD9FEC" w:rsidR="00771D92" w:rsidRPr="00057ED8" w:rsidRDefault="00A07DE8" w:rsidP="00812D6D">
            <w:pPr>
              <w:pStyle w:val="Odsekzoznamu"/>
              <w:numPr>
                <w:ilvl w:val="0"/>
                <w:numId w:val="50"/>
              </w:numPr>
              <w:rPr>
                <w:szCs w:val="17"/>
                <w:lang w:val="en-GB"/>
              </w:rPr>
            </w:pPr>
            <w:r>
              <w:rPr>
                <w:szCs w:val="17"/>
                <w:lang w:val="en-GB"/>
              </w:rPr>
              <w:t>Please see the</w:t>
            </w:r>
            <w:r w:rsidRPr="00057ED8">
              <w:rPr>
                <w:szCs w:val="17"/>
                <w:lang w:val="en-GB"/>
              </w:rPr>
              <w:t xml:space="preserve"> </w:t>
            </w:r>
            <w:r w:rsidR="003E1747" w:rsidRPr="00057ED8">
              <w:rPr>
                <w:szCs w:val="17"/>
                <w:lang w:val="en-GB"/>
              </w:rPr>
              <w:t>response to Q13a of</w:t>
            </w:r>
            <w:r w:rsidR="0088199D">
              <w:rPr>
                <w:szCs w:val="17"/>
                <w:lang w:val="en-GB"/>
              </w:rPr>
              <w:t xml:space="preserve"> Exposure Draft </w:t>
            </w:r>
            <w:r w:rsidR="003E1747" w:rsidRPr="00057ED8">
              <w:rPr>
                <w:szCs w:val="17"/>
                <w:lang w:val="en-GB"/>
              </w:rPr>
              <w:t>IFRS S1</w:t>
            </w:r>
          </w:p>
          <w:p w14:paraId="4FB2B800" w14:textId="05CACF87" w:rsidR="00771D92" w:rsidRPr="00057ED8" w:rsidRDefault="00771D92" w:rsidP="00812D6D">
            <w:pPr>
              <w:pStyle w:val="Odsekzoznamu"/>
              <w:numPr>
                <w:ilvl w:val="0"/>
                <w:numId w:val="50"/>
              </w:numPr>
              <w:rPr>
                <w:szCs w:val="17"/>
                <w:lang w:val="en-GB"/>
              </w:rPr>
            </w:pPr>
            <w:r w:rsidRPr="00057ED8">
              <w:rPr>
                <w:szCs w:val="17"/>
                <w:lang w:val="en-GB"/>
              </w:rPr>
              <w:t xml:space="preserve">Broadly agree / </w:t>
            </w:r>
            <w:r w:rsidRPr="00057ED8">
              <w:rPr>
                <w:szCs w:val="17"/>
                <w:highlight w:val="cyan"/>
                <w:lang w:val="en-GB"/>
              </w:rPr>
              <w:t>broadly disagree</w:t>
            </w:r>
            <w:r w:rsidRPr="00057ED8">
              <w:rPr>
                <w:szCs w:val="17"/>
                <w:lang w:val="en-GB"/>
              </w:rPr>
              <w:t xml:space="preserve"> / other</w:t>
            </w:r>
          </w:p>
          <w:p w14:paraId="5C33FDC8" w14:textId="268240C4" w:rsidR="00126EDD" w:rsidRPr="00057ED8" w:rsidRDefault="00126EDD" w:rsidP="00126EDD">
            <w:pPr>
              <w:pStyle w:val="Odsekzoznamu"/>
              <w:ind w:left="720" w:firstLine="0"/>
              <w:rPr>
                <w:szCs w:val="17"/>
                <w:lang w:val="en-GB"/>
              </w:rPr>
            </w:pPr>
            <w:r w:rsidRPr="00057ED8">
              <w:rPr>
                <w:szCs w:val="17"/>
                <w:lang w:val="en-GB"/>
              </w:rPr>
              <w:t xml:space="preserve">The simultaneous introduction is reasonable due to interlocking. </w:t>
            </w:r>
            <w:r w:rsidR="00EB24B1">
              <w:rPr>
                <w:szCs w:val="17"/>
                <w:lang w:val="en-GB"/>
              </w:rPr>
              <w:t>The a</w:t>
            </w:r>
            <w:r w:rsidRPr="00057ED8">
              <w:rPr>
                <w:szCs w:val="17"/>
                <w:lang w:val="en-GB"/>
              </w:rPr>
              <w:t xml:space="preserve">dded value of a phased-in approach for investors </w:t>
            </w:r>
            <w:r w:rsidR="008059C4">
              <w:rPr>
                <w:szCs w:val="17"/>
                <w:lang w:val="en-GB"/>
              </w:rPr>
              <w:t>should</w:t>
            </w:r>
            <w:r w:rsidRPr="00057ED8">
              <w:rPr>
                <w:szCs w:val="17"/>
                <w:lang w:val="en-GB"/>
              </w:rPr>
              <w:t xml:space="preserve"> be assessed critically</w:t>
            </w:r>
            <w:r w:rsidR="003A7C9F">
              <w:rPr>
                <w:szCs w:val="17"/>
                <w:lang w:val="en-GB"/>
              </w:rPr>
              <w:t>. However,</w:t>
            </w:r>
            <w:r w:rsidR="008059C4">
              <w:rPr>
                <w:szCs w:val="17"/>
                <w:lang w:val="en-GB"/>
              </w:rPr>
              <w:t xml:space="preserve"> it could be </w:t>
            </w:r>
            <w:r w:rsidR="008207F8">
              <w:rPr>
                <w:szCs w:val="17"/>
                <w:lang w:val="en-GB"/>
              </w:rPr>
              <w:t xml:space="preserve">worth </w:t>
            </w:r>
            <w:r w:rsidR="008059C4">
              <w:rPr>
                <w:szCs w:val="17"/>
                <w:lang w:val="en-GB"/>
              </w:rPr>
              <w:t>consider</w:t>
            </w:r>
            <w:r w:rsidR="008207F8">
              <w:rPr>
                <w:szCs w:val="17"/>
                <w:lang w:val="en-GB"/>
              </w:rPr>
              <w:t>ing</w:t>
            </w:r>
            <w:r w:rsidR="002F61E3">
              <w:rPr>
                <w:szCs w:val="17"/>
                <w:lang w:val="en-GB"/>
              </w:rPr>
              <w:t xml:space="preserve"> whether the financial sector should report with a one-year delay as soon as investee data is available.</w:t>
            </w:r>
          </w:p>
          <w:p w14:paraId="66059970" w14:textId="45361FFE" w:rsidR="003E1747" w:rsidRPr="00057ED8" w:rsidRDefault="003E1747" w:rsidP="00C96993">
            <w:pPr>
              <w:pStyle w:val="Odsekzoznamu"/>
              <w:ind w:left="720" w:firstLine="0"/>
              <w:rPr>
                <w:szCs w:val="17"/>
                <w:lang w:val="en-GB"/>
              </w:rPr>
            </w:pPr>
          </w:p>
          <w:p w14:paraId="5455FCF4" w14:textId="17F93D56" w:rsidR="00771D92" w:rsidRPr="00057ED8" w:rsidRDefault="00771D92" w:rsidP="00B0233C">
            <w:pPr>
              <w:rPr>
                <w:szCs w:val="17"/>
              </w:rPr>
            </w:pPr>
          </w:p>
        </w:tc>
      </w:tr>
    </w:tbl>
    <w:p w14:paraId="556EA043" w14:textId="77777777" w:rsidR="00CF12C2" w:rsidRPr="00057ED8" w:rsidRDefault="00CF12C2" w:rsidP="003D0236">
      <w:pPr>
        <w:autoSpaceDE w:val="0"/>
        <w:autoSpaceDN w:val="0"/>
        <w:adjustRightInd w:val="0"/>
        <w:rPr>
          <w:sz w:val="17"/>
          <w:szCs w:val="17"/>
        </w:rPr>
      </w:pPr>
    </w:p>
    <w:p w14:paraId="4ECC8D0C" w14:textId="77777777" w:rsidR="00D6410A" w:rsidRPr="00057ED8" w:rsidRDefault="00D6410A" w:rsidP="00A20516">
      <w:pPr>
        <w:rPr>
          <w:b/>
          <w:bCs/>
          <w:sz w:val="17"/>
          <w:szCs w:val="17"/>
        </w:rPr>
      </w:pPr>
      <w:r w:rsidRPr="00057ED8">
        <w:rPr>
          <w:b/>
          <w:bCs/>
          <w:sz w:val="17"/>
          <w:szCs w:val="17"/>
        </w:rPr>
        <w:t>Question 15—Digital reporting</w:t>
      </w:r>
    </w:p>
    <w:p w14:paraId="400A78FD" w14:textId="77777777" w:rsidR="00554836" w:rsidRPr="00057ED8" w:rsidRDefault="00554836" w:rsidP="00973DEE">
      <w:pPr>
        <w:rPr>
          <w:sz w:val="17"/>
          <w:szCs w:val="17"/>
        </w:rPr>
      </w:pPr>
      <w:r w:rsidRPr="00057ED8">
        <w:rPr>
          <w:sz w:val="17"/>
          <w:szCs w:val="17"/>
        </w:rPr>
        <w:t>The ISSB plans to prioritise enabling digital consumption of sustainability-related financial information prepared in accordance with IFRS Sustainability Disclosure Standards from the outset of its work. The primary benefit of digital consumption of sustainability-related financial information, as compared to paper-based consumption, is improved accessibility, enabling easier extraction and comparison of information. To facilitate digital consumption of information provided in accordance with IFRS Sustainability Disclosure Standards, an IFRS Sustainability Disclosures Taxonomy is being developed by the IFRS Foundation. The Exposure Draft and [draft] IFRS S1 General Requirements for Disclosure of Sustainability-related Financial Information Standards are the sources for the Taxonomy.</w:t>
      </w:r>
    </w:p>
    <w:p w14:paraId="64097884" w14:textId="77777777" w:rsidR="002D5B5D" w:rsidRPr="00057ED8" w:rsidRDefault="002D5B5D" w:rsidP="00973DEE">
      <w:pPr>
        <w:rPr>
          <w:sz w:val="17"/>
          <w:szCs w:val="17"/>
        </w:rPr>
      </w:pPr>
    </w:p>
    <w:p w14:paraId="6CD04F15" w14:textId="77777777" w:rsidR="00554836" w:rsidRPr="00057ED8" w:rsidRDefault="00554836" w:rsidP="00973DEE">
      <w:pPr>
        <w:rPr>
          <w:sz w:val="17"/>
          <w:szCs w:val="17"/>
        </w:rPr>
      </w:pPr>
      <w:r w:rsidRPr="00057ED8">
        <w:rPr>
          <w:sz w:val="17"/>
          <w:szCs w:val="17"/>
        </w:rPr>
        <w:t>It is intended that a staff draft of the Taxonomy will be published shortly after the release of the Exposure Draft, accompanied by a staff paper which will include an overview of the essential proposals for the Taxonomy. At a later date, an Exposure Draft of Taxonomy proposals is planned to be published by the ISSB for public consultation.</w:t>
      </w:r>
    </w:p>
    <w:p w14:paraId="0C351854" w14:textId="77777777" w:rsidR="002D5B5D" w:rsidRPr="00057ED8" w:rsidRDefault="002D5B5D" w:rsidP="00973DEE">
      <w:pPr>
        <w:rPr>
          <w:sz w:val="17"/>
          <w:szCs w:val="17"/>
        </w:rPr>
      </w:pPr>
    </w:p>
    <w:p w14:paraId="0E76DC48" w14:textId="77777777" w:rsidR="00554836" w:rsidRPr="00057ED8" w:rsidRDefault="00554836" w:rsidP="00973DEE">
      <w:pPr>
        <w:rPr>
          <w:sz w:val="17"/>
          <w:szCs w:val="17"/>
        </w:rPr>
      </w:pPr>
      <w:r w:rsidRPr="00057ED8">
        <w:rPr>
          <w:sz w:val="17"/>
          <w:szCs w:val="17"/>
        </w:rPr>
        <w:t>Do you have any comments or suggestions relating to the drafting of the Exposure Draft that would facilitate the development of a Taxonomy and digital reporting (for example, any particular disclosure requirements that could be difficult to tag digitally)?</w:t>
      </w:r>
    </w:p>
    <w:p w14:paraId="408C50D9" w14:textId="77777777" w:rsidR="00167E72" w:rsidRPr="00057ED8" w:rsidRDefault="00167E72" w:rsidP="003D0236">
      <w:pPr>
        <w:autoSpaceDE w:val="0"/>
        <w:autoSpaceDN w:val="0"/>
        <w:adjustRightInd w:val="0"/>
        <w:rPr>
          <w:sz w:val="17"/>
          <w:szCs w:val="17"/>
        </w:rPr>
      </w:pPr>
    </w:p>
    <w:tbl>
      <w:tblPr>
        <w:tblStyle w:val="Mriekatabuky"/>
        <w:tblW w:w="0" w:type="auto"/>
        <w:tblLook w:val="04A0" w:firstRow="1" w:lastRow="0" w:firstColumn="1" w:lastColumn="0" w:noHBand="0" w:noVBand="1"/>
      </w:tblPr>
      <w:tblGrid>
        <w:gridCol w:w="9521"/>
      </w:tblGrid>
      <w:tr w:rsidR="00CF12C2" w:rsidRPr="00057ED8" w14:paraId="062621CA" w14:textId="77777777" w:rsidTr="00C61B54">
        <w:trPr>
          <w:trHeight w:val="1625"/>
        </w:trPr>
        <w:tc>
          <w:tcPr>
            <w:tcW w:w="9521" w:type="dxa"/>
          </w:tcPr>
          <w:p w14:paraId="0A0D462F" w14:textId="3A3F5BEE" w:rsidR="00AC47DC" w:rsidRPr="00057ED8" w:rsidRDefault="00AC47DC" w:rsidP="00C61B54">
            <w:pPr>
              <w:rPr>
                <w:sz w:val="17"/>
                <w:szCs w:val="17"/>
              </w:rPr>
            </w:pPr>
            <w:r w:rsidRPr="00057ED8">
              <w:rPr>
                <w:sz w:val="17"/>
                <w:szCs w:val="17"/>
              </w:rPr>
              <w:t xml:space="preserve">To ensure compatibility with the EU reporting landscape on the one hand, and to contribute to </w:t>
            </w:r>
            <w:r w:rsidR="008207F8">
              <w:rPr>
                <w:sz w:val="17"/>
                <w:szCs w:val="17"/>
              </w:rPr>
              <w:t xml:space="preserve">the </w:t>
            </w:r>
            <w:r w:rsidRPr="00057ED8">
              <w:rPr>
                <w:sz w:val="17"/>
                <w:szCs w:val="17"/>
              </w:rPr>
              <w:t xml:space="preserve">global availability and accessibility of data more generally on the other, </w:t>
            </w:r>
            <w:r w:rsidR="008207F8">
              <w:rPr>
                <w:sz w:val="17"/>
                <w:szCs w:val="17"/>
              </w:rPr>
              <w:t>Insurance Europe</w:t>
            </w:r>
            <w:r w:rsidR="008207F8" w:rsidRPr="00057ED8">
              <w:rPr>
                <w:sz w:val="17"/>
                <w:szCs w:val="17"/>
              </w:rPr>
              <w:t xml:space="preserve"> </w:t>
            </w:r>
            <w:r w:rsidRPr="00057ED8">
              <w:rPr>
                <w:sz w:val="17"/>
                <w:szCs w:val="17"/>
              </w:rPr>
              <w:t xml:space="preserve">would strongly support </w:t>
            </w:r>
            <w:r w:rsidR="008207F8">
              <w:rPr>
                <w:sz w:val="17"/>
                <w:szCs w:val="17"/>
              </w:rPr>
              <w:t>the development by</w:t>
            </w:r>
            <w:r w:rsidR="008207F8" w:rsidRPr="00057ED8">
              <w:rPr>
                <w:sz w:val="17"/>
                <w:szCs w:val="17"/>
              </w:rPr>
              <w:t xml:space="preserve"> </w:t>
            </w:r>
            <w:r w:rsidRPr="00057ED8">
              <w:rPr>
                <w:sz w:val="17"/>
                <w:szCs w:val="17"/>
              </w:rPr>
              <w:t xml:space="preserve">the ISSB </w:t>
            </w:r>
            <w:r w:rsidR="008207F8">
              <w:rPr>
                <w:sz w:val="17"/>
                <w:szCs w:val="17"/>
              </w:rPr>
              <w:t>of</w:t>
            </w:r>
            <w:r w:rsidRPr="00057ED8">
              <w:rPr>
                <w:sz w:val="17"/>
                <w:szCs w:val="17"/>
              </w:rPr>
              <w:t xml:space="preserve"> a digital taxonomy in parallel </w:t>
            </w:r>
            <w:r w:rsidR="00D238AA">
              <w:rPr>
                <w:sz w:val="17"/>
                <w:szCs w:val="17"/>
              </w:rPr>
              <w:t>with</w:t>
            </w:r>
            <w:r w:rsidR="00D238AA" w:rsidRPr="00057ED8">
              <w:rPr>
                <w:sz w:val="17"/>
                <w:szCs w:val="17"/>
              </w:rPr>
              <w:t xml:space="preserve"> </w:t>
            </w:r>
            <w:r w:rsidRPr="00057ED8">
              <w:rPr>
                <w:sz w:val="17"/>
                <w:szCs w:val="17"/>
              </w:rPr>
              <w:t>the development</w:t>
            </w:r>
            <w:r w:rsidR="00D238AA">
              <w:rPr>
                <w:sz w:val="17"/>
                <w:szCs w:val="17"/>
              </w:rPr>
              <w:t>,</w:t>
            </w:r>
            <w:r w:rsidRPr="00057ED8">
              <w:rPr>
                <w:sz w:val="17"/>
                <w:szCs w:val="17"/>
              </w:rPr>
              <w:t xml:space="preserve"> </w:t>
            </w:r>
            <w:r w:rsidR="00D238AA">
              <w:rPr>
                <w:sz w:val="17"/>
                <w:szCs w:val="17"/>
              </w:rPr>
              <w:t xml:space="preserve">from the beginning, </w:t>
            </w:r>
            <w:r w:rsidRPr="00057ED8">
              <w:rPr>
                <w:sz w:val="17"/>
                <w:szCs w:val="17"/>
              </w:rPr>
              <w:t xml:space="preserve">of the IFRS Sustainability Disclosure Standards. </w:t>
            </w:r>
            <w:r w:rsidR="00D238AA">
              <w:rPr>
                <w:sz w:val="17"/>
                <w:szCs w:val="17"/>
              </w:rPr>
              <w:t>T</w:t>
            </w:r>
            <w:r w:rsidRPr="00057ED8">
              <w:rPr>
                <w:sz w:val="17"/>
                <w:szCs w:val="17"/>
              </w:rPr>
              <w:t xml:space="preserve">his is essential to establish an efficient and standardised global reporting regime. </w:t>
            </w:r>
          </w:p>
          <w:p w14:paraId="49E3F72C" w14:textId="77777777" w:rsidR="00AC47DC" w:rsidRPr="00057ED8" w:rsidRDefault="00AC47DC" w:rsidP="00C61B54">
            <w:pPr>
              <w:rPr>
                <w:sz w:val="17"/>
                <w:szCs w:val="17"/>
              </w:rPr>
            </w:pPr>
          </w:p>
          <w:p w14:paraId="22A3EF75" w14:textId="1B739C79" w:rsidR="00CF12C2" w:rsidRPr="00057ED8" w:rsidRDefault="00AC47DC" w:rsidP="00C61B54">
            <w:pPr>
              <w:rPr>
                <w:sz w:val="17"/>
                <w:szCs w:val="17"/>
              </w:rPr>
            </w:pPr>
            <w:r w:rsidRPr="00057ED8">
              <w:rPr>
                <w:sz w:val="17"/>
                <w:szCs w:val="17"/>
              </w:rPr>
              <w:t>Further</w:t>
            </w:r>
            <w:r w:rsidR="00194B16" w:rsidRPr="00057ED8">
              <w:rPr>
                <w:sz w:val="17"/>
                <w:szCs w:val="17"/>
              </w:rPr>
              <w:t>more</w:t>
            </w:r>
            <w:r w:rsidRPr="00057ED8">
              <w:rPr>
                <w:sz w:val="17"/>
                <w:szCs w:val="17"/>
              </w:rPr>
              <w:t xml:space="preserve">, </w:t>
            </w:r>
            <w:r w:rsidR="00D238AA">
              <w:rPr>
                <w:sz w:val="17"/>
                <w:szCs w:val="17"/>
              </w:rPr>
              <w:t>Insurance Europe</w:t>
            </w:r>
            <w:r w:rsidR="00194B16" w:rsidRPr="00057ED8">
              <w:rPr>
                <w:sz w:val="17"/>
                <w:szCs w:val="17"/>
              </w:rPr>
              <w:t xml:space="preserve"> recommend</w:t>
            </w:r>
            <w:r w:rsidR="00D238AA">
              <w:rPr>
                <w:sz w:val="17"/>
                <w:szCs w:val="17"/>
              </w:rPr>
              <w:t>s</w:t>
            </w:r>
            <w:r w:rsidR="00194B16" w:rsidRPr="00057ED8">
              <w:rPr>
                <w:sz w:val="17"/>
                <w:szCs w:val="17"/>
              </w:rPr>
              <w:t xml:space="preserve"> that </w:t>
            </w:r>
            <w:r w:rsidRPr="00057ED8">
              <w:rPr>
                <w:sz w:val="17"/>
                <w:szCs w:val="17"/>
              </w:rPr>
              <w:t xml:space="preserve">the </w:t>
            </w:r>
            <w:r w:rsidR="00C93783" w:rsidRPr="00057ED8">
              <w:rPr>
                <w:sz w:val="17"/>
                <w:szCs w:val="17"/>
              </w:rPr>
              <w:t xml:space="preserve">ISSB </w:t>
            </w:r>
            <w:r w:rsidR="004D5F39" w:rsidRPr="00057ED8">
              <w:rPr>
                <w:sz w:val="17"/>
                <w:szCs w:val="17"/>
              </w:rPr>
              <w:t>work</w:t>
            </w:r>
            <w:r w:rsidR="00D238AA">
              <w:rPr>
                <w:sz w:val="17"/>
                <w:szCs w:val="17"/>
              </w:rPr>
              <w:t>s</w:t>
            </w:r>
            <w:r w:rsidR="004D5F39" w:rsidRPr="00057ED8">
              <w:rPr>
                <w:sz w:val="17"/>
                <w:szCs w:val="17"/>
              </w:rPr>
              <w:t xml:space="preserve"> hand in hand with the EU</w:t>
            </w:r>
            <w:r w:rsidR="00DA7E05" w:rsidRPr="00057ED8">
              <w:rPr>
                <w:sz w:val="17"/>
                <w:szCs w:val="17"/>
              </w:rPr>
              <w:t xml:space="preserve">, which has significant experience </w:t>
            </w:r>
            <w:r w:rsidR="00D238AA">
              <w:rPr>
                <w:sz w:val="17"/>
                <w:szCs w:val="17"/>
              </w:rPr>
              <w:t>i</w:t>
            </w:r>
            <w:r w:rsidR="00DA7E05" w:rsidRPr="00057ED8">
              <w:rPr>
                <w:sz w:val="17"/>
                <w:szCs w:val="17"/>
              </w:rPr>
              <w:t>n</w:t>
            </w:r>
            <w:r w:rsidR="00D238AA">
              <w:rPr>
                <w:sz w:val="17"/>
                <w:szCs w:val="17"/>
              </w:rPr>
              <w:t xml:space="preserve"> the</w:t>
            </w:r>
            <w:r w:rsidR="00DA7E05" w:rsidRPr="00057ED8">
              <w:rPr>
                <w:sz w:val="17"/>
                <w:szCs w:val="17"/>
              </w:rPr>
              <w:t xml:space="preserve"> digitalisation of reporting (through ESEF and ESAP), to </w:t>
            </w:r>
            <w:r w:rsidR="00C93783" w:rsidRPr="00057ED8">
              <w:rPr>
                <w:sz w:val="17"/>
                <w:szCs w:val="17"/>
              </w:rPr>
              <w:t xml:space="preserve">align </w:t>
            </w:r>
            <w:r w:rsidR="00194B16" w:rsidRPr="00057ED8">
              <w:rPr>
                <w:sz w:val="17"/>
                <w:szCs w:val="17"/>
              </w:rPr>
              <w:t xml:space="preserve">the digital format of </w:t>
            </w:r>
            <w:r w:rsidR="00D238AA">
              <w:rPr>
                <w:sz w:val="17"/>
                <w:szCs w:val="17"/>
              </w:rPr>
              <w:t>its</w:t>
            </w:r>
            <w:r w:rsidR="00D238AA" w:rsidRPr="00057ED8">
              <w:rPr>
                <w:sz w:val="17"/>
                <w:szCs w:val="17"/>
              </w:rPr>
              <w:t xml:space="preserve"> </w:t>
            </w:r>
            <w:r w:rsidR="00194B16" w:rsidRPr="00057ED8">
              <w:rPr>
                <w:sz w:val="17"/>
                <w:szCs w:val="17"/>
              </w:rPr>
              <w:t xml:space="preserve">digital taxonomy </w:t>
            </w:r>
            <w:r w:rsidR="00C93783" w:rsidRPr="00057ED8">
              <w:rPr>
                <w:sz w:val="17"/>
                <w:szCs w:val="17"/>
              </w:rPr>
              <w:t>with existing EU initiative</w:t>
            </w:r>
            <w:r w:rsidR="00DA7E05" w:rsidRPr="00057ED8">
              <w:rPr>
                <w:sz w:val="17"/>
                <w:szCs w:val="17"/>
              </w:rPr>
              <w:t>s</w:t>
            </w:r>
            <w:r w:rsidR="00C93783" w:rsidRPr="00057ED8">
              <w:rPr>
                <w:sz w:val="17"/>
                <w:szCs w:val="17"/>
              </w:rPr>
              <w:t>.</w:t>
            </w:r>
          </w:p>
        </w:tc>
      </w:tr>
    </w:tbl>
    <w:p w14:paraId="5680E8D3" w14:textId="77777777" w:rsidR="002D5B5D" w:rsidRPr="00057ED8" w:rsidRDefault="002D5B5D" w:rsidP="003D0236">
      <w:pPr>
        <w:autoSpaceDE w:val="0"/>
        <w:autoSpaceDN w:val="0"/>
        <w:adjustRightInd w:val="0"/>
        <w:rPr>
          <w:sz w:val="17"/>
          <w:szCs w:val="17"/>
        </w:rPr>
      </w:pPr>
    </w:p>
    <w:p w14:paraId="77D673CA" w14:textId="77777777" w:rsidR="007A3E51" w:rsidRPr="00057ED8" w:rsidRDefault="007A3E51" w:rsidP="00A20516">
      <w:pPr>
        <w:rPr>
          <w:b/>
          <w:bCs/>
          <w:sz w:val="17"/>
          <w:szCs w:val="17"/>
        </w:rPr>
      </w:pPr>
      <w:r w:rsidRPr="00057ED8">
        <w:rPr>
          <w:b/>
          <w:bCs/>
          <w:sz w:val="17"/>
          <w:szCs w:val="17"/>
        </w:rPr>
        <w:t>Question 16—Global baseline</w:t>
      </w:r>
    </w:p>
    <w:p w14:paraId="003935F2" w14:textId="77777777" w:rsidR="00A02A0D" w:rsidRPr="00057ED8" w:rsidRDefault="00A02A0D" w:rsidP="00973DEE">
      <w:pPr>
        <w:rPr>
          <w:sz w:val="17"/>
          <w:szCs w:val="17"/>
        </w:rPr>
      </w:pPr>
      <w:r w:rsidRPr="00057ED8">
        <w:rPr>
          <w:sz w:val="17"/>
          <w:szCs w:val="17"/>
        </w:rPr>
        <w:lastRenderedPageBreak/>
        <w:t xml:space="preserve">IFRS Sustainability Disclosure Standards are intended to meet the needs of the users of </w:t>
      </w:r>
      <w:proofErr w:type="gramStart"/>
      <w:r w:rsidRPr="00057ED8">
        <w:rPr>
          <w:sz w:val="17"/>
          <w:szCs w:val="17"/>
        </w:rPr>
        <w:t>general purpose</w:t>
      </w:r>
      <w:proofErr w:type="gramEnd"/>
      <w:r w:rsidRPr="00057ED8">
        <w:rPr>
          <w:sz w:val="17"/>
          <w:szCs w:val="17"/>
        </w:rPr>
        <w:t xml:space="preserve"> financial reporting to enable them to make assessments of enterprise value, providing a comprehensive global baseline for the assessment of enterprise value. Other stakeholders are also interested in the effects of climate change. Those needs may be met by requirements set by others including regulators and jurisdictions. The ISSB intends that such requirements by others could build on the comprehensive global baseline established by the IFRS Sustainability Disclosure Standards.</w:t>
      </w:r>
    </w:p>
    <w:p w14:paraId="44816467" w14:textId="77777777" w:rsidR="002D5B5D" w:rsidRPr="00057ED8" w:rsidRDefault="002D5B5D" w:rsidP="00973DEE">
      <w:pPr>
        <w:rPr>
          <w:sz w:val="17"/>
          <w:szCs w:val="17"/>
        </w:rPr>
      </w:pPr>
    </w:p>
    <w:p w14:paraId="2DD724D6" w14:textId="77777777" w:rsidR="00A02A0D" w:rsidRPr="00057ED8" w:rsidRDefault="00A02A0D" w:rsidP="00973DEE">
      <w:pPr>
        <w:rPr>
          <w:sz w:val="17"/>
          <w:szCs w:val="17"/>
        </w:rPr>
      </w:pPr>
      <w:r w:rsidRPr="00057ED8">
        <w:rPr>
          <w:sz w:val="17"/>
          <w:szCs w:val="17"/>
        </w:rPr>
        <w:t>Are there any particular aspects of the proposals in the Exposure Draft that you believe would limit the ability of IFRS Sustainability Disclosure Standards to be used in this manner? If so, what aspects and why? What would you suggest instead and why?</w:t>
      </w:r>
    </w:p>
    <w:p w14:paraId="32113444" w14:textId="77777777" w:rsidR="007A3E51" w:rsidRPr="00057ED8" w:rsidRDefault="007A3E51" w:rsidP="003D0236">
      <w:pPr>
        <w:autoSpaceDE w:val="0"/>
        <w:autoSpaceDN w:val="0"/>
        <w:adjustRightInd w:val="0"/>
        <w:rPr>
          <w:sz w:val="17"/>
          <w:szCs w:val="17"/>
        </w:rPr>
      </w:pPr>
    </w:p>
    <w:tbl>
      <w:tblPr>
        <w:tblStyle w:val="Mriekatabuky"/>
        <w:tblW w:w="0" w:type="auto"/>
        <w:tblLook w:val="04A0" w:firstRow="1" w:lastRow="0" w:firstColumn="1" w:lastColumn="0" w:noHBand="0" w:noVBand="1"/>
      </w:tblPr>
      <w:tblGrid>
        <w:gridCol w:w="9521"/>
      </w:tblGrid>
      <w:tr w:rsidR="00CF12C2" w:rsidRPr="00057ED8" w14:paraId="3519FCD0" w14:textId="77777777" w:rsidTr="00C61B54">
        <w:trPr>
          <w:trHeight w:val="1625"/>
        </w:trPr>
        <w:tc>
          <w:tcPr>
            <w:tcW w:w="9521" w:type="dxa"/>
          </w:tcPr>
          <w:p w14:paraId="65BD980A" w14:textId="506A1B4E" w:rsidR="00B0233C" w:rsidRPr="00057ED8" w:rsidRDefault="00B0233C" w:rsidP="00C93783">
            <w:pPr>
              <w:rPr>
                <w:sz w:val="17"/>
                <w:szCs w:val="17"/>
              </w:rPr>
            </w:pPr>
            <w:r w:rsidRPr="00057ED8">
              <w:rPr>
                <w:sz w:val="17"/>
                <w:szCs w:val="17"/>
              </w:rPr>
              <w:t xml:space="preserve">Yes / no / </w:t>
            </w:r>
            <w:r w:rsidRPr="00057ED8">
              <w:rPr>
                <w:sz w:val="17"/>
                <w:szCs w:val="17"/>
                <w:highlight w:val="cyan"/>
              </w:rPr>
              <w:t>other</w:t>
            </w:r>
          </w:p>
          <w:p w14:paraId="33FD38F0" w14:textId="77777777" w:rsidR="00B0233C" w:rsidRPr="00057ED8" w:rsidRDefault="00B0233C" w:rsidP="00C93783">
            <w:pPr>
              <w:rPr>
                <w:sz w:val="17"/>
                <w:szCs w:val="17"/>
              </w:rPr>
            </w:pPr>
          </w:p>
          <w:p w14:paraId="7A65101B" w14:textId="4A1E96B0" w:rsidR="00C93783" w:rsidRPr="00057ED8" w:rsidRDefault="00C93783" w:rsidP="00D8379E">
            <w:pPr>
              <w:spacing w:line="240" w:lineRule="auto"/>
              <w:rPr>
                <w:sz w:val="17"/>
                <w:szCs w:val="17"/>
              </w:rPr>
            </w:pPr>
            <w:r w:rsidRPr="00057ED8">
              <w:rPr>
                <w:sz w:val="17"/>
                <w:szCs w:val="17"/>
              </w:rPr>
              <w:t xml:space="preserve">European </w:t>
            </w:r>
            <w:r w:rsidR="00D238AA">
              <w:rPr>
                <w:sz w:val="17"/>
                <w:szCs w:val="17"/>
              </w:rPr>
              <w:t>i</w:t>
            </w:r>
            <w:r w:rsidRPr="00057ED8">
              <w:rPr>
                <w:sz w:val="17"/>
                <w:szCs w:val="17"/>
              </w:rPr>
              <w:t>nsurers support the ISSB</w:t>
            </w:r>
            <w:r w:rsidR="00D8379E">
              <w:rPr>
                <w:sz w:val="17"/>
                <w:szCs w:val="17"/>
              </w:rPr>
              <w:t>’s</w:t>
            </w:r>
            <w:r w:rsidRPr="00057ED8">
              <w:rPr>
                <w:sz w:val="17"/>
                <w:szCs w:val="17"/>
              </w:rPr>
              <w:t xml:space="preserve"> objective of promoting the convergence of national and regional sustainability reporting standards and IFRS sustainability reporting standards</w:t>
            </w:r>
            <w:r w:rsidR="00D8379E">
              <w:rPr>
                <w:sz w:val="17"/>
                <w:szCs w:val="17"/>
              </w:rPr>
              <w:t xml:space="preserve"> by creating a global baseline</w:t>
            </w:r>
            <w:r w:rsidRPr="00057ED8">
              <w:rPr>
                <w:sz w:val="17"/>
                <w:szCs w:val="17"/>
              </w:rPr>
              <w:t>. Indeed, cooperation with existing initiatives is key: global standards should be based as much as possible on relevant and well-established</w:t>
            </w:r>
            <w:r w:rsidR="000D27D0">
              <w:rPr>
                <w:sz w:val="17"/>
                <w:szCs w:val="17"/>
              </w:rPr>
              <w:t>,</w:t>
            </w:r>
            <w:r w:rsidRPr="00057ED8">
              <w:rPr>
                <w:sz w:val="17"/>
                <w:szCs w:val="17"/>
              </w:rPr>
              <w:t xml:space="preserve"> existing sustainability reporting guidance (</w:t>
            </w:r>
            <w:proofErr w:type="spellStart"/>
            <w:r w:rsidRPr="00057ED8">
              <w:rPr>
                <w:sz w:val="17"/>
                <w:szCs w:val="17"/>
              </w:rPr>
              <w:t>eg</w:t>
            </w:r>
            <w:proofErr w:type="spellEnd"/>
            <w:r w:rsidR="000D27D0">
              <w:rPr>
                <w:sz w:val="17"/>
                <w:szCs w:val="17"/>
              </w:rPr>
              <w:t>,</w:t>
            </w:r>
            <w:r w:rsidRPr="00057ED8">
              <w:rPr>
                <w:sz w:val="17"/>
                <w:szCs w:val="17"/>
              </w:rPr>
              <w:t xml:space="preserve"> principles and definitions) that have already reached a high level of maturity, such as the TCFD framework for climate-related reporting.</w:t>
            </w:r>
          </w:p>
          <w:p w14:paraId="1227D951" w14:textId="77777777" w:rsidR="00C93783" w:rsidRPr="00057ED8" w:rsidRDefault="00C93783" w:rsidP="00D8379E">
            <w:pPr>
              <w:spacing w:line="240" w:lineRule="auto"/>
              <w:rPr>
                <w:sz w:val="17"/>
                <w:szCs w:val="17"/>
              </w:rPr>
            </w:pPr>
          </w:p>
          <w:p w14:paraId="1DC8B57F" w14:textId="7AFE4655" w:rsidR="00C93783" w:rsidRPr="00057ED8" w:rsidRDefault="00C93783" w:rsidP="00D8379E">
            <w:pPr>
              <w:spacing w:line="240" w:lineRule="auto"/>
              <w:rPr>
                <w:sz w:val="17"/>
                <w:szCs w:val="17"/>
              </w:rPr>
            </w:pPr>
            <w:r w:rsidRPr="00057ED8">
              <w:rPr>
                <w:sz w:val="17"/>
                <w:szCs w:val="17"/>
              </w:rPr>
              <w:t>Insurers welcome the fact that the IFRS Foundation intends to collaborate with regional initiatives</w:t>
            </w:r>
            <w:r w:rsidR="00672488" w:rsidRPr="00057ED8">
              <w:rPr>
                <w:sz w:val="17"/>
                <w:szCs w:val="17"/>
              </w:rPr>
              <w:t xml:space="preserve"> and </w:t>
            </w:r>
            <w:r w:rsidR="00D8379E">
              <w:rPr>
                <w:sz w:val="17"/>
                <w:szCs w:val="17"/>
              </w:rPr>
              <w:t>has</w:t>
            </w:r>
            <w:r w:rsidR="00D8379E" w:rsidRPr="00057ED8">
              <w:rPr>
                <w:sz w:val="17"/>
                <w:szCs w:val="17"/>
              </w:rPr>
              <w:t xml:space="preserve"> </w:t>
            </w:r>
            <w:r w:rsidR="00672488" w:rsidRPr="00057ED8">
              <w:rPr>
                <w:sz w:val="17"/>
                <w:szCs w:val="17"/>
              </w:rPr>
              <w:t>the objective of creating a global baseline for sustainability reporting</w:t>
            </w:r>
            <w:r w:rsidRPr="00057ED8">
              <w:rPr>
                <w:sz w:val="17"/>
                <w:szCs w:val="17"/>
              </w:rPr>
              <w:t xml:space="preserve">. It is </w:t>
            </w:r>
            <w:r w:rsidR="000D27D0">
              <w:rPr>
                <w:sz w:val="17"/>
                <w:szCs w:val="17"/>
              </w:rPr>
              <w:t>impo</w:t>
            </w:r>
            <w:r w:rsidR="005E02C3">
              <w:rPr>
                <w:sz w:val="17"/>
                <w:szCs w:val="17"/>
              </w:rPr>
              <w:t>r</w:t>
            </w:r>
            <w:r w:rsidR="000D27D0">
              <w:rPr>
                <w:sz w:val="17"/>
                <w:szCs w:val="17"/>
              </w:rPr>
              <w:t>tant</w:t>
            </w:r>
            <w:r w:rsidR="000D27D0" w:rsidRPr="00057ED8">
              <w:rPr>
                <w:sz w:val="17"/>
                <w:szCs w:val="17"/>
              </w:rPr>
              <w:t xml:space="preserve"> </w:t>
            </w:r>
            <w:r w:rsidRPr="00057ED8">
              <w:rPr>
                <w:sz w:val="17"/>
                <w:szCs w:val="17"/>
              </w:rPr>
              <w:t>that the set-up of the ISSB allows for jurisdictions and their standard</w:t>
            </w:r>
            <w:r w:rsidR="000D27D0">
              <w:rPr>
                <w:sz w:val="17"/>
                <w:szCs w:val="17"/>
              </w:rPr>
              <w:t>-</w:t>
            </w:r>
            <w:r w:rsidRPr="00057ED8">
              <w:rPr>
                <w:sz w:val="17"/>
                <w:szCs w:val="17"/>
              </w:rPr>
              <w:t>setters to get involved and contribute to the standardisation initiative at global level through constructive</w:t>
            </w:r>
            <w:r w:rsidR="000D27D0">
              <w:rPr>
                <w:sz w:val="17"/>
                <w:szCs w:val="17"/>
              </w:rPr>
              <w:t>,</w:t>
            </w:r>
            <w:r w:rsidRPr="00057ED8">
              <w:rPr>
                <w:sz w:val="17"/>
                <w:szCs w:val="17"/>
              </w:rPr>
              <w:t xml:space="preserve"> two-way cooperation. Interoperability with existing and upcoming sustainability reporting standards developed by national and regional standard-setters worldwide is essential.</w:t>
            </w:r>
          </w:p>
          <w:p w14:paraId="37E77E09" w14:textId="77777777" w:rsidR="00C93783" w:rsidRPr="00057ED8" w:rsidRDefault="00C93783" w:rsidP="00D8379E">
            <w:pPr>
              <w:spacing w:line="240" w:lineRule="auto"/>
              <w:rPr>
                <w:sz w:val="17"/>
                <w:szCs w:val="17"/>
              </w:rPr>
            </w:pPr>
          </w:p>
          <w:p w14:paraId="722C7885" w14:textId="568E0861" w:rsidR="00CF12C2" w:rsidRPr="00057ED8" w:rsidRDefault="00C93783" w:rsidP="00D8379E">
            <w:pPr>
              <w:spacing w:line="240" w:lineRule="auto"/>
              <w:rPr>
                <w:sz w:val="17"/>
                <w:szCs w:val="17"/>
              </w:rPr>
            </w:pPr>
            <w:r w:rsidRPr="00057ED8">
              <w:rPr>
                <w:sz w:val="17"/>
                <w:szCs w:val="17"/>
              </w:rPr>
              <w:t>Furthermore, with the ongoing development of EU Sustainability Reporting Standards, it is essential that the ISSB and the EU standard-setter work on a reasonable level of alignment</w:t>
            </w:r>
            <w:r w:rsidR="00AB0451">
              <w:rPr>
                <w:sz w:val="17"/>
                <w:szCs w:val="17"/>
              </w:rPr>
              <w:t xml:space="preserve"> and </w:t>
            </w:r>
            <w:r w:rsidR="008A289A">
              <w:rPr>
                <w:sz w:val="17"/>
                <w:szCs w:val="17"/>
              </w:rPr>
              <w:t xml:space="preserve">the </w:t>
            </w:r>
            <w:r w:rsidR="00AB0451">
              <w:rPr>
                <w:sz w:val="17"/>
                <w:szCs w:val="17"/>
              </w:rPr>
              <w:t>full</w:t>
            </w:r>
            <w:r w:rsidRPr="00057ED8">
              <w:rPr>
                <w:sz w:val="17"/>
                <w:szCs w:val="17"/>
              </w:rPr>
              <w:t xml:space="preserve"> compatibility</w:t>
            </w:r>
            <w:r w:rsidR="00AB0451">
              <w:rPr>
                <w:sz w:val="17"/>
                <w:szCs w:val="17"/>
              </w:rPr>
              <w:t xml:space="preserve"> and interoperability</w:t>
            </w:r>
            <w:r w:rsidRPr="00057ED8">
              <w:rPr>
                <w:sz w:val="17"/>
                <w:szCs w:val="17"/>
              </w:rPr>
              <w:t xml:space="preserve"> of their standards. Close dialogue is needed to prevent a situation in which EU preparers are required to report under both standards </w:t>
            </w:r>
            <w:r w:rsidR="009E5C69">
              <w:rPr>
                <w:sz w:val="17"/>
                <w:szCs w:val="17"/>
              </w:rPr>
              <w:t xml:space="preserve">in order </w:t>
            </w:r>
            <w:r w:rsidRPr="00057ED8">
              <w:rPr>
                <w:sz w:val="17"/>
                <w:szCs w:val="17"/>
              </w:rPr>
              <w:t>to</w:t>
            </w:r>
            <w:r w:rsidR="002616F9">
              <w:rPr>
                <w:sz w:val="17"/>
                <w:szCs w:val="17"/>
              </w:rPr>
              <w:t xml:space="preserve"> </w:t>
            </w:r>
            <w:r w:rsidRPr="00057ED8">
              <w:rPr>
                <w:sz w:val="17"/>
                <w:szCs w:val="17"/>
              </w:rPr>
              <w:t>comply with EU legislation (</w:t>
            </w:r>
            <w:proofErr w:type="spellStart"/>
            <w:r w:rsidRPr="00057ED8">
              <w:rPr>
                <w:sz w:val="17"/>
                <w:szCs w:val="17"/>
              </w:rPr>
              <w:t>ie</w:t>
            </w:r>
            <w:proofErr w:type="spellEnd"/>
            <w:r w:rsidR="002616F9">
              <w:rPr>
                <w:sz w:val="17"/>
                <w:szCs w:val="17"/>
              </w:rPr>
              <w:t>,</w:t>
            </w:r>
            <w:r w:rsidRPr="00057ED8">
              <w:rPr>
                <w:sz w:val="17"/>
                <w:szCs w:val="17"/>
              </w:rPr>
              <w:t xml:space="preserve"> the </w:t>
            </w:r>
            <w:r w:rsidR="00B361FD">
              <w:rPr>
                <w:sz w:val="17"/>
                <w:szCs w:val="17"/>
              </w:rPr>
              <w:t>CSRD</w:t>
            </w:r>
            <w:r w:rsidRPr="00057ED8">
              <w:rPr>
                <w:sz w:val="17"/>
                <w:szCs w:val="17"/>
              </w:rPr>
              <w:t>) and respond to market expectations of ISSB compliance.</w:t>
            </w:r>
            <w:r w:rsidR="00672488" w:rsidRPr="00057ED8">
              <w:rPr>
                <w:sz w:val="17"/>
                <w:szCs w:val="17"/>
              </w:rPr>
              <w:t xml:space="preserve"> Ultimately, European insurers active </w:t>
            </w:r>
            <w:r w:rsidR="00B361FD">
              <w:rPr>
                <w:sz w:val="17"/>
                <w:szCs w:val="17"/>
              </w:rPr>
              <w:t>i</w:t>
            </w:r>
            <w:r w:rsidR="00672488" w:rsidRPr="00057ED8">
              <w:rPr>
                <w:sz w:val="17"/>
                <w:szCs w:val="17"/>
              </w:rPr>
              <w:t xml:space="preserve">n international markets should comply </w:t>
            </w:r>
            <w:r w:rsidR="00B361FD">
              <w:rPr>
                <w:sz w:val="17"/>
                <w:szCs w:val="17"/>
              </w:rPr>
              <w:t>with</w:t>
            </w:r>
            <w:r w:rsidR="00B361FD" w:rsidRPr="00057ED8">
              <w:rPr>
                <w:sz w:val="17"/>
                <w:szCs w:val="17"/>
              </w:rPr>
              <w:t xml:space="preserve"> </w:t>
            </w:r>
            <w:r w:rsidR="00672488" w:rsidRPr="00057ED8">
              <w:rPr>
                <w:sz w:val="17"/>
                <w:szCs w:val="17"/>
              </w:rPr>
              <w:t>the ISSB standards by applying ESRS.</w:t>
            </w:r>
          </w:p>
          <w:p w14:paraId="007165D4" w14:textId="77777777" w:rsidR="000933FC" w:rsidRPr="00057ED8" w:rsidRDefault="000933FC" w:rsidP="00D8379E">
            <w:pPr>
              <w:spacing w:line="240" w:lineRule="auto"/>
              <w:rPr>
                <w:sz w:val="17"/>
                <w:szCs w:val="17"/>
              </w:rPr>
            </w:pPr>
          </w:p>
          <w:p w14:paraId="195C26A6" w14:textId="27435EBF" w:rsidR="000933FC" w:rsidRPr="00057ED8" w:rsidRDefault="00885D52" w:rsidP="00D8379E">
            <w:pPr>
              <w:spacing w:line="240" w:lineRule="auto"/>
              <w:rPr>
                <w:sz w:val="17"/>
                <w:szCs w:val="17"/>
              </w:rPr>
            </w:pPr>
            <w:r>
              <w:rPr>
                <w:sz w:val="17"/>
                <w:szCs w:val="17"/>
              </w:rPr>
              <w:t xml:space="preserve">While </w:t>
            </w:r>
            <w:r w:rsidR="004336EA">
              <w:rPr>
                <w:sz w:val="17"/>
                <w:szCs w:val="17"/>
              </w:rPr>
              <w:t xml:space="preserve">Insurance Europe </w:t>
            </w:r>
            <w:r>
              <w:rPr>
                <w:sz w:val="17"/>
                <w:szCs w:val="17"/>
              </w:rPr>
              <w:t>appreciate</w:t>
            </w:r>
            <w:r w:rsidR="004336EA">
              <w:rPr>
                <w:sz w:val="17"/>
                <w:szCs w:val="17"/>
              </w:rPr>
              <w:t>s the fact that</w:t>
            </w:r>
            <w:r>
              <w:rPr>
                <w:sz w:val="17"/>
                <w:szCs w:val="17"/>
              </w:rPr>
              <w:t xml:space="preserve"> the ISSB’s initial level of ambition and objectives are different from th</w:t>
            </w:r>
            <w:r w:rsidR="002B45AE">
              <w:rPr>
                <w:sz w:val="17"/>
                <w:szCs w:val="17"/>
              </w:rPr>
              <w:t>ose of the</w:t>
            </w:r>
            <w:r>
              <w:rPr>
                <w:sz w:val="17"/>
                <w:szCs w:val="17"/>
              </w:rPr>
              <w:t xml:space="preserve"> EU,</w:t>
            </w:r>
            <w:r w:rsidRPr="00057ED8">
              <w:rPr>
                <w:sz w:val="17"/>
                <w:szCs w:val="17"/>
              </w:rPr>
              <w:t xml:space="preserve"> </w:t>
            </w:r>
            <w:r w:rsidR="002B45AE">
              <w:rPr>
                <w:sz w:val="17"/>
                <w:szCs w:val="17"/>
              </w:rPr>
              <w:t>it</w:t>
            </w:r>
            <w:r>
              <w:rPr>
                <w:sz w:val="17"/>
                <w:szCs w:val="17"/>
              </w:rPr>
              <w:t xml:space="preserve"> note</w:t>
            </w:r>
            <w:r w:rsidR="002B45AE">
              <w:rPr>
                <w:sz w:val="17"/>
                <w:szCs w:val="17"/>
              </w:rPr>
              <w:t>s</w:t>
            </w:r>
            <w:r>
              <w:rPr>
                <w:sz w:val="17"/>
                <w:szCs w:val="17"/>
              </w:rPr>
              <w:t xml:space="preserve"> that t</w:t>
            </w:r>
            <w:r w:rsidR="000933FC" w:rsidRPr="00057ED8">
              <w:rPr>
                <w:sz w:val="17"/>
                <w:szCs w:val="17"/>
              </w:rPr>
              <w:t>he EU does not limit its materiality perspective to what is material for investors to assess enterprise value, but also requires the inside-out view</w:t>
            </w:r>
            <w:r w:rsidR="00AB0451">
              <w:rPr>
                <w:sz w:val="17"/>
                <w:szCs w:val="17"/>
              </w:rPr>
              <w:t xml:space="preserve"> </w:t>
            </w:r>
            <w:r w:rsidR="00AB0451" w:rsidRPr="00057ED8">
              <w:rPr>
                <w:sz w:val="17"/>
                <w:szCs w:val="17"/>
              </w:rPr>
              <w:t>(on impact materiality</w:t>
            </w:r>
            <w:r w:rsidR="00AB0451">
              <w:rPr>
                <w:sz w:val="17"/>
                <w:szCs w:val="17"/>
              </w:rPr>
              <w:t>, even where those have no expected financial effects</w:t>
            </w:r>
            <w:r w:rsidR="00AB0451" w:rsidRPr="00057ED8">
              <w:rPr>
                <w:sz w:val="17"/>
                <w:szCs w:val="17"/>
              </w:rPr>
              <w:t>)</w:t>
            </w:r>
            <w:r w:rsidR="002B45AE">
              <w:rPr>
                <w:sz w:val="17"/>
                <w:szCs w:val="17"/>
              </w:rPr>
              <w:t xml:space="preserve"> to be embraced</w:t>
            </w:r>
            <w:r w:rsidR="000933FC" w:rsidRPr="00057ED8">
              <w:rPr>
                <w:sz w:val="17"/>
                <w:szCs w:val="17"/>
              </w:rPr>
              <w:t xml:space="preserve">. This concept is already widely applied by certain large European companies. Moreover, according to the </w:t>
            </w:r>
            <w:r w:rsidR="001C34FC">
              <w:rPr>
                <w:sz w:val="17"/>
                <w:szCs w:val="17"/>
              </w:rPr>
              <w:t xml:space="preserve">EC </w:t>
            </w:r>
            <w:r w:rsidR="000933FC" w:rsidRPr="00057ED8">
              <w:rPr>
                <w:sz w:val="17"/>
                <w:szCs w:val="17"/>
              </w:rPr>
              <w:t>legislative proposal on the CSRD, the scope of the CSRD will be extended to all large companies, listed SMEs, and third-country issuers. These companies will have to apply the broader European materiality concept.</w:t>
            </w:r>
          </w:p>
          <w:p w14:paraId="7F435D5B" w14:textId="77777777" w:rsidR="000933FC" w:rsidRDefault="000933FC" w:rsidP="00D8379E">
            <w:pPr>
              <w:spacing w:line="240" w:lineRule="auto"/>
              <w:rPr>
                <w:sz w:val="17"/>
                <w:szCs w:val="17"/>
              </w:rPr>
            </w:pPr>
          </w:p>
          <w:p w14:paraId="7B053058" w14:textId="6125AA12" w:rsidR="002610A4" w:rsidRDefault="002610A4" w:rsidP="00D8379E">
            <w:pPr>
              <w:spacing w:line="240" w:lineRule="auto"/>
              <w:rPr>
                <w:sz w:val="17"/>
                <w:szCs w:val="17"/>
              </w:rPr>
            </w:pPr>
            <w:r w:rsidRPr="00057ED8">
              <w:rPr>
                <w:sz w:val="17"/>
                <w:szCs w:val="17"/>
              </w:rPr>
              <w:t xml:space="preserve">Furthermore, as already explained in </w:t>
            </w:r>
            <w:r>
              <w:rPr>
                <w:sz w:val="17"/>
                <w:szCs w:val="17"/>
              </w:rPr>
              <w:t xml:space="preserve">IFRS S1 </w:t>
            </w:r>
            <w:r w:rsidRPr="00057ED8">
              <w:rPr>
                <w:sz w:val="17"/>
                <w:szCs w:val="17"/>
              </w:rPr>
              <w:t>Q2a, from an investor’s point of view, the inside-out view helps to capture investors’ information demands more in their entirety.</w:t>
            </w:r>
            <w:r>
              <w:rPr>
                <w:sz w:val="17"/>
                <w:szCs w:val="17"/>
              </w:rPr>
              <w:t xml:space="preserve"> </w:t>
            </w:r>
            <w:r w:rsidR="001C34FC">
              <w:rPr>
                <w:sz w:val="17"/>
                <w:szCs w:val="17"/>
              </w:rPr>
              <w:t>Therefore</w:t>
            </w:r>
            <w:r w:rsidRPr="00CD7A11">
              <w:rPr>
                <w:sz w:val="17"/>
                <w:szCs w:val="17"/>
              </w:rPr>
              <w:t>, to limit the gap,</w:t>
            </w:r>
            <w:r>
              <w:rPr>
                <w:sz w:val="17"/>
                <w:szCs w:val="17"/>
              </w:rPr>
              <w:t xml:space="preserve"> </w:t>
            </w:r>
            <w:r w:rsidR="001C34FC">
              <w:rPr>
                <w:sz w:val="17"/>
                <w:szCs w:val="17"/>
              </w:rPr>
              <w:t xml:space="preserve">it </w:t>
            </w:r>
            <w:r>
              <w:rPr>
                <w:sz w:val="17"/>
                <w:szCs w:val="17"/>
              </w:rPr>
              <w:t>at least</w:t>
            </w:r>
            <w:r w:rsidRPr="00CD7A11">
              <w:rPr>
                <w:sz w:val="17"/>
                <w:szCs w:val="17"/>
              </w:rPr>
              <w:t xml:space="preserve"> needs to be ensured that the ISSB’s materiality concept cover</w:t>
            </w:r>
            <w:r w:rsidR="001C34FC">
              <w:rPr>
                <w:sz w:val="17"/>
                <w:szCs w:val="17"/>
              </w:rPr>
              <w:t>s</w:t>
            </w:r>
            <w:r w:rsidRPr="00CD7A11">
              <w:rPr>
                <w:sz w:val="17"/>
                <w:szCs w:val="17"/>
              </w:rPr>
              <w:t xml:space="preserve"> all </w:t>
            </w:r>
            <w:r w:rsidR="001C34FC">
              <w:rPr>
                <w:sz w:val="17"/>
                <w:szCs w:val="17"/>
              </w:rPr>
              <w:t xml:space="preserve">the </w:t>
            </w:r>
            <w:r w:rsidRPr="00CD7A11">
              <w:rPr>
                <w:sz w:val="17"/>
                <w:szCs w:val="17"/>
              </w:rPr>
              <w:t>information demands of investors, including on inside-out impacts of interest to them (</w:t>
            </w:r>
            <w:proofErr w:type="spellStart"/>
            <w:r w:rsidRPr="00CD7A11">
              <w:rPr>
                <w:sz w:val="17"/>
                <w:szCs w:val="17"/>
              </w:rPr>
              <w:t>eg</w:t>
            </w:r>
            <w:proofErr w:type="spellEnd"/>
            <w:r w:rsidR="001C34FC">
              <w:rPr>
                <w:sz w:val="17"/>
                <w:szCs w:val="17"/>
              </w:rPr>
              <w:t>,</w:t>
            </w:r>
            <w:r w:rsidRPr="00CD7A11">
              <w:rPr>
                <w:sz w:val="17"/>
                <w:szCs w:val="17"/>
              </w:rPr>
              <w:t xml:space="preserve"> due to specific sustainability preferences or ESG strategies).</w:t>
            </w:r>
          </w:p>
          <w:p w14:paraId="261A337C" w14:textId="77777777" w:rsidR="002610A4" w:rsidRPr="00057ED8" w:rsidRDefault="002610A4" w:rsidP="00D8379E">
            <w:pPr>
              <w:spacing w:line="240" w:lineRule="auto"/>
              <w:rPr>
                <w:sz w:val="17"/>
                <w:szCs w:val="17"/>
              </w:rPr>
            </w:pPr>
          </w:p>
          <w:p w14:paraId="72F17B74" w14:textId="2E29DC89" w:rsidR="000933FC" w:rsidRPr="00057ED8" w:rsidRDefault="000933FC" w:rsidP="00D8379E">
            <w:pPr>
              <w:spacing w:line="240" w:lineRule="auto"/>
              <w:rPr>
                <w:sz w:val="17"/>
                <w:szCs w:val="17"/>
              </w:rPr>
            </w:pPr>
            <w:r w:rsidRPr="00057ED8">
              <w:rPr>
                <w:sz w:val="17"/>
                <w:szCs w:val="17"/>
              </w:rPr>
              <w:t>Irrespective of the degree of overlap/actual alignment, ensuring a sound basis for interoperability with existing and upcoming sustainability reporting standards developed by national and regional standard-setters worldwide is absolutely essential.</w:t>
            </w:r>
          </w:p>
        </w:tc>
      </w:tr>
    </w:tbl>
    <w:p w14:paraId="379E0055" w14:textId="77777777" w:rsidR="002D5B5D" w:rsidRPr="00057ED8" w:rsidRDefault="002D5B5D" w:rsidP="003D0236">
      <w:pPr>
        <w:autoSpaceDE w:val="0"/>
        <w:autoSpaceDN w:val="0"/>
        <w:adjustRightInd w:val="0"/>
        <w:rPr>
          <w:sz w:val="17"/>
          <w:szCs w:val="17"/>
        </w:rPr>
      </w:pPr>
    </w:p>
    <w:p w14:paraId="22B3441F" w14:textId="77777777" w:rsidR="00E87088" w:rsidRPr="00057ED8" w:rsidRDefault="00E87088" w:rsidP="00A20516">
      <w:pPr>
        <w:rPr>
          <w:b/>
          <w:bCs/>
          <w:sz w:val="17"/>
          <w:szCs w:val="17"/>
        </w:rPr>
      </w:pPr>
      <w:r w:rsidRPr="00057ED8">
        <w:rPr>
          <w:b/>
          <w:bCs/>
          <w:sz w:val="17"/>
          <w:szCs w:val="17"/>
        </w:rPr>
        <w:t>Question 17—Other comments</w:t>
      </w:r>
    </w:p>
    <w:p w14:paraId="2183431F" w14:textId="77777777" w:rsidR="00FF7DB4" w:rsidRPr="00057ED8" w:rsidRDefault="00FF7DB4" w:rsidP="00973DEE">
      <w:pPr>
        <w:rPr>
          <w:sz w:val="17"/>
          <w:szCs w:val="17"/>
        </w:rPr>
      </w:pPr>
      <w:r w:rsidRPr="00057ED8">
        <w:rPr>
          <w:sz w:val="17"/>
          <w:szCs w:val="17"/>
        </w:rPr>
        <w:t>Do you have any other comments on the proposals set out in the Exposure Draft?</w:t>
      </w:r>
    </w:p>
    <w:p w14:paraId="53854F4D" w14:textId="77777777" w:rsidR="008846F3" w:rsidRPr="00057ED8" w:rsidRDefault="008846F3" w:rsidP="003D0236">
      <w:pPr>
        <w:autoSpaceDE w:val="0"/>
        <w:autoSpaceDN w:val="0"/>
        <w:adjustRightInd w:val="0"/>
        <w:rPr>
          <w:sz w:val="17"/>
          <w:szCs w:val="17"/>
        </w:rPr>
      </w:pPr>
    </w:p>
    <w:tbl>
      <w:tblPr>
        <w:tblStyle w:val="Mriekatabuky"/>
        <w:tblW w:w="0" w:type="auto"/>
        <w:tblLook w:val="04A0" w:firstRow="1" w:lastRow="0" w:firstColumn="1" w:lastColumn="0" w:noHBand="0" w:noVBand="1"/>
      </w:tblPr>
      <w:tblGrid>
        <w:gridCol w:w="9521"/>
      </w:tblGrid>
      <w:tr w:rsidR="00AD1D0D" w:rsidRPr="00057ED8" w14:paraId="02885B50" w14:textId="77777777" w:rsidTr="00C61B54">
        <w:trPr>
          <w:trHeight w:val="1625"/>
        </w:trPr>
        <w:tc>
          <w:tcPr>
            <w:tcW w:w="9521" w:type="dxa"/>
          </w:tcPr>
          <w:p w14:paraId="6C25559A" w14:textId="1A5B5F21" w:rsidR="00812D6D" w:rsidRPr="00057ED8" w:rsidRDefault="00041CC8" w:rsidP="00AB0451">
            <w:pPr>
              <w:spacing w:line="240" w:lineRule="auto"/>
              <w:rPr>
                <w:sz w:val="17"/>
                <w:szCs w:val="17"/>
              </w:rPr>
            </w:pPr>
            <w:r>
              <w:rPr>
                <w:sz w:val="17"/>
                <w:szCs w:val="17"/>
              </w:rPr>
              <w:t>Insurance Europe</w:t>
            </w:r>
            <w:r w:rsidRPr="00057ED8">
              <w:rPr>
                <w:sz w:val="17"/>
                <w:szCs w:val="17"/>
              </w:rPr>
              <w:t xml:space="preserve"> </w:t>
            </w:r>
            <w:r w:rsidR="00812D6D" w:rsidRPr="00057ED8">
              <w:rPr>
                <w:sz w:val="17"/>
                <w:szCs w:val="17"/>
              </w:rPr>
              <w:t xml:space="preserve">would like to highlight the need for close cooperation between the ISSB and the IASB. This will help to create a common understanding about what the comprehensive baseline </w:t>
            </w:r>
            <w:r>
              <w:rPr>
                <w:sz w:val="17"/>
                <w:szCs w:val="17"/>
              </w:rPr>
              <w:t>for</w:t>
            </w:r>
            <w:r w:rsidRPr="00057ED8">
              <w:rPr>
                <w:sz w:val="17"/>
                <w:szCs w:val="17"/>
              </w:rPr>
              <w:t xml:space="preserve"> </w:t>
            </w:r>
            <w:r w:rsidR="00812D6D" w:rsidRPr="00057ED8">
              <w:rPr>
                <w:sz w:val="17"/>
                <w:szCs w:val="17"/>
              </w:rPr>
              <w:t>ESG matters is, to which reporting entities it would refer and which reporting design might be set up. In this regard</w:t>
            </w:r>
            <w:r w:rsidR="007B4A82">
              <w:rPr>
                <w:sz w:val="17"/>
                <w:szCs w:val="17"/>
              </w:rPr>
              <w:t>,</w:t>
            </w:r>
            <w:r w:rsidR="00812D6D" w:rsidRPr="00057ED8">
              <w:rPr>
                <w:sz w:val="17"/>
                <w:szCs w:val="17"/>
              </w:rPr>
              <w:t xml:space="preserve"> </w:t>
            </w:r>
            <w:r w:rsidR="007B4A82">
              <w:rPr>
                <w:sz w:val="17"/>
                <w:szCs w:val="17"/>
              </w:rPr>
              <w:t>Insurance Europ</w:t>
            </w:r>
            <w:r w:rsidR="00812D6D" w:rsidRPr="00057ED8">
              <w:rPr>
                <w:sz w:val="17"/>
                <w:szCs w:val="17"/>
              </w:rPr>
              <w:t>e specifically believe</w:t>
            </w:r>
            <w:r w:rsidR="007B4A82">
              <w:rPr>
                <w:sz w:val="17"/>
                <w:szCs w:val="17"/>
              </w:rPr>
              <w:t>s</w:t>
            </w:r>
            <w:r w:rsidR="00812D6D" w:rsidRPr="00057ED8">
              <w:rPr>
                <w:sz w:val="17"/>
                <w:szCs w:val="17"/>
              </w:rPr>
              <w:t xml:space="preserve"> that the IASB’</w:t>
            </w:r>
            <w:r w:rsidR="007B4A82">
              <w:rPr>
                <w:sz w:val="17"/>
                <w:szCs w:val="17"/>
              </w:rPr>
              <w:t>s</w:t>
            </w:r>
            <w:r w:rsidR="00812D6D" w:rsidRPr="00057ED8">
              <w:rPr>
                <w:sz w:val="17"/>
                <w:szCs w:val="17"/>
              </w:rPr>
              <w:t xml:space="preserve"> ongoing work on the review and update of the Practice Statement on management commentary is the most suitable project </w:t>
            </w:r>
            <w:r w:rsidR="007B4A82">
              <w:rPr>
                <w:sz w:val="17"/>
                <w:szCs w:val="17"/>
              </w:rPr>
              <w:t>on which</w:t>
            </w:r>
            <w:r w:rsidR="007B4A82" w:rsidRPr="00057ED8">
              <w:rPr>
                <w:sz w:val="17"/>
                <w:szCs w:val="17"/>
              </w:rPr>
              <w:t xml:space="preserve"> </w:t>
            </w:r>
            <w:r w:rsidR="00812D6D" w:rsidRPr="00057ED8">
              <w:rPr>
                <w:sz w:val="17"/>
                <w:szCs w:val="17"/>
              </w:rPr>
              <w:t xml:space="preserve">both Boards could and should cooperate very closely when the IASB’s work progresses to ensure </w:t>
            </w:r>
            <w:r w:rsidR="007B4A82">
              <w:rPr>
                <w:sz w:val="17"/>
                <w:szCs w:val="17"/>
              </w:rPr>
              <w:t>that</w:t>
            </w:r>
            <w:r w:rsidR="00812D6D" w:rsidRPr="00057ED8">
              <w:rPr>
                <w:sz w:val="17"/>
                <w:szCs w:val="17"/>
              </w:rPr>
              <w:t xml:space="preserve"> corporate reporting on ESG matters</w:t>
            </w:r>
            <w:r w:rsidR="007B4A82">
              <w:rPr>
                <w:sz w:val="17"/>
                <w:szCs w:val="17"/>
              </w:rPr>
              <w:t xml:space="preserve"> is consistent overall</w:t>
            </w:r>
            <w:r w:rsidR="00812D6D" w:rsidRPr="00057ED8">
              <w:rPr>
                <w:sz w:val="17"/>
                <w:szCs w:val="17"/>
              </w:rPr>
              <w:t>.</w:t>
            </w:r>
          </w:p>
          <w:p w14:paraId="6F51F7C4" w14:textId="77777777" w:rsidR="00812D6D" w:rsidRPr="00057ED8" w:rsidRDefault="00812D6D" w:rsidP="00AB0451">
            <w:pPr>
              <w:spacing w:line="240" w:lineRule="auto"/>
              <w:rPr>
                <w:sz w:val="17"/>
                <w:szCs w:val="17"/>
              </w:rPr>
            </w:pPr>
          </w:p>
          <w:p w14:paraId="3432237E" w14:textId="1A01496C" w:rsidR="00AD1D0D" w:rsidRPr="00057ED8" w:rsidRDefault="00170815" w:rsidP="00AB0451">
            <w:pPr>
              <w:spacing w:line="240" w:lineRule="auto"/>
              <w:rPr>
                <w:sz w:val="17"/>
                <w:szCs w:val="17"/>
              </w:rPr>
            </w:pPr>
            <w:r>
              <w:rPr>
                <w:sz w:val="17"/>
                <w:szCs w:val="17"/>
              </w:rPr>
              <w:lastRenderedPageBreak/>
              <w:t>Insuranc</w:t>
            </w:r>
            <w:r w:rsidR="00812D6D" w:rsidRPr="00057ED8">
              <w:rPr>
                <w:sz w:val="17"/>
                <w:szCs w:val="17"/>
              </w:rPr>
              <w:t xml:space="preserve">e </w:t>
            </w:r>
            <w:r>
              <w:rPr>
                <w:sz w:val="17"/>
                <w:szCs w:val="17"/>
              </w:rPr>
              <w:t xml:space="preserve">Europe </w:t>
            </w:r>
            <w:r w:rsidR="00812D6D" w:rsidRPr="00057ED8">
              <w:rPr>
                <w:sz w:val="17"/>
                <w:szCs w:val="17"/>
              </w:rPr>
              <w:t>would also like to raise the issue of field</w:t>
            </w:r>
            <w:r>
              <w:rPr>
                <w:sz w:val="17"/>
                <w:szCs w:val="17"/>
              </w:rPr>
              <w:t>-</w:t>
            </w:r>
            <w:r w:rsidR="00812D6D" w:rsidRPr="00057ED8">
              <w:rPr>
                <w:sz w:val="17"/>
                <w:szCs w:val="17"/>
              </w:rPr>
              <w:t xml:space="preserve">testing. While this should not generally be a mandatory step in the sustainability reporting standard-setting process, it should be systematically considered in order to test and provide evidence of practicability, proportionality and feasibility. Experience of standard-setting in financial reporting has shown the importance of appropriate field-testing, and this may be even more relevant for sustainability reporting, which is less mature. Insurance Europe would therefore urge </w:t>
            </w:r>
            <w:r w:rsidR="00E9379A">
              <w:rPr>
                <w:sz w:val="17"/>
                <w:szCs w:val="17"/>
              </w:rPr>
              <w:t xml:space="preserve">the </w:t>
            </w:r>
            <w:r w:rsidR="00812D6D" w:rsidRPr="00057ED8">
              <w:rPr>
                <w:sz w:val="17"/>
                <w:szCs w:val="17"/>
              </w:rPr>
              <w:t>ISSB to include</w:t>
            </w:r>
            <w:r w:rsidR="00D60AC8">
              <w:rPr>
                <w:sz w:val="17"/>
                <w:szCs w:val="17"/>
              </w:rPr>
              <w:t>,</w:t>
            </w:r>
            <w:r w:rsidR="00812D6D" w:rsidRPr="00057ED8">
              <w:rPr>
                <w:sz w:val="17"/>
                <w:szCs w:val="17"/>
              </w:rPr>
              <w:t xml:space="preserve"> as a principle</w:t>
            </w:r>
            <w:r w:rsidR="00D60AC8">
              <w:rPr>
                <w:sz w:val="17"/>
                <w:szCs w:val="17"/>
              </w:rPr>
              <w:t>,</w:t>
            </w:r>
            <w:r w:rsidR="00812D6D" w:rsidRPr="00057ED8">
              <w:rPr>
                <w:sz w:val="17"/>
                <w:szCs w:val="17"/>
              </w:rPr>
              <w:t xml:space="preserve"> the need to consider for each standard or set of standards whether fieldwork should be conducted and, if in doubt, to canvas the views of users and preparers via public consultation. Here, it should be emphasi</w:t>
            </w:r>
            <w:r w:rsidR="00D60AC8">
              <w:rPr>
                <w:sz w:val="17"/>
                <w:szCs w:val="17"/>
              </w:rPr>
              <w:t>s</w:t>
            </w:r>
            <w:r w:rsidR="00812D6D" w:rsidRPr="00057ED8">
              <w:rPr>
                <w:sz w:val="17"/>
                <w:szCs w:val="17"/>
              </w:rPr>
              <w:t>ed that fieldwork can take different forms and must not necessarily always involve case studies/simulations, which require a considerable amount of time.</w:t>
            </w:r>
          </w:p>
        </w:tc>
      </w:tr>
    </w:tbl>
    <w:p w14:paraId="405BEEC7" w14:textId="77777777" w:rsidR="002D5B5D" w:rsidRPr="00057ED8" w:rsidRDefault="002D5B5D" w:rsidP="003D0236">
      <w:pPr>
        <w:autoSpaceDE w:val="0"/>
        <w:autoSpaceDN w:val="0"/>
        <w:adjustRightInd w:val="0"/>
        <w:rPr>
          <w:sz w:val="17"/>
          <w:szCs w:val="17"/>
        </w:rPr>
      </w:pPr>
    </w:p>
    <w:p w14:paraId="2253A071" w14:textId="77777777" w:rsidR="002D5B5D" w:rsidRPr="00057ED8" w:rsidRDefault="002D5B5D" w:rsidP="003D0236">
      <w:pPr>
        <w:autoSpaceDE w:val="0"/>
        <w:autoSpaceDN w:val="0"/>
        <w:adjustRightInd w:val="0"/>
        <w:rPr>
          <w:sz w:val="17"/>
          <w:szCs w:val="17"/>
        </w:rPr>
      </w:pPr>
    </w:p>
    <w:p w14:paraId="07F1B805" w14:textId="77777777" w:rsidR="002D5B5D" w:rsidRPr="00057ED8" w:rsidRDefault="002D5B5D" w:rsidP="003D0236">
      <w:pPr>
        <w:autoSpaceDE w:val="0"/>
        <w:autoSpaceDN w:val="0"/>
        <w:adjustRightInd w:val="0"/>
        <w:rPr>
          <w:sz w:val="17"/>
          <w:szCs w:val="17"/>
        </w:rPr>
      </w:pPr>
    </w:p>
    <w:p w14:paraId="237D05CF" w14:textId="77777777" w:rsidR="002D5B5D" w:rsidRPr="00057ED8" w:rsidRDefault="002D5B5D" w:rsidP="003D0236">
      <w:pPr>
        <w:autoSpaceDE w:val="0"/>
        <w:autoSpaceDN w:val="0"/>
        <w:adjustRightInd w:val="0"/>
        <w:rPr>
          <w:sz w:val="17"/>
          <w:szCs w:val="17"/>
        </w:rPr>
      </w:pPr>
    </w:p>
    <w:p w14:paraId="7DE63805" w14:textId="77777777" w:rsidR="002D5B5D" w:rsidRPr="00057ED8" w:rsidRDefault="002D5B5D" w:rsidP="003D0236">
      <w:pPr>
        <w:autoSpaceDE w:val="0"/>
        <w:autoSpaceDN w:val="0"/>
        <w:adjustRightInd w:val="0"/>
        <w:rPr>
          <w:sz w:val="17"/>
          <w:szCs w:val="17"/>
        </w:rPr>
      </w:pPr>
    </w:p>
    <w:p w14:paraId="0C8F3890" w14:textId="77777777" w:rsidR="008846F3" w:rsidRPr="00057ED8" w:rsidRDefault="008846F3" w:rsidP="00A20516">
      <w:pPr>
        <w:rPr>
          <w:sz w:val="17"/>
          <w:szCs w:val="17"/>
        </w:rPr>
      </w:pPr>
    </w:p>
    <w:p w14:paraId="33CEFBC2" w14:textId="2BFC4AEE" w:rsidR="00440FEE" w:rsidRPr="00057ED8" w:rsidRDefault="003715C9" w:rsidP="003D0236">
      <w:pPr>
        <w:autoSpaceDE w:val="0"/>
        <w:autoSpaceDN w:val="0"/>
        <w:adjustRightInd w:val="0"/>
        <w:rPr>
          <w:sz w:val="17"/>
          <w:szCs w:val="17"/>
        </w:rPr>
      </w:pPr>
      <w:r w:rsidRPr="00057ED8">
        <w:rPr>
          <w:sz w:val="17"/>
          <w:szCs w:val="17"/>
        </w:rPr>
        <w:t>Insurance Europe is the European insurance and reinsurance federation. Through its 36 member bodies — the national insurance associations — it represents all types and sizes of insurance and reinsurance undertakings. Insurance Europe, which is based in Brussels, represents undertakings that account for around 95% of total European premium income. Insurance makes a major contribution to Europe’s economic growth and development. European insurers pay out over €1 000bn annually — or €2.8bn a day — in claims, directly employ more than 920 000 people and invest over €10.6trn in the economy.</w:t>
      </w:r>
    </w:p>
    <w:sectPr w:rsidR="00440FEE" w:rsidRPr="00057ED8" w:rsidSect="00C61B54">
      <w:type w:val="continuous"/>
      <w:pgSz w:w="11907" w:h="16839" w:code="9"/>
      <w:pgMar w:top="2336" w:right="902" w:bottom="1077" w:left="1474" w:header="709" w:footer="2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B7F3E" w14:textId="77777777" w:rsidR="00B465F0" w:rsidRDefault="00B465F0">
      <w:pPr>
        <w:spacing w:line="240" w:lineRule="auto"/>
      </w:pPr>
      <w:r>
        <w:separator/>
      </w:r>
    </w:p>
    <w:p w14:paraId="661D3F6B" w14:textId="77777777" w:rsidR="00B465F0" w:rsidRDefault="00B465F0"/>
  </w:endnote>
  <w:endnote w:type="continuationSeparator" w:id="0">
    <w:p w14:paraId="06BC657D" w14:textId="77777777" w:rsidR="00B465F0" w:rsidRDefault="00B465F0">
      <w:pPr>
        <w:spacing w:line="240" w:lineRule="auto"/>
      </w:pPr>
      <w:r>
        <w:continuationSeparator/>
      </w:r>
    </w:p>
    <w:p w14:paraId="048E12ED" w14:textId="77777777" w:rsidR="00B465F0" w:rsidRDefault="00B465F0"/>
  </w:endnote>
  <w:endnote w:type="continuationNotice" w:id="1">
    <w:p w14:paraId="0ABD9E06" w14:textId="77777777" w:rsidR="00B465F0" w:rsidRDefault="00B465F0">
      <w:pPr>
        <w:spacing w:line="240" w:lineRule="auto"/>
      </w:pPr>
    </w:p>
    <w:p w14:paraId="2763FFF5" w14:textId="77777777" w:rsidR="00B465F0" w:rsidRDefault="00B465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Frutiger LT Std 55 Roman">
    <w:altName w:val="Calibri"/>
    <w:panose1 w:val="00000000000000000000"/>
    <w:charset w:val="00"/>
    <w:family w:val="swiss"/>
    <w:notTrueType/>
    <w:pitch w:val="variable"/>
    <w:sig w:usb0="800000AF" w:usb1="4000204A" w:usb2="00000000" w:usb3="00000000" w:csb0="00000001" w:csb1="00000000"/>
  </w:font>
  <w:font w:name="Frutiger LT Com 45 Light">
    <w:altName w:val="Corbel"/>
    <w:charset w:val="00"/>
    <w:family w:val="swiss"/>
    <w:pitch w:val="variable"/>
    <w:sig w:usb0="00000001"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FA777" w14:textId="77777777" w:rsidR="00C61B54" w:rsidRDefault="00152882" w:rsidP="00C61B54">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34086F33" w14:textId="77777777" w:rsidR="00C61B54" w:rsidRDefault="00C61B54" w:rsidP="00C61B54">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1342C" w14:textId="77777777" w:rsidR="00C61B54" w:rsidRPr="007748EE" w:rsidRDefault="00152882" w:rsidP="00C61B54">
    <w:pPr>
      <w:pStyle w:val="Pta"/>
      <w:framePr w:wrap="around" w:vAnchor="page" w:hAnchor="margin" w:xAlign="right" w:y="16161"/>
      <w:rPr>
        <w:rStyle w:val="slostrany"/>
        <w:color w:val="002957"/>
        <w:sz w:val="14"/>
        <w:szCs w:val="20"/>
      </w:rPr>
    </w:pPr>
    <w:r w:rsidRPr="007748EE">
      <w:rPr>
        <w:rStyle w:val="slostrany"/>
        <w:color w:val="002957"/>
        <w:sz w:val="14"/>
        <w:szCs w:val="14"/>
      </w:rPr>
      <w:fldChar w:fldCharType="begin"/>
    </w:r>
    <w:r w:rsidRPr="007748EE">
      <w:rPr>
        <w:rStyle w:val="slostrany"/>
        <w:color w:val="002957"/>
        <w:sz w:val="14"/>
        <w:szCs w:val="14"/>
      </w:rPr>
      <w:instrText xml:space="preserve"> PAGE   \* MERGEFORMAT </w:instrText>
    </w:r>
    <w:r w:rsidRPr="007748EE">
      <w:rPr>
        <w:rStyle w:val="slostrany"/>
        <w:color w:val="002957"/>
        <w:sz w:val="14"/>
        <w:szCs w:val="14"/>
      </w:rPr>
      <w:fldChar w:fldCharType="separate"/>
    </w:r>
    <w:r w:rsidR="009F36CD" w:rsidRPr="007748EE">
      <w:rPr>
        <w:rStyle w:val="slostrany"/>
        <w:noProof/>
        <w:color w:val="002957"/>
        <w:sz w:val="14"/>
        <w:szCs w:val="14"/>
      </w:rPr>
      <w:t>2</w:t>
    </w:r>
    <w:r w:rsidRPr="007748EE">
      <w:rPr>
        <w:rStyle w:val="slostrany"/>
        <w:color w:val="002957"/>
        <w:sz w:val="14"/>
        <w:szCs w:val="14"/>
      </w:rPr>
      <w:fldChar w:fldCharType="end"/>
    </w:r>
  </w:p>
  <w:p w14:paraId="179B6722" w14:textId="77777777" w:rsidR="00C61B54" w:rsidRPr="0085650F" w:rsidRDefault="00C61B54" w:rsidP="00C61B54">
    <w:pPr>
      <w:tabs>
        <w:tab w:val="right" w:pos="10260"/>
      </w:tabs>
      <w:autoSpaceDE w:val="0"/>
      <w:autoSpaceDN w:val="0"/>
      <w:adjustRightInd w:val="0"/>
      <w:ind w:right="360"/>
      <w:textAlignment w:val="center"/>
      <w:rPr>
        <w:rFonts w:ascii="Arial" w:hAnsi="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riekatabu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253"/>
    </w:tblGrid>
    <w:tr w:rsidR="0012469D" w14:paraId="3BDA0906" w14:textId="77777777" w:rsidTr="007748EE">
      <w:tc>
        <w:tcPr>
          <w:tcW w:w="5387" w:type="dxa"/>
        </w:tcPr>
        <w:p w14:paraId="223AB0CA" w14:textId="77777777" w:rsidR="0012469D" w:rsidRDefault="0012469D" w:rsidP="007748EE">
          <w:pPr>
            <w:pStyle w:val="CEAFooterauthorinfo"/>
            <w:jc w:val="left"/>
            <w:rPr>
              <w:b w:val="0"/>
              <w:color w:val="002957"/>
              <w:sz w:val="14"/>
              <w:szCs w:val="14"/>
              <w:lang w:val="pt-PT"/>
            </w:rPr>
          </w:pPr>
          <w:r w:rsidRPr="00A4463C">
            <w:rPr>
              <w:b w:val="0"/>
              <w:color w:val="002957"/>
              <w:sz w:val="14"/>
              <w:szCs w:val="14"/>
              <w:lang w:val="fr-BE"/>
            </w:rPr>
            <w:t>Insurance Europe aisbl</w:t>
          </w:r>
        </w:p>
        <w:p w14:paraId="409D0242" w14:textId="77777777" w:rsidR="0012469D" w:rsidRPr="00A4463C" w:rsidRDefault="0012469D" w:rsidP="007748EE">
          <w:pPr>
            <w:pStyle w:val="CEAFooterauthorinfo"/>
            <w:jc w:val="left"/>
            <w:rPr>
              <w:b w:val="0"/>
              <w:color w:val="002957"/>
              <w:sz w:val="14"/>
              <w:szCs w:val="14"/>
              <w:lang w:val="fr-BE"/>
            </w:rPr>
          </w:pPr>
          <w:r w:rsidRPr="00A4463C">
            <w:rPr>
              <w:b w:val="0"/>
              <w:color w:val="002957"/>
              <w:sz w:val="14"/>
              <w:szCs w:val="14"/>
              <w:lang w:val="fr-BE"/>
            </w:rPr>
            <w:t xml:space="preserve">Rue </w:t>
          </w:r>
          <w:r>
            <w:rPr>
              <w:b w:val="0"/>
              <w:color w:val="002957"/>
              <w:sz w:val="14"/>
              <w:szCs w:val="14"/>
              <w:lang w:val="fr-BE"/>
            </w:rPr>
            <w:t>du Champ de Mars</w:t>
          </w:r>
          <w:r w:rsidRPr="00A4463C">
            <w:rPr>
              <w:b w:val="0"/>
              <w:color w:val="002957"/>
              <w:sz w:val="14"/>
              <w:szCs w:val="14"/>
              <w:lang w:val="fr-BE"/>
            </w:rPr>
            <w:t xml:space="preserve"> </w:t>
          </w:r>
          <w:r>
            <w:rPr>
              <w:b w:val="0"/>
              <w:color w:val="002957"/>
              <w:sz w:val="14"/>
              <w:szCs w:val="14"/>
              <w:lang w:val="fr-BE"/>
            </w:rPr>
            <w:t>23</w:t>
          </w:r>
          <w:r w:rsidRPr="00A4463C">
            <w:rPr>
              <w:b w:val="0"/>
              <w:color w:val="002957"/>
              <w:sz w:val="14"/>
              <w:szCs w:val="14"/>
              <w:lang w:val="fr-BE"/>
            </w:rPr>
            <w:t>, B-10</w:t>
          </w:r>
          <w:r>
            <w:rPr>
              <w:b w:val="0"/>
              <w:color w:val="002957"/>
              <w:sz w:val="14"/>
              <w:szCs w:val="14"/>
              <w:lang w:val="fr-BE"/>
            </w:rPr>
            <w:t>5</w:t>
          </w:r>
          <w:r w:rsidRPr="00A4463C">
            <w:rPr>
              <w:b w:val="0"/>
              <w:color w:val="002957"/>
              <w:sz w:val="14"/>
              <w:szCs w:val="14"/>
              <w:lang w:val="fr-BE"/>
            </w:rPr>
            <w:t xml:space="preserve">0 Brussels </w:t>
          </w:r>
        </w:p>
        <w:p w14:paraId="626C85C0" w14:textId="77777777" w:rsidR="0012469D" w:rsidRDefault="0012469D" w:rsidP="007748EE">
          <w:pPr>
            <w:pStyle w:val="CEAFooterauthorinfo"/>
            <w:jc w:val="left"/>
            <w:rPr>
              <w:b w:val="0"/>
              <w:color w:val="002957"/>
              <w:sz w:val="14"/>
              <w:szCs w:val="14"/>
              <w:lang w:val="pt-PT"/>
            </w:rPr>
          </w:pPr>
          <w:r w:rsidRPr="0085650F">
            <w:rPr>
              <w:b w:val="0"/>
              <w:color w:val="002957"/>
              <w:sz w:val="14"/>
              <w:szCs w:val="14"/>
              <w:lang w:val="pt-PT"/>
            </w:rPr>
            <w:t>Tel:</w:t>
          </w:r>
          <w:r>
            <w:rPr>
              <w:b w:val="0"/>
              <w:color w:val="002957"/>
              <w:sz w:val="14"/>
              <w:szCs w:val="14"/>
              <w:lang w:val="pt-PT"/>
            </w:rPr>
            <w:t xml:space="preserve"> +32 2 894 30 00</w:t>
          </w:r>
        </w:p>
        <w:p w14:paraId="069F1905" w14:textId="2A276A95" w:rsidR="0012469D" w:rsidRPr="0012469D" w:rsidRDefault="0012469D" w:rsidP="007748EE">
          <w:pPr>
            <w:pStyle w:val="CEAFooterauthorinfo"/>
            <w:jc w:val="left"/>
            <w:rPr>
              <w:b w:val="0"/>
              <w:color w:val="002957"/>
              <w:sz w:val="14"/>
              <w:szCs w:val="14"/>
              <w:lang w:val="pt-PT"/>
            </w:rPr>
          </w:pPr>
          <w:r>
            <w:rPr>
              <w:b w:val="0"/>
              <w:color w:val="002957"/>
              <w:sz w:val="14"/>
              <w:szCs w:val="14"/>
              <w:lang w:val="pt-PT"/>
            </w:rPr>
            <w:t>E-mail :</w:t>
          </w:r>
          <w:r w:rsidRPr="0083200B">
            <w:rPr>
              <w:b w:val="0"/>
              <w:color w:val="002957"/>
              <w:sz w:val="14"/>
              <w:szCs w:val="14"/>
              <w:lang w:val="fr-BE"/>
            </w:rPr>
            <w:t xml:space="preserve"> </w:t>
          </w:r>
          <w:r w:rsidR="00C15077" w:rsidRPr="0083200B">
            <w:rPr>
              <w:b w:val="0"/>
              <w:color w:val="002957"/>
              <w:sz w:val="14"/>
              <w:szCs w:val="14"/>
              <w:lang w:val="fr-BE"/>
            </w:rPr>
            <w:t>reporting@insuranceeurope.eu</w:t>
          </w:r>
          <w:hyperlink r:id="rId1" w:history="1"/>
          <w:r w:rsidR="007748EE">
            <w:rPr>
              <w:b w:val="0"/>
              <w:color w:val="002957"/>
              <w:sz w:val="14"/>
              <w:szCs w:val="14"/>
              <w:lang w:val="pt-PT"/>
            </w:rPr>
            <w:br/>
          </w:r>
          <w:r w:rsidR="007748EE" w:rsidRPr="007748EE">
            <w:rPr>
              <w:b w:val="0"/>
              <w:color w:val="82C55B"/>
              <w:sz w:val="14"/>
              <w:szCs w:val="14"/>
              <w:lang w:val="pt-PT"/>
            </w:rPr>
            <w:t>www.insuranceeurope.eu</w:t>
          </w:r>
        </w:p>
      </w:tc>
      <w:tc>
        <w:tcPr>
          <w:tcW w:w="4253" w:type="dxa"/>
        </w:tcPr>
        <w:p w14:paraId="208F7DCE" w14:textId="3A444E5B" w:rsidR="0012469D" w:rsidRPr="002F12C5" w:rsidRDefault="002F12C5" w:rsidP="00BD3110">
          <w:pPr>
            <w:pStyle w:val="CEAFooterauthorinfo"/>
            <w:jc w:val="left"/>
            <w:rPr>
              <w:b w:val="0"/>
              <w:color w:val="002957"/>
              <w:sz w:val="14"/>
              <w:szCs w:val="14"/>
            </w:rPr>
          </w:pPr>
          <w:r w:rsidRPr="002F12C5">
            <w:rPr>
              <w:b w:val="0"/>
              <w:color w:val="002957"/>
              <w:sz w:val="14"/>
              <w:szCs w:val="14"/>
            </w:rPr>
            <w:t>© Insurance Europe. Confidential, internal document. Not for distribution, all rights reserved.</w:t>
          </w:r>
        </w:p>
      </w:tc>
    </w:tr>
  </w:tbl>
  <w:p w14:paraId="61297F9E" w14:textId="77777777" w:rsidR="00C61B54" w:rsidRPr="0020685A" w:rsidRDefault="00C61B54">
    <w:pPr>
      <w:pStyle w:val="Pta"/>
      <w:rPr>
        <w:color w:val="002957"/>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B11FD" w14:textId="77777777" w:rsidR="00B465F0" w:rsidRDefault="00B465F0">
      <w:pPr>
        <w:spacing w:line="240" w:lineRule="auto"/>
      </w:pPr>
      <w:r>
        <w:separator/>
      </w:r>
    </w:p>
    <w:p w14:paraId="7D0E0401" w14:textId="77777777" w:rsidR="00B465F0" w:rsidRDefault="00B465F0"/>
  </w:footnote>
  <w:footnote w:type="continuationSeparator" w:id="0">
    <w:p w14:paraId="6474A199" w14:textId="77777777" w:rsidR="00B465F0" w:rsidRDefault="00B465F0">
      <w:pPr>
        <w:spacing w:line="240" w:lineRule="auto"/>
      </w:pPr>
      <w:r>
        <w:continuationSeparator/>
      </w:r>
    </w:p>
    <w:p w14:paraId="69685354" w14:textId="77777777" w:rsidR="00B465F0" w:rsidRDefault="00B465F0"/>
  </w:footnote>
  <w:footnote w:type="continuationNotice" w:id="1">
    <w:p w14:paraId="748651E9" w14:textId="77777777" w:rsidR="00B465F0" w:rsidRDefault="00B465F0">
      <w:pPr>
        <w:spacing w:line="240" w:lineRule="auto"/>
      </w:pPr>
    </w:p>
    <w:p w14:paraId="60014A0F" w14:textId="77777777" w:rsidR="00B465F0" w:rsidRDefault="00B465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0157A" w14:textId="77777777" w:rsidR="00C61B54" w:rsidRPr="00323E1C" w:rsidRDefault="00152882" w:rsidP="00C61B54">
    <w:pPr>
      <w:pStyle w:val="Noparagraphstyle"/>
      <w:jc w:val="right"/>
      <w:rPr>
        <w:rFonts w:ascii="Verdana" w:hAnsi="Verdana"/>
        <w:sz w:val="18"/>
        <w:szCs w:val="18"/>
      </w:rPr>
    </w:pPr>
    <w:r w:rsidRPr="000D41DA">
      <w:rPr>
        <w:rFonts w:ascii="Frutiger LT Com 45 Light" w:hAnsi="Frutiger LT Com 45 Light"/>
        <w:noProof/>
        <w:lang w:val="nl-BE" w:eastAsia="nl-BE"/>
      </w:rPr>
      <w:drawing>
        <wp:anchor distT="0" distB="0" distL="114300" distR="114300" simplePos="0" relativeHeight="251658241" behindDoc="0" locked="0" layoutInCell="1" allowOverlap="1" wp14:anchorId="3E4E9827" wp14:editId="682FE296">
          <wp:simplePos x="0" y="0"/>
          <wp:positionH relativeFrom="page">
            <wp:posOffset>528955</wp:posOffset>
          </wp:positionH>
          <wp:positionV relativeFrom="page">
            <wp:posOffset>521970</wp:posOffset>
          </wp:positionV>
          <wp:extent cx="1457325" cy="895350"/>
          <wp:effectExtent l="19050" t="0" r="0" b="0"/>
          <wp:wrapSquare wrapText="bothSides"/>
          <wp:docPr id="4"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p w14:paraId="2EB4D2BF" w14:textId="77777777" w:rsidR="00C61B54" w:rsidRPr="0085650F" w:rsidRDefault="00152882" w:rsidP="00C61B54">
    <w:pPr>
      <w:pStyle w:val="Noparagraphstyle"/>
      <w:jc w:val="right"/>
      <w:rPr>
        <w:rFonts w:ascii="Verdana" w:hAnsi="Verdana" w:cs="Arial"/>
        <w:i/>
        <w:iCs/>
        <w:color w:val="034EA2"/>
      </w:rPr>
    </w:pPr>
    <w:r w:rsidRPr="00323E1C">
      <w:rPr>
        <w:rFonts w:ascii="Verdana" w:hAnsi="Verdana"/>
      </w:rPr>
      <w:tab/>
    </w:r>
  </w:p>
  <w:p w14:paraId="6A05B2BD" w14:textId="77777777" w:rsidR="00C61B54" w:rsidRPr="00491802" w:rsidRDefault="00C61B54" w:rsidP="00C61B54">
    <w:pPr>
      <w:pStyle w:val="Hlavika"/>
      <w:tabs>
        <w:tab w:val="clear" w:pos="4320"/>
        <w:tab w:val="clear" w:pos="8640"/>
        <w:tab w:val="center" w:pos="0"/>
        <w:tab w:val="right" w:pos="10440"/>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07150" w14:textId="58CD120E" w:rsidR="004A3D32" w:rsidRPr="002658A8" w:rsidRDefault="00152882" w:rsidP="00AD2B60">
    <w:pPr>
      <w:pStyle w:val="Noparagraphstyle"/>
      <w:jc w:val="right"/>
      <w:rPr>
        <w:rFonts w:ascii="Verdana" w:hAnsi="Verdana"/>
        <w:sz w:val="20"/>
        <w:szCs w:val="20"/>
      </w:rPr>
    </w:pPr>
    <w:r w:rsidRPr="002658A8">
      <w:rPr>
        <w:rFonts w:ascii="Frutiger LT Com 45 Light" w:hAnsi="Frutiger LT Com 45 Light"/>
        <w:b/>
        <w:bCs/>
        <w:i/>
        <w:iCs/>
        <w:noProof/>
        <w:color w:val="FF0000"/>
        <w:sz w:val="20"/>
        <w:szCs w:val="20"/>
        <w:lang w:val="nl-BE" w:eastAsia="nl-BE"/>
      </w:rPr>
      <w:drawing>
        <wp:anchor distT="0" distB="0" distL="114300" distR="114300" simplePos="0" relativeHeight="251658240" behindDoc="0" locked="0" layoutInCell="1" allowOverlap="1" wp14:anchorId="10148D34" wp14:editId="7F79CF44">
          <wp:simplePos x="0" y="0"/>
          <wp:positionH relativeFrom="page">
            <wp:posOffset>523875</wp:posOffset>
          </wp:positionH>
          <wp:positionV relativeFrom="page">
            <wp:posOffset>523875</wp:posOffset>
          </wp:positionV>
          <wp:extent cx="1457325" cy="895350"/>
          <wp:effectExtent l="19050" t="0" r="0" b="0"/>
          <wp:wrapSquare wrapText="bothSides"/>
          <wp:docPr id="5"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p w14:paraId="42081F8F" w14:textId="77777777" w:rsidR="00C61B54" w:rsidRDefault="00C61B54">
    <w:pPr>
      <w:pStyle w:val="Hlavika"/>
    </w:pPr>
  </w:p>
  <w:p w14:paraId="4CAF9B32" w14:textId="77777777" w:rsidR="00C61B54" w:rsidRDefault="00C61B54">
    <w:pPr>
      <w:pStyle w:val="Hlavika"/>
    </w:pPr>
  </w:p>
  <w:p w14:paraId="07E1BCBC" w14:textId="77777777" w:rsidR="00C61B54" w:rsidRDefault="00C61B54">
    <w:pPr>
      <w:pStyle w:val="Hlavika"/>
    </w:pPr>
  </w:p>
  <w:p w14:paraId="28CF5DF4" w14:textId="6A7F323D" w:rsidR="0017261F" w:rsidRDefault="00152882" w:rsidP="0017261F">
    <w:pPr>
      <w:jc w:val="right"/>
      <w:rPr>
        <w:b/>
        <w:i/>
        <w:color w:val="002957"/>
        <w:sz w:val="32"/>
        <w:szCs w:val="32"/>
      </w:rPr>
    </w:pPr>
    <w:r>
      <w:tab/>
    </w:r>
    <w:r>
      <w:tab/>
    </w:r>
    <w:r w:rsidRPr="00240F50">
      <w:rPr>
        <w:rFonts w:cs="Arial"/>
        <w:b/>
        <w:color w:val="002957"/>
        <w:sz w:val="40"/>
        <w:szCs w:val="40"/>
      </w:rPr>
      <w:tab/>
    </w:r>
    <w:r w:rsidRPr="00240F50">
      <w:rPr>
        <w:rFonts w:cs="Arial"/>
        <w:b/>
        <w:color w:val="002957"/>
        <w:sz w:val="40"/>
        <w:szCs w:val="40"/>
      </w:rPr>
      <w:tab/>
    </w:r>
    <w:r w:rsidRPr="00240F50">
      <w:rPr>
        <w:rFonts w:cs="Arial"/>
        <w:b/>
        <w:color w:val="002957"/>
        <w:sz w:val="40"/>
        <w:szCs w:val="40"/>
      </w:rPr>
      <w:tab/>
    </w:r>
    <w:r w:rsidRPr="00240F50">
      <w:rPr>
        <w:rFonts w:cs="Arial"/>
        <w:b/>
        <w:color w:val="002957"/>
        <w:sz w:val="40"/>
        <w:szCs w:val="40"/>
      </w:rPr>
      <w:tab/>
    </w:r>
    <w:r w:rsidRPr="00240F50">
      <w:rPr>
        <w:rFonts w:cs="Arial"/>
        <w:b/>
        <w:color w:val="002957"/>
        <w:sz w:val="40"/>
        <w:szCs w:val="40"/>
      </w:rPr>
      <w:tab/>
    </w:r>
    <w:r w:rsidRPr="0085650F">
      <w:rPr>
        <w:rFonts w:cs="Arial"/>
        <w:b/>
        <w:sz w:val="40"/>
        <w:szCs w:val="40"/>
      </w:rPr>
      <w:tab/>
    </w:r>
    <w:bookmarkStart w:id="0" w:name="Draft1st"/>
    <w:bookmarkEnd w:id="0"/>
  </w:p>
  <w:p w14:paraId="3654217F" w14:textId="77777777" w:rsidR="00C61B54" w:rsidRPr="00D74967" w:rsidRDefault="00C61B54" w:rsidP="00C61B54">
    <w:pPr>
      <w:pStyle w:val="CEADraft"/>
      <w:rPr>
        <w:color w:val="002957"/>
        <w:lang w:val="en-US"/>
      </w:rPr>
    </w:pPr>
  </w:p>
  <w:p w14:paraId="5495E665" w14:textId="77777777" w:rsidR="00C61B54" w:rsidRPr="00D74967" w:rsidRDefault="00C61B54" w:rsidP="00C61B54">
    <w:pPr>
      <w:rPr>
        <w:color w:val="002957"/>
        <w:lang w:val="en-US"/>
      </w:rPr>
    </w:pPr>
  </w:p>
  <w:bookmarkStart w:id="1" w:name="Document_title_"/>
  <w:p w14:paraId="15B481B1" w14:textId="236FA5F3" w:rsidR="00C61B54" w:rsidRPr="00D74967" w:rsidRDefault="00E6270E" w:rsidP="00240F50">
    <w:pPr>
      <w:pStyle w:val="CEAPositionPaperTitle"/>
      <w:ind w:left="0"/>
      <w:rPr>
        <w:b w:val="0"/>
        <w:color w:val="002957"/>
        <w:sz w:val="28"/>
        <w:szCs w:val="28"/>
        <w:lang w:val="en-US"/>
      </w:rPr>
    </w:pPr>
    <w:sdt>
      <w:sdtPr>
        <w:rPr>
          <w:b w:val="0"/>
          <w:color w:val="002957"/>
          <w:sz w:val="28"/>
          <w:szCs w:val="28"/>
          <w:lang w:val="en-US"/>
        </w:rPr>
        <w:id w:val="-1374918777"/>
        <w:placeholder>
          <w:docPart w:val="DefaultPlaceholder_-1854013440"/>
        </w:placeholder>
        <w:dataBinding w:prefixMappings="xmlns:ns0='http://purl.org/dc/elements/1.1/' xmlns:ns1='http://schemas.openxmlformats.org/package/2006/metadata/core-properties' " w:xpath="/ns1:coreProperties[1]/ns0:title[1]" w:storeItemID="{6C3C8BC8-F283-45AE-878A-BAB7291924A1}"/>
        <w:text/>
      </w:sdtPr>
      <w:sdtEndPr/>
      <w:sdtContent>
        <w:r>
          <w:rPr>
            <w:b w:val="0"/>
            <w:color w:val="002957"/>
            <w:sz w:val="28"/>
            <w:szCs w:val="28"/>
            <w:lang w:val="en-US"/>
          </w:rPr>
          <w:t>Insurance Europe's final response to IFRS Sustainability Disclosure Standards EDs</w:t>
        </w:r>
      </w:sdtContent>
    </w:sdt>
    <w:bookmarkEnd w:id="1"/>
  </w:p>
  <w:p w14:paraId="48E02457" w14:textId="77777777" w:rsidR="00C61B54" w:rsidRPr="00D74967" w:rsidRDefault="00C61B54" w:rsidP="00C61B54">
    <w:pPr>
      <w:rPr>
        <w:lang w:val="en-US"/>
      </w:rPr>
    </w:pPr>
  </w:p>
  <w:p w14:paraId="59DEEA8E" w14:textId="77777777" w:rsidR="00C61B54" w:rsidRPr="00D74967" w:rsidRDefault="00152882" w:rsidP="00C61B54">
    <w:pPr>
      <w:rPr>
        <w:lang w:val="en-US"/>
      </w:rPr>
    </w:pPr>
    <w:r>
      <w:rPr>
        <w:noProof/>
        <w:lang w:val="nl-BE" w:eastAsia="nl-BE"/>
      </w:rPr>
      <mc:AlternateContent>
        <mc:Choice Requires="wps">
          <w:drawing>
            <wp:anchor distT="0" distB="0" distL="114300" distR="114300" simplePos="0" relativeHeight="251658242" behindDoc="1" locked="1" layoutInCell="1" allowOverlap="1" wp14:anchorId="7F115990" wp14:editId="32DD3F38">
              <wp:simplePos x="0" y="0"/>
              <wp:positionH relativeFrom="margin">
                <wp:align>left</wp:align>
              </wp:positionH>
              <wp:positionV relativeFrom="paragraph">
                <wp:posOffset>88265</wp:posOffset>
              </wp:positionV>
              <wp:extent cx="6124575" cy="2051685"/>
              <wp:effectExtent l="0" t="0" r="28575" b="24765"/>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2051685"/>
                      </a:xfrm>
                      <a:prstGeom prst="roundRect">
                        <a:avLst>
                          <a:gd name="adj" fmla="val 16667"/>
                        </a:avLst>
                      </a:prstGeom>
                      <a:noFill/>
                      <a:ln w="6350">
                        <a:solidFill>
                          <a:srgbClr val="82C55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D52C9E" id="AutoShape 18" o:spid="_x0000_s1026" style="position:absolute;margin-left:0;margin-top:6.95pt;width:482.25pt;height:161.55pt;z-index:-25165823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" filled="f" strokecolor="#82c55b" strokeweight=".5pt">
              <w10:wrap anchorx="margin"/>
              <w10:anchorlock/>
            </v:roundrect>
          </w:pict>
        </mc:Fallback>
      </mc:AlternateContent>
    </w:r>
  </w:p>
  <w:tbl>
    <w:tblPr>
      <w:tblW w:w="9639" w:type="dxa"/>
      <w:tblBorders>
        <w:insideH w:val="single" w:sz="4" w:space="0" w:color="82C55B"/>
      </w:tblBorders>
      <w:tblLayout w:type="fixed"/>
      <w:tblLook w:val="0000" w:firstRow="0" w:lastRow="0" w:firstColumn="0" w:lastColumn="0" w:noHBand="0" w:noVBand="0"/>
    </w:tblPr>
    <w:tblGrid>
      <w:gridCol w:w="1536"/>
      <w:gridCol w:w="3557"/>
      <w:gridCol w:w="1570"/>
      <w:gridCol w:w="2976"/>
    </w:tblGrid>
    <w:tr w:rsidR="00C61B54" w:rsidRPr="000D41DA" w14:paraId="4B45CDA3" w14:textId="77777777" w:rsidTr="00240F50">
      <w:trPr>
        <w:cantSplit/>
        <w:trHeight w:hRule="exact" w:val="584"/>
      </w:trPr>
      <w:tc>
        <w:tcPr>
          <w:tcW w:w="1536" w:type="dxa"/>
          <w:shd w:val="clear" w:color="auto" w:fill="auto"/>
          <w:vAlign w:val="center"/>
        </w:tcPr>
        <w:p w14:paraId="57D93854" w14:textId="77777777" w:rsidR="00C61B54" w:rsidRPr="0085650F" w:rsidRDefault="00152882" w:rsidP="00C61B54">
          <w:pPr>
            <w:pStyle w:val="CEALabel"/>
            <w:rPr>
              <w:b w:val="0"/>
              <w:color w:val="002957"/>
              <w:sz w:val="17"/>
              <w:szCs w:val="17"/>
            </w:rPr>
          </w:pPr>
          <w:r w:rsidRPr="0085650F">
            <w:rPr>
              <w:b w:val="0"/>
              <w:color w:val="002957"/>
              <w:sz w:val="17"/>
              <w:szCs w:val="17"/>
            </w:rPr>
            <w:t xml:space="preserve">Our reference: </w:t>
          </w:r>
        </w:p>
      </w:tc>
      <w:tc>
        <w:tcPr>
          <w:tcW w:w="3557" w:type="dxa"/>
          <w:shd w:val="clear" w:color="auto" w:fill="auto"/>
          <w:vAlign w:val="center"/>
        </w:tcPr>
        <w:sdt>
          <w:sdtPr>
            <w:rPr>
              <w:color w:val="002957"/>
              <w:sz w:val="17"/>
              <w:szCs w:val="17"/>
            </w:rPr>
            <w:id w:val="-1486311048"/>
            <w:placeholder>
              <w:docPart w:val="2423207A1CC64824B8B0ED1555213A5B"/>
            </w:placeholder>
            <w15:dataBinding w:prefixMappings="xmlns:ns0='http://schemas.microsoft.com/office/2006/metadata/properties' xmlns:ns1='http://www.w3.org/2001/XMLSchema-instance' xmlns:ns2='http://schemas.microsoft.com/office/infopath/2007/PartnerControls' xmlns:ns3='ba225275-dfdd-4507-9cb6-b247f9a8bd33' xmlns:ns4='bf2322bd-6ea8-47f2-a340-10b5092f2000' " w:xpath="/ns0:properties[1]/documentManagement[1]/*[local-name() = 'Reference'][1]" w:storeItemID="{B35485A1-11AA-442D-8577-727460E39C5A}" w16sdtdh:storeItemChecksum="x065DA=="/>
          </w:sdtPr>
          <w:sdtEndPr/>
          <w:sdtContent>
            <w:p w14:paraId="4352DA30" w14:textId="40298D2E" w:rsidR="00C61B54" w:rsidRPr="00585988" w:rsidRDefault="002374C0" w:rsidP="0008034A">
              <w:pPr>
                <w:jc w:val="left"/>
                <w:rPr>
                  <w:color w:val="002957"/>
                  <w:sz w:val="17"/>
                  <w:szCs w:val="17"/>
                </w:rPr>
              </w:pPr>
              <w:r>
                <w:rPr>
                  <w:color w:val="002957"/>
                  <w:sz w:val="17"/>
                  <w:szCs w:val="17"/>
                </w:rPr>
                <w:t>ECO-CORP-22-149</w:t>
              </w:r>
            </w:p>
          </w:sdtContent>
        </w:sdt>
      </w:tc>
      <w:tc>
        <w:tcPr>
          <w:tcW w:w="1570" w:type="dxa"/>
          <w:shd w:val="clear" w:color="auto" w:fill="auto"/>
          <w:vAlign w:val="center"/>
        </w:tcPr>
        <w:p w14:paraId="5C893DF3" w14:textId="77777777" w:rsidR="00C61B54" w:rsidRPr="0085650F" w:rsidRDefault="00152882" w:rsidP="00C61B54">
          <w:pPr>
            <w:pStyle w:val="CEALabel"/>
            <w:rPr>
              <w:b w:val="0"/>
              <w:color w:val="002957"/>
              <w:sz w:val="17"/>
              <w:szCs w:val="17"/>
            </w:rPr>
          </w:pPr>
          <w:r w:rsidRPr="0085650F">
            <w:rPr>
              <w:b w:val="0"/>
              <w:color w:val="002957"/>
              <w:sz w:val="17"/>
              <w:szCs w:val="17"/>
            </w:rPr>
            <w:t>Date:</w:t>
          </w:r>
        </w:p>
      </w:tc>
      <w:tc>
        <w:tcPr>
          <w:tcW w:w="2976" w:type="dxa"/>
          <w:shd w:val="clear" w:color="auto" w:fill="auto"/>
          <w:vAlign w:val="center"/>
        </w:tcPr>
        <w:p w14:paraId="181A7D4E" w14:textId="35CD3721" w:rsidR="00C61B54" w:rsidRPr="00585988" w:rsidRDefault="00D77BBE" w:rsidP="00C61B54">
          <w:pPr>
            <w:jc w:val="left"/>
            <w:rPr>
              <w:color w:val="002957"/>
              <w:sz w:val="17"/>
              <w:szCs w:val="17"/>
            </w:rPr>
          </w:pPr>
          <w:r>
            <w:rPr>
              <w:color w:val="002957"/>
              <w:sz w:val="17"/>
              <w:szCs w:val="17"/>
            </w:rPr>
            <w:t>2</w:t>
          </w:r>
          <w:r w:rsidR="00CC6EA0">
            <w:rPr>
              <w:color w:val="002957"/>
              <w:sz w:val="17"/>
              <w:szCs w:val="17"/>
            </w:rPr>
            <w:t>9</w:t>
          </w:r>
          <w:r w:rsidR="00E704D0">
            <w:rPr>
              <w:color w:val="002957"/>
              <w:sz w:val="17"/>
              <w:szCs w:val="17"/>
            </w:rPr>
            <w:t>-0</w:t>
          </w:r>
          <w:r w:rsidR="00FD4C19">
            <w:rPr>
              <w:color w:val="002957"/>
              <w:sz w:val="17"/>
              <w:szCs w:val="17"/>
            </w:rPr>
            <w:t>7</w:t>
          </w:r>
          <w:r w:rsidR="00E704D0">
            <w:rPr>
              <w:color w:val="002957"/>
              <w:sz w:val="17"/>
              <w:szCs w:val="17"/>
            </w:rPr>
            <w:t>-2022</w:t>
          </w:r>
        </w:p>
      </w:tc>
    </w:tr>
    <w:tr w:rsidR="00C61B54" w:rsidRPr="000D41DA" w14:paraId="71283189" w14:textId="77777777" w:rsidTr="00240F50">
      <w:trPr>
        <w:cantSplit/>
        <w:trHeight w:hRule="exact" w:val="584"/>
      </w:trPr>
      <w:tc>
        <w:tcPr>
          <w:tcW w:w="1536" w:type="dxa"/>
          <w:shd w:val="clear" w:color="auto" w:fill="auto"/>
          <w:vAlign w:val="center"/>
        </w:tcPr>
        <w:p w14:paraId="4FEEB7D0" w14:textId="67EAED48" w:rsidR="00C61B54" w:rsidRPr="0085650F" w:rsidRDefault="00152882" w:rsidP="00C61B54">
          <w:pPr>
            <w:pStyle w:val="CEALabel"/>
            <w:rPr>
              <w:b w:val="0"/>
              <w:color w:val="002957"/>
              <w:sz w:val="17"/>
              <w:szCs w:val="17"/>
            </w:rPr>
          </w:pPr>
          <w:r w:rsidRPr="0085650F">
            <w:rPr>
              <w:b w:val="0"/>
              <w:color w:val="002957"/>
              <w:sz w:val="17"/>
              <w:szCs w:val="17"/>
            </w:rPr>
            <w:t>Referring to:</w:t>
          </w:r>
        </w:p>
      </w:tc>
      <w:tc>
        <w:tcPr>
          <w:tcW w:w="3557" w:type="dxa"/>
          <w:shd w:val="clear" w:color="auto" w:fill="auto"/>
          <w:vAlign w:val="center"/>
        </w:tcPr>
        <w:p w14:paraId="140E78FD" w14:textId="05D12A56" w:rsidR="00C61B54" w:rsidRPr="00585988" w:rsidRDefault="00C61B54" w:rsidP="00C61B54">
          <w:pPr>
            <w:jc w:val="left"/>
            <w:rPr>
              <w:color w:val="002957"/>
              <w:sz w:val="17"/>
              <w:szCs w:val="17"/>
            </w:rPr>
          </w:pPr>
        </w:p>
      </w:tc>
      <w:tc>
        <w:tcPr>
          <w:tcW w:w="1570" w:type="dxa"/>
          <w:shd w:val="clear" w:color="auto" w:fill="auto"/>
          <w:vAlign w:val="center"/>
        </w:tcPr>
        <w:p w14:paraId="0A442DE6" w14:textId="77777777" w:rsidR="00C61B54" w:rsidRPr="00585988" w:rsidRDefault="00C61B54" w:rsidP="00C61B54">
          <w:pPr>
            <w:rPr>
              <w:color w:val="002957"/>
              <w:sz w:val="17"/>
              <w:szCs w:val="17"/>
            </w:rPr>
          </w:pPr>
        </w:p>
      </w:tc>
      <w:tc>
        <w:tcPr>
          <w:tcW w:w="2976" w:type="dxa"/>
          <w:shd w:val="clear" w:color="auto" w:fill="auto"/>
          <w:vAlign w:val="center"/>
        </w:tcPr>
        <w:p w14:paraId="74A17591" w14:textId="0AA37B00" w:rsidR="00C61B54" w:rsidRPr="00585988" w:rsidRDefault="00C61B54" w:rsidP="00C61B54">
          <w:pPr>
            <w:jc w:val="left"/>
            <w:rPr>
              <w:color w:val="002957"/>
              <w:sz w:val="17"/>
              <w:szCs w:val="17"/>
            </w:rPr>
          </w:pPr>
        </w:p>
      </w:tc>
    </w:tr>
    <w:tr w:rsidR="00C61B54" w:rsidRPr="000D41DA" w14:paraId="024FCDC9" w14:textId="77777777" w:rsidTr="00240F50">
      <w:trPr>
        <w:cantSplit/>
        <w:trHeight w:hRule="exact" w:val="584"/>
      </w:trPr>
      <w:tc>
        <w:tcPr>
          <w:tcW w:w="1536" w:type="dxa"/>
          <w:shd w:val="clear" w:color="auto" w:fill="auto"/>
          <w:vAlign w:val="center"/>
        </w:tcPr>
        <w:p w14:paraId="2E014A55" w14:textId="77777777" w:rsidR="00C61B54" w:rsidRPr="0085650F" w:rsidRDefault="00152882" w:rsidP="00C61B54">
          <w:pPr>
            <w:pStyle w:val="CEALabel"/>
            <w:rPr>
              <w:b w:val="0"/>
              <w:color w:val="002957"/>
              <w:sz w:val="17"/>
              <w:szCs w:val="17"/>
            </w:rPr>
          </w:pPr>
          <w:r w:rsidRPr="0085650F">
            <w:rPr>
              <w:b w:val="0"/>
              <w:color w:val="002957"/>
              <w:sz w:val="17"/>
              <w:szCs w:val="17"/>
            </w:rPr>
            <w:t>Related documents:</w:t>
          </w:r>
        </w:p>
      </w:tc>
      <w:tc>
        <w:tcPr>
          <w:tcW w:w="3557" w:type="dxa"/>
          <w:shd w:val="clear" w:color="auto" w:fill="auto"/>
          <w:vAlign w:val="center"/>
        </w:tcPr>
        <w:p w14:paraId="028D7892" w14:textId="124FA640" w:rsidR="00C61B54" w:rsidRPr="00585988" w:rsidRDefault="00C61B54" w:rsidP="00C61B54">
          <w:pPr>
            <w:jc w:val="left"/>
            <w:rPr>
              <w:color w:val="002957"/>
              <w:sz w:val="17"/>
              <w:szCs w:val="17"/>
            </w:rPr>
          </w:pPr>
        </w:p>
      </w:tc>
      <w:tc>
        <w:tcPr>
          <w:tcW w:w="1570" w:type="dxa"/>
          <w:shd w:val="clear" w:color="auto" w:fill="auto"/>
          <w:vAlign w:val="center"/>
        </w:tcPr>
        <w:p w14:paraId="08573CC7" w14:textId="77777777" w:rsidR="00C61B54" w:rsidRPr="00585988" w:rsidRDefault="00C61B54" w:rsidP="00C61B54">
          <w:pPr>
            <w:rPr>
              <w:color w:val="002957"/>
              <w:sz w:val="17"/>
              <w:szCs w:val="17"/>
            </w:rPr>
          </w:pPr>
        </w:p>
      </w:tc>
      <w:tc>
        <w:tcPr>
          <w:tcW w:w="2976" w:type="dxa"/>
          <w:shd w:val="clear" w:color="auto" w:fill="auto"/>
          <w:vAlign w:val="center"/>
        </w:tcPr>
        <w:p w14:paraId="15C35991" w14:textId="77777777" w:rsidR="00C61B54" w:rsidRPr="00585988" w:rsidRDefault="00C61B54" w:rsidP="00C61B54">
          <w:pPr>
            <w:jc w:val="left"/>
            <w:rPr>
              <w:b/>
              <w:color w:val="002957"/>
              <w:sz w:val="17"/>
              <w:szCs w:val="17"/>
            </w:rPr>
          </w:pPr>
        </w:p>
      </w:tc>
    </w:tr>
    <w:tr w:rsidR="00C61B54" w:rsidRPr="000D41DA" w14:paraId="07D47AE0" w14:textId="77777777" w:rsidTr="00240F50">
      <w:trPr>
        <w:cantSplit/>
        <w:trHeight w:hRule="exact" w:val="584"/>
      </w:trPr>
      <w:tc>
        <w:tcPr>
          <w:tcW w:w="1536" w:type="dxa"/>
          <w:shd w:val="clear" w:color="auto" w:fill="auto"/>
          <w:vAlign w:val="center"/>
        </w:tcPr>
        <w:p w14:paraId="4A965280" w14:textId="77777777" w:rsidR="00C61B54" w:rsidRPr="0085650F" w:rsidRDefault="00152882" w:rsidP="00C61B54">
          <w:pPr>
            <w:pStyle w:val="CEALabel"/>
            <w:rPr>
              <w:b w:val="0"/>
              <w:color w:val="002957"/>
              <w:sz w:val="17"/>
              <w:szCs w:val="17"/>
            </w:rPr>
          </w:pPr>
          <w:r w:rsidRPr="0085650F">
            <w:rPr>
              <w:b w:val="0"/>
              <w:color w:val="002957"/>
              <w:sz w:val="17"/>
              <w:szCs w:val="17"/>
            </w:rPr>
            <w:t>Contact person:</w:t>
          </w:r>
        </w:p>
      </w:tc>
      <w:tc>
        <w:tcPr>
          <w:tcW w:w="3557" w:type="dxa"/>
          <w:shd w:val="clear" w:color="auto" w:fill="auto"/>
          <w:vAlign w:val="center"/>
        </w:tcPr>
        <w:p w14:paraId="16BAC164" w14:textId="77777777" w:rsidR="00C15077" w:rsidRDefault="00C15077" w:rsidP="00C61B54">
          <w:pPr>
            <w:jc w:val="left"/>
            <w:rPr>
              <w:color w:val="002957"/>
              <w:sz w:val="17"/>
              <w:szCs w:val="17"/>
            </w:rPr>
          </w:pPr>
          <w:r>
            <w:rPr>
              <w:color w:val="002957"/>
              <w:sz w:val="17"/>
              <w:szCs w:val="17"/>
            </w:rPr>
            <w:t>Philippe Angelis</w:t>
          </w:r>
        </w:p>
        <w:p w14:paraId="03E7DCB9" w14:textId="3B416710" w:rsidR="00C61B54" w:rsidRPr="00585988" w:rsidRDefault="00C15077" w:rsidP="00C61B54">
          <w:pPr>
            <w:jc w:val="left"/>
            <w:rPr>
              <w:color w:val="002957"/>
              <w:sz w:val="17"/>
              <w:szCs w:val="17"/>
            </w:rPr>
          </w:pPr>
          <w:r>
            <w:rPr>
              <w:color w:val="002957"/>
              <w:sz w:val="17"/>
              <w:szCs w:val="17"/>
            </w:rPr>
            <w:t xml:space="preserve">Guillaume </w:t>
          </w:r>
          <w:proofErr w:type="spellStart"/>
          <w:r>
            <w:rPr>
              <w:color w:val="002957"/>
              <w:sz w:val="17"/>
              <w:szCs w:val="17"/>
            </w:rPr>
            <w:t>Morauw</w:t>
          </w:r>
          <w:proofErr w:type="spellEnd"/>
          <w:r w:rsidR="00DE0A2F" w:rsidRPr="00DE0A2F">
            <w:rPr>
              <w:color w:val="002957"/>
              <w:sz w:val="17"/>
              <w:szCs w:val="17"/>
            </w:rPr>
            <w:t xml:space="preserve"> </w:t>
          </w:r>
        </w:p>
      </w:tc>
      <w:tc>
        <w:tcPr>
          <w:tcW w:w="1570" w:type="dxa"/>
          <w:shd w:val="clear" w:color="auto" w:fill="auto"/>
          <w:vAlign w:val="center"/>
        </w:tcPr>
        <w:p w14:paraId="710B5A54" w14:textId="77777777" w:rsidR="00C61B54" w:rsidRPr="0085650F" w:rsidRDefault="00152882" w:rsidP="00C61B54">
          <w:pPr>
            <w:pStyle w:val="CEALabel"/>
            <w:rPr>
              <w:b w:val="0"/>
              <w:color w:val="002957"/>
              <w:sz w:val="17"/>
              <w:szCs w:val="17"/>
            </w:rPr>
          </w:pPr>
          <w:r w:rsidRPr="0085650F">
            <w:rPr>
              <w:b w:val="0"/>
              <w:color w:val="002957"/>
              <w:sz w:val="17"/>
              <w:szCs w:val="17"/>
            </w:rPr>
            <w:t>E-mail:</w:t>
          </w:r>
        </w:p>
      </w:tc>
      <w:tc>
        <w:tcPr>
          <w:tcW w:w="2976" w:type="dxa"/>
          <w:shd w:val="clear" w:color="auto" w:fill="auto"/>
          <w:vAlign w:val="center"/>
        </w:tcPr>
        <w:p w14:paraId="5B954066" w14:textId="34976D4A" w:rsidR="00C61B54" w:rsidRPr="00585988" w:rsidRDefault="00C15077" w:rsidP="00C61B54">
          <w:pPr>
            <w:jc w:val="left"/>
            <w:rPr>
              <w:color w:val="002957"/>
              <w:sz w:val="17"/>
              <w:szCs w:val="17"/>
            </w:rPr>
          </w:pPr>
          <w:r>
            <w:rPr>
              <w:color w:val="002957"/>
              <w:sz w:val="17"/>
              <w:szCs w:val="17"/>
            </w:rPr>
            <w:t>reporting</w:t>
          </w:r>
          <w:r w:rsidR="00E704D0">
            <w:rPr>
              <w:color w:val="002957"/>
              <w:sz w:val="17"/>
              <w:szCs w:val="17"/>
            </w:rPr>
            <w:t>@insuranceeurope.eu</w:t>
          </w:r>
        </w:p>
      </w:tc>
    </w:tr>
    <w:tr w:rsidR="00C61B54" w:rsidRPr="000D41DA" w14:paraId="605BBAF5" w14:textId="77777777" w:rsidTr="00240F50">
      <w:trPr>
        <w:cantSplit/>
        <w:trHeight w:hRule="exact" w:val="584"/>
      </w:trPr>
      <w:tc>
        <w:tcPr>
          <w:tcW w:w="1536" w:type="dxa"/>
          <w:shd w:val="clear" w:color="auto" w:fill="auto"/>
          <w:vAlign w:val="center"/>
        </w:tcPr>
        <w:p w14:paraId="7D7A937A" w14:textId="77777777" w:rsidR="00C61B54" w:rsidRPr="0085650F" w:rsidRDefault="00152882" w:rsidP="00C61B54">
          <w:pPr>
            <w:pStyle w:val="CEALabel"/>
            <w:rPr>
              <w:b w:val="0"/>
              <w:color w:val="002957"/>
              <w:sz w:val="17"/>
              <w:szCs w:val="17"/>
            </w:rPr>
          </w:pPr>
          <w:r w:rsidRPr="0085650F">
            <w:rPr>
              <w:b w:val="0"/>
              <w:color w:val="002957"/>
              <w:sz w:val="17"/>
              <w:szCs w:val="17"/>
            </w:rPr>
            <w:t xml:space="preserve">Pages: </w:t>
          </w:r>
        </w:p>
      </w:tc>
      <w:tc>
        <w:tcPr>
          <w:tcW w:w="3557" w:type="dxa"/>
          <w:shd w:val="clear" w:color="auto" w:fill="auto"/>
          <w:vAlign w:val="center"/>
        </w:tcPr>
        <w:p w14:paraId="6278A0AF" w14:textId="77777777" w:rsidR="00C61B54" w:rsidRPr="00585988" w:rsidRDefault="00152882" w:rsidP="00C61B54">
          <w:pPr>
            <w:rPr>
              <w:color w:val="002957"/>
              <w:spacing w:val="-4"/>
              <w:w w:val="90"/>
              <w:sz w:val="17"/>
              <w:szCs w:val="17"/>
            </w:rPr>
          </w:pPr>
          <w:r w:rsidRPr="00585988">
            <w:rPr>
              <w:rStyle w:val="slostrany"/>
              <w:color w:val="002957"/>
              <w:sz w:val="17"/>
              <w:szCs w:val="17"/>
            </w:rPr>
            <w:fldChar w:fldCharType="begin"/>
          </w:r>
          <w:r w:rsidRPr="00585988">
            <w:rPr>
              <w:rStyle w:val="slostrany"/>
              <w:color w:val="002957"/>
              <w:sz w:val="17"/>
              <w:szCs w:val="17"/>
            </w:rPr>
            <w:instrText xml:space="preserve"> NUMPAGES </w:instrText>
          </w:r>
          <w:r w:rsidRPr="00585988">
            <w:rPr>
              <w:rStyle w:val="slostrany"/>
              <w:color w:val="002957"/>
              <w:sz w:val="17"/>
              <w:szCs w:val="17"/>
            </w:rPr>
            <w:fldChar w:fldCharType="separate"/>
          </w:r>
          <w:r w:rsidR="009F36CD">
            <w:rPr>
              <w:rStyle w:val="slostrany"/>
              <w:noProof/>
              <w:color w:val="002957"/>
              <w:sz w:val="17"/>
              <w:szCs w:val="17"/>
            </w:rPr>
            <w:t>2</w:t>
          </w:r>
          <w:r w:rsidRPr="00585988">
            <w:rPr>
              <w:rStyle w:val="slostrany"/>
              <w:color w:val="002957"/>
              <w:sz w:val="17"/>
              <w:szCs w:val="17"/>
            </w:rPr>
            <w:fldChar w:fldCharType="end"/>
          </w:r>
        </w:p>
      </w:tc>
      <w:tc>
        <w:tcPr>
          <w:tcW w:w="1570" w:type="dxa"/>
          <w:shd w:val="clear" w:color="auto" w:fill="auto"/>
          <w:vAlign w:val="center"/>
        </w:tcPr>
        <w:p w14:paraId="48B95308" w14:textId="77777777" w:rsidR="00C61B54" w:rsidRPr="00585988" w:rsidRDefault="00974483" w:rsidP="00C61B54">
          <w:pPr>
            <w:ind w:right="-117"/>
            <w:rPr>
              <w:b/>
              <w:color w:val="002957"/>
              <w:sz w:val="17"/>
              <w:szCs w:val="17"/>
            </w:rPr>
          </w:pPr>
          <w:r>
            <w:rPr>
              <w:rFonts w:cs="Arial"/>
              <w:color w:val="002957"/>
              <w:sz w:val="17"/>
              <w:szCs w:val="17"/>
            </w:rPr>
            <w:t xml:space="preserve">Transparency Register </w:t>
          </w:r>
          <w:r w:rsidR="00152882" w:rsidRPr="00585988">
            <w:rPr>
              <w:rFonts w:cs="Arial"/>
              <w:color w:val="002957"/>
              <w:sz w:val="17"/>
              <w:szCs w:val="17"/>
            </w:rPr>
            <w:t>ID no.:</w:t>
          </w:r>
        </w:p>
      </w:tc>
      <w:tc>
        <w:tcPr>
          <w:tcW w:w="2976" w:type="dxa"/>
          <w:shd w:val="clear" w:color="auto" w:fill="auto"/>
          <w:vAlign w:val="center"/>
        </w:tcPr>
        <w:p w14:paraId="08B3449C" w14:textId="77777777" w:rsidR="00C61B54" w:rsidRPr="00585988" w:rsidRDefault="00152882" w:rsidP="00C61B54">
          <w:pPr>
            <w:rPr>
              <w:color w:val="002957"/>
              <w:sz w:val="17"/>
              <w:szCs w:val="17"/>
            </w:rPr>
          </w:pPr>
          <w:r w:rsidRPr="00585988">
            <w:rPr>
              <w:rFonts w:cs="Tahoma"/>
              <w:color w:val="002957"/>
              <w:sz w:val="17"/>
              <w:szCs w:val="17"/>
            </w:rPr>
            <w:t>33213703459-54</w:t>
          </w:r>
        </w:p>
      </w:tc>
    </w:tr>
  </w:tbl>
  <w:p w14:paraId="3A20423D" w14:textId="77777777" w:rsidR="00C61B54" w:rsidRPr="000D41DA" w:rsidRDefault="00C61B54" w:rsidP="00C61B54">
    <w:pPr>
      <w:rPr>
        <w:b/>
        <w:sz w:val="22"/>
        <w:szCs w:val="22"/>
      </w:rPr>
    </w:pPr>
  </w:p>
  <w:p w14:paraId="0299F3F5" w14:textId="77777777" w:rsidR="00C61B54" w:rsidRPr="000D41DA" w:rsidRDefault="00C61B54" w:rsidP="00C61B5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0524"/>
    <w:multiLevelType w:val="hybridMultilevel"/>
    <w:tmpl w:val="90F814AC"/>
    <w:lvl w:ilvl="0" w:tplc="536246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966DDD"/>
    <w:multiLevelType w:val="hybridMultilevel"/>
    <w:tmpl w:val="7542D9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886421"/>
    <w:multiLevelType w:val="hybridMultilevel"/>
    <w:tmpl w:val="216A4E82"/>
    <w:lvl w:ilvl="0" w:tplc="DAEC31A0">
      <w:numFmt w:val="bullet"/>
      <w:lvlText w:val="-"/>
      <w:lvlJc w:val="left"/>
      <w:pPr>
        <w:ind w:left="1080" w:hanging="360"/>
      </w:pPr>
      <w:rPr>
        <w:rFonts w:ascii="Verdana" w:eastAsia="Bookman Old Style" w:hAnsi="Verdana" w:cs="Bookman Old Style"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06F507F7"/>
    <w:multiLevelType w:val="hybridMultilevel"/>
    <w:tmpl w:val="90F814AC"/>
    <w:lvl w:ilvl="0" w:tplc="536246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00391A"/>
    <w:multiLevelType w:val="hybridMultilevel"/>
    <w:tmpl w:val="7542D9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9A181E"/>
    <w:multiLevelType w:val="hybridMultilevel"/>
    <w:tmpl w:val="90F814AC"/>
    <w:lvl w:ilvl="0" w:tplc="536246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AE6C00"/>
    <w:multiLevelType w:val="hybridMultilevel"/>
    <w:tmpl w:val="017EAA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F9B61AB"/>
    <w:multiLevelType w:val="hybridMultilevel"/>
    <w:tmpl w:val="90F814AC"/>
    <w:lvl w:ilvl="0" w:tplc="536246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54071E"/>
    <w:multiLevelType w:val="hybridMultilevel"/>
    <w:tmpl w:val="EBE65710"/>
    <w:lvl w:ilvl="0" w:tplc="A0240652">
      <w:start w:val="165"/>
      <w:numFmt w:val="bullet"/>
      <w:pStyle w:val="CEABullet-Level2"/>
      <w:lvlText w:val=""/>
      <w:lvlJc w:val="left"/>
      <w:pPr>
        <w:ind w:left="1800" w:hanging="360"/>
      </w:pPr>
      <w:rPr>
        <w:rFonts w:ascii="Symbol" w:hAnsi="Symbol" w:hint="default"/>
        <w:color w:val="auto"/>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9" w15:restartNumberingAfterBreak="0">
    <w:nsid w:val="107F0C33"/>
    <w:multiLevelType w:val="hybridMultilevel"/>
    <w:tmpl w:val="90F814AC"/>
    <w:lvl w:ilvl="0" w:tplc="536246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2806EF3"/>
    <w:multiLevelType w:val="hybridMultilevel"/>
    <w:tmpl w:val="BDDAED0C"/>
    <w:lvl w:ilvl="0" w:tplc="536246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3060A4A"/>
    <w:multiLevelType w:val="hybridMultilevel"/>
    <w:tmpl w:val="7542D9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8F4AE6"/>
    <w:multiLevelType w:val="hybridMultilevel"/>
    <w:tmpl w:val="21784FEC"/>
    <w:lvl w:ilvl="0" w:tplc="08D06B3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15C73489"/>
    <w:multiLevelType w:val="hybridMultilevel"/>
    <w:tmpl w:val="7542D9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91128F"/>
    <w:multiLevelType w:val="hybridMultilevel"/>
    <w:tmpl w:val="7542D9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962EE7"/>
    <w:multiLevelType w:val="hybridMultilevel"/>
    <w:tmpl w:val="90F814AC"/>
    <w:lvl w:ilvl="0" w:tplc="536246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E5E4230"/>
    <w:multiLevelType w:val="hybridMultilevel"/>
    <w:tmpl w:val="D73A7466"/>
    <w:lvl w:ilvl="0" w:tplc="08090001">
      <w:start w:val="1"/>
      <w:numFmt w:val="bullet"/>
      <w:lvlText w:val=""/>
      <w:lvlJc w:val="left"/>
      <w:pPr>
        <w:ind w:left="2064" w:hanging="360"/>
      </w:pPr>
      <w:rPr>
        <w:rFonts w:ascii="Symbol" w:hAnsi="Symbol" w:hint="default"/>
      </w:rPr>
    </w:lvl>
    <w:lvl w:ilvl="1" w:tplc="04070003">
      <w:start w:val="1"/>
      <w:numFmt w:val="bullet"/>
      <w:lvlText w:val="o"/>
      <w:lvlJc w:val="left"/>
      <w:pPr>
        <w:ind w:left="2292" w:hanging="360"/>
      </w:pPr>
      <w:rPr>
        <w:rFonts w:ascii="Courier New" w:hAnsi="Courier New" w:cs="Courier New" w:hint="default"/>
      </w:rPr>
    </w:lvl>
    <w:lvl w:ilvl="2" w:tplc="04070005" w:tentative="1">
      <w:start w:val="1"/>
      <w:numFmt w:val="bullet"/>
      <w:lvlText w:val=""/>
      <w:lvlJc w:val="left"/>
      <w:pPr>
        <w:ind w:left="3012" w:hanging="360"/>
      </w:pPr>
      <w:rPr>
        <w:rFonts w:ascii="Wingdings" w:hAnsi="Wingdings" w:hint="default"/>
      </w:rPr>
    </w:lvl>
    <w:lvl w:ilvl="3" w:tplc="04070001" w:tentative="1">
      <w:start w:val="1"/>
      <w:numFmt w:val="bullet"/>
      <w:lvlText w:val=""/>
      <w:lvlJc w:val="left"/>
      <w:pPr>
        <w:ind w:left="3732" w:hanging="360"/>
      </w:pPr>
      <w:rPr>
        <w:rFonts w:ascii="Symbol" w:hAnsi="Symbol" w:hint="default"/>
      </w:rPr>
    </w:lvl>
    <w:lvl w:ilvl="4" w:tplc="04070003" w:tentative="1">
      <w:start w:val="1"/>
      <w:numFmt w:val="bullet"/>
      <w:lvlText w:val="o"/>
      <w:lvlJc w:val="left"/>
      <w:pPr>
        <w:ind w:left="4452" w:hanging="360"/>
      </w:pPr>
      <w:rPr>
        <w:rFonts w:ascii="Courier New" w:hAnsi="Courier New" w:cs="Courier New" w:hint="default"/>
      </w:rPr>
    </w:lvl>
    <w:lvl w:ilvl="5" w:tplc="04070005" w:tentative="1">
      <w:start w:val="1"/>
      <w:numFmt w:val="bullet"/>
      <w:lvlText w:val=""/>
      <w:lvlJc w:val="left"/>
      <w:pPr>
        <w:ind w:left="5172" w:hanging="360"/>
      </w:pPr>
      <w:rPr>
        <w:rFonts w:ascii="Wingdings" w:hAnsi="Wingdings" w:hint="default"/>
      </w:rPr>
    </w:lvl>
    <w:lvl w:ilvl="6" w:tplc="04070001" w:tentative="1">
      <w:start w:val="1"/>
      <w:numFmt w:val="bullet"/>
      <w:lvlText w:val=""/>
      <w:lvlJc w:val="left"/>
      <w:pPr>
        <w:ind w:left="5892" w:hanging="360"/>
      </w:pPr>
      <w:rPr>
        <w:rFonts w:ascii="Symbol" w:hAnsi="Symbol" w:hint="default"/>
      </w:rPr>
    </w:lvl>
    <w:lvl w:ilvl="7" w:tplc="04070003" w:tentative="1">
      <w:start w:val="1"/>
      <w:numFmt w:val="bullet"/>
      <w:lvlText w:val="o"/>
      <w:lvlJc w:val="left"/>
      <w:pPr>
        <w:ind w:left="6612" w:hanging="360"/>
      </w:pPr>
      <w:rPr>
        <w:rFonts w:ascii="Courier New" w:hAnsi="Courier New" w:cs="Courier New" w:hint="default"/>
      </w:rPr>
    </w:lvl>
    <w:lvl w:ilvl="8" w:tplc="04070005" w:tentative="1">
      <w:start w:val="1"/>
      <w:numFmt w:val="bullet"/>
      <w:lvlText w:val=""/>
      <w:lvlJc w:val="left"/>
      <w:pPr>
        <w:ind w:left="7332" w:hanging="360"/>
      </w:pPr>
      <w:rPr>
        <w:rFonts w:ascii="Wingdings" w:hAnsi="Wingdings" w:hint="default"/>
      </w:rPr>
    </w:lvl>
  </w:abstractNum>
  <w:abstractNum w:abstractNumId="17" w15:restartNumberingAfterBreak="0">
    <w:nsid w:val="1FF5350E"/>
    <w:multiLevelType w:val="hybridMultilevel"/>
    <w:tmpl w:val="90F814AC"/>
    <w:lvl w:ilvl="0" w:tplc="536246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1B96EF5"/>
    <w:multiLevelType w:val="hybridMultilevel"/>
    <w:tmpl w:val="09C8A458"/>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23D139CD"/>
    <w:multiLevelType w:val="hybridMultilevel"/>
    <w:tmpl w:val="7542D9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D26310"/>
    <w:multiLevelType w:val="hybridMultilevel"/>
    <w:tmpl w:val="7542D9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420AA2"/>
    <w:multiLevelType w:val="hybridMultilevel"/>
    <w:tmpl w:val="C80AA150"/>
    <w:lvl w:ilvl="0" w:tplc="0172B56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6792F4C"/>
    <w:multiLevelType w:val="hybridMultilevel"/>
    <w:tmpl w:val="90F814AC"/>
    <w:lvl w:ilvl="0" w:tplc="536246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7B926BB"/>
    <w:multiLevelType w:val="hybridMultilevel"/>
    <w:tmpl w:val="AB1CCAAE"/>
    <w:lvl w:ilvl="0" w:tplc="8F90F7B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2A02421A"/>
    <w:multiLevelType w:val="hybridMultilevel"/>
    <w:tmpl w:val="7542D9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B382FC9"/>
    <w:multiLevelType w:val="hybridMultilevel"/>
    <w:tmpl w:val="90F814AC"/>
    <w:lvl w:ilvl="0" w:tplc="536246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D9E4F62"/>
    <w:multiLevelType w:val="hybridMultilevel"/>
    <w:tmpl w:val="90F814AC"/>
    <w:lvl w:ilvl="0" w:tplc="536246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65934E1"/>
    <w:multiLevelType w:val="hybridMultilevel"/>
    <w:tmpl w:val="70249562"/>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68A12D9"/>
    <w:multiLevelType w:val="hybridMultilevel"/>
    <w:tmpl w:val="90F814AC"/>
    <w:lvl w:ilvl="0" w:tplc="536246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B642EFE"/>
    <w:multiLevelType w:val="hybridMultilevel"/>
    <w:tmpl w:val="527CC6B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B8652FC"/>
    <w:multiLevelType w:val="hybridMultilevel"/>
    <w:tmpl w:val="7542D9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C17075A"/>
    <w:multiLevelType w:val="hybridMultilevel"/>
    <w:tmpl w:val="90F814AC"/>
    <w:lvl w:ilvl="0" w:tplc="536246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D4255E1"/>
    <w:multiLevelType w:val="hybridMultilevel"/>
    <w:tmpl w:val="22D470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DE221C"/>
    <w:multiLevelType w:val="hybridMultilevel"/>
    <w:tmpl w:val="7542D9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3CD4B4D"/>
    <w:multiLevelType w:val="hybridMultilevel"/>
    <w:tmpl w:val="2CDA2B6E"/>
    <w:lvl w:ilvl="0" w:tplc="8E56E178">
      <w:start w:val="2"/>
      <w:numFmt w:val="bullet"/>
      <w:lvlText w:val="-"/>
      <w:lvlJc w:val="left"/>
      <w:pPr>
        <w:ind w:left="2064" w:hanging="360"/>
      </w:pPr>
      <w:rPr>
        <w:rFonts w:ascii="Calibri" w:eastAsiaTheme="minorHAnsi" w:hAnsi="Calibri" w:cs="Calibri" w:hint="default"/>
      </w:rPr>
    </w:lvl>
    <w:lvl w:ilvl="1" w:tplc="04070003" w:tentative="1">
      <w:start w:val="1"/>
      <w:numFmt w:val="bullet"/>
      <w:lvlText w:val="o"/>
      <w:lvlJc w:val="left"/>
      <w:pPr>
        <w:ind w:left="2292" w:hanging="360"/>
      </w:pPr>
      <w:rPr>
        <w:rFonts w:ascii="Courier New" w:hAnsi="Courier New" w:cs="Courier New" w:hint="default"/>
      </w:rPr>
    </w:lvl>
    <w:lvl w:ilvl="2" w:tplc="04070005" w:tentative="1">
      <w:start w:val="1"/>
      <w:numFmt w:val="bullet"/>
      <w:lvlText w:val=""/>
      <w:lvlJc w:val="left"/>
      <w:pPr>
        <w:ind w:left="3012" w:hanging="360"/>
      </w:pPr>
      <w:rPr>
        <w:rFonts w:ascii="Wingdings" w:hAnsi="Wingdings" w:hint="default"/>
      </w:rPr>
    </w:lvl>
    <w:lvl w:ilvl="3" w:tplc="04070001" w:tentative="1">
      <w:start w:val="1"/>
      <w:numFmt w:val="bullet"/>
      <w:lvlText w:val=""/>
      <w:lvlJc w:val="left"/>
      <w:pPr>
        <w:ind w:left="3732" w:hanging="360"/>
      </w:pPr>
      <w:rPr>
        <w:rFonts w:ascii="Symbol" w:hAnsi="Symbol" w:hint="default"/>
      </w:rPr>
    </w:lvl>
    <w:lvl w:ilvl="4" w:tplc="04070003" w:tentative="1">
      <w:start w:val="1"/>
      <w:numFmt w:val="bullet"/>
      <w:lvlText w:val="o"/>
      <w:lvlJc w:val="left"/>
      <w:pPr>
        <w:ind w:left="4452" w:hanging="360"/>
      </w:pPr>
      <w:rPr>
        <w:rFonts w:ascii="Courier New" w:hAnsi="Courier New" w:cs="Courier New" w:hint="default"/>
      </w:rPr>
    </w:lvl>
    <w:lvl w:ilvl="5" w:tplc="04070005" w:tentative="1">
      <w:start w:val="1"/>
      <w:numFmt w:val="bullet"/>
      <w:lvlText w:val=""/>
      <w:lvlJc w:val="left"/>
      <w:pPr>
        <w:ind w:left="5172" w:hanging="360"/>
      </w:pPr>
      <w:rPr>
        <w:rFonts w:ascii="Wingdings" w:hAnsi="Wingdings" w:hint="default"/>
      </w:rPr>
    </w:lvl>
    <w:lvl w:ilvl="6" w:tplc="04070001" w:tentative="1">
      <w:start w:val="1"/>
      <w:numFmt w:val="bullet"/>
      <w:lvlText w:val=""/>
      <w:lvlJc w:val="left"/>
      <w:pPr>
        <w:ind w:left="5892" w:hanging="360"/>
      </w:pPr>
      <w:rPr>
        <w:rFonts w:ascii="Symbol" w:hAnsi="Symbol" w:hint="default"/>
      </w:rPr>
    </w:lvl>
    <w:lvl w:ilvl="7" w:tplc="04070003" w:tentative="1">
      <w:start w:val="1"/>
      <w:numFmt w:val="bullet"/>
      <w:lvlText w:val="o"/>
      <w:lvlJc w:val="left"/>
      <w:pPr>
        <w:ind w:left="6612" w:hanging="360"/>
      </w:pPr>
      <w:rPr>
        <w:rFonts w:ascii="Courier New" w:hAnsi="Courier New" w:cs="Courier New" w:hint="default"/>
      </w:rPr>
    </w:lvl>
    <w:lvl w:ilvl="8" w:tplc="04070005" w:tentative="1">
      <w:start w:val="1"/>
      <w:numFmt w:val="bullet"/>
      <w:lvlText w:val=""/>
      <w:lvlJc w:val="left"/>
      <w:pPr>
        <w:ind w:left="7332" w:hanging="360"/>
      </w:pPr>
      <w:rPr>
        <w:rFonts w:ascii="Wingdings" w:hAnsi="Wingdings" w:hint="default"/>
      </w:rPr>
    </w:lvl>
  </w:abstractNum>
  <w:abstractNum w:abstractNumId="35" w15:restartNumberingAfterBreak="0">
    <w:nsid w:val="440239D7"/>
    <w:multiLevelType w:val="hybridMultilevel"/>
    <w:tmpl w:val="17BE4856"/>
    <w:lvl w:ilvl="0" w:tplc="3326A316">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47E4D85"/>
    <w:multiLevelType w:val="hybridMultilevel"/>
    <w:tmpl w:val="36024468"/>
    <w:lvl w:ilvl="0" w:tplc="37180294">
      <w:start w:val="165"/>
      <w:numFmt w:val="bullet"/>
      <w:pStyle w:val="CEABullet-Level3"/>
      <w:lvlText w:val=""/>
      <w:lvlJc w:val="left"/>
      <w:pPr>
        <w:ind w:left="2673" w:hanging="360"/>
      </w:pPr>
      <w:rPr>
        <w:rFonts w:ascii="Symbol" w:hAnsi="Symbol" w:hint="default"/>
        <w:color w:val="auto"/>
      </w:rPr>
    </w:lvl>
    <w:lvl w:ilvl="1" w:tplc="080C0003" w:tentative="1">
      <w:start w:val="1"/>
      <w:numFmt w:val="bullet"/>
      <w:lvlText w:val="o"/>
      <w:lvlJc w:val="left"/>
      <w:pPr>
        <w:ind w:left="3393" w:hanging="360"/>
      </w:pPr>
      <w:rPr>
        <w:rFonts w:ascii="Courier New" w:hAnsi="Courier New" w:cs="Courier New" w:hint="default"/>
      </w:rPr>
    </w:lvl>
    <w:lvl w:ilvl="2" w:tplc="080C0005" w:tentative="1">
      <w:start w:val="1"/>
      <w:numFmt w:val="bullet"/>
      <w:lvlText w:val=""/>
      <w:lvlJc w:val="left"/>
      <w:pPr>
        <w:ind w:left="4113" w:hanging="360"/>
      </w:pPr>
      <w:rPr>
        <w:rFonts w:ascii="Wingdings" w:hAnsi="Wingdings" w:hint="default"/>
      </w:rPr>
    </w:lvl>
    <w:lvl w:ilvl="3" w:tplc="080C0001" w:tentative="1">
      <w:start w:val="1"/>
      <w:numFmt w:val="bullet"/>
      <w:lvlText w:val=""/>
      <w:lvlJc w:val="left"/>
      <w:pPr>
        <w:ind w:left="4833" w:hanging="360"/>
      </w:pPr>
      <w:rPr>
        <w:rFonts w:ascii="Symbol" w:hAnsi="Symbol" w:hint="default"/>
      </w:rPr>
    </w:lvl>
    <w:lvl w:ilvl="4" w:tplc="080C0003" w:tentative="1">
      <w:start w:val="1"/>
      <w:numFmt w:val="bullet"/>
      <w:lvlText w:val="o"/>
      <w:lvlJc w:val="left"/>
      <w:pPr>
        <w:ind w:left="5553" w:hanging="360"/>
      </w:pPr>
      <w:rPr>
        <w:rFonts w:ascii="Courier New" w:hAnsi="Courier New" w:cs="Courier New" w:hint="default"/>
      </w:rPr>
    </w:lvl>
    <w:lvl w:ilvl="5" w:tplc="080C0005" w:tentative="1">
      <w:start w:val="1"/>
      <w:numFmt w:val="bullet"/>
      <w:lvlText w:val=""/>
      <w:lvlJc w:val="left"/>
      <w:pPr>
        <w:ind w:left="6273" w:hanging="360"/>
      </w:pPr>
      <w:rPr>
        <w:rFonts w:ascii="Wingdings" w:hAnsi="Wingdings" w:hint="default"/>
      </w:rPr>
    </w:lvl>
    <w:lvl w:ilvl="6" w:tplc="080C0001" w:tentative="1">
      <w:start w:val="1"/>
      <w:numFmt w:val="bullet"/>
      <w:lvlText w:val=""/>
      <w:lvlJc w:val="left"/>
      <w:pPr>
        <w:ind w:left="6993" w:hanging="360"/>
      </w:pPr>
      <w:rPr>
        <w:rFonts w:ascii="Symbol" w:hAnsi="Symbol" w:hint="default"/>
      </w:rPr>
    </w:lvl>
    <w:lvl w:ilvl="7" w:tplc="080C0003" w:tentative="1">
      <w:start w:val="1"/>
      <w:numFmt w:val="bullet"/>
      <w:lvlText w:val="o"/>
      <w:lvlJc w:val="left"/>
      <w:pPr>
        <w:ind w:left="7713" w:hanging="360"/>
      </w:pPr>
      <w:rPr>
        <w:rFonts w:ascii="Courier New" w:hAnsi="Courier New" w:cs="Courier New" w:hint="default"/>
      </w:rPr>
    </w:lvl>
    <w:lvl w:ilvl="8" w:tplc="080C0005" w:tentative="1">
      <w:start w:val="1"/>
      <w:numFmt w:val="bullet"/>
      <w:lvlText w:val=""/>
      <w:lvlJc w:val="left"/>
      <w:pPr>
        <w:ind w:left="8433" w:hanging="360"/>
      </w:pPr>
      <w:rPr>
        <w:rFonts w:ascii="Wingdings" w:hAnsi="Wingdings" w:hint="default"/>
      </w:rPr>
    </w:lvl>
  </w:abstractNum>
  <w:abstractNum w:abstractNumId="37" w15:restartNumberingAfterBreak="0">
    <w:nsid w:val="465E4CBC"/>
    <w:multiLevelType w:val="hybridMultilevel"/>
    <w:tmpl w:val="7542D9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6C376DA"/>
    <w:multiLevelType w:val="hybridMultilevel"/>
    <w:tmpl w:val="7542D9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A515109"/>
    <w:multiLevelType w:val="hybridMultilevel"/>
    <w:tmpl w:val="7542D9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BAA0DA5"/>
    <w:multiLevelType w:val="hybridMultilevel"/>
    <w:tmpl w:val="7542D9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4807A38"/>
    <w:multiLevelType w:val="hybridMultilevel"/>
    <w:tmpl w:val="90F814AC"/>
    <w:lvl w:ilvl="0" w:tplc="536246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96B1F04"/>
    <w:multiLevelType w:val="hybridMultilevel"/>
    <w:tmpl w:val="7542D9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ACF0CD7"/>
    <w:multiLevelType w:val="hybridMultilevel"/>
    <w:tmpl w:val="C728BC86"/>
    <w:lvl w:ilvl="0" w:tplc="7EEEFA6C">
      <w:start w:val="14"/>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E1C1375"/>
    <w:multiLevelType w:val="hybridMultilevel"/>
    <w:tmpl w:val="C80AA150"/>
    <w:lvl w:ilvl="0" w:tplc="0172B56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1C478F4"/>
    <w:multiLevelType w:val="hybridMultilevel"/>
    <w:tmpl w:val="72849ABE"/>
    <w:lvl w:ilvl="0" w:tplc="536246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51A56FC"/>
    <w:multiLevelType w:val="hybridMultilevel"/>
    <w:tmpl w:val="7542D9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5BF0DCA"/>
    <w:multiLevelType w:val="hybridMultilevel"/>
    <w:tmpl w:val="7542D9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6B74579"/>
    <w:multiLevelType w:val="hybridMultilevel"/>
    <w:tmpl w:val="90F814AC"/>
    <w:lvl w:ilvl="0" w:tplc="536246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7EA52AD"/>
    <w:multiLevelType w:val="hybridMultilevel"/>
    <w:tmpl w:val="22D470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99E2B88"/>
    <w:multiLevelType w:val="hybridMultilevel"/>
    <w:tmpl w:val="83FCF736"/>
    <w:lvl w:ilvl="0" w:tplc="2CF65F2A">
      <w:start w:val="165"/>
      <w:numFmt w:val="bullet"/>
      <w:pStyle w:val="CEABullet-Level1"/>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6AE77491"/>
    <w:multiLevelType w:val="hybridMultilevel"/>
    <w:tmpl w:val="7542D9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C6E19DC"/>
    <w:multiLevelType w:val="hybridMultilevel"/>
    <w:tmpl w:val="90F814AC"/>
    <w:lvl w:ilvl="0" w:tplc="536246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05C435C"/>
    <w:multiLevelType w:val="hybridMultilevel"/>
    <w:tmpl w:val="7542D9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3945127"/>
    <w:multiLevelType w:val="hybridMultilevel"/>
    <w:tmpl w:val="90F814AC"/>
    <w:lvl w:ilvl="0" w:tplc="5362467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3F963D4"/>
    <w:multiLevelType w:val="hybridMultilevel"/>
    <w:tmpl w:val="90F814AC"/>
    <w:lvl w:ilvl="0" w:tplc="536246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4566563"/>
    <w:multiLevelType w:val="hybridMultilevel"/>
    <w:tmpl w:val="90F814AC"/>
    <w:lvl w:ilvl="0" w:tplc="536246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54769A3"/>
    <w:multiLevelType w:val="hybridMultilevel"/>
    <w:tmpl w:val="90F814AC"/>
    <w:lvl w:ilvl="0" w:tplc="536246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B901322"/>
    <w:multiLevelType w:val="hybridMultilevel"/>
    <w:tmpl w:val="7542D9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1787924">
    <w:abstractNumId w:val="50"/>
  </w:num>
  <w:num w:numId="2" w16cid:durableId="680621588">
    <w:abstractNumId w:val="8"/>
  </w:num>
  <w:num w:numId="3" w16cid:durableId="77479576">
    <w:abstractNumId w:val="36"/>
  </w:num>
  <w:num w:numId="4" w16cid:durableId="1095172760">
    <w:abstractNumId w:val="32"/>
  </w:num>
  <w:num w:numId="5" w16cid:durableId="2034840636">
    <w:abstractNumId w:val="49"/>
  </w:num>
  <w:num w:numId="6" w16cid:durableId="1884052182">
    <w:abstractNumId w:val="38"/>
  </w:num>
  <w:num w:numId="7" w16cid:durableId="803699196">
    <w:abstractNumId w:val="53"/>
  </w:num>
  <w:num w:numId="8" w16cid:durableId="122234113">
    <w:abstractNumId w:val="24"/>
  </w:num>
  <w:num w:numId="9" w16cid:durableId="2063600646">
    <w:abstractNumId w:val="39"/>
  </w:num>
  <w:num w:numId="10" w16cid:durableId="1766539525">
    <w:abstractNumId w:val="46"/>
  </w:num>
  <w:num w:numId="11" w16cid:durableId="1247154636">
    <w:abstractNumId w:val="51"/>
  </w:num>
  <w:num w:numId="12" w16cid:durableId="1459567257">
    <w:abstractNumId w:val="20"/>
  </w:num>
  <w:num w:numId="13" w16cid:durableId="1540506916">
    <w:abstractNumId w:val="30"/>
  </w:num>
  <w:num w:numId="14" w16cid:durableId="633948827">
    <w:abstractNumId w:val="1"/>
  </w:num>
  <w:num w:numId="15" w16cid:durableId="700320362">
    <w:abstractNumId w:val="37"/>
  </w:num>
  <w:num w:numId="16" w16cid:durableId="2034456816">
    <w:abstractNumId w:val="47"/>
  </w:num>
  <w:num w:numId="17" w16cid:durableId="778259248">
    <w:abstractNumId w:val="14"/>
  </w:num>
  <w:num w:numId="18" w16cid:durableId="1764103295">
    <w:abstractNumId w:val="42"/>
  </w:num>
  <w:num w:numId="19" w16cid:durableId="204634755">
    <w:abstractNumId w:val="4"/>
  </w:num>
  <w:num w:numId="20" w16cid:durableId="504246968">
    <w:abstractNumId w:val="40"/>
  </w:num>
  <w:num w:numId="21" w16cid:durableId="921992940">
    <w:abstractNumId w:val="44"/>
  </w:num>
  <w:num w:numId="22" w16cid:durableId="2067796696">
    <w:abstractNumId w:val="33"/>
  </w:num>
  <w:num w:numId="23" w16cid:durableId="1167595337">
    <w:abstractNumId w:val="21"/>
  </w:num>
  <w:num w:numId="24" w16cid:durableId="1687710170">
    <w:abstractNumId w:val="11"/>
  </w:num>
  <w:num w:numId="25" w16cid:durableId="795368692">
    <w:abstractNumId w:val="19"/>
  </w:num>
  <w:num w:numId="26" w16cid:durableId="11497637">
    <w:abstractNumId w:val="58"/>
  </w:num>
  <w:num w:numId="27" w16cid:durableId="1594049002">
    <w:abstractNumId w:val="13"/>
  </w:num>
  <w:num w:numId="28" w16cid:durableId="1100488293">
    <w:abstractNumId w:val="27"/>
  </w:num>
  <w:num w:numId="29" w16cid:durableId="2007972484">
    <w:abstractNumId w:val="29"/>
  </w:num>
  <w:num w:numId="30" w16cid:durableId="675038028">
    <w:abstractNumId w:val="56"/>
  </w:num>
  <w:num w:numId="31" w16cid:durableId="331685011">
    <w:abstractNumId w:val="7"/>
  </w:num>
  <w:num w:numId="32" w16cid:durableId="451872436">
    <w:abstractNumId w:val="52"/>
  </w:num>
  <w:num w:numId="33" w16cid:durableId="282809774">
    <w:abstractNumId w:val="5"/>
  </w:num>
  <w:num w:numId="34" w16cid:durableId="1899853845">
    <w:abstractNumId w:val="31"/>
  </w:num>
  <w:num w:numId="35" w16cid:durableId="159197854">
    <w:abstractNumId w:val="54"/>
  </w:num>
  <w:num w:numId="36" w16cid:durableId="746927821">
    <w:abstractNumId w:val="41"/>
  </w:num>
  <w:num w:numId="37" w16cid:durableId="185142028">
    <w:abstractNumId w:val="3"/>
  </w:num>
  <w:num w:numId="38" w16cid:durableId="1924530533">
    <w:abstractNumId w:val="26"/>
  </w:num>
  <w:num w:numId="39" w16cid:durableId="1588226799">
    <w:abstractNumId w:val="0"/>
  </w:num>
  <w:num w:numId="40" w16cid:durableId="1531457810">
    <w:abstractNumId w:val="17"/>
  </w:num>
  <w:num w:numId="41" w16cid:durableId="5641007">
    <w:abstractNumId w:val="48"/>
  </w:num>
  <w:num w:numId="42" w16cid:durableId="1607156699">
    <w:abstractNumId w:val="25"/>
  </w:num>
  <w:num w:numId="43" w16cid:durableId="1944065983">
    <w:abstractNumId w:val="28"/>
  </w:num>
  <w:num w:numId="44" w16cid:durableId="1691564763">
    <w:abstractNumId w:val="9"/>
  </w:num>
  <w:num w:numId="45" w16cid:durableId="521404835">
    <w:abstractNumId w:val="15"/>
  </w:num>
  <w:num w:numId="46" w16cid:durableId="1821772587">
    <w:abstractNumId w:val="57"/>
  </w:num>
  <w:num w:numId="47" w16cid:durableId="204177085">
    <w:abstractNumId w:val="22"/>
  </w:num>
  <w:num w:numId="48" w16cid:durableId="612901310">
    <w:abstractNumId w:val="55"/>
  </w:num>
  <w:num w:numId="49" w16cid:durableId="630016304">
    <w:abstractNumId w:val="45"/>
  </w:num>
  <w:num w:numId="50" w16cid:durableId="1012952811">
    <w:abstractNumId w:val="10"/>
  </w:num>
  <w:num w:numId="51" w16cid:durableId="1344359327">
    <w:abstractNumId w:val="2"/>
  </w:num>
  <w:num w:numId="52" w16cid:durableId="556626814">
    <w:abstractNumId w:val="34"/>
  </w:num>
  <w:num w:numId="53" w16cid:durableId="1119492332">
    <w:abstractNumId w:val="43"/>
  </w:num>
  <w:num w:numId="54" w16cid:durableId="1811244921">
    <w:abstractNumId w:val="12"/>
  </w:num>
  <w:num w:numId="55" w16cid:durableId="2053191122">
    <w:abstractNumId w:val="35"/>
  </w:num>
  <w:num w:numId="56" w16cid:durableId="1476293635">
    <w:abstractNumId w:val="23"/>
  </w:num>
  <w:num w:numId="57" w16cid:durableId="774905886">
    <w:abstractNumId w:val="6"/>
  </w:num>
  <w:num w:numId="58" w16cid:durableId="29689018">
    <w:abstractNumId w:val="18"/>
  </w:num>
  <w:num w:numId="59" w16cid:durableId="1464499228">
    <w:abstractNumId w:val="1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882"/>
    <w:rsid w:val="00001289"/>
    <w:rsid w:val="00002C9C"/>
    <w:rsid w:val="00002DAC"/>
    <w:rsid w:val="000038AB"/>
    <w:rsid w:val="00004573"/>
    <w:rsid w:val="00005924"/>
    <w:rsid w:val="000062D6"/>
    <w:rsid w:val="000068EC"/>
    <w:rsid w:val="00006B2E"/>
    <w:rsid w:val="000101C7"/>
    <w:rsid w:val="000103C3"/>
    <w:rsid w:val="00010716"/>
    <w:rsid w:val="00010CE3"/>
    <w:rsid w:val="00011269"/>
    <w:rsid w:val="00011A37"/>
    <w:rsid w:val="00011EA7"/>
    <w:rsid w:val="00012B59"/>
    <w:rsid w:val="00013367"/>
    <w:rsid w:val="0001519F"/>
    <w:rsid w:val="00015E96"/>
    <w:rsid w:val="000165C4"/>
    <w:rsid w:val="0001679C"/>
    <w:rsid w:val="0001777B"/>
    <w:rsid w:val="00017E2D"/>
    <w:rsid w:val="00020124"/>
    <w:rsid w:val="00020213"/>
    <w:rsid w:val="00021102"/>
    <w:rsid w:val="000214D4"/>
    <w:rsid w:val="000230AB"/>
    <w:rsid w:val="00023860"/>
    <w:rsid w:val="000241F6"/>
    <w:rsid w:val="00024257"/>
    <w:rsid w:val="000243E4"/>
    <w:rsid w:val="0002550A"/>
    <w:rsid w:val="00025670"/>
    <w:rsid w:val="00025A3E"/>
    <w:rsid w:val="00025A4A"/>
    <w:rsid w:val="00025D3C"/>
    <w:rsid w:val="00026478"/>
    <w:rsid w:val="00026868"/>
    <w:rsid w:val="00031EE6"/>
    <w:rsid w:val="00033688"/>
    <w:rsid w:val="000336B3"/>
    <w:rsid w:val="00034871"/>
    <w:rsid w:val="000356B2"/>
    <w:rsid w:val="000356FD"/>
    <w:rsid w:val="0003628D"/>
    <w:rsid w:val="000368C3"/>
    <w:rsid w:val="000373CE"/>
    <w:rsid w:val="00040774"/>
    <w:rsid w:val="00040A7E"/>
    <w:rsid w:val="00041049"/>
    <w:rsid w:val="00041CC8"/>
    <w:rsid w:val="00041DB3"/>
    <w:rsid w:val="00044027"/>
    <w:rsid w:val="0004426C"/>
    <w:rsid w:val="00044386"/>
    <w:rsid w:val="00046A14"/>
    <w:rsid w:val="00047260"/>
    <w:rsid w:val="000475C2"/>
    <w:rsid w:val="00050CF2"/>
    <w:rsid w:val="00050F94"/>
    <w:rsid w:val="0005223E"/>
    <w:rsid w:val="00052959"/>
    <w:rsid w:val="000540FA"/>
    <w:rsid w:val="00054580"/>
    <w:rsid w:val="00054A04"/>
    <w:rsid w:val="0005528F"/>
    <w:rsid w:val="00055D92"/>
    <w:rsid w:val="0005690A"/>
    <w:rsid w:val="00057354"/>
    <w:rsid w:val="00057D8D"/>
    <w:rsid w:val="00057ED8"/>
    <w:rsid w:val="0006029B"/>
    <w:rsid w:val="000612A1"/>
    <w:rsid w:val="0006150E"/>
    <w:rsid w:val="00062866"/>
    <w:rsid w:val="000637E7"/>
    <w:rsid w:val="00065707"/>
    <w:rsid w:val="000662B7"/>
    <w:rsid w:val="000666FB"/>
    <w:rsid w:val="00066B3B"/>
    <w:rsid w:val="00066F9B"/>
    <w:rsid w:val="00067A95"/>
    <w:rsid w:val="00070BC5"/>
    <w:rsid w:val="000719DF"/>
    <w:rsid w:val="00072AB6"/>
    <w:rsid w:val="00073850"/>
    <w:rsid w:val="00074252"/>
    <w:rsid w:val="00075755"/>
    <w:rsid w:val="00076F3E"/>
    <w:rsid w:val="00076F6E"/>
    <w:rsid w:val="00077372"/>
    <w:rsid w:val="000776AF"/>
    <w:rsid w:val="00080336"/>
    <w:rsid w:val="0008034A"/>
    <w:rsid w:val="00080DB2"/>
    <w:rsid w:val="00080E34"/>
    <w:rsid w:val="0008175F"/>
    <w:rsid w:val="00081ABC"/>
    <w:rsid w:val="000832F1"/>
    <w:rsid w:val="00083A89"/>
    <w:rsid w:val="000842EF"/>
    <w:rsid w:val="00084A1E"/>
    <w:rsid w:val="00085223"/>
    <w:rsid w:val="0008526B"/>
    <w:rsid w:val="0008585F"/>
    <w:rsid w:val="0008615F"/>
    <w:rsid w:val="00086805"/>
    <w:rsid w:val="00086A8C"/>
    <w:rsid w:val="00087204"/>
    <w:rsid w:val="00087D4F"/>
    <w:rsid w:val="00087FA0"/>
    <w:rsid w:val="000933FC"/>
    <w:rsid w:val="00094D13"/>
    <w:rsid w:val="00094E8D"/>
    <w:rsid w:val="00095650"/>
    <w:rsid w:val="00095A0D"/>
    <w:rsid w:val="00095D26"/>
    <w:rsid w:val="00096065"/>
    <w:rsid w:val="0009675E"/>
    <w:rsid w:val="0009692F"/>
    <w:rsid w:val="0009797E"/>
    <w:rsid w:val="00097A6F"/>
    <w:rsid w:val="000A0B94"/>
    <w:rsid w:val="000A20BA"/>
    <w:rsid w:val="000A25E3"/>
    <w:rsid w:val="000A37A8"/>
    <w:rsid w:val="000A38AD"/>
    <w:rsid w:val="000A3B44"/>
    <w:rsid w:val="000A5110"/>
    <w:rsid w:val="000A5896"/>
    <w:rsid w:val="000A751A"/>
    <w:rsid w:val="000A7535"/>
    <w:rsid w:val="000B0B70"/>
    <w:rsid w:val="000B1540"/>
    <w:rsid w:val="000B163A"/>
    <w:rsid w:val="000B19E1"/>
    <w:rsid w:val="000B243F"/>
    <w:rsid w:val="000B28F0"/>
    <w:rsid w:val="000B3D95"/>
    <w:rsid w:val="000B3F11"/>
    <w:rsid w:val="000B3F21"/>
    <w:rsid w:val="000B3FE5"/>
    <w:rsid w:val="000B4031"/>
    <w:rsid w:val="000B4AE8"/>
    <w:rsid w:val="000B4D5E"/>
    <w:rsid w:val="000C0360"/>
    <w:rsid w:val="000C1972"/>
    <w:rsid w:val="000C21DD"/>
    <w:rsid w:val="000C31D1"/>
    <w:rsid w:val="000C3E5A"/>
    <w:rsid w:val="000C5DAD"/>
    <w:rsid w:val="000C62A9"/>
    <w:rsid w:val="000C7DB1"/>
    <w:rsid w:val="000D03E4"/>
    <w:rsid w:val="000D27D0"/>
    <w:rsid w:val="000D3A9E"/>
    <w:rsid w:val="000D3F0F"/>
    <w:rsid w:val="000D4057"/>
    <w:rsid w:val="000D5234"/>
    <w:rsid w:val="000D58F0"/>
    <w:rsid w:val="000D6348"/>
    <w:rsid w:val="000D79F2"/>
    <w:rsid w:val="000D7DD3"/>
    <w:rsid w:val="000E0CCD"/>
    <w:rsid w:val="000E0E68"/>
    <w:rsid w:val="000E13F9"/>
    <w:rsid w:val="000E2BB7"/>
    <w:rsid w:val="000E3641"/>
    <w:rsid w:val="000E455C"/>
    <w:rsid w:val="000E5CB3"/>
    <w:rsid w:val="000E69B5"/>
    <w:rsid w:val="000E6D43"/>
    <w:rsid w:val="000F184D"/>
    <w:rsid w:val="000F2208"/>
    <w:rsid w:val="000F23F6"/>
    <w:rsid w:val="000F2A4E"/>
    <w:rsid w:val="000F305C"/>
    <w:rsid w:val="000F32DC"/>
    <w:rsid w:val="000F3680"/>
    <w:rsid w:val="000F37CB"/>
    <w:rsid w:val="000F4D43"/>
    <w:rsid w:val="000F5840"/>
    <w:rsid w:val="000F60F6"/>
    <w:rsid w:val="000F6872"/>
    <w:rsid w:val="000F78C3"/>
    <w:rsid w:val="000F78F8"/>
    <w:rsid w:val="00100E3E"/>
    <w:rsid w:val="00101F38"/>
    <w:rsid w:val="00102C2B"/>
    <w:rsid w:val="00104ABE"/>
    <w:rsid w:val="00104DE7"/>
    <w:rsid w:val="0010737F"/>
    <w:rsid w:val="00107530"/>
    <w:rsid w:val="00110B16"/>
    <w:rsid w:val="00111907"/>
    <w:rsid w:val="00112371"/>
    <w:rsid w:val="00112CEF"/>
    <w:rsid w:val="001139B6"/>
    <w:rsid w:val="00113A5E"/>
    <w:rsid w:val="00114438"/>
    <w:rsid w:val="001150FA"/>
    <w:rsid w:val="001161F2"/>
    <w:rsid w:val="001174CC"/>
    <w:rsid w:val="00117AD4"/>
    <w:rsid w:val="00117EB6"/>
    <w:rsid w:val="00120B06"/>
    <w:rsid w:val="0012118D"/>
    <w:rsid w:val="00121A1B"/>
    <w:rsid w:val="00121EC8"/>
    <w:rsid w:val="0012338E"/>
    <w:rsid w:val="00123593"/>
    <w:rsid w:val="00123808"/>
    <w:rsid w:val="001242A4"/>
    <w:rsid w:val="0012469D"/>
    <w:rsid w:val="00124884"/>
    <w:rsid w:val="00124C33"/>
    <w:rsid w:val="00124E90"/>
    <w:rsid w:val="00124F82"/>
    <w:rsid w:val="00125C23"/>
    <w:rsid w:val="001264AB"/>
    <w:rsid w:val="001267EB"/>
    <w:rsid w:val="00126A61"/>
    <w:rsid w:val="00126B44"/>
    <w:rsid w:val="00126EDD"/>
    <w:rsid w:val="00126FA3"/>
    <w:rsid w:val="00130B43"/>
    <w:rsid w:val="00131773"/>
    <w:rsid w:val="001322BC"/>
    <w:rsid w:val="001323A7"/>
    <w:rsid w:val="001346D5"/>
    <w:rsid w:val="00134C03"/>
    <w:rsid w:val="00135C6F"/>
    <w:rsid w:val="00135E23"/>
    <w:rsid w:val="00136836"/>
    <w:rsid w:val="00136977"/>
    <w:rsid w:val="00136AC3"/>
    <w:rsid w:val="001403D9"/>
    <w:rsid w:val="00140C13"/>
    <w:rsid w:val="00140EAF"/>
    <w:rsid w:val="00141C62"/>
    <w:rsid w:val="0014208B"/>
    <w:rsid w:val="00142E5F"/>
    <w:rsid w:val="00142FE9"/>
    <w:rsid w:val="00143052"/>
    <w:rsid w:val="00143513"/>
    <w:rsid w:val="0014654C"/>
    <w:rsid w:val="00146FAD"/>
    <w:rsid w:val="00150F2B"/>
    <w:rsid w:val="00151755"/>
    <w:rsid w:val="0015185C"/>
    <w:rsid w:val="00151BF6"/>
    <w:rsid w:val="001526D5"/>
    <w:rsid w:val="00152882"/>
    <w:rsid w:val="00152CDD"/>
    <w:rsid w:val="001530F6"/>
    <w:rsid w:val="001531E3"/>
    <w:rsid w:val="00154515"/>
    <w:rsid w:val="001551E1"/>
    <w:rsid w:val="001554A5"/>
    <w:rsid w:val="00155D89"/>
    <w:rsid w:val="0015646C"/>
    <w:rsid w:val="00156AF9"/>
    <w:rsid w:val="00156FA6"/>
    <w:rsid w:val="00160888"/>
    <w:rsid w:val="0016151C"/>
    <w:rsid w:val="00161C9D"/>
    <w:rsid w:val="0016230D"/>
    <w:rsid w:val="001623B9"/>
    <w:rsid w:val="00162C7C"/>
    <w:rsid w:val="00163903"/>
    <w:rsid w:val="00163B67"/>
    <w:rsid w:val="001641DB"/>
    <w:rsid w:val="001653B7"/>
    <w:rsid w:val="001666C2"/>
    <w:rsid w:val="001671E2"/>
    <w:rsid w:val="001672B6"/>
    <w:rsid w:val="00167B1E"/>
    <w:rsid w:val="00167E72"/>
    <w:rsid w:val="001704D8"/>
    <w:rsid w:val="00170815"/>
    <w:rsid w:val="00170A5E"/>
    <w:rsid w:val="001714DA"/>
    <w:rsid w:val="0017261F"/>
    <w:rsid w:val="00173CFC"/>
    <w:rsid w:val="00173DC2"/>
    <w:rsid w:val="0017449B"/>
    <w:rsid w:val="0017624C"/>
    <w:rsid w:val="001765C2"/>
    <w:rsid w:val="00176D40"/>
    <w:rsid w:val="001773E6"/>
    <w:rsid w:val="00177651"/>
    <w:rsid w:val="0018132D"/>
    <w:rsid w:val="00181F23"/>
    <w:rsid w:val="00182FA8"/>
    <w:rsid w:val="001839E4"/>
    <w:rsid w:val="0018569F"/>
    <w:rsid w:val="00185818"/>
    <w:rsid w:val="001859E1"/>
    <w:rsid w:val="00185EA9"/>
    <w:rsid w:val="00186336"/>
    <w:rsid w:val="00190401"/>
    <w:rsid w:val="00193630"/>
    <w:rsid w:val="0019421E"/>
    <w:rsid w:val="00194B16"/>
    <w:rsid w:val="001950BE"/>
    <w:rsid w:val="00195930"/>
    <w:rsid w:val="00195B94"/>
    <w:rsid w:val="001961A9"/>
    <w:rsid w:val="00196498"/>
    <w:rsid w:val="00196923"/>
    <w:rsid w:val="00196AD0"/>
    <w:rsid w:val="00197208"/>
    <w:rsid w:val="001A0137"/>
    <w:rsid w:val="001A17B8"/>
    <w:rsid w:val="001A1817"/>
    <w:rsid w:val="001A1989"/>
    <w:rsid w:val="001A25DC"/>
    <w:rsid w:val="001A3C25"/>
    <w:rsid w:val="001A4252"/>
    <w:rsid w:val="001A5C2A"/>
    <w:rsid w:val="001A6792"/>
    <w:rsid w:val="001A6F88"/>
    <w:rsid w:val="001A7074"/>
    <w:rsid w:val="001A7685"/>
    <w:rsid w:val="001A7A5D"/>
    <w:rsid w:val="001B062A"/>
    <w:rsid w:val="001B066B"/>
    <w:rsid w:val="001B0DE6"/>
    <w:rsid w:val="001B1365"/>
    <w:rsid w:val="001B1E4A"/>
    <w:rsid w:val="001B21FC"/>
    <w:rsid w:val="001B23B2"/>
    <w:rsid w:val="001B2A1C"/>
    <w:rsid w:val="001B4AB3"/>
    <w:rsid w:val="001B5E6C"/>
    <w:rsid w:val="001B69F0"/>
    <w:rsid w:val="001C0D03"/>
    <w:rsid w:val="001C155E"/>
    <w:rsid w:val="001C1A4D"/>
    <w:rsid w:val="001C1E55"/>
    <w:rsid w:val="001C28EE"/>
    <w:rsid w:val="001C34FC"/>
    <w:rsid w:val="001C35C2"/>
    <w:rsid w:val="001C37B0"/>
    <w:rsid w:val="001C3996"/>
    <w:rsid w:val="001C3EC9"/>
    <w:rsid w:val="001C4B10"/>
    <w:rsid w:val="001C660F"/>
    <w:rsid w:val="001C6FAA"/>
    <w:rsid w:val="001D019C"/>
    <w:rsid w:val="001D0623"/>
    <w:rsid w:val="001D0915"/>
    <w:rsid w:val="001D0D47"/>
    <w:rsid w:val="001D11F4"/>
    <w:rsid w:val="001D1A35"/>
    <w:rsid w:val="001D1B8E"/>
    <w:rsid w:val="001D1D84"/>
    <w:rsid w:val="001D239E"/>
    <w:rsid w:val="001D38D9"/>
    <w:rsid w:val="001D455E"/>
    <w:rsid w:val="001D47C5"/>
    <w:rsid w:val="001D5780"/>
    <w:rsid w:val="001D57DF"/>
    <w:rsid w:val="001D6143"/>
    <w:rsid w:val="001D6243"/>
    <w:rsid w:val="001D6337"/>
    <w:rsid w:val="001D6F3D"/>
    <w:rsid w:val="001D7A2F"/>
    <w:rsid w:val="001D7C96"/>
    <w:rsid w:val="001E051D"/>
    <w:rsid w:val="001E05D6"/>
    <w:rsid w:val="001E0704"/>
    <w:rsid w:val="001E0AED"/>
    <w:rsid w:val="001E2CA8"/>
    <w:rsid w:val="001E46B2"/>
    <w:rsid w:val="001E4CCD"/>
    <w:rsid w:val="001E63E5"/>
    <w:rsid w:val="001E74C2"/>
    <w:rsid w:val="001E7574"/>
    <w:rsid w:val="001E7DAE"/>
    <w:rsid w:val="001F00B1"/>
    <w:rsid w:val="001F06D0"/>
    <w:rsid w:val="001F22DA"/>
    <w:rsid w:val="001F2E5E"/>
    <w:rsid w:val="001F2F0D"/>
    <w:rsid w:val="001F333A"/>
    <w:rsid w:val="001F3C3E"/>
    <w:rsid w:val="001F41D5"/>
    <w:rsid w:val="001F4427"/>
    <w:rsid w:val="001F5F42"/>
    <w:rsid w:val="001F7443"/>
    <w:rsid w:val="00200767"/>
    <w:rsid w:val="0020279B"/>
    <w:rsid w:val="00202B2D"/>
    <w:rsid w:val="002036B6"/>
    <w:rsid w:val="00204918"/>
    <w:rsid w:val="002059D1"/>
    <w:rsid w:val="00205EC6"/>
    <w:rsid w:val="00205F08"/>
    <w:rsid w:val="00206302"/>
    <w:rsid w:val="0020685A"/>
    <w:rsid w:val="002071EE"/>
    <w:rsid w:val="002075F2"/>
    <w:rsid w:val="002107E1"/>
    <w:rsid w:val="00210899"/>
    <w:rsid w:val="00210F4A"/>
    <w:rsid w:val="00211A1B"/>
    <w:rsid w:val="00213191"/>
    <w:rsid w:val="002134BF"/>
    <w:rsid w:val="0021405B"/>
    <w:rsid w:val="00214338"/>
    <w:rsid w:val="00215494"/>
    <w:rsid w:val="002159F4"/>
    <w:rsid w:val="002161CB"/>
    <w:rsid w:val="00216709"/>
    <w:rsid w:val="002170E7"/>
    <w:rsid w:val="00217284"/>
    <w:rsid w:val="0021786D"/>
    <w:rsid w:val="00217CC7"/>
    <w:rsid w:val="002201A6"/>
    <w:rsid w:val="0022084B"/>
    <w:rsid w:val="0022119E"/>
    <w:rsid w:val="002217E9"/>
    <w:rsid w:val="002220C8"/>
    <w:rsid w:val="00223273"/>
    <w:rsid w:val="002236C2"/>
    <w:rsid w:val="00223BA9"/>
    <w:rsid w:val="00225442"/>
    <w:rsid w:val="002259BC"/>
    <w:rsid w:val="00225E74"/>
    <w:rsid w:val="002262EF"/>
    <w:rsid w:val="002309FB"/>
    <w:rsid w:val="00231BAC"/>
    <w:rsid w:val="00235F08"/>
    <w:rsid w:val="00235F59"/>
    <w:rsid w:val="00236A85"/>
    <w:rsid w:val="002374C0"/>
    <w:rsid w:val="00237B2B"/>
    <w:rsid w:val="00237CCA"/>
    <w:rsid w:val="00237E69"/>
    <w:rsid w:val="002407F7"/>
    <w:rsid w:val="00240F03"/>
    <w:rsid w:val="00240F50"/>
    <w:rsid w:val="00241421"/>
    <w:rsid w:val="00241A13"/>
    <w:rsid w:val="00241A73"/>
    <w:rsid w:val="00241EE9"/>
    <w:rsid w:val="00241FF2"/>
    <w:rsid w:val="00243075"/>
    <w:rsid w:val="002437AA"/>
    <w:rsid w:val="00243C96"/>
    <w:rsid w:val="00243D02"/>
    <w:rsid w:val="00243D0A"/>
    <w:rsid w:val="002444B9"/>
    <w:rsid w:val="0024477F"/>
    <w:rsid w:val="00244BDF"/>
    <w:rsid w:val="002456B0"/>
    <w:rsid w:val="00245747"/>
    <w:rsid w:val="00245D29"/>
    <w:rsid w:val="00246BC0"/>
    <w:rsid w:val="00246C2F"/>
    <w:rsid w:val="002470BD"/>
    <w:rsid w:val="00247AFD"/>
    <w:rsid w:val="00247E56"/>
    <w:rsid w:val="00247FC8"/>
    <w:rsid w:val="002504D6"/>
    <w:rsid w:val="002509B8"/>
    <w:rsid w:val="00251074"/>
    <w:rsid w:val="002515A4"/>
    <w:rsid w:val="002517DB"/>
    <w:rsid w:val="00252874"/>
    <w:rsid w:val="0025415F"/>
    <w:rsid w:val="0025462D"/>
    <w:rsid w:val="0025483E"/>
    <w:rsid w:val="00255475"/>
    <w:rsid w:val="00256276"/>
    <w:rsid w:val="00256527"/>
    <w:rsid w:val="002578D2"/>
    <w:rsid w:val="00260321"/>
    <w:rsid w:val="00260C2D"/>
    <w:rsid w:val="002610A4"/>
    <w:rsid w:val="00261545"/>
    <w:rsid w:val="002616F9"/>
    <w:rsid w:val="00262F43"/>
    <w:rsid w:val="00262FA3"/>
    <w:rsid w:val="002636F9"/>
    <w:rsid w:val="00263F92"/>
    <w:rsid w:val="002658A8"/>
    <w:rsid w:val="002662AF"/>
    <w:rsid w:val="002664E6"/>
    <w:rsid w:val="00267008"/>
    <w:rsid w:val="00267248"/>
    <w:rsid w:val="00271028"/>
    <w:rsid w:val="0027140B"/>
    <w:rsid w:val="002716A3"/>
    <w:rsid w:val="002720A8"/>
    <w:rsid w:val="0027240F"/>
    <w:rsid w:val="00272D74"/>
    <w:rsid w:val="0027401D"/>
    <w:rsid w:val="002740B8"/>
    <w:rsid w:val="0027491D"/>
    <w:rsid w:val="002749E9"/>
    <w:rsid w:val="002760C1"/>
    <w:rsid w:val="002762E5"/>
    <w:rsid w:val="002767EA"/>
    <w:rsid w:val="0027799C"/>
    <w:rsid w:val="00280965"/>
    <w:rsid w:val="0028161F"/>
    <w:rsid w:val="0028185A"/>
    <w:rsid w:val="00281CD2"/>
    <w:rsid w:val="00282580"/>
    <w:rsid w:val="00282C8A"/>
    <w:rsid w:val="00282CF1"/>
    <w:rsid w:val="00282F70"/>
    <w:rsid w:val="00283175"/>
    <w:rsid w:val="00283AF7"/>
    <w:rsid w:val="00283B3F"/>
    <w:rsid w:val="00285031"/>
    <w:rsid w:val="00285547"/>
    <w:rsid w:val="00285984"/>
    <w:rsid w:val="00287734"/>
    <w:rsid w:val="00290F79"/>
    <w:rsid w:val="00291CD9"/>
    <w:rsid w:val="00293F75"/>
    <w:rsid w:val="00294024"/>
    <w:rsid w:val="002948D0"/>
    <w:rsid w:val="00294F9E"/>
    <w:rsid w:val="00296049"/>
    <w:rsid w:val="002966EC"/>
    <w:rsid w:val="00297227"/>
    <w:rsid w:val="002976AF"/>
    <w:rsid w:val="002978E9"/>
    <w:rsid w:val="00297F81"/>
    <w:rsid w:val="002A11B2"/>
    <w:rsid w:val="002A2859"/>
    <w:rsid w:val="002A3020"/>
    <w:rsid w:val="002A3249"/>
    <w:rsid w:val="002A365F"/>
    <w:rsid w:val="002A3BD5"/>
    <w:rsid w:val="002A4127"/>
    <w:rsid w:val="002A417B"/>
    <w:rsid w:val="002A4830"/>
    <w:rsid w:val="002A521B"/>
    <w:rsid w:val="002A5764"/>
    <w:rsid w:val="002A63C7"/>
    <w:rsid w:val="002A73B2"/>
    <w:rsid w:val="002B013E"/>
    <w:rsid w:val="002B0180"/>
    <w:rsid w:val="002B1AE0"/>
    <w:rsid w:val="002B2A6D"/>
    <w:rsid w:val="002B2E6A"/>
    <w:rsid w:val="002B370D"/>
    <w:rsid w:val="002B45AE"/>
    <w:rsid w:val="002B5C16"/>
    <w:rsid w:val="002B6321"/>
    <w:rsid w:val="002B6FC1"/>
    <w:rsid w:val="002B7BC2"/>
    <w:rsid w:val="002C02FA"/>
    <w:rsid w:val="002C0AFF"/>
    <w:rsid w:val="002C0E8B"/>
    <w:rsid w:val="002C0FFC"/>
    <w:rsid w:val="002C3019"/>
    <w:rsid w:val="002C3290"/>
    <w:rsid w:val="002C4640"/>
    <w:rsid w:val="002C475A"/>
    <w:rsid w:val="002C4FCB"/>
    <w:rsid w:val="002D137B"/>
    <w:rsid w:val="002D152F"/>
    <w:rsid w:val="002D17C2"/>
    <w:rsid w:val="002D2E97"/>
    <w:rsid w:val="002D59AE"/>
    <w:rsid w:val="002D5B55"/>
    <w:rsid w:val="002D5B5D"/>
    <w:rsid w:val="002D5C9E"/>
    <w:rsid w:val="002E03E9"/>
    <w:rsid w:val="002E052F"/>
    <w:rsid w:val="002E0AC1"/>
    <w:rsid w:val="002E1568"/>
    <w:rsid w:val="002E160C"/>
    <w:rsid w:val="002E2C20"/>
    <w:rsid w:val="002E3F76"/>
    <w:rsid w:val="002E4D97"/>
    <w:rsid w:val="002E61DE"/>
    <w:rsid w:val="002E7988"/>
    <w:rsid w:val="002E7DD5"/>
    <w:rsid w:val="002F018F"/>
    <w:rsid w:val="002F04F5"/>
    <w:rsid w:val="002F068B"/>
    <w:rsid w:val="002F119A"/>
    <w:rsid w:val="002F12C5"/>
    <w:rsid w:val="002F1C39"/>
    <w:rsid w:val="002F23CF"/>
    <w:rsid w:val="002F449E"/>
    <w:rsid w:val="002F459E"/>
    <w:rsid w:val="002F46A1"/>
    <w:rsid w:val="002F488A"/>
    <w:rsid w:val="002F4AA7"/>
    <w:rsid w:val="002F4B26"/>
    <w:rsid w:val="002F50D8"/>
    <w:rsid w:val="002F571E"/>
    <w:rsid w:val="002F61E3"/>
    <w:rsid w:val="002F667B"/>
    <w:rsid w:val="002F6772"/>
    <w:rsid w:val="002F678E"/>
    <w:rsid w:val="002F6F71"/>
    <w:rsid w:val="0030001F"/>
    <w:rsid w:val="00300028"/>
    <w:rsid w:val="00301D45"/>
    <w:rsid w:val="003021CC"/>
    <w:rsid w:val="0030334F"/>
    <w:rsid w:val="003033AF"/>
    <w:rsid w:val="003038E1"/>
    <w:rsid w:val="00303FD4"/>
    <w:rsid w:val="00304393"/>
    <w:rsid w:val="00304705"/>
    <w:rsid w:val="003048B7"/>
    <w:rsid w:val="00304BAC"/>
    <w:rsid w:val="00305634"/>
    <w:rsid w:val="00305716"/>
    <w:rsid w:val="00306446"/>
    <w:rsid w:val="00306C25"/>
    <w:rsid w:val="00310AD7"/>
    <w:rsid w:val="00310DDF"/>
    <w:rsid w:val="00310E66"/>
    <w:rsid w:val="003110D9"/>
    <w:rsid w:val="00311962"/>
    <w:rsid w:val="00311BFA"/>
    <w:rsid w:val="00311EDB"/>
    <w:rsid w:val="00311F9A"/>
    <w:rsid w:val="0031362C"/>
    <w:rsid w:val="00314396"/>
    <w:rsid w:val="00314DE7"/>
    <w:rsid w:val="00314DF4"/>
    <w:rsid w:val="00315D46"/>
    <w:rsid w:val="0032045D"/>
    <w:rsid w:val="0032055A"/>
    <w:rsid w:val="0032128F"/>
    <w:rsid w:val="003214F8"/>
    <w:rsid w:val="0032235F"/>
    <w:rsid w:val="00322427"/>
    <w:rsid w:val="00322638"/>
    <w:rsid w:val="0032306D"/>
    <w:rsid w:val="0032342C"/>
    <w:rsid w:val="0032360B"/>
    <w:rsid w:val="00324F07"/>
    <w:rsid w:val="00326C1C"/>
    <w:rsid w:val="00326C1D"/>
    <w:rsid w:val="00326CBC"/>
    <w:rsid w:val="00326D4F"/>
    <w:rsid w:val="00327864"/>
    <w:rsid w:val="00330578"/>
    <w:rsid w:val="003309B6"/>
    <w:rsid w:val="0033164E"/>
    <w:rsid w:val="003320E9"/>
    <w:rsid w:val="003321F1"/>
    <w:rsid w:val="00332AD2"/>
    <w:rsid w:val="00332F31"/>
    <w:rsid w:val="00332F39"/>
    <w:rsid w:val="00332F57"/>
    <w:rsid w:val="00333171"/>
    <w:rsid w:val="003359C1"/>
    <w:rsid w:val="00335B2D"/>
    <w:rsid w:val="00336282"/>
    <w:rsid w:val="003364D9"/>
    <w:rsid w:val="00336602"/>
    <w:rsid w:val="0033677A"/>
    <w:rsid w:val="00336D10"/>
    <w:rsid w:val="00337122"/>
    <w:rsid w:val="00337240"/>
    <w:rsid w:val="00337620"/>
    <w:rsid w:val="0033784B"/>
    <w:rsid w:val="00340020"/>
    <w:rsid w:val="00340150"/>
    <w:rsid w:val="00341511"/>
    <w:rsid w:val="00341C08"/>
    <w:rsid w:val="003440B4"/>
    <w:rsid w:val="00344575"/>
    <w:rsid w:val="00344811"/>
    <w:rsid w:val="003449B2"/>
    <w:rsid w:val="00345A77"/>
    <w:rsid w:val="00345F2B"/>
    <w:rsid w:val="00346792"/>
    <w:rsid w:val="003477AE"/>
    <w:rsid w:val="00347AAA"/>
    <w:rsid w:val="00347EA4"/>
    <w:rsid w:val="003502EC"/>
    <w:rsid w:val="00350657"/>
    <w:rsid w:val="0035196F"/>
    <w:rsid w:val="003528C5"/>
    <w:rsid w:val="00352E76"/>
    <w:rsid w:val="00352EF1"/>
    <w:rsid w:val="003547D2"/>
    <w:rsid w:val="00354F89"/>
    <w:rsid w:val="00355B82"/>
    <w:rsid w:val="00355F7F"/>
    <w:rsid w:val="0035619C"/>
    <w:rsid w:val="00356201"/>
    <w:rsid w:val="00356CE4"/>
    <w:rsid w:val="003575CC"/>
    <w:rsid w:val="003610CB"/>
    <w:rsid w:val="003614FC"/>
    <w:rsid w:val="00361770"/>
    <w:rsid w:val="00361B0C"/>
    <w:rsid w:val="00361B29"/>
    <w:rsid w:val="0036290A"/>
    <w:rsid w:val="00362E8A"/>
    <w:rsid w:val="00363649"/>
    <w:rsid w:val="003636B2"/>
    <w:rsid w:val="0036389D"/>
    <w:rsid w:val="00364430"/>
    <w:rsid w:val="0036460E"/>
    <w:rsid w:val="0036645B"/>
    <w:rsid w:val="00366EC2"/>
    <w:rsid w:val="0037030B"/>
    <w:rsid w:val="003704D0"/>
    <w:rsid w:val="003715C9"/>
    <w:rsid w:val="00371C76"/>
    <w:rsid w:val="003729A5"/>
    <w:rsid w:val="00372D87"/>
    <w:rsid w:val="0037339E"/>
    <w:rsid w:val="0037362E"/>
    <w:rsid w:val="00373E4B"/>
    <w:rsid w:val="003742DB"/>
    <w:rsid w:val="003746AD"/>
    <w:rsid w:val="00375193"/>
    <w:rsid w:val="00375FBB"/>
    <w:rsid w:val="0037650D"/>
    <w:rsid w:val="003769AB"/>
    <w:rsid w:val="00377014"/>
    <w:rsid w:val="00377B44"/>
    <w:rsid w:val="00380395"/>
    <w:rsid w:val="003806E0"/>
    <w:rsid w:val="003810C0"/>
    <w:rsid w:val="00382C92"/>
    <w:rsid w:val="00382F7E"/>
    <w:rsid w:val="00383713"/>
    <w:rsid w:val="00384CF3"/>
    <w:rsid w:val="00384F78"/>
    <w:rsid w:val="00385AB7"/>
    <w:rsid w:val="00386290"/>
    <w:rsid w:val="00386702"/>
    <w:rsid w:val="003873EA"/>
    <w:rsid w:val="003878B7"/>
    <w:rsid w:val="00387979"/>
    <w:rsid w:val="00387D23"/>
    <w:rsid w:val="00391210"/>
    <w:rsid w:val="003912A1"/>
    <w:rsid w:val="003917E1"/>
    <w:rsid w:val="003932D4"/>
    <w:rsid w:val="003933C3"/>
    <w:rsid w:val="0039345F"/>
    <w:rsid w:val="00393461"/>
    <w:rsid w:val="003938F4"/>
    <w:rsid w:val="00393B2D"/>
    <w:rsid w:val="0039416D"/>
    <w:rsid w:val="003943FA"/>
    <w:rsid w:val="00394C16"/>
    <w:rsid w:val="00395F2A"/>
    <w:rsid w:val="0039624C"/>
    <w:rsid w:val="003969D4"/>
    <w:rsid w:val="00397007"/>
    <w:rsid w:val="00397200"/>
    <w:rsid w:val="003973D1"/>
    <w:rsid w:val="003A0A5C"/>
    <w:rsid w:val="003A147A"/>
    <w:rsid w:val="003A1AC8"/>
    <w:rsid w:val="003A1D58"/>
    <w:rsid w:val="003A2425"/>
    <w:rsid w:val="003A3010"/>
    <w:rsid w:val="003A3CA8"/>
    <w:rsid w:val="003A40DC"/>
    <w:rsid w:val="003A458B"/>
    <w:rsid w:val="003A4D58"/>
    <w:rsid w:val="003A4D86"/>
    <w:rsid w:val="003A592A"/>
    <w:rsid w:val="003A70CF"/>
    <w:rsid w:val="003A749D"/>
    <w:rsid w:val="003A79E4"/>
    <w:rsid w:val="003A7C9F"/>
    <w:rsid w:val="003B0B51"/>
    <w:rsid w:val="003B1844"/>
    <w:rsid w:val="003B1F7A"/>
    <w:rsid w:val="003B30D9"/>
    <w:rsid w:val="003B3850"/>
    <w:rsid w:val="003B4AF5"/>
    <w:rsid w:val="003B4D65"/>
    <w:rsid w:val="003B4E28"/>
    <w:rsid w:val="003B5D88"/>
    <w:rsid w:val="003B6431"/>
    <w:rsid w:val="003B6BA7"/>
    <w:rsid w:val="003B7999"/>
    <w:rsid w:val="003C02AD"/>
    <w:rsid w:val="003C0526"/>
    <w:rsid w:val="003C19FA"/>
    <w:rsid w:val="003C1FA7"/>
    <w:rsid w:val="003C2278"/>
    <w:rsid w:val="003C2C22"/>
    <w:rsid w:val="003C30FB"/>
    <w:rsid w:val="003C53B3"/>
    <w:rsid w:val="003C63DA"/>
    <w:rsid w:val="003C6CAB"/>
    <w:rsid w:val="003C6E4E"/>
    <w:rsid w:val="003C7160"/>
    <w:rsid w:val="003C760B"/>
    <w:rsid w:val="003C7D98"/>
    <w:rsid w:val="003D00C0"/>
    <w:rsid w:val="003D0236"/>
    <w:rsid w:val="003D0653"/>
    <w:rsid w:val="003D0736"/>
    <w:rsid w:val="003D1980"/>
    <w:rsid w:val="003D1CFE"/>
    <w:rsid w:val="003D1E74"/>
    <w:rsid w:val="003D1E8F"/>
    <w:rsid w:val="003D29E2"/>
    <w:rsid w:val="003D2C75"/>
    <w:rsid w:val="003D3444"/>
    <w:rsid w:val="003D3F53"/>
    <w:rsid w:val="003D404E"/>
    <w:rsid w:val="003D5342"/>
    <w:rsid w:val="003D55DC"/>
    <w:rsid w:val="003D5BCC"/>
    <w:rsid w:val="003D6360"/>
    <w:rsid w:val="003D6FF4"/>
    <w:rsid w:val="003D75C0"/>
    <w:rsid w:val="003D79C6"/>
    <w:rsid w:val="003D7F1A"/>
    <w:rsid w:val="003E03F3"/>
    <w:rsid w:val="003E046B"/>
    <w:rsid w:val="003E1747"/>
    <w:rsid w:val="003E1FEE"/>
    <w:rsid w:val="003E493B"/>
    <w:rsid w:val="003E4A9B"/>
    <w:rsid w:val="003E4C2D"/>
    <w:rsid w:val="003E527A"/>
    <w:rsid w:val="003E6050"/>
    <w:rsid w:val="003E7A6E"/>
    <w:rsid w:val="003E7F07"/>
    <w:rsid w:val="003F003A"/>
    <w:rsid w:val="003F024A"/>
    <w:rsid w:val="003F0B53"/>
    <w:rsid w:val="003F2283"/>
    <w:rsid w:val="003F46E3"/>
    <w:rsid w:val="003F4FC5"/>
    <w:rsid w:val="003F5C81"/>
    <w:rsid w:val="003F6B66"/>
    <w:rsid w:val="003F72B0"/>
    <w:rsid w:val="003F78EE"/>
    <w:rsid w:val="004003F9"/>
    <w:rsid w:val="00400917"/>
    <w:rsid w:val="00400A1B"/>
    <w:rsid w:val="00400EA8"/>
    <w:rsid w:val="00401B91"/>
    <w:rsid w:val="00401C43"/>
    <w:rsid w:val="00401FD5"/>
    <w:rsid w:val="00402AEE"/>
    <w:rsid w:val="00403046"/>
    <w:rsid w:val="004031EE"/>
    <w:rsid w:val="004036D5"/>
    <w:rsid w:val="00403827"/>
    <w:rsid w:val="00403BE5"/>
    <w:rsid w:val="00404CAB"/>
    <w:rsid w:val="00404E99"/>
    <w:rsid w:val="00404F28"/>
    <w:rsid w:val="00405FB9"/>
    <w:rsid w:val="00406620"/>
    <w:rsid w:val="004070C1"/>
    <w:rsid w:val="004077C7"/>
    <w:rsid w:val="00407A4A"/>
    <w:rsid w:val="00407B3E"/>
    <w:rsid w:val="004110D0"/>
    <w:rsid w:val="004116BB"/>
    <w:rsid w:val="00411E45"/>
    <w:rsid w:val="00413007"/>
    <w:rsid w:val="0041407A"/>
    <w:rsid w:val="00414551"/>
    <w:rsid w:val="004146AD"/>
    <w:rsid w:val="0041594F"/>
    <w:rsid w:val="00415D2F"/>
    <w:rsid w:val="00415DE5"/>
    <w:rsid w:val="0041604F"/>
    <w:rsid w:val="004171EB"/>
    <w:rsid w:val="00417AC4"/>
    <w:rsid w:val="004202A2"/>
    <w:rsid w:val="004205F1"/>
    <w:rsid w:val="00420ADC"/>
    <w:rsid w:val="00422749"/>
    <w:rsid w:val="00422EB2"/>
    <w:rsid w:val="00423370"/>
    <w:rsid w:val="00423819"/>
    <w:rsid w:val="004239DE"/>
    <w:rsid w:val="00423F65"/>
    <w:rsid w:val="00424060"/>
    <w:rsid w:val="0042445F"/>
    <w:rsid w:val="004244FB"/>
    <w:rsid w:val="00424786"/>
    <w:rsid w:val="004252C7"/>
    <w:rsid w:val="004274BD"/>
    <w:rsid w:val="00427C30"/>
    <w:rsid w:val="00427EEE"/>
    <w:rsid w:val="00430153"/>
    <w:rsid w:val="004303C9"/>
    <w:rsid w:val="00430CD3"/>
    <w:rsid w:val="00432005"/>
    <w:rsid w:val="00432500"/>
    <w:rsid w:val="00432581"/>
    <w:rsid w:val="004329D8"/>
    <w:rsid w:val="00432B63"/>
    <w:rsid w:val="004336EA"/>
    <w:rsid w:val="00433EE9"/>
    <w:rsid w:val="00434A22"/>
    <w:rsid w:val="00434EC0"/>
    <w:rsid w:val="004359B9"/>
    <w:rsid w:val="004366D6"/>
    <w:rsid w:val="00436988"/>
    <w:rsid w:val="00436BF2"/>
    <w:rsid w:val="00437848"/>
    <w:rsid w:val="0044000C"/>
    <w:rsid w:val="00440FEE"/>
    <w:rsid w:val="00441A54"/>
    <w:rsid w:val="00441E69"/>
    <w:rsid w:val="00441F2D"/>
    <w:rsid w:val="00442CB6"/>
    <w:rsid w:val="00443160"/>
    <w:rsid w:val="00443B19"/>
    <w:rsid w:val="00443C94"/>
    <w:rsid w:val="00444134"/>
    <w:rsid w:val="00444C78"/>
    <w:rsid w:val="0044537B"/>
    <w:rsid w:val="00445BFE"/>
    <w:rsid w:val="00445F2F"/>
    <w:rsid w:val="00446171"/>
    <w:rsid w:val="004464C3"/>
    <w:rsid w:val="00446EED"/>
    <w:rsid w:val="00447DD8"/>
    <w:rsid w:val="0045080C"/>
    <w:rsid w:val="00450EE4"/>
    <w:rsid w:val="00451058"/>
    <w:rsid w:val="0045174E"/>
    <w:rsid w:val="004521E1"/>
    <w:rsid w:val="004532A7"/>
    <w:rsid w:val="00453801"/>
    <w:rsid w:val="004538EF"/>
    <w:rsid w:val="004542BA"/>
    <w:rsid w:val="00455071"/>
    <w:rsid w:val="0045535F"/>
    <w:rsid w:val="00455C94"/>
    <w:rsid w:val="004562D8"/>
    <w:rsid w:val="004563A4"/>
    <w:rsid w:val="00456E3A"/>
    <w:rsid w:val="0046043A"/>
    <w:rsid w:val="0046065B"/>
    <w:rsid w:val="00460D74"/>
    <w:rsid w:val="00460E14"/>
    <w:rsid w:val="004613E0"/>
    <w:rsid w:val="004617DE"/>
    <w:rsid w:val="0046332F"/>
    <w:rsid w:val="0046516E"/>
    <w:rsid w:val="00466396"/>
    <w:rsid w:val="00466AC0"/>
    <w:rsid w:val="004673F6"/>
    <w:rsid w:val="0046767B"/>
    <w:rsid w:val="004679B8"/>
    <w:rsid w:val="00467AB5"/>
    <w:rsid w:val="004704EB"/>
    <w:rsid w:val="004712EE"/>
    <w:rsid w:val="0047144A"/>
    <w:rsid w:val="00471C02"/>
    <w:rsid w:val="00471C6E"/>
    <w:rsid w:val="00471F3E"/>
    <w:rsid w:val="004729B5"/>
    <w:rsid w:val="00472DB0"/>
    <w:rsid w:val="00472F7D"/>
    <w:rsid w:val="004730B5"/>
    <w:rsid w:val="00473C3F"/>
    <w:rsid w:val="00474A4A"/>
    <w:rsid w:val="00475029"/>
    <w:rsid w:val="00475C41"/>
    <w:rsid w:val="00476547"/>
    <w:rsid w:val="00477C8A"/>
    <w:rsid w:val="00477CAD"/>
    <w:rsid w:val="0048009F"/>
    <w:rsid w:val="00480136"/>
    <w:rsid w:val="00480E88"/>
    <w:rsid w:val="004817B0"/>
    <w:rsid w:val="00482065"/>
    <w:rsid w:val="004822E2"/>
    <w:rsid w:val="00482969"/>
    <w:rsid w:val="00482D97"/>
    <w:rsid w:val="00482FCB"/>
    <w:rsid w:val="0048377F"/>
    <w:rsid w:val="004837BB"/>
    <w:rsid w:val="00483ED6"/>
    <w:rsid w:val="004854A1"/>
    <w:rsid w:val="004855AE"/>
    <w:rsid w:val="00485A07"/>
    <w:rsid w:val="00485C85"/>
    <w:rsid w:val="004863CD"/>
    <w:rsid w:val="0048700C"/>
    <w:rsid w:val="004909AE"/>
    <w:rsid w:val="00492D52"/>
    <w:rsid w:val="00494206"/>
    <w:rsid w:val="00494D10"/>
    <w:rsid w:val="004955A5"/>
    <w:rsid w:val="00495832"/>
    <w:rsid w:val="00495AB8"/>
    <w:rsid w:val="00495AC5"/>
    <w:rsid w:val="00496A0A"/>
    <w:rsid w:val="00497181"/>
    <w:rsid w:val="00497183"/>
    <w:rsid w:val="004A0789"/>
    <w:rsid w:val="004A1C73"/>
    <w:rsid w:val="004A31B2"/>
    <w:rsid w:val="004A3D32"/>
    <w:rsid w:val="004A41D2"/>
    <w:rsid w:val="004A4BF4"/>
    <w:rsid w:val="004A5801"/>
    <w:rsid w:val="004A5C71"/>
    <w:rsid w:val="004A5D02"/>
    <w:rsid w:val="004A5FC6"/>
    <w:rsid w:val="004A611E"/>
    <w:rsid w:val="004A658C"/>
    <w:rsid w:val="004A7112"/>
    <w:rsid w:val="004B0CD5"/>
    <w:rsid w:val="004B0CDA"/>
    <w:rsid w:val="004B155C"/>
    <w:rsid w:val="004B2716"/>
    <w:rsid w:val="004B5BCD"/>
    <w:rsid w:val="004B5E16"/>
    <w:rsid w:val="004B60EA"/>
    <w:rsid w:val="004B7819"/>
    <w:rsid w:val="004B79B6"/>
    <w:rsid w:val="004C0389"/>
    <w:rsid w:val="004C094B"/>
    <w:rsid w:val="004C0BA5"/>
    <w:rsid w:val="004C0D7C"/>
    <w:rsid w:val="004C1307"/>
    <w:rsid w:val="004C13D5"/>
    <w:rsid w:val="004C1658"/>
    <w:rsid w:val="004C17FB"/>
    <w:rsid w:val="004C3065"/>
    <w:rsid w:val="004C3BD5"/>
    <w:rsid w:val="004C456D"/>
    <w:rsid w:val="004C553C"/>
    <w:rsid w:val="004C6210"/>
    <w:rsid w:val="004D0653"/>
    <w:rsid w:val="004D0A70"/>
    <w:rsid w:val="004D1268"/>
    <w:rsid w:val="004D1F40"/>
    <w:rsid w:val="004D39AB"/>
    <w:rsid w:val="004D3C2B"/>
    <w:rsid w:val="004D5C54"/>
    <w:rsid w:val="004D5E1F"/>
    <w:rsid w:val="004D5F39"/>
    <w:rsid w:val="004D60F5"/>
    <w:rsid w:val="004D62B2"/>
    <w:rsid w:val="004D6A20"/>
    <w:rsid w:val="004D6AC1"/>
    <w:rsid w:val="004D6D42"/>
    <w:rsid w:val="004D7493"/>
    <w:rsid w:val="004E099A"/>
    <w:rsid w:val="004E0B45"/>
    <w:rsid w:val="004E1004"/>
    <w:rsid w:val="004E14C4"/>
    <w:rsid w:val="004E3323"/>
    <w:rsid w:val="004E387A"/>
    <w:rsid w:val="004E3FD8"/>
    <w:rsid w:val="004E4411"/>
    <w:rsid w:val="004E44D9"/>
    <w:rsid w:val="004E49BE"/>
    <w:rsid w:val="004E4B80"/>
    <w:rsid w:val="004E59C0"/>
    <w:rsid w:val="004E635F"/>
    <w:rsid w:val="004F024B"/>
    <w:rsid w:val="004F04E7"/>
    <w:rsid w:val="004F08B4"/>
    <w:rsid w:val="004F14E9"/>
    <w:rsid w:val="004F1E69"/>
    <w:rsid w:val="004F1F66"/>
    <w:rsid w:val="004F23A7"/>
    <w:rsid w:val="004F2503"/>
    <w:rsid w:val="004F301E"/>
    <w:rsid w:val="004F3105"/>
    <w:rsid w:val="004F386F"/>
    <w:rsid w:val="004F4B0D"/>
    <w:rsid w:val="004F4FE9"/>
    <w:rsid w:val="004F55D7"/>
    <w:rsid w:val="004F6B0B"/>
    <w:rsid w:val="004F6D19"/>
    <w:rsid w:val="004F7014"/>
    <w:rsid w:val="004F703F"/>
    <w:rsid w:val="004F73BC"/>
    <w:rsid w:val="00500351"/>
    <w:rsid w:val="00500524"/>
    <w:rsid w:val="00501374"/>
    <w:rsid w:val="00503C06"/>
    <w:rsid w:val="005045F3"/>
    <w:rsid w:val="00505806"/>
    <w:rsid w:val="0050600F"/>
    <w:rsid w:val="00506768"/>
    <w:rsid w:val="005072F9"/>
    <w:rsid w:val="00507344"/>
    <w:rsid w:val="005074AA"/>
    <w:rsid w:val="00507D71"/>
    <w:rsid w:val="005105B0"/>
    <w:rsid w:val="0051098A"/>
    <w:rsid w:val="005114DC"/>
    <w:rsid w:val="005116A3"/>
    <w:rsid w:val="005118B2"/>
    <w:rsid w:val="00512713"/>
    <w:rsid w:val="005127CD"/>
    <w:rsid w:val="00513513"/>
    <w:rsid w:val="00513987"/>
    <w:rsid w:val="00513BEB"/>
    <w:rsid w:val="00514749"/>
    <w:rsid w:val="00515594"/>
    <w:rsid w:val="00515DA1"/>
    <w:rsid w:val="00515F66"/>
    <w:rsid w:val="00516545"/>
    <w:rsid w:val="00517EA3"/>
    <w:rsid w:val="00520BD4"/>
    <w:rsid w:val="00520F38"/>
    <w:rsid w:val="00521CCF"/>
    <w:rsid w:val="00523174"/>
    <w:rsid w:val="00524EB3"/>
    <w:rsid w:val="00525026"/>
    <w:rsid w:val="00526893"/>
    <w:rsid w:val="00527D1C"/>
    <w:rsid w:val="00530F08"/>
    <w:rsid w:val="005312F1"/>
    <w:rsid w:val="0053258A"/>
    <w:rsid w:val="005349B0"/>
    <w:rsid w:val="0053553B"/>
    <w:rsid w:val="005355F3"/>
    <w:rsid w:val="0053575B"/>
    <w:rsid w:val="005357C4"/>
    <w:rsid w:val="00535A13"/>
    <w:rsid w:val="00536669"/>
    <w:rsid w:val="00536B4B"/>
    <w:rsid w:val="00536DB0"/>
    <w:rsid w:val="00536F94"/>
    <w:rsid w:val="00541263"/>
    <w:rsid w:val="00541D8A"/>
    <w:rsid w:val="005423E6"/>
    <w:rsid w:val="00542D02"/>
    <w:rsid w:val="00543A79"/>
    <w:rsid w:val="00545130"/>
    <w:rsid w:val="005458F8"/>
    <w:rsid w:val="005459B1"/>
    <w:rsid w:val="00546140"/>
    <w:rsid w:val="00547487"/>
    <w:rsid w:val="005475E6"/>
    <w:rsid w:val="00547834"/>
    <w:rsid w:val="00550174"/>
    <w:rsid w:val="00550F8B"/>
    <w:rsid w:val="00551D77"/>
    <w:rsid w:val="00552379"/>
    <w:rsid w:val="0055331F"/>
    <w:rsid w:val="00553778"/>
    <w:rsid w:val="00553983"/>
    <w:rsid w:val="005545E2"/>
    <w:rsid w:val="00554836"/>
    <w:rsid w:val="005551A2"/>
    <w:rsid w:val="005572C2"/>
    <w:rsid w:val="005574E3"/>
    <w:rsid w:val="005575A1"/>
    <w:rsid w:val="00557E48"/>
    <w:rsid w:val="0056017D"/>
    <w:rsid w:val="005608E4"/>
    <w:rsid w:val="00560D8A"/>
    <w:rsid w:val="00560DAF"/>
    <w:rsid w:val="005612C9"/>
    <w:rsid w:val="00561697"/>
    <w:rsid w:val="005617DF"/>
    <w:rsid w:val="00562647"/>
    <w:rsid w:val="005627D2"/>
    <w:rsid w:val="00564D91"/>
    <w:rsid w:val="005651BC"/>
    <w:rsid w:val="00566138"/>
    <w:rsid w:val="00566846"/>
    <w:rsid w:val="00566C9E"/>
    <w:rsid w:val="00567AC0"/>
    <w:rsid w:val="00570121"/>
    <w:rsid w:val="0057122B"/>
    <w:rsid w:val="005718E3"/>
    <w:rsid w:val="00571A03"/>
    <w:rsid w:val="00571C39"/>
    <w:rsid w:val="00572292"/>
    <w:rsid w:val="005726DF"/>
    <w:rsid w:val="0057327E"/>
    <w:rsid w:val="005744DA"/>
    <w:rsid w:val="00574E29"/>
    <w:rsid w:val="00574FDF"/>
    <w:rsid w:val="0057574D"/>
    <w:rsid w:val="00575BBD"/>
    <w:rsid w:val="00575D25"/>
    <w:rsid w:val="005763E5"/>
    <w:rsid w:val="005765CB"/>
    <w:rsid w:val="00577F1D"/>
    <w:rsid w:val="00581696"/>
    <w:rsid w:val="005816F5"/>
    <w:rsid w:val="00581AB2"/>
    <w:rsid w:val="00581B7A"/>
    <w:rsid w:val="00581E5E"/>
    <w:rsid w:val="00581F1E"/>
    <w:rsid w:val="00581F7D"/>
    <w:rsid w:val="00582B5C"/>
    <w:rsid w:val="00583956"/>
    <w:rsid w:val="00583DEE"/>
    <w:rsid w:val="00584205"/>
    <w:rsid w:val="00587794"/>
    <w:rsid w:val="005901F4"/>
    <w:rsid w:val="00591702"/>
    <w:rsid w:val="00592B21"/>
    <w:rsid w:val="00593E4F"/>
    <w:rsid w:val="005948D3"/>
    <w:rsid w:val="0059524E"/>
    <w:rsid w:val="00595638"/>
    <w:rsid w:val="00595B06"/>
    <w:rsid w:val="00597CEF"/>
    <w:rsid w:val="005A04AC"/>
    <w:rsid w:val="005A06D4"/>
    <w:rsid w:val="005A0EFC"/>
    <w:rsid w:val="005A184A"/>
    <w:rsid w:val="005A3459"/>
    <w:rsid w:val="005A43E7"/>
    <w:rsid w:val="005A585D"/>
    <w:rsid w:val="005A7C1E"/>
    <w:rsid w:val="005B28D7"/>
    <w:rsid w:val="005B5167"/>
    <w:rsid w:val="005B577D"/>
    <w:rsid w:val="005B59A9"/>
    <w:rsid w:val="005B59B8"/>
    <w:rsid w:val="005B7AD8"/>
    <w:rsid w:val="005B7BFD"/>
    <w:rsid w:val="005C01FF"/>
    <w:rsid w:val="005C032A"/>
    <w:rsid w:val="005C123C"/>
    <w:rsid w:val="005C18A3"/>
    <w:rsid w:val="005C1F27"/>
    <w:rsid w:val="005C2019"/>
    <w:rsid w:val="005C300B"/>
    <w:rsid w:val="005C44B4"/>
    <w:rsid w:val="005C49C6"/>
    <w:rsid w:val="005C57B0"/>
    <w:rsid w:val="005C5AE2"/>
    <w:rsid w:val="005C6DC2"/>
    <w:rsid w:val="005C7A61"/>
    <w:rsid w:val="005C7E94"/>
    <w:rsid w:val="005D0AD1"/>
    <w:rsid w:val="005D11DA"/>
    <w:rsid w:val="005D2869"/>
    <w:rsid w:val="005D5643"/>
    <w:rsid w:val="005D594E"/>
    <w:rsid w:val="005D5B23"/>
    <w:rsid w:val="005D6887"/>
    <w:rsid w:val="005D76DE"/>
    <w:rsid w:val="005D77F4"/>
    <w:rsid w:val="005E02C3"/>
    <w:rsid w:val="005E033C"/>
    <w:rsid w:val="005E04E8"/>
    <w:rsid w:val="005E1D44"/>
    <w:rsid w:val="005E2A98"/>
    <w:rsid w:val="005E2B82"/>
    <w:rsid w:val="005E333D"/>
    <w:rsid w:val="005E601A"/>
    <w:rsid w:val="005E6F4B"/>
    <w:rsid w:val="005E7073"/>
    <w:rsid w:val="005E7E75"/>
    <w:rsid w:val="005F1C5A"/>
    <w:rsid w:val="005F1D70"/>
    <w:rsid w:val="005F302F"/>
    <w:rsid w:val="005F46A0"/>
    <w:rsid w:val="005F47F2"/>
    <w:rsid w:val="005F59AA"/>
    <w:rsid w:val="005F5B74"/>
    <w:rsid w:val="005F5DAB"/>
    <w:rsid w:val="005F605E"/>
    <w:rsid w:val="005F6178"/>
    <w:rsid w:val="005F67EA"/>
    <w:rsid w:val="00600997"/>
    <w:rsid w:val="00600F98"/>
    <w:rsid w:val="006017C3"/>
    <w:rsid w:val="00601DFE"/>
    <w:rsid w:val="00602A5C"/>
    <w:rsid w:val="00602F53"/>
    <w:rsid w:val="00604164"/>
    <w:rsid w:val="00604721"/>
    <w:rsid w:val="00605D17"/>
    <w:rsid w:val="00607782"/>
    <w:rsid w:val="00610F0E"/>
    <w:rsid w:val="0061233C"/>
    <w:rsid w:val="006127BD"/>
    <w:rsid w:val="006128B4"/>
    <w:rsid w:val="00612C44"/>
    <w:rsid w:val="00613420"/>
    <w:rsid w:val="00613F7B"/>
    <w:rsid w:val="00615A78"/>
    <w:rsid w:val="00616912"/>
    <w:rsid w:val="00616AC4"/>
    <w:rsid w:val="0061712E"/>
    <w:rsid w:val="00617468"/>
    <w:rsid w:val="0061748E"/>
    <w:rsid w:val="00617681"/>
    <w:rsid w:val="00617B47"/>
    <w:rsid w:val="00620501"/>
    <w:rsid w:val="00620F1B"/>
    <w:rsid w:val="00621E81"/>
    <w:rsid w:val="006229B3"/>
    <w:rsid w:val="00622A1C"/>
    <w:rsid w:val="00622D74"/>
    <w:rsid w:val="006234AD"/>
    <w:rsid w:val="006234E3"/>
    <w:rsid w:val="006240E8"/>
    <w:rsid w:val="00624932"/>
    <w:rsid w:val="00624BF7"/>
    <w:rsid w:val="00625159"/>
    <w:rsid w:val="00625A38"/>
    <w:rsid w:val="00626161"/>
    <w:rsid w:val="0062677D"/>
    <w:rsid w:val="00626A0A"/>
    <w:rsid w:val="00626DC0"/>
    <w:rsid w:val="00627608"/>
    <w:rsid w:val="0062779A"/>
    <w:rsid w:val="00627F3C"/>
    <w:rsid w:val="00630267"/>
    <w:rsid w:val="00630537"/>
    <w:rsid w:val="00631C71"/>
    <w:rsid w:val="00632F51"/>
    <w:rsid w:val="0063383A"/>
    <w:rsid w:val="00634BA3"/>
    <w:rsid w:val="00634F3C"/>
    <w:rsid w:val="00635A83"/>
    <w:rsid w:val="006374EF"/>
    <w:rsid w:val="0064004E"/>
    <w:rsid w:val="00640128"/>
    <w:rsid w:val="00640179"/>
    <w:rsid w:val="00640C58"/>
    <w:rsid w:val="00640FF1"/>
    <w:rsid w:val="00641913"/>
    <w:rsid w:val="00642EAF"/>
    <w:rsid w:val="00643C12"/>
    <w:rsid w:val="00643C86"/>
    <w:rsid w:val="00643E48"/>
    <w:rsid w:val="0064424E"/>
    <w:rsid w:val="006455F6"/>
    <w:rsid w:val="00645CA6"/>
    <w:rsid w:val="006461B3"/>
    <w:rsid w:val="00647216"/>
    <w:rsid w:val="00647909"/>
    <w:rsid w:val="00650326"/>
    <w:rsid w:val="00650D92"/>
    <w:rsid w:val="00650DE7"/>
    <w:rsid w:val="0065161A"/>
    <w:rsid w:val="00651C6C"/>
    <w:rsid w:val="00651F8F"/>
    <w:rsid w:val="0065328A"/>
    <w:rsid w:val="0065333E"/>
    <w:rsid w:val="006558CF"/>
    <w:rsid w:val="00655992"/>
    <w:rsid w:val="00655D2C"/>
    <w:rsid w:val="0065654C"/>
    <w:rsid w:val="006565F1"/>
    <w:rsid w:val="00656D50"/>
    <w:rsid w:val="006572F1"/>
    <w:rsid w:val="006578FD"/>
    <w:rsid w:val="00657BED"/>
    <w:rsid w:val="00662EF0"/>
    <w:rsid w:val="00663642"/>
    <w:rsid w:val="00663852"/>
    <w:rsid w:val="0066386E"/>
    <w:rsid w:val="006642A4"/>
    <w:rsid w:val="006658F0"/>
    <w:rsid w:val="00666199"/>
    <w:rsid w:val="00667D4B"/>
    <w:rsid w:val="00667E4E"/>
    <w:rsid w:val="006704DB"/>
    <w:rsid w:val="0067119D"/>
    <w:rsid w:val="00671954"/>
    <w:rsid w:val="00671F8F"/>
    <w:rsid w:val="00672414"/>
    <w:rsid w:val="00672488"/>
    <w:rsid w:val="006728F0"/>
    <w:rsid w:val="00673724"/>
    <w:rsid w:val="00673991"/>
    <w:rsid w:val="00674A5C"/>
    <w:rsid w:val="00674B3A"/>
    <w:rsid w:val="00674E64"/>
    <w:rsid w:val="00675F03"/>
    <w:rsid w:val="00677973"/>
    <w:rsid w:val="00680BB0"/>
    <w:rsid w:val="00681E52"/>
    <w:rsid w:val="006821CE"/>
    <w:rsid w:val="00682648"/>
    <w:rsid w:val="00683068"/>
    <w:rsid w:val="00683B4C"/>
    <w:rsid w:val="006855DB"/>
    <w:rsid w:val="00687557"/>
    <w:rsid w:val="00687A13"/>
    <w:rsid w:val="00687B57"/>
    <w:rsid w:val="00690E72"/>
    <w:rsid w:val="00692CF0"/>
    <w:rsid w:val="00692DBA"/>
    <w:rsid w:val="00693F05"/>
    <w:rsid w:val="00694125"/>
    <w:rsid w:val="006942C7"/>
    <w:rsid w:val="006945DC"/>
    <w:rsid w:val="00694E97"/>
    <w:rsid w:val="006954A7"/>
    <w:rsid w:val="006A0FF2"/>
    <w:rsid w:val="006A22A5"/>
    <w:rsid w:val="006A2A81"/>
    <w:rsid w:val="006A36C8"/>
    <w:rsid w:val="006A3CE0"/>
    <w:rsid w:val="006A4D42"/>
    <w:rsid w:val="006A52C0"/>
    <w:rsid w:val="006A5B18"/>
    <w:rsid w:val="006A5C40"/>
    <w:rsid w:val="006A6C50"/>
    <w:rsid w:val="006A6EB6"/>
    <w:rsid w:val="006A7327"/>
    <w:rsid w:val="006A77C2"/>
    <w:rsid w:val="006A7DB2"/>
    <w:rsid w:val="006A7E89"/>
    <w:rsid w:val="006B02E2"/>
    <w:rsid w:val="006B190C"/>
    <w:rsid w:val="006B274F"/>
    <w:rsid w:val="006B2A3B"/>
    <w:rsid w:val="006B2CFD"/>
    <w:rsid w:val="006B3EE9"/>
    <w:rsid w:val="006B4BC5"/>
    <w:rsid w:val="006B5E1C"/>
    <w:rsid w:val="006B6113"/>
    <w:rsid w:val="006B6D65"/>
    <w:rsid w:val="006B7778"/>
    <w:rsid w:val="006B7B50"/>
    <w:rsid w:val="006C1378"/>
    <w:rsid w:val="006C19D3"/>
    <w:rsid w:val="006C1DD7"/>
    <w:rsid w:val="006C2AF4"/>
    <w:rsid w:val="006C32DC"/>
    <w:rsid w:val="006C5A20"/>
    <w:rsid w:val="006C5B09"/>
    <w:rsid w:val="006C5B22"/>
    <w:rsid w:val="006C5B6B"/>
    <w:rsid w:val="006C651B"/>
    <w:rsid w:val="006C688E"/>
    <w:rsid w:val="006C74B5"/>
    <w:rsid w:val="006C7F28"/>
    <w:rsid w:val="006D206B"/>
    <w:rsid w:val="006D3F28"/>
    <w:rsid w:val="006D4289"/>
    <w:rsid w:val="006D58BE"/>
    <w:rsid w:val="006E0B94"/>
    <w:rsid w:val="006E0E6F"/>
    <w:rsid w:val="006E2AA6"/>
    <w:rsid w:val="006E56D4"/>
    <w:rsid w:val="006E6550"/>
    <w:rsid w:val="006E65AF"/>
    <w:rsid w:val="006E6B66"/>
    <w:rsid w:val="006E7AB0"/>
    <w:rsid w:val="006F0665"/>
    <w:rsid w:val="006F11B7"/>
    <w:rsid w:val="006F22C1"/>
    <w:rsid w:val="006F28B6"/>
    <w:rsid w:val="006F3C8E"/>
    <w:rsid w:val="006F3EFD"/>
    <w:rsid w:val="006F4282"/>
    <w:rsid w:val="006F44E4"/>
    <w:rsid w:val="006F4B06"/>
    <w:rsid w:val="006F5818"/>
    <w:rsid w:val="007004A5"/>
    <w:rsid w:val="00700C3C"/>
    <w:rsid w:val="00700DE2"/>
    <w:rsid w:val="00701353"/>
    <w:rsid w:val="007013F1"/>
    <w:rsid w:val="00701559"/>
    <w:rsid w:val="007018F9"/>
    <w:rsid w:val="00701BF6"/>
    <w:rsid w:val="00702A55"/>
    <w:rsid w:val="00703411"/>
    <w:rsid w:val="0070418C"/>
    <w:rsid w:val="007047A5"/>
    <w:rsid w:val="007049B0"/>
    <w:rsid w:val="00704B4A"/>
    <w:rsid w:val="00705194"/>
    <w:rsid w:val="0070568D"/>
    <w:rsid w:val="00705778"/>
    <w:rsid w:val="00705B4B"/>
    <w:rsid w:val="00706C4C"/>
    <w:rsid w:val="0071060A"/>
    <w:rsid w:val="00710C4B"/>
    <w:rsid w:val="007113ED"/>
    <w:rsid w:val="007113F6"/>
    <w:rsid w:val="007114A9"/>
    <w:rsid w:val="007116EE"/>
    <w:rsid w:val="007116F7"/>
    <w:rsid w:val="00711A5E"/>
    <w:rsid w:val="00711B91"/>
    <w:rsid w:val="00712236"/>
    <w:rsid w:val="007127E9"/>
    <w:rsid w:val="007132A1"/>
    <w:rsid w:val="007160B3"/>
    <w:rsid w:val="00716BD9"/>
    <w:rsid w:val="00717D42"/>
    <w:rsid w:val="00720201"/>
    <w:rsid w:val="00720A66"/>
    <w:rsid w:val="00721306"/>
    <w:rsid w:val="00723552"/>
    <w:rsid w:val="00724853"/>
    <w:rsid w:val="00724864"/>
    <w:rsid w:val="00726191"/>
    <w:rsid w:val="007262D8"/>
    <w:rsid w:val="007267C4"/>
    <w:rsid w:val="00726B9A"/>
    <w:rsid w:val="00730B6F"/>
    <w:rsid w:val="00732624"/>
    <w:rsid w:val="00732DF3"/>
    <w:rsid w:val="00733485"/>
    <w:rsid w:val="0073364E"/>
    <w:rsid w:val="0073398A"/>
    <w:rsid w:val="00735A0D"/>
    <w:rsid w:val="00736135"/>
    <w:rsid w:val="0073621D"/>
    <w:rsid w:val="00736DE6"/>
    <w:rsid w:val="00737038"/>
    <w:rsid w:val="007403B1"/>
    <w:rsid w:val="00740A63"/>
    <w:rsid w:val="007410FA"/>
    <w:rsid w:val="00742901"/>
    <w:rsid w:val="00744ACE"/>
    <w:rsid w:val="007457DE"/>
    <w:rsid w:val="0074781C"/>
    <w:rsid w:val="007513D7"/>
    <w:rsid w:val="007516F2"/>
    <w:rsid w:val="00752590"/>
    <w:rsid w:val="00752C27"/>
    <w:rsid w:val="00753ADB"/>
    <w:rsid w:val="0075460C"/>
    <w:rsid w:val="007548E7"/>
    <w:rsid w:val="00754A61"/>
    <w:rsid w:val="00754C30"/>
    <w:rsid w:val="00755B0C"/>
    <w:rsid w:val="00755EE0"/>
    <w:rsid w:val="00756016"/>
    <w:rsid w:val="00756D39"/>
    <w:rsid w:val="00757AEC"/>
    <w:rsid w:val="00757DA2"/>
    <w:rsid w:val="00760E6F"/>
    <w:rsid w:val="00761BE2"/>
    <w:rsid w:val="00763BD8"/>
    <w:rsid w:val="007647EC"/>
    <w:rsid w:val="0076490A"/>
    <w:rsid w:val="007651E8"/>
    <w:rsid w:val="007656B5"/>
    <w:rsid w:val="00766255"/>
    <w:rsid w:val="00766D79"/>
    <w:rsid w:val="007679BF"/>
    <w:rsid w:val="00767B42"/>
    <w:rsid w:val="00770638"/>
    <w:rsid w:val="007706F0"/>
    <w:rsid w:val="007714BD"/>
    <w:rsid w:val="00771D92"/>
    <w:rsid w:val="0077237F"/>
    <w:rsid w:val="0077243A"/>
    <w:rsid w:val="0077398F"/>
    <w:rsid w:val="007748EE"/>
    <w:rsid w:val="00775475"/>
    <w:rsid w:val="00775B67"/>
    <w:rsid w:val="0077775D"/>
    <w:rsid w:val="00777AA9"/>
    <w:rsid w:val="00777B33"/>
    <w:rsid w:val="0078097C"/>
    <w:rsid w:val="0078264C"/>
    <w:rsid w:val="00782CAC"/>
    <w:rsid w:val="007834E1"/>
    <w:rsid w:val="007836BD"/>
    <w:rsid w:val="00783CF5"/>
    <w:rsid w:val="00783D58"/>
    <w:rsid w:val="007840A8"/>
    <w:rsid w:val="00785089"/>
    <w:rsid w:val="007869DB"/>
    <w:rsid w:val="00787D8F"/>
    <w:rsid w:val="007901C4"/>
    <w:rsid w:val="00790302"/>
    <w:rsid w:val="00792877"/>
    <w:rsid w:val="00792C63"/>
    <w:rsid w:val="00792D9C"/>
    <w:rsid w:val="00792F71"/>
    <w:rsid w:val="00794085"/>
    <w:rsid w:val="00794A4B"/>
    <w:rsid w:val="00796482"/>
    <w:rsid w:val="00796812"/>
    <w:rsid w:val="0079703F"/>
    <w:rsid w:val="00797238"/>
    <w:rsid w:val="00797D86"/>
    <w:rsid w:val="007A07D3"/>
    <w:rsid w:val="007A0A28"/>
    <w:rsid w:val="007A17A7"/>
    <w:rsid w:val="007A1D66"/>
    <w:rsid w:val="007A37A9"/>
    <w:rsid w:val="007A3CD1"/>
    <w:rsid w:val="007A3E51"/>
    <w:rsid w:val="007A3F1F"/>
    <w:rsid w:val="007A403F"/>
    <w:rsid w:val="007A40B9"/>
    <w:rsid w:val="007A4FE7"/>
    <w:rsid w:val="007A5014"/>
    <w:rsid w:val="007A523F"/>
    <w:rsid w:val="007A653D"/>
    <w:rsid w:val="007A68BC"/>
    <w:rsid w:val="007A6F42"/>
    <w:rsid w:val="007A6FFB"/>
    <w:rsid w:val="007A70EB"/>
    <w:rsid w:val="007A7CA7"/>
    <w:rsid w:val="007B0246"/>
    <w:rsid w:val="007B09D7"/>
    <w:rsid w:val="007B1DEF"/>
    <w:rsid w:val="007B228E"/>
    <w:rsid w:val="007B2E13"/>
    <w:rsid w:val="007B3D7B"/>
    <w:rsid w:val="007B4442"/>
    <w:rsid w:val="007B4A82"/>
    <w:rsid w:val="007B5B41"/>
    <w:rsid w:val="007B5BC0"/>
    <w:rsid w:val="007B5C73"/>
    <w:rsid w:val="007B6C49"/>
    <w:rsid w:val="007B6E30"/>
    <w:rsid w:val="007B717C"/>
    <w:rsid w:val="007C02D5"/>
    <w:rsid w:val="007C0C4A"/>
    <w:rsid w:val="007C0D85"/>
    <w:rsid w:val="007C19A4"/>
    <w:rsid w:val="007C1AAC"/>
    <w:rsid w:val="007C1C78"/>
    <w:rsid w:val="007C1D10"/>
    <w:rsid w:val="007C1F2E"/>
    <w:rsid w:val="007C2182"/>
    <w:rsid w:val="007C22BF"/>
    <w:rsid w:val="007C3C39"/>
    <w:rsid w:val="007C3E6F"/>
    <w:rsid w:val="007C3ECE"/>
    <w:rsid w:val="007C403C"/>
    <w:rsid w:val="007C44A0"/>
    <w:rsid w:val="007C59FA"/>
    <w:rsid w:val="007C617A"/>
    <w:rsid w:val="007C65D6"/>
    <w:rsid w:val="007C6D8C"/>
    <w:rsid w:val="007C7FF3"/>
    <w:rsid w:val="007D00E4"/>
    <w:rsid w:val="007D1137"/>
    <w:rsid w:val="007D1DEC"/>
    <w:rsid w:val="007D2386"/>
    <w:rsid w:val="007D2A6C"/>
    <w:rsid w:val="007D2C33"/>
    <w:rsid w:val="007D33FD"/>
    <w:rsid w:val="007D3A65"/>
    <w:rsid w:val="007D3C9E"/>
    <w:rsid w:val="007D3FD4"/>
    <w:rsid w:val="007D4C7E"/>
    <w:rsid w:val="007D5976"/>
    <w:rsid w:val="007D7085"/>
    <w:rsid w:val="007D7587"/>
    <w:rsid w:val="007D7EE8"/>
    <w:rsid w:val="007E0047"/>
    <w:rsid w:val="007E05E1"/>
    <w:rsid w:val="007E0977"/>
    <w:rsid w:val="007E16BC"/>
    <w:rsid w:val="007E1E37"/>
    <w:rsid w:val="007E320A"/>
    <w:rsid w:val="007E47EC"/>
    <w:rsid w:val="007E4D29"/>
    <w:rsid w:val="007E4F20"/>
    <w:rsid w:val="007E524B"/>
    <w:rsid w:val="007E63D9"/>
    <w:rsid w:val="007E654E"/>
    <w:rsid w:val="007E7272"/>
    <w:rsid w:val="007F0706"/>
    <w:rsid w:val="007F12AB"/>
    <w:rsid w:val="007F1C3B"/>
    <w:rsid w:val="007F1FF1"/>
    <w:rsid w:val="007F2274"/>
    <w:rsid w:val="007F24DA"/>
    <w:rsid w:val="007F3322"/>
    <w:rsid w:val="007F3919"/>
    <w:rsid w:val="007F3CE1"/>
    <w:rsid w:val="007F5685"/>
    <w:rsid w:val="007F6BD7"/>
    <w:rsid w:val="007F6FFB"/>
    <w:rsid w:val="007F72D0"/>
    <w:rsid w:val="007F7366"/>
    <w:rsid w:val="007F73E6"/>
    <w:rsid w:val="007F7F14"/>
    <w:rsid w:val="0080011D"/>
    <w:rsid w:val="008008AE"/>
    <w:rsid w:val="00800E72"/>
    <w:rsid w:val="00801391"/>
    <w:rsid w:val="0080180C"/>
    <w:rsid w:val="00802C1C"/>
    <w:rsid w:val="00803760"/>
    <w:rsid w:val="00804005"/>
    <w:rsid w:val="008059C4"/>
    <w:rsid w:val="00807205"/>
    <w:rsid w:val="008076CD"/>
    <w:rsid w:val="00810CEF"/>
    <w:rsid w:val="00810FAD"/>
    <w:rsid w:val="00811FAD"/>
    <w:rsid w:val="00812D6D"/>
    <w:rsid w:val="008130B8"/>
    <w:rsid w:val="008130C1"/>
    <w:rsid w:val="00813F51"/>
    <w:rsid w:val="00814305"/>
    <w:rsid w:val="00814402"/>
    <w:rsid w:val="00814F43"/>
    <w:rsid w:val="00816071"/>
    <w:rsid w:val="00817E44"/>
    <w:rsid w:val="00820557"/>
    <w:rsid w:val="008207F8"/>
    <w:rsid w:val="00820901"/>
    <w:rsid w:val="0082098C"/>
    <w:rsid w:val="008222CC"/>
    <w:rsid w:val="00823EE0"/>
    <w:rsid w:val="008241AE"/>
    <w:rsid w:val="008259FD"/>
    <w:rsid w:val="00825DAE"/>
    <w:rsid w:val="008266A4"/>
    <w:rsid w:val="008276C4"/>
    <w:rsid w:val="00827DBA"/>
    <w:rsid w:val="00827E34"/>
    <w:rsid w:val="008314E9"/>
    <w:rsid w:val="0083169F"/>
    <w:rsid w:val="00831E9A"/>
    <w:rsid w:val="0083200B"/>
    <w:rsid w:val="008322A3"/>
    <w:rsid w:val="0083281D"/>
    <w:rsid w:val="00832964"/>
    <w:rsid w:val="0083358D"/>
    <w:rsid w:val="00833AF3"/>
    <w:rsid w:val="00834183"/>
    <w:rsid w:val="0083489D"/>
    <w:rsid w:val="00836383"/>
    <w:rsid w:val="0083741C"/>
    <w:rsid w:val="0084000F"/>
    <w:rsid w:val="008441C5"/>
    <w:rsid w:val="00844FF7"/>
    <w:rsid w:val="00845405"/>
    <w:rsid w:val="008456FC"/>
    <w:rsid w:val="008461C3"/>
    <w:rsid w:val="008463C7"/>
    <w:rsid w:val="00846456"/>
    <w:rsid w:val="0084659C"/>
    <w:rsid w:val="00850DA6"/>
    <w:rsid w:val="00851264"/>
    <w:rsid w:val="00852085"/>
    <w:rsid w:val="00852B09"/>
    <w:rsid w:val="00852B91"/>
    <w:rsid w:val="008533FE"/>
    <w:rsid w:val="0085375E"/>
    <w:rsid w:val="0085462F"/>
    <w:rsid w:val="00856EB3"/>
    <w:rsid w:val="00857AC5"/>
    <w:rsid w:val="00857B4D"/>
    <w:rsid w:val="008611B7"/>
    <w:rsid w:val="00861449"/>
    <w:rsid w:val="00861786"/>
    <w:rsid w:val="008623E9"/>
    <w:rsid w:val="008625FA"/>
    <w:rsid w:val="00862EEA"/>
    <w:rsid w:val="0087017E"/>
    <w:rsid w:val="0087134D"/>
    <w:rsid w:val="00871AB3"/>
    <w:rsid w:val="00872772"/>
    <w:rsid w:val="008731DC"/>
    <w:rsid w:val="008735DF"/>
    <w:rsid w:val="00873AAB"/>
    <w:rsid w:val="00873FA1"/>
    <w:rsid w:val="00875985"/>
    <w:rsid w:val="00877344"/>
    <w:rsid w:val="008774E2"/>
    <w:rsid w:val="00880E85"/>
    <w:rsid w:val="0088174F"/>
    <w:rsid w:val="0088199D"/>
    <w:rsid w:val="00881AC0"/>
    <w:rsid w:val="008843F3"/>
    <w:rsid w:val="008844EC"/>
    <w:rsid w:val="008846F3"/>
    <w:rsid w:val="008853BA"/>
    <w:rsid w:val="00885D52"/>
    <w:rsid w:val="00886CF6"/>
    <w:rsid w:val="008872F4"/>
    <w:rsid w:val="00887661"/>
    <w:rsid w:val="00890683"/>
    <w:rsid w:val="0089188A"/>
    <w:rsid w:val="00891F84"/>
    <w:rsid w:val="00892A09"/>
    <w:rsid w:val="00892BF1"/>
    <w:rsid w:val="008938E6"/>
    <w:rsid w:val="00895785"/>
    <w:rsid w:val="00895F68"/>
    <w:rsid w:val="00896047"/>
    <w:rsid w:val="008966B3"/>
    <w:rsid w:val="008A02C8"/>
    <w:rsid w:val="008A0B21"/>
    <w:rsid w:val="008A1D6A"/>
    <w:rsid w:val="008A244A"/>
    <w:rsid w:val="008A289A"/>
    <w:rsid w:val="008A2E1B"/>
    <w:rsid w:val="008A44E6"/>
    <w:rsid w:val="008A45C1"/>
    <w:rsid w:val="008A489B"/>
    <w:rsid w:val="008A56EC"/>
    <w:rsid w:val="008A627F"/>
    <w:rsid w:val="008A70BE"/>
    <w:rsid w:val="008A70FF"/>
    <w:rsid w:val="008B098F"/>
    <w:rsid w:val="008B0B51"/>
    <w:rsid w:val="008B194C"/>
    <w:rsid w:val="008B21F4"/>
    <w:rsid w:val="008B35E7"/>
    <w:rsid w:val="008B36F5"/>
    <w:rsid w:val="008B4354"/>
    <w:rsid w:val="008B450F"/>
    <w:rsid w:val="008B5557"/>
    <w:rsid w:val="008B6335"/>
    <w:rsid w:val="008B6773"/>
    <w:rsid w:val="008B6815"/>
    <w:rsid w:val="008B68D2"/>
    <w:rsid w:val="008C1A64"/>
    <w:rsid w:val="008C34EF"/>
    <w:rsid w:val="008C4316"/>
    <w:rsid w:val="008C4365"/>
    <w:rsid w:val="008C4B59"/>
    <w:rsid w:val="008C554A"/>
    <w:rsid w:val="008C5613"/>
    <w:rsid w:val="008C57E6"/>
    <w:rsid w:val="008C632B"/>
    <w:rsid w:val="008C7169"/>
    <w:rsid w:val="008C7E46"/>
    <w:rsid w:val="008D084E"/>
    <w:rsid w:val="008D0B82"/>
    <w:rsid w:val="008D0BF9"/>
    <w:rsid w:val="008D1157"/>
    <w:rsid w:val="008D1437"/>
    <w:rsid w:val="008D1C33"/>
    <w:rsid w:val="008D212C"/>
    <w:rsid w:val="008D309A"/>
    <w:rsid w:val="008D3266"/>
    <w:rsid w:val="008D334B"/>
    <w:rsid w:val="008D4098"/>
    <w:rsid w:val="008D5A7D"/>
    <w:rsid w:val="008D5F8D"/>
    <w:rsid w:val="008D6B02"/>
    <w:rsid w:val="008D6EE4"/>
    <w:rsid w:val="008D6F00"/>
    <w:rsid w:val="008D6F56"/>
    <w:rsid w:val="008D73B6"/>
    <w:rsid w:val="008D7EDE"/>
    <w:rsid w:val="008E1090"/>
    <w:rsid w:val="008E132E"/>
    <w:rsid w:val="008E1332"/>
    <w:rsid w:val="008E4899"/>
    <w:rsid w:val="008E4ECE"/>
    <w:rsid w:val="008E508F"/>
    <w:rsid w:val="008E561E"/>
    <w:rsid w:val="008E5921"/>
    <w:rsid w:val="008E6232"/>
    <w:rsid w:val="008E687C"/>
    <w:rsid w:val="008E7DCC"/>
    <w:rsid w:val="008F0433"/>
    <w:rsid w:val="008F0C79"/>
    <w:rsid w:val="008F176B"/>
    <w:rsid w:val="008F1F8C"/>
    <w:rsid w:val="008F226B"/>
    <w:rsid w:val="008F2CF5"/>
    <w:rsid w:val="008F2E40"/>
    <w:rsid w:val="008F429D"/>
    <w:rsid w:val="008F46BD"/>
    <w:rsid w:val="008F5239"/>
    <w:rsid w:val="008F53D4"/>
    <w:rsid w:val="008F5FA2"/>
    <w:rsid w:val="008F67CD"/>
    <w:rsid w:val="008F708A"/>
    <w:rsid w:val="009002F3"/>
    <w:rsid w:val="00900315"/>
    <w:rsid w:val="009008F5"/>
    <w:rsid w:val="0090167B"/>
    <w:rsid w:val="00901AA4"/>
    <w:rsid w:val="00901E86"/>
    <w:rsid w:val="009022F5"/>
    <w:rsid w:val="00902CD7"/>
    <w:rsid w:val="009031AB"/>
    <w:rsid w:val="00903502"/>
    <w:rsid w:val="009047A4"/>
    <w:rsid w:val="009048A3"/>
    <w:rsid w:val="009049D2"/>
    <w:rsid w:val="00904A7E"/>
    <w:rsid w:val="00905E99"/>
    <w:rsid w:val="00907ADF"/>
    <w:rsid w:val="00907AE6"/>
    <w:rsid w:val="00907E2E"/>
    <w:rsid w:val="00910D1D"/>
    <w:rsid w:val="00910DB5"/>
    <w:rsid w:val="00911B3F"/>
    <w:rsid w:val="00911D98"/>
    <w:rsid w:val="0091217E"/>
    <w:rsid w:val="0091271A"/>
    <w:rsid w:val="009129FE"/>
    <w:rsid w:val="00912ADD"/>
    <w:rsid w:val="00912E46"/>
    <w:rsid w:val="0091327F"/>
    <w:rsid w:val="009138A2"/>
    <w:rsid w:val="00913C5A"/>
    <w:rsid w:val="00913E99"/>
    <w:rsid w:val="00914346"/>
    <w:rsid w:val="00914C6A"/>
    <w:rsid w:val="00916350"/>
    <w:rsid w:val="00920235"/>
    <w:rsid w:val="009215B1"/>
    <w:rsid w:val="00921684"/>
    <w:rsid w:val="00921997"/>
    <w:rsid w:val="00921EE2"/>
    <w:rsid w:val="0092454A"/>
    <w:rsid w:val="00924715"/>
    <w:rsid w:val="00924DC3"/>
    <w:rsid w:val="00924FB1"/>
    <w:rsid w:val="00925333"/>
    <w:rsid w:val="009258C5"/>
    <w:rsid w:val="00925F80"/>
    <w:rsid w:val="00927D94"/>
    <w:rsid w:val="0093146E"/>
    <w:rsid w:val="0093176F"/>
    <w:rsid w:val="00932D9F"/>
    <w:rsid w:val="00933210"/>
    <w:rsid w:val="009336DB"/>
    <w:rsid w:val="00934928"/>
    <w:rsid w:val="0093626D"/>
    <w:rsid w:val="009367E9"/>
    <w:rsid w:val="0093712F"/>
    <w:rsid w:val="009376C6"/>
    <w:rsid w:val="009378EB"/>
    <w:rsid w:val="00940397"/>
    <w:rsid w:val="009404A7"/>
    <w:rsid w:val="009426E5"/>
    <w:rsid w:val="00942849"/>
    <w:rsid w:val="0094421E"/>
    <w:rsid w:val="009442AF"/>
    <w:rsid w:val="00944713"/>
    <w:rsid w:val="009447F7"/>
    <w:rsid w:val="00944BCA"/>
    <w:rsid w:val="0094519E"/>
    <w:rsid w:val="0094521B"/>
    <w:rsid w:val="00945796"/>
    <w:rsid w:val="00945F04"/>
    <w:rsid w:val="00946679"/>
    <w:rsid w:val="00946731"/>
    <w:rsid w:val="00946D6E"/>
    <w:rsid w:val="00946DF4"/>
    <w:rsid w:val="009478A1"/>
    <w:rsid w:val="00947C61"/>
    <w:rsid w:val="00947D89"/>
    <w:rsid w:val="00950B18"/>
    <w:rsid w:val="00950BE9"/>
    <w:rsid w:val="00951A15"/>
    <w:rsid w:val="00952119"/>
    <w:rsid w:val="00953981"/>
    <w:rsid w:val="00954413"/>
    <w:rsid w:val="00954B96"/>
    <w:rsid w:val="009551C4"/>
    <w:rsid w:val="009569E9"/>
    <w:rsid w:val="00957988"/>
    <w:rsid w:val="00961DC1"/>
    <w:rsid w:val="00962126"/>
    <w:rsid w:val="00963D41"/>
    <w:rsid w:val="00964054"/>
    <w:rsid w:val="00964B42"/>
    <w:rsid w:val="0096704C"/>
    <w:rsid w:val="009676E0"/>
    <w:rsid w:val="00967867"/>
    <w:rsid w:val="0097045B"/>
    <w:rsid w:val="00970E9B"/>
    <w:rsid w:val="009728B6"/>
    <w:rsid w:val="00973251"/>
    <w:rsid w:val="00973DEE"/>
    <w:rsid w:val="0097420B"/>
    <w:rsid w:val="00974483"/>
    <w:rsid w:val="00974CC7"/>
    <w:rsid w:val="009752C5"/>
    <w:rsid w:val="00975E65"/>
    <w:rsid w:val="009779ED"/>
    <w:rsid w:val="009808F2"/>
    <w:rsid w:val="0098114A"/>
    <w:rsid w:val="009815DC"/>
    <w:rsid w:val="00981866"/>
    <w:rsid w:val="00981FA5"/>
    <w:rsid w:val="00983372"/>
    <w:rsid w:val="00986634"/>
    <w:rsid w:val="0098709C"/>
    <w:rsid w:val="00993A22"/>
    <w:rsid w:val="00994391"/>
    <w:rsid w:val="0099490D"/>
    <w:rsid w:val="00994CA4"/>
    <w:rsid w:val="00996671"/>
    <w:rsid w:val="00996AEB"/>
    <w:rsid w:val="009A1EA9"/>
    <w:rsid w:val="009A2168"/>
    <w:rsid w:val="009A2284"/>
    <w:rsid w:val="009A24D6"/>
    <w:rsid w:val="009A2573"/>
    <w:rsid w:val="009A29A7"/>
    <w:rsid w:val="009A2D16"/>
    <w:rsid w:val="009A42E4"/>
    <w:rsid w:val="009A5298"/>
    <w:rsid w:val="009A701D"/>
    <w:rsid w:val="009B083A"/>
    <w:rsid w:val="009B0D33"/>
    <w:rsid w:val="009B0EA9"/>
    <w:rsid w:val="009B12DE"/>
    <w:rsid w:val="009B177D"/>
    <w:rsid w:val="009B1EE3"/>
    <w:rsid w:val="009B1F19"/>
    <w:rsid w:val="009B1F94"/>
    <w:rsid w:val="009B2094"/>
    <w:rsid w:val="009B2147"/>
    <w:rsid w:val="009B2902"/>
    <w:rsid w:val="009B29E1"/>
    <w:rsid w:val="009B2A75"/>
    <w:rsid w:val="009B2C1B"/>
    <w:rsid w:val="009B3338"/>
    <w:rsid w:val="009B4914"/>
    <w:rsid w:val="009B5254"/>
    <w:rsid w:val="009B75B2"/>
    <w:rsid w:val="009C0B65"/>
    <w:rsid w:val="009C0DD1"/>
    <w:rsid w:val="009C0F02"/>
    <w:rsid w:val="009C26B7"/>
    <w:rsid w:val="009C27DB"/>
    <w:rsid w:val="009C2B3E"/>
    <w:rsid w:val="009C2C39"/>
    <w:rsid w:val="009C2D62"/>
    <w:rsid w:val="009C36A8"/>
    <w:rsid w:val="009C3BB1"/>
    <w:rsid w:val="009C3C0C"/>
    <w:rsid w:val="009C3FD7"/>
    <w:rsid w:val="009C4176"/>
    <w:rsid w:val="009C4ACB"/>
    <w:rsid w:val="009C4E44"/>
    <w:rsid w:val="009C60FC"/>
    <w:rsid w:val="009C6F07"/>
    <w:rsid w:val="009C760A"/>
    <w:rsid w:val="009C78C1"/>
    <w:rsid w:val="009C7A7E"/>
    <w:rsid w:val="009C7AD0"/>
    <w:rsid w:val="009C7FC7"/>
    <w:rsid w:val="009D0188"/>
    <w:rsid w:val="009D1497"/>
    <w:rsid w:val="009D294A"/>
    <w:rsid w:val="009D2B28"/>
    <w:rsid w:val="009D32BA"/>
    <w:rsid w:val="009D349D"/>
    <w:rsid w:val="009D3596"/>
    <w:rsid w:val="009D3E09"/>
    <w:rsid w:val="009D52D6"/>
    <w:rsid w:val="009D5570"/>
    <w:rsid w:val="009D608B"/>
    <w:rsid w:val="009D60AD"/>
    <w:rsid w:val="009D6AF7"/>
    <w:rsid w:val="009D6C87"/>
    <w:rsid w:val="009D70F6"/>
    <w:rsid w:val="009D7505"/>
    <w:rsid w:val="009D7750"/>
    <w:rsid w:val="009D7EF9"/>
    <w:rsid w:val="009E059C"/>
    <w:rsid w:val="009E0B03"/>
    <w:rsid w:val="009E0C02"/>
    <w:rsid w:val="009E0D25"/>
    <w:rsid w:val="009E1143"/>
    <w:rsid w:val="009E12B0"/>
    <w:rsid w:val="009E1A1F"/>
    <w:rsid w:val="009E253B"/>
    <w:rsid w:val="009E2590"/>
    <w:rsid w:val="009E3039"/>
    <w:rsid w:val="009E35B7"/>
    <w:rsid w:val="009E3987"/>
    <w:rsid w:val="009E4514"/>
    <w:rsid w:val="009E57A1"/>
    <w:rsid w:val="009E5C69"/>
    <w:rsid w:val="009E6DA3"/>
    <w:rsid w:val="009E7616"/>
    <w:rsid w:val="009E7905"/>
    <w:rsid w:val="009F0321"/>
    <w:rsid w:val="009F068F"/>
    <w:rsid w:val="009F1E2F"/>
    <w:rsid w:val="009F36CD"/>
    <w:rsid w:val="009F3F33"/>
    <w:rsid w:val="009F453D"/>
    <w:rsid w:val="009F4C70"/>
    <w:rsid w:val="009F4F99"/>
    <w:rsid w:val="009F53C7"/>
    <w:rsid w:val="009F5E98"/>
    <w:rsid w:val="009F5FB3"/>
    <w:rsid w:val="009F6305"/>
    <w:rsid w:val="009F6C5C"/>
    <w:rsid w:val="009F7037"/>
    <w:rsid w:val="009F7168"/>
    <w:rsid w:val="00A008F0"/>
    <w:rsid w:val="00A00D61"/>
    <w:rsid w:val="00A0141C"/>
    <w:rsid w:val="00A02960"/>
    <w:rsid w:val="00A02A0D"/>
    <w:rsid w:val="00A04BA6"/>
    <w:rsid w:val="00A064E5"/>
    <w:rsid w:val="00A074B8"/>
    <w:rsid w:val="00A075DC"/>
    <w:rsid w:val="00A07DE8"/>
    <w:rsid w:val="00A1151F"/>
    <w:rsid w:val="00A11A39"/>
    <w:rsid w:val="00A122D0"/>
    <w:rsid w:val="00A12639"/>
    <w:rsid w:val="00A127E4"/>
    <w:rsid w:val="00A14F90"/>
    <w:rsid w:val="00A156EB"/>
    <w:rsid w:val="00A15842"/>
    <w:rsid w:val="00A169BC"/>
    <w:rsid w:val="00A16C4D"/>
    <w:rsid w:val="00A1773E"/>
    <w:rsid w:val="00A20516"/>
    <w:rsid w:val="00A21551"/>
    <w:rsid w:val="00A21D72"/>
    <w:rsid w:val="00A23555"/>
    <w:rsid w:val="00A23619"/>
    <w:rsid w:val="00A237AB"/>
    <w:rsid w:val="00A23BE2"/>
    <w:rsid w:val="00A23F93"/>
    <w:rsid w:val="00A2514E"/>
    <w:rsid w:val="00A25239"/>
    <w:rsid w:val="00A25324"/>
    <w:rsid w:val="00A25508"/>
    <w:rsid w:val="00A25950"/>
    <w:rsid w:val="00A25E8D"/>
    <w:rsid w:val="00A26421"/>
    <w:rsid w:val="00A266C5"/>
    <w:rsid w:val="00A26835"/>
    <w:rsid w:val="00A30AE4"/>
    <w:rsid w:val="00A31098"/>
    <w:rsid w:val="00A31687"/>
    <w:rsid w:val="00A31A28"/>
    <w:rsid w:val="00A332E8"/>
    <w:rsid w:val="00A35D89"/>
    <w:rsid w:val="00A37414"/>
    <w:rsid w:val="00A40551"/>
    <w:rsid w:val="00A40ADE"/>
    <w:rsid w:val="00A41D89"/>
    <w:rsid w:val="00A42833"/>
    <w:rsid w:val="00A428EE"/>
    <w:rsid w:val="00A42D6B"/>
    <w:rsid w:val="00A436FC"/>
    <w:rsid w:val="00A43F61"/>
    <w:rsid w:val="00A4438D"/>
    <w:rsid w:val="00A4463C"/>
    <w:rsid w:val="00A44BD4"/>
    <w:rsid w:val="00A44BFB"/>
    <w:rsid w:val="00A45C82"/>
    <w:rsid w:val="00A45E2C"/>
    <w:rsid w:val="00A4616C"/>
    <w:rsid w:val="00A46575"/>
    <w:rsid w:val="00A47C89"/>
    <w:rsid w:val="00A50DFF"/>
    <w:rsid w:val="00A5182B"/>
    <w:rsid w:val="00A51ED1"/>
    <w:rsid w:val="00A523E0"/>
    <w:rsid w:val="00A53224"/>
    <w:rsid w:val="00A53F65"/>
    <w:rsid w:val="00A54998"/>
    <w:rsid w:val="00A552C9"/>
    <w:rsid w:val="00A55337"/>
    <w:rsid w:val="00A55B18"/>
    <w:rsid w:val="00A561D9"/>
    <w:rsid w:val="00A56D8D"/>
    <w:rsid w:val="00A6036A"/>
    <w:rsid w:val="00A60A2E"/>
    <w:rsid w:val="00A61095"/>
    <w:rsid w:val="00A61D61"/>
    <w:rsid w:val="00A62479"/>
    <w:rsid w:val="00A6259C"/>
    <w:rsid w:val="00A628A3"/>
    <w:rsid w:val="00A629D7"/>
    <w:rsid w:val="00A62CC8"/>
    <w:rsid w:val="00A62EF5"/>
    <w:rsid w:val="00A63004"/>
    <w:rsid w:val="00A63756"/>
    <w:rsid w:val="00A637C9"/>
    <w:rsid w:val="00A652A8"/>
    <w:rsid w:val="00A65DBC"/>
    <w:rsid w:val="00A7059A"/>
    <w:rsid w:val="00A70DA3"/>
    <w:rsid w:val="00A711B5"/>
    <w:rsid w:val="00A714DF"/>
    <w:rsid w:val="00A731A7"/>
    <w:rsid w:val="00A73378"/>
    <w:rsid w:val="00A734EA"/>
    <w:rsid w:val="00A73820"/>
    <w:rsid w:val="00A73B4F"/>
    <w:rsid w:val="00A74677"/>
    <w:rsid w:val="00A74A7E"/>
    <w:rsid w:val="00A74E8B"/>
    <w:rsid w:val="00A7542C"/>
    <w:rsid w:val="00A754C6"/>
    <w:rsid w:val="00A768B8"/>
    <w:rsid w:val="00A76DB7"/>
    <w:rsid w:val="00A8016E"/>
    <w:rsid w:val="00A80675"/>
    <w:rsid w:val="00A81512"/>
    <w:rsid w:val="00A82B65"/>
    <w:rsid w:val="00A8342A"/>
    <w:rsid w:val="00A83978"/>
    <w:rsid w:val="00A84828"/>
    <w:rsid w:val="00A85F3C"/>
    <w:rsid w:val="00A86DD8"/>
    <w:rsid w:val="00A87387"/>
    <w:rsid w:val="00A876DB"/>
    <w:rsid w:val="00A87BC3"/>
    <w:rsid w:val="00A87E75"/>
    <w:rsid w:val="00A9066D"/>
    <w:rsid w:val="00A90C8E"/>
    <w:rsid w:val="00A9498D"/>
    <w:rsid w:val="00A94B23"/>
    <w:rsid w:val="00A94CE1"/>
    <w:rsid w:val="00A94DE0"/>
    <w:rsid w:val="00A95631"/>
    <w:rsid w:val="00A95738"/>
    <w:rsid w:val="00A95F52"/>
    <w:rsid w:val="00A960E2"/>
    <w:rsid w:val="00A96288"/>
    <w:rsid w:val="00A96814"/>
    <w:rsid w:val="00A96B23"/>
    <w:rsid w:val="00A97680"/>
    <w:rsid w:val="00AA0C73"/>
    <w:rsid w:val="00AA0CC5"/>
    <w:rsid w:val="00AA122E"/>
    <w:rsid w:val="00AA1962"/>
    <w:rsid w:val="00AA1EAF"/>
    <w:rsid w:val="00AA21AB"/>
    <w:rsid w:val="00AA21E4"/>
    <w:rsid w:val="00AA283F"/>
    <w:rsid w:val="00AA2BF4"/>
    <w:rsid w:val="00AA2CAC"/>
    <w:rsid w:val="00AA2D41"/>
    <w:rsid w:val="00AA325D"/>
    <w:rsid w:val="00AA399A"/>
    <w:rsid w:val="00AA447E"/>
    <w:rsid w:val="00AA513B"/>
    <w:rsid w:val="00AA5602"/>
    <w:rsid w:val="00AA62FA"/>
    <w:rsid w:val="00AA65FD"/>
    <w:rsid w:val="00AA68A1"/>
    <w:rsid w:val="00AA6DDA"/>
    <w:rsid w:val="00AA7A34"/>
    <w:rsid w:val="00AA7FBF"/>
    <w:rsid w:val="00AB0451"/>
    <w:rsid w:val="00AB0E92"/>
    <w:rsid w:val="00AB20B7"/>
    <w:rsid w:val="00AB3A48"/>
    <w:rsid w:val="00AB54D7"/>
    <w:rsid w:val="00AB5812"/>
    <w:rsid w:val="00AB6696"/>
    <w:rsid w:val="00AB7779"/>
    <w:rsid w:val="00AB7E9F"/>
    <w:rsid w:val="00AC181D"/>
    <w:rsid w:val="00AC1C30"/>
    <w:rsid w:val="00AC31A5"/>
    <w:rsid w:val="00AC31B5"/>
    <w:rsid w:val="00AC351A"/>
    <w:rsid w:val="00AC47DC"/>
    <w:rsid w:val="00AC5649"/>
    <w:rsid w:val="00AC5F40"/>
    <w:rsid w:val="00AC6A98"/>
    <w:rsid w:val="00AC6B54"/>
    <w:rsid w:val="00AC7702"/>
    <w:rsid w:val="00AD0296"/>
    <w:rsid w:val="00AD087C"/>
    <w:rsid w:val="00AD0EE0"/>
    <w:rsid w:val="00AD1D0D"/>
    <w:rsid w:val="00AD2245"/>
    <w:rsid w:val="00AD2A3B"/>
    <w:rsid w:val="00AD2B60"/>
    <w:rsid w:val="00AD499F"/>
    <w:rsid w:val="00AD5502"/>
    <w:rsid w:val="00AD5D63"/>
    <w:rsid w:val="00AD604B"/>
    <w:rsid w:val="00AD6AD2"/>
    <w:rsid w:val="00AE06F9"/>
    <w:rsid w:val="00AE0E2A"/>
    <w:rsid w:val="00AE15B1"/>
    <w:rsid w:val="00AE1F06"/>
    <w:rsid w:val="00AE22F7"/>
    <w:rsid w:val="00AE3CDA"/>
    <w:rsid w:val="00AE4621"/>
    <w:rsid w:val="00AE49AE"/>
    <w:rsid w:val="00AE4A0D"/>
    <w:rsid w:val="00AE775F"/>
    <w:rsid w:val="00AF084B"/>
    <w:rsid w:val="00AF2684"/>
    <w:rsid w:val="00AF365E"/>
    <w:rsid w:val="00AF3A28"/>
    <w:rsid w:val="00AF3D8A"/>
    <w:rsid w:val="00AF4A8B"/>
    <w:rsid w:val="00AF54EF"/>
    <w:rsid w:val="00AF5979"/>
    <w:rsid w:val="00AF6A3F"/>
    <w:rsid w:val="00AF6E14"/>
    <w:rsid w:val="00AF79F4"/>
    <w:rsid w:val="00B00283"/>
    <w:rsid w:val="00B00506"/>
    <w:rsid w:val="00B0071A"/>
    <w:rsid w:val="00B007B6"/>
    <w:rsid w:val="00B00BC4"/>
    <w:rsid w:val="00B00F43"/>
    <w:rsid w:val="00B0233C"/>
    <w:rsid w:val="00B034FA"/>
    <w:rsid w:val="00B03776"/>
    <w:rsid w:val="00B03DEC"/>
    <w:rsid w:val="00B047FA"/>
    <w:rsid w:val="00B05329"/>
    <w:rsid w:val="00B0562C"/>
    <w:rsid w:val="00B05693"/>
    <w:rsid w:val="00B075FE"/>
    <w:rsid w:val="00B07945"/>
    <w:rsid w:val="00B07AEB"/>
    <w:rsid w:val="00B07B5E"/>
    <w:rsid w:val="00B07D78"/>
    <w:rsid w:val="00B07E5E"/>
    <w:rsid w:val="00B10C53"/>
    <w:rsid w:val="00B11000"/>
    <w:rsid w:val="00B11B71"/>
    <w:rsid w:val="00B12407"/>
    <w:rsid w:val="00B129A4"/>
    <w:rsid w:val="00B14BA8"/>
    <w:rsid w:val="00B16478"/>
    <w:rsid w:val="00B1659F"/>
    <w:rsid w:val="00B173EB"/>
    <w:rsid w:val="00B17609"/>
    <w:rsid w:val="00B1776D"/>
    <w:rsid w:val="00B178B8"/>
    <w:rsid w:val="00B205D8"/>
    <w:rsid w:val="00B220D2"/>
    <w:rsid w:val="00B222AC"/>
    <w:rsid w:val="00B2492C"/>
    <w:rsid w:val="00B263A0"/>
    <w:rsid w:val="00B26668"/>
    <w:rsid w:val="00B271C0"/>
    <w:rsid w:val="00B271ED"/>
    <w:rsid w:val="00B2756F"/>
    <w:rsid w:val="00B27C55"/>
    <w:rsid w:val="00B30335"/>
    <w:rsid w:val="00B308D2"/>
    <w:rsid w:val="00B31763"/>
    <w:rsid w:val="00B318ED"/>
    <w:rsid w:val="00B32579"/>
    <w:rsid w:val="00B332EC"/>
    <w:rsid w:val="00B35A96"/>
    <w:rsid w:val="00B361FD"/>
    <w:rsid w:val="00B36BDA"/>
    <w:rsid w:val="00B376ED"/>
    <w:rsid w:val="00B37CEA"/>
    <w:rsid w:val="00B43830"/>
    <w:rsid w:val="00B441E2"/>
    <w:rsid w:val="00B44749"/>
    <w:rsid w:val="00B449A1"/>
    <w:rsid w:val="00B45F4A"/>
    <w:rsid w:val="00B465F0"/>
    <w:rsid w:val="00B466FB"/>
    <w:rsid w:val="00B47812"/>
    <w:rsid w:val="00B5199E"/>
    <w:rsid w:val="00B519D5"/>
    <w:rsid w:val="00B536FB"/>
    <w:rsid w:val="00B54028"/>
    <w:rsid w:val="00B54E81"/>
    <w:rsid w:val="00B551BF"/>
    <w:rsid w:val="00B557A5"/>
    <w:rsid w:val="00B5581D"/>
    <w:rsid w:val="00B567DC"/>
    <w:rsid w:val="00B568B1"/>
    <w:rsid w:val="00B573CC"/>
    <w:rsid w:val="00B57A3B"/>
    <w:rsid w:val="00B60567"/>
    <w:rsid w:val="00B60664"/>
    <w:rsid w:val="00B6093B"/>
    <w:rsid w:val="00B60E15"/>
    <w:rsid w:val="00B613BC"/>
    <w:rsid w:val="00B626DA"/>
    <w:rsid w:val="00B627D4"/>
    <w:rsid w:val="00B62BBD"/>
    <w:rsid w:val="00B641B4"/>
    <w:rsid w:val="00B65544"/>
    <w:rsid w:val="00B66795"/>
    <w:rsid w:val="00B67D6C"/>
    <w:rsid w:val="00B70103"/>
    <w:rsid w:val="00B703D9"/>
    <w:rsid w:val="00B71DD3"/>
    <w:rsid w:val="00B72007"/>
    <w:rsid w:val="00B731D5"/>
    <w:rsid w:val="00B73962"/>
    <w:rsid w:val="00B740A2"/>
    <w:rsid w:val="00B749CF"/>
    <w:rsid w:val="00B75388"/>
    <w:rsid w:val="00B75A45"/>
    <w:rsid w:val="00B76A61"/>
    <w:rsid w:val="00B77F38"/>
    <w:rsid w:val="00B80EC2"/>
    <w:rsid w:val="00B81E72"/>
    <w:rsid w:val="00B81EC7"/>
    <w:rsid w:val="00B8206D"/>
    <w:rsid w:val="00B848CF"/>
    <w:rsid w:val="00B84B96"/>
    <w:rsid w:val="00B85C9F"/>
    <w:rsid w:val="00B85DC5"/>
    <w:rsid w:val="00B85E33"/>
    <w:rsid w:val="00B86147"/>
    <w:rsid w:val="00B864B4"/>
    <w:rsid w:val="00B86B61"/>
    <w:rsid w:val="00B86DC1"/>
    <w:rsid w:val="00B87705"/>
    <w:rsid w:val="00B87CDD"/>
    <w:rsid w:val="00B87E00"/>
    <w:rsid w:val="00B91A39"/>
    <w:rsid w:val="00B91F84"/>
    <w:rsid w:val="00B92615"/>
    <w:rsid w:val="00B9359A"/>
    <w:rsid w:val="00B93FB8"/>
    <w:rsid w:val="00B941DB"/>
    <w:rsid w:val="00B948C8"/>
    <w:rsid w:val="00B956CE"/>
    <w:rsid w:val="00B96932"/>
    <w:rsid w:val="00B97B75"/>
    <w:rsid w:val="00BA0302"/>
    <w:rsid w:val="00BA032B"/>
    <w:rsid w:val="00BA05E7"/>
    <w:rsid w:val="00BA2684"/>
    <w:rsid w:val="00BA2B27"/>
    <w:rsid w:val="00BA2B41"/>
    <w:rsid w:val="00BA2C0E"/>
    <w:rsid w:val="00BA319B"/>
    <w:rsid w:val="00BA36B3"/>
    <w:rsid w:val="00BA36CF"/>
    <w:rsid w:val="00BA477D"/>
    <w:rsid w:val="00BA56BA"/>
    <w:rsid w:val="00BA5B26"/>
    <w:rsid w:val="00BA62DB"/>
    <w:rsid w:val="00BA6FE7"/>
    <w:rsid w:val="00BB073A"/>
    <w:rsid w:val="00BB1D56"/>
    <w:rsid w:val="00BB1D71"/>
    <w:rsid w:val="00BB2695"/>
    <w:rsid w:val="00BB3D71"/>
    <w:rsid w:val="00BB4FB0"/>
    <w:rsid w:val="00BB5267"/>
    <w:rsid w:val="00BB62C9"/>
    <w:rsid w:val="00BC00B5"/>
    <w:rsid w:val="00BC0319"/>
    <w:rsid w:val="00BC032C"/>
    <w:rsid w:val="00BC0812"/>
    <w:rsid w:val="00BC0F91"/>
    <w:rsid w:val="00BC1AD9"/>
    <w:rsid w:val="00BC1D58"/>
    <w:rsid w:val="00BC1DF7"/>
    <w:rsid w:val="00BC1E46"/>
    <w:rsid w:val="00BC234B"/>
    <w:rsid w:val="00BC2963"/>
    <w:rsid w:val="00BC3D44"/>
    <w:rsid w:val="00BC3ED6"/>
    <w:rsid w:val="00BC45F4"/>
    <w:rsid w:val="00BC4B3E"/>
    <w:rsid w:val="00BC4E09"/>
    <w:rsid w:val="00BC5DE7"/>
    <w:rsid w:val="00BC64EF"/>
    <w:rsid w:val="00BC6C66"/>
    <w:rsid w:val="00BD0CC8"/>
    <w:rsid w:val="00BD1F48"/>
    <w:rsid w:val="00BD22CE"/>
    <w:rsid w:val="00BD3110"/>
    <w:rsid w:val="00BD4BAD"/>
    <w:rsid w:val="00BD4CA6"/>
    <w:rsid w:val="00BD7AB1"/>
    <w:rsid w:val="00BE0907"/>
    <w:rsid w:val="00BE1580"/>
    <w:rsid w:val="00BE3D3D"/>
    <w:rsid w:val="00BE4B93"/>
    <w:rsid w:val="00BE4E2C"/>
    <w:rsid w:val="00BE53BD"/>
    <w:rsid w:val="00BE53F2"/>
    <w:rsid w:val="00BE6F65"/>
    <w:rsid w:val="00BE7B32"/>
    <w:rsid w:val="00BF0A9A"/>
    <w:rsid w:val="00BF11D2"/>
    <w:rsid w:val="00BF151B"/>
    <w:rsid w:val="00BF183F"/>
    <w:rsid w:val="00BF2C3D"/>
    <w:rsid w:val="00BF4563"/>
    <w:rsid w:val="00BF4833"/>
    <w:rsid w:val="00BF4AA7"/>
    <w:rsid w:val="00BF62DB"/>
    <w:rsid w:val="00BF6875"/>
    <w:rsid w:val="00BF68E8"/>
    <w:rsid w:val="00BF723C"/>
    <w:rsid w:val="00C00193"/>
    <w:rsid w:val="00C00B67"/>
    <w:rsid w:val="00C00DEF"/>
    <w:rsid w:val="00C02046"/>
    <w:rsid w:val="00C02374"/>
    <w:rsid w:val="00C02640"/>
    <w:rsid w:val="00C0359F"/>
    <w:rsid w:val="00C03C07"/>
    <w:rsid w:val="00C04122"/>
    <w:rsid w:val="00C05AAF"/>
    <w:rsid w:val="00C05EFC"/>
    <w:rsid w:val="00C06AF3"/>
    <w:rsid w:val="00C1044A"/>
    <w:rsid w:val="00C10B48"/>
    <w:rsid w:val="00C10CC8"/>
    <w:rsid w:val="00C10D1E"/>
    <w:rsid w:val="00C137E9"/>
    <w:rsid w:val="00C15077"/>
    <w:rsid w:val="00C1551E"/>
    <w:rsid w:val="00C15A2B"/>
    <w:rsid w:val="00C16736"/>
    <w:rsid w:val="00C17687"/>
    <w:rsid w:val="00C179F6"/>
    <w:rsid w:val="00C205DB"/>
    <w:rsid w:val="00C20965"/>
    <w:rsid w:val="00C21008"/>
    <w:rsid w:val="00C2168B"/>
    <w:rsid w:val="00C22ADB"/>
    <w:rsid w:val="00C22CE0"/>
    <w:rsid w:val="00C23DC6"/>
    <w:rsid w:val="00C24729"/>
    <w:rsid w:val="00C24901"/>
    <w:rsid w:val="00C24967"/>
    <w:rsid w:val="00C25484"/>
    <w:rsid w:val="00C25FF3"/>
    <w:rsid w:val="00C26696"/>
    <w:rsid w:val="00C268D5"/>
    <w:rsid w:val="00C30318"/>
    <w:rsid w:val="00C30630"/>
    <w:rsid w:val="00C3121B"/>
    <w:rsid w:val="00C315C3"/>
    <w:rsid w:val="00C32890"/>
    <w:rsid w:val="00C3572E"/>
    <w:rsid w:val="00C35A06"/>
    <w:rsid w:val="00C36BBF"/>
    <w:rsid w:val="00C36F7F"/>
    <w:rsid w:val="00C377C5"/>
    <w:rsid w:val="00C37B14"/>
    <w:rsid w:val="00C37CC6"/>
    <w:rsid w:val="00C409C7"/>
    <w:rsid w:val="00C40E73"/>
    <w:rsid w:val="00C4127E"/>
    <w:rsid w:val="00C42659"/>
    <w:rsid w:val="00C430F2"/>
    <w:rsid w:val="00C44023"/>
    <w:rsid w:val="00C45022"/>
    <w:rsid w:val="00C45975"/>
    <w:rsid w:val="00C47489"/>
    <w:rsid w:val="00C476E4"/>
    <w:rsid w:val="00C50569"/>
    <w:rsid w:val="00C508F3"/>
    <w:rsid w:val="00C50D65"/>
    <w:rsid w:val="00C50D83"/>
    <w:rsid w:val="00C51719"/>
    <w:rsid w:val="00C51F54"/>
    <w:rsid w:val="00C539AA"/>
    <w:rsid w:val="00C54120"/>
    <w:rsid w:val="00C54D53"/>
    <w:rsid w:val="00C54F0A"/>
    <w:rsid w:val="00C55F4C"/>
    <w:rsid w:val="00C56584"/>
    <w:rsid w:val="00C56E47"/>
    <w:rsid w:val="00C56F63"/>
    <w:rsid w:val="00C575DF"/>
    <w:rsid w:val="00C577AF"/>
    <w:rsid w:val="00C57FEE"/>
    <w:rsid w:val="00C605D6"/>
    <w:rsid w:val="00C60AE3"/>
    <w:rsid w:val="00C60FFE"/>
    <w:rsid w:val="00C61B54"/>
    <w:rsid w:val="00C61DAC"/>
    <w:rsid w:val="00C62837"/>
    <w:rsid w:val="00C6300A"/>
    <w:rsid w:val="00C6338B"/>
    <w:rsid w:val="00C641FA"/>
    <w:rsid w:val="00C6443C"/>
    <w:rsid w:val="00C66967"/>
    <w:rsid w:val="00C66AD8"/>
    <w:rsid w:val="00C67EEE"/>
    <w:rsid w:val="00C709D7"/>
    <w:rsid w:val="00C70C1A"/>
    <w:rsid w:val="00C71033"/>
    <w:rsid w:val="00C728C8"/>
    <w:rsid w:val="00C73C6E"/>
    <w:rsid w:val="00C73D57"/>
    <w:rsid w:val="00C74DEF"/>
    <w:rsid w:val="00C7527D"/>
    <w:rsid w:val="00C753FF"/>
    <w:rsid w:val="00C75E97"/>
    <w:rsid w:val="00C7695B"/>
    <w:rsid w:val="00C76B9C"/>
    <w:rsid w:val="00C7724F"/>
    <w:rsid w:val="00C77EED"/>
    <w:rsid w:val="00C80527"/>
    <w:rsid w:val="00C82740"/>
    <w:rsid w:val="00C82871"/>
    <w:rsid w:val="00C82DE0"/>
    <w:rsid w:val="00C832E5"/>
    <w:rsid w:val="00C834F3"/>
    <w:rsid w:val="00C8367D"/>
    <w:rsid w:val="00C83762"/>
    <w:rsid w:val="00C83F6C"/>
    <w:rsid w:val="00C84129"/>
    <w:rsid w:val="00C84408"/>
    <w:rsid w:val="00C84DCB"/>
    <w:rsid w:val="00C85388"/>
    <w:rsid w:val="00C857BF"/>
    <w:rsid w:val="00C85831"/>
    <w:rsid w:val="00C8589F"/>
    <w:rsid w:val="00C86FD4"/>
    <w:rsid w:val="00C87D7B"/>
    <w:rsid w:val="00C90230"/>
    <w:rsid w:val="00C91370"/>
    <w:rsid w:val="00C915C1"/>
    <w:rsid w:val="00C921EE"/>
    <w:rsid w:val="00C92489"/>
    <w:rsid w:val="00C92616"/>
    <w:rsid w:val="00C926FB"/>
    <w:rsid w:val="00C92A22"/>
    <w:rsid w:val="00C92D76"/>
    <w:rsid w:val="00C93640"/>
    <w:rsid w:val="00C936C2"/>
    <w:rsid w:val="00C93783"/>
    <w:rsid w:val="00C93F6B"/>
    <w:rsid w:val="00C94D30"/>
    <w:rsid w:val="00C95656"/>
    <w:rsid w:val="00C95F50"/>
    <w:rsid w:val="00C96534"/>
    <w:rsid w:val="00C96922"/>
    <w:rsid w:val="00C9692D"/>
    <w:rsid w:val="00C96993"/>
    <w:rsid w:val="00C96C24"/>
    <w:rsid w:val="00CA0B62"/>
    <w:rsid w:val="00CA237F"/>
    <w:rsid w:val="00CA23E0"/>
    <w:rsid w:val="00CA33FE"/>
    <w:rsid w:val="00CA3BFA"/>
    <w:rsid w:val="00CA3F98"/>
    <w:rsid w:val="00CA40B2"/>
    <w:rsid w:val="00CA40DD"/>
    <w:rsid w:val="00CA46F4"/>
    <w:rsid w:val="00CA6D87"/>
    <w:rsid w:val="00CB010D"/>
    <w:rsid w:val="00CB17B5"/>
    <w:rsid w:val="00CB2853"/>
    <w:rsid w:val="00CB287C"/>
    <w:rsid w:val="00CB3255"/>
    <w:rsid w:val="00CB35E2"/>
    <w:rsid w:val="00CB3A82"/>
    <w:rsid w:val="00CB3F87"/>
    <w:rsid w:val="00CB3FDC"/>
    <w:rsid w:val="00CB40C7"/>
    <w:rsid w:val="00CB426B"/>
    <w:rsid w:val="00CB433D"/>
    <w:rsid w:val="00CB46CD"/>
    <w:rsid w:val="00CB4801"/>
    <w:rsid w:val="00CB4AAC"/>
    <w:rsid w:val="00CB507C"/>
    <w:rsid w:val="00CB5288"/>
    <w:rsid w:val="00CB59D9"/>
    <w:rsid w:val="00CB63E8"/>
    <w:rsid w:val="00CB66D3"/>
    <w:rsid w:val="00CB7014"/>
    <w:rsid w:val="00CB75E5"/>
    <w:rsid w:val="00CB7A17"/>
    <w:rsid w:val="00CC073C"/>
    <w:rsid w:val="00CC0E06"/>
    <w:rsid w:val="00CC1D91"/>
    <w:rsid w:val="00CC30D8"/>
    <w:rsid w:val="00CC5080"/>
    <w:rsid w:val="00CC546E"/>
    <w:rsid w:val="00CC5B70"/>
    <w:rsid w:val="00CC62C3"/>
    <w:rsid w:val="00CC6991"/>
    <w:rsid w:val="00CC6EA0"/>
    <w:rsid w:val="00CC78D9"/>
    <w:rsid w:val="00CD053A"/>
    <w:rsid w:val="00CD1980"/>
    <w:rsid w:val="00CD262A"/>
    <w:rsid w:val="00CD3113"/>
    <w:rsid w:val="00CD6B16"/>
    <w:rsid w:val="00CD7AB7"/>
    <w:rsid w:val="00CE090A"/>
    <w:rsid w:val="00CE2A6B"/>
    <w:rsid w:val="00CE351C"/>
    <w:rsid w:val="00CE3955"/>
    <w:rsid w:val="00CE44BC"/>
    <w:rsid w:val="00CE4B29"/>
    <w:rsid w:val="00CE4D5A"/>
    <w:rsid w:val="00CE54AA"/>
    <w:rsid w:val="00CE64DC"/>
    <w:rsid w:val="00CE6990"/>
    <w:rsid w:val="00CF09F6"/>
    <w:rsid w:val="00CF12C2"/>
    <w:rsid w:val="00CF19EC"/>
    <w:rsid w:val="00CF1AB5"/>
    <w:rsid w:val="00CF2ED4"/>
    <w:rsid w:val="00CF324C"/>
    <w:rsid w:val="00CF337B"/>
    <w:rsid w:val="00CF44C6"/>
    <w:rsid w:val="00CF568E"/>
    <w:rsid w:val="00CF63A8"/>
    <w:rsid w:val="00CF7B84"/>
    <w:rsid w:val="00D009EB"/>
    <w:rsid w:val="00D00CBD"/>
    <w:rsid w:val="00D0122F"/>
    <w:rsid w:val="00D01966"/>
    <w:rsid w:val="00D02A2A"/>
    <w:rsid w:val="00D055BA"/>
    <w:rsid w:val="00D05973"/>
    <w:rsid w:val="00D06B21"/>
    <w:rsid w:val="00D071C8"/>
    <w:rsid w:val="00D072D1"/>
    <w:rsid w:val="00D07CF0"/>
    <w:rsid w:val="00D1094D"/>
    <w:rsid w:val="00D11347"/>
    <w:rsid w:val="00D12D3C"/>
    <w:rsid w:val="00D1370E"/>
    <w:rsid w:val="00D15EEE"/>
    <w:rsid w:val="00D16566"/>
    <w:rsid w:val="00D1690C"/>
    <w:rsid w:val="00D174EB"/>
    <w:rsid w:val="00D21E65"/>
    <w:rsid w:val="00D238AA"/>
    <w:rsid w:val="00D26DCA"/>
    <w:rsid w:val="00D308DE"/>
    <w:rsid w:val="00D30A1E"/>
    <w:rsid w:val="00D30DB4"/>
    <w:rsid w:val="00D30DF6"/>
    <w:rsid w:val="00D31E0B"/>
    <w:rsid w:val="00D322C1"/>
    <w:rsid w:val="00D32343"/>
    <w:rsid w:val="00D33886"/>
    <w:rsid w:val="00D34488"/>
    <w:rsid w:val="00D348B4"/>
    <w:rsid w:val="00D353FF"/>
    <w:rsid w:val="00D358FF"/>
    <w:rsid w:val="00D3593D"/>
    <w:rsid w:val="00D375FD"/>
    <w:rsid w:val="00D37713"/>
    <w:rsid w:val="00D427B2"/>
    <w:rsid w:val="00D43A4E"/>
    <w:rsid w:val="00D45BCE"/>
    <w:rsid w:val="00D46BC3"/>
    <w:rsid w:val="00D50CFE"/>
    <w:rsid w:val="00D52E57"/>
    <w:rsid w:val="00D53587"/>
    <w:rsid w:val="00D5360F"/>
    <w:rsid w:val="00D53F2E"/>
    <w:rsid w:val="00D54C61"/>
    <w:rsid w:val="00D564B1"/>
    <w:rsid w:val="00D565C1"/>
    <w:rsid w:val="00D56AB6"/>
    <w:rsid w:val="00D57722"/>
    <w:rsid w:val="00D57AD7"/>
    <w:rsid w:val="00D60744"/>
    <w:rsid w:val="00D60AC8"/>
    <w:rsid w:val="00D60BB0"/>
    <w:rsid w:val="00D60E97"/>
    <w:rsid w:val="00D615BB"/>
    <w:rsid w:val="00D618CD"/>
    <w:rsid w:val="00D620C0"/>
    <w:rsid w:val="00D624BC"/>
    <w:rsid w:val="00D6284A"/>
    <w:rsid w:val="00D63336"/>
    <w:rsid w:val="00D63A32"/>
    <w:rsid w:val="00D6410A"/>
    <w:rsid w:val="00D64CCE"/>
    <w:rsid w:val="00D65406"/>
    <w:rsid w:val="00D65C5B"/>
    <w:rsid w:val="00D65F65"/>
    <w:rsid w:val="00D66327"/>
    <w:rsid w:val="00D66CD1"/>
    <w:rsid w:val="00D66FA3"/>
    <w:rsid w:val="00D678CA"/>
    <w:rsid w:val="00D67DFE"/>
    <w:rsid w:val="00D71565"/>
    <w:rsid w:val="00D71BC2"/>
    <w:rsid w:val="00D71EA4"/>
    <w:rsid w:val="00D72E6E"/>
    <w:rsid w:val="00D74967"/>
    <w:rsid w:val="00D75140"/>
    <w:rsid w:val="00D757DA"/>
    <w:rsid w:val="00D75D0E"/>
    <w:rsid w:val="00D75D50"/>
    <w:rsid w:val="00D7680E"/>
    <w:rsid w:val="00D76EFA"/>
    <w:rsid w:val="00D77BBE"/>
    <w:rsid w:val="00D80031"/>
    <w:rsid w:val="00D8015C"/>
    <w:rsid w:val="00D80284"/>
    <w:rsid w:val="00D81933"/>
    <w:rsid w:val="00D81A39"/>
    <w:rsid w:val="00D81F35"/>
    <w:rsid w:val="00D823AE"/>
    <w:rsid w:val="00D82E15"/>
    <w:rsid w:val="00D834AC"/>
    <w:rsid w:val="00D8379E"/>
    <w:rsid w:val="00D84035"/>
    <w:rsid w:val="00D8557D"/>
    <w:rsid w:val="00D85D63"/>
    <w:rsid w:val="00D862B6"/>
    <w:rsid w:val="00D865E6"/>
    <w:rsid w:val="00D86632"/>
    <w:rsid w:val="00D868B4"/>
    <w:rsid w:val="00D86DFF"/>
    <w:rsid w:val="00D86F29"/>
    <w:rsid w:val="00D879C7"/>
    <w:rsid w:val="00D90043"/>
    <w:rsid w:val="00D90290"/>
    <w:rsid w:val="00D904EB"/>
    <w:rsid w:val="00D90DC7"/>
    <w:rsid w:val="00D91C71"/>
    <w:rsid w:val="00D92DF5"/>
    <w:rsid w:val="00D933D4"/>
    <w:rsid w:val="00D946B9"/>
    <w:rsid w:val="00D9482C"/>
    <w:rsid w:val="00D9554D"/>
    <w:rsid w:val="00D962E9"/>
    <w:rsid w:val="00D97545"/>
    <w:rsid w:val="00DA06FC"/>
    <w:rsid w:val="00DA1C39"/>
    <w:rsid w:val="00DA2305"/>
    <w:rsid w:val="00DA29BF"/>
    <w:rsid w:val="00DA2FE4"/>
    <w:rsid w:val="00DA2FE5"/>
    <w:rsid w:val="00DA3046"/>
    <w:rsid w:val="00DA4D5C"/>
    <w:rsid w:val="00DA4EE4"/>
    <w:rsid w:val="00DA538D"/>
    <w:rsid w:val="00DA5F3F"/>
    <w:rsid w:val="00DA637C"/>
    <w:rsid w:val="00DA6A47"/>
    <w:rsid w:val="00DA76D2"/>
    <w:rsid w:val="00DA78EC"/>
    <w:rsid w:val="00DA7E05"/>
    <w:rsid w:val="00DB1026"/>
    <w:rsid w:val="00DB13B1"/>
    <w:rsid w:val="00DB380B"/>
    <w:rsid w:val="00DB41B1"/>
    <w:rsid w:val="00DB43BF"/>
    <w:rsid w:val="00DB48D3"/>
    <w:rsid w:val="00DB51F3"/>
    <w:rsid w:val="00DB52E4"/>
    <w:rsid w:val="00DB6A63"/>
    <w:rsid w:val="00DB74C8"/>
    <w:rsid w:val="00DB77D6"/>
    <w:rsid w:val="00DC0579"/>
    <w:rsid w:val="00DC085D"/>
    <w:rsid w:val="00DC0FC5"/>
    <w:rsid w:val="00DC1796"/>
    <w:rsid w:val="00DC24F5"/>
    <w:rsid w:val="00DC26E5"/>
    <w:rsid w:val="00DC2CD1"/>
    <w:rsid w:val="00DC2E30"/>
    <w:rsid w:val="00DC5F46"/>
    <w:rsid w:val="00DC7319"/>
    <w:rsid w:val="00DC794A"/>
    <w:rsid w:val="00DC79D3"/>
    <w:rsid w:val="00DD0979"/>
    <w:rsid w:val="00DD1CA7"/>
    <w:rsid w:val="00DD24A6"/>
    <w:rsid w:val="00DD2574"/>
    <w:rsid w:val="00DD27CF"/>
    <w:rsid w:val="00DD2BED"/>
    <w:rsid w:val="00DD5947"/>
    <w:rsid w:val="00DD63BA"/>
    <w:rsid w:val="00DD6AFB"/>
    <w:rsid w:val="00DD708D"/>
    <w:rsid w:val="00DD7CCF"/>
    <w:rsid w:val="00DE0A2F"/>
    <w:rsid w:val="00DE2C50"/>
    <w:rsid w:val="00DE2F71"/>
    <w:rsid w:val="00DE3168"/>
    <w:rsid w:val="00DE351A"/>
    <w:rsid w:val="00DE3EF2"/>
    <w:rsid w:val="00DE42D4"/>
    <w:rsid w:val="00DE4316"/>
    <w:rsid w:val="00DE5DCF"/>
    <w:rsid w:val="00DE7F17"/>
    <w:rsid w:val="00DF044D"/>
    <w:rsid w:val="00DF08F9"/>
    <w:rsid w:val="00DF09EF"/>
    <w:rsid w:val="00DF0A54"/>
    <w:rsid w:val="00DF0AA9"/>
    <w:rsid w:val="00DF0B57"/>
    <w:rsid w:val="00DF180C"/>
    <w:rsid w:val="00DF1FF6"/>
    <w:rsid w:val="00DF2251"/>
    <w:rsid w:val="00DF25DE"/>
    <w:rsid w:val="00DF29A7"/>
    <w:rsid w:val="00DF2CA0"/>
    <w:rsid w:val="00DF3122"/>
    <w:rsid w:val="00DF3839"/>
    <w:rsid w:val="00DF43CD"/>
    <w:rsid w:val="00DF45A8"/>
    <w:rsid w:val="00DF4C91"/>
    <w:rsid w:val="00DF5308"/>
    <w:rsid w:val="00DF5D1C"/>
    <w:rsid w:val="00DF5E10"/>
    <w:rsid w:val="00DF6A71"/>
    <w:rsid w:val="00DF6B5F"/>
    <w:rsid w:val="00DF6FEF"/>
    <w:rsid w:val="00DF73FA"/>
    <w:rsid w:val="00DF75AF"/>
    <w:rsid w:val="00DF7D1A"/>
    <w:rsid w:val="00E0016F"/>
    <w:rsid w:val="00E007AB"/>
    <w:rsid w:val="00E021DC"/>
    <w:rsid w:val="00E02223"/>
    <w:rsid w:val="00E03128"/>
    <w:rsid w:val="00E03E1D"/>
    <w:rsid w:val="00E03F8F"/>
    <w:rsid w:val="00E05846"/>
    <w:rsid w:val="00E06071"/>
    <w:rsid w:val="00E06478"/>
    <w:rsid w:val="00E068CB"/>
    <w:rsid w:val="00E07A16"/>
    <w:rsid w:val="00E10C00"/>
    <w:rsid w:val="00E1106D"/>
    <w:rsid w:val="00E11AF4"/>
    <w:rsid w:val="00E13025"/>
    <w:rsid w:val="00E1302F"/>
    <w:rsid w:val="00E13374"/>
    <w:rsid w:val="00E13803"/>
    <w:rsid w:val="00E14AFD"/>
    <w:rsid w:val="00E14FD6"/>
    <w:rsid w:val="00E15B4D"/>
    <w:rsid w:val="00E165CB"/>
    <w:rsid w:val="00E16748"/>
    <w:rsid w:val="00E170A0"/>
    <w:rsid w:val="00E1779D"/>
    <w:rsid w:val="00E203F4"/>
    <w:rsid w:val="00E205C4"/>
    <w:rsid w:val="00E20B55"/>
    <w:rsid w:val="00E20C3D"/>
    <w:rsid w:val="00E20CE2"/>
    <w:rsid w:val="00E215D7"/>
    <w:rsid w:val="00E21AD2"/>
    <w:rsid w:val="00E21B57"/>
    <w:rsid w:val="00E21C8B"/>
    <w:rsid w:val="00E225FA"/>
    <w:rsid w:val="00E24DC7"/>
    <w:rsid w:val="00E26599"/>
    <w:rsid w:val="00E27573"/>
    <w:rsid w:val="00E30622"/>
    <w:rsid w:val="00E30CC6"/>
    <w:rsid w:val="00E30D60"/>
    <w:rsid w:val="00E30EC3"/>
    <w:rsid w:val="00E31B15"/>
    <w:rsid w:val="00E31FD0"/>
    <w:rsid w:val="00E34075"/>
    <w:rsid w:val="00E3467E"/>
    <w:rsid w:val="00E35163"/>
    <w:rsid w:val="00E35E54"/>
    <w:rsid w:val="00E363B6"/>
    <w:rsid w:val="00E36F7E"/>
    <w:rsid w:val="00E375DA"/>
    <w:rsid w:val="00E37E5A"/>
    <w:rsid w:val="00E407BC"/>
    <w:rsid w:val="00E41007"/>
    <w:rsid w:val="00E411B8"/>
    <w:rsid w:val="00E42A22"/>
    <w:rsid w:val="00E42B01"/>
    <w:rsid w:val="00E430E0"/>
    <w:rsid w:val="00E43858"/>
    <w:rsid w:val="00E43A2E"/>
    <w:rsid w:val="00E45057"/>
    <w:rsid w:val="00E45216"/>
    <w:rsid w:val="00E4564B"/>
    <w:rsid w:val="00E45D12"/>
    <w:rsid w:val="00E45EAA"/>
    <w:rsid w:val="00E4758A"/>
    <w:rsid w:val="00E47970"/>
    <w:rsid w:val="00E506E2"/>
    <w:rsid w:val="00E51658"/>
    <w:rsid w:val="00E51C65"/>
    <w:rsid w:val="00E52B2E"/>
    <w:rsid w:val="00E535DD"/>
    <w:rsid w:val="00E544FF"/>
    <w:rsid w:val="00E54F1C"/>
    <w:rsid w:val="00E56311"/>
    <w:rsid w:val="00E56432"/>
    <w:rsid w:val="00E56576"/>
    <w:rsid w:val="00E56C4D"/>
    <w:rsid w:val="00E6078C"/>
    <w:rsid w:val="00E609C2"/>
    <w:rsid w:val="00E60C65"/>
    <w:rsid w:val="00E60C78"/>
    <w:rsid w:val="00E610B6"/>
    <w:rsid w:val="00E6270E"/>
    <w:rsid w:val="00E62CB5"/>
    <w:rsid w:val="00E62F54"/>
    <w:rsid w:val="00E6327B"/>
    <w:rsid w:val="00E64E6D"/>
    <w:rsid w:val="00E663F8"/>
    <w:rsid w:val="00E668E5"/>
    <w:rsid w:val="00E66924"/>
    <w:rsid w:val="00E66DAB"/>
    <w:rsid w:val="00E670C4"/>
    <w:rsid w:val="00E674BD"/>
    <w:rsid w:val="00E6759A"/>
    <w:rsid w:val="00E704D0"/>
    <w:rsid w:val="00E705EE"/>
    <w:rsid w:val="00E71930"/>
    <w:rsid w:val="00E72544"/>
    <w:rsid w:val="00E7278D"/>
    <w:rsid w:val="00E72A42"/>
    <w:rsid w:val="00E73081"/>
    <w:rsid w:val="00E73850"/>
    <w:rsid w:val="00E740F1"/>
    <w:rsid w:val="00E75A0C"/>
    <w:rsid w:val="00E75BB2"/>
    <w:rsid w:val="00E76753"/>
    <w:rsid w:val="00E76F73"/>
    <w:rsid w:val="00E77E01"/>
    <w:rsid w:val="00E77F19"/>
    <w:rsid w:val="00E80D17"/>
    <w:rsid w:val="00E8210F"/>
    <w:rsid w:val="00E82570"/>
    <w:rsid w:val="00E82AF4"/>
    <w:rsid w:val="00E82CD0"/>
    <w:rsid w:val="00E8441C"/>
    <w:rsid w:val="00E8450B"/>
    <w:rsid w:val="00E846A8"/>
    <w:rsid w:val="00E849AD"/>
    <w:rsid w:val="00E8518F"/>
    <w:rsid w:val="00E859A4"/>
    <w:rsid w:val="00E865D9"/>
    <w:rsid w:val="00E868D7"/>
    <w:rsid w:val="00E87088"/>
    <w:rsid w:val="00E9374A"/>
    <w:rsid w:val="00E9379A"/>
    <w:rsid w:val="00E9427E"/>
    <w:rsid w:val="00E947D1"/>
    <w:rsid w:val="00E96099"/>
    <w:rsid w:val="00E96ECA"/>
    <w:rsid w:val="00E96FFD"/>
    <w:rsid w:val="00E970EF"/>
    <w:rsid w:val="00E979E2"/>
    <w:rsid w:val="00EA02A9"/>
    <w:rsid w:val="00EA07AB"/>
    <w:rsid w:val="00EA10CF"/>
    <w:rsid w:val="00EA1CC2"/>
    <w:rsid w:val="00EA21A1"/>
    <w:rsid w:val="00EA3B4E"/>
    <w:rsid w:val="00EA4453"/>
    <w:rsid w:val="00EA69F8"/>
    <w:rsid w:val="00EA7C96"/>
    <w:rsid w:val="00EB0D7D"/>
    <w:rsid w:val="00EB11CB"/>
    <w:rsid w:val="00EB24B1"/>
    <w:rsid w:val="00EB2E6B"/>
    <w:rsid w:val="00EB2F52"/>
    <w:rsid w:val="00EB313D"/>
    <w:rsid w:val="00EB35FD"/>
    <w:rsid w:val="00EB4897"/>
    <w:rsid w:val="00EB4B07"/>
    <w:rsid w:val="00EB66D6"/>
    <w:rsid w:val="00EB6C6A"/>
    <w:rsid w:val="00EC3E91"/>
    <w:rsid w:val="00EC4546"/>
    <w:rsid w:val="00EC4A88"/>
    <w:rsid w:val="00EC4D9B"/>
    <w:rsid w:val="00EC4DBC"/>
    <w:rsid w:val="00EC4F3D"/>
    <w:rsid w:val="00EC536B"/>
    <w:rsid w:val="00EC5DDF"/>
    <w:rsid w:val="00EC61A6"/>
    <w:rsid w:val="00EC624D"/>
    <w:rsid w:val="00EC6AB7"/>
    <w:rsid w:val="00EC6E08"/>
    <w:rsid w:val="00EC7875"/>
    <w:rsid w:val="00ED12D5"/>
    <w:rsid w:val="00ED1398"/>
    <w:rsid w:val="00ED18B1"/>
    <w:rsid w:val="00ED2873"/>
    <w:rsid w:val="00ED291D"/>
    <w:rsid w:val="00ED322B"/>
    <w:rsid w:val="00ED3D8D"/>
    <w:rsid w:val="00ED460B"/>
    <w:rsid w:val="00ED480E"/>
    <w:rsid w:val="00ED5580"/>
    <w:rsid w:val="00ED7030"/>
    <w:rsid w:val="00ED719C"/>
    <w:rsid w:val="00ED7F30"/>
    <w:rsid w:val="00EE0EEB"/>
    <w:rsid w:val="00EE1689"/>
    <w:rsid w:val="00EE1FE9"/>
    <w:rsid w:val="00EE206E"/>
    <w:rsid w:val="00EE2DEA"/>
    <w:rsid w:val="00EE2EC4"/>
    <w:rsid w:val="00EE3363"/>
    <w:rsid w:val="00EE3D31"/>
    <w:rsid w:val="00EE3DA0"/>
    <w:rsid w:val="00EE4410"/>
    <w:rsid w:val="00EE5307"/>
    <w:rsid w:val="00EE5896"/>
    <w:rsid w:val="00EE5D1A"/>
    <w:rsid w:val="00EE5F36"/>
    <w:rsid w:val="00EE6CFD"/>
    <w:rsid w:val="00EE7603"/>
    <w:rsid w:val="00EE7ECE"/>
    <w:rsid w:val="00EF113B"/>
    <w:rsid w:val="00EF1A84"/>
    <w:rsid w:val="00EF2102"/>
    <w:rsid w:val="00EF2408"/>
    <w:rsid w:val="00EF2BC9"/>
    <w:rsid w:val="00EF3327"/>
    <w:rsid w:val="00EF35A2"/>
    <w:rsid w:val="00EF36D4"/>
    <w:rsid w:val="00EF3C65"/>
    <w:rsid w:val="00EF3F05"/>
    <w:rsid w:val="00EF4680"/>
    <w:rsid w:val="00EF478B"/>
    <w:rsid w:val="00EF583A"/>
    <w:rsid w:val="00EF6A4D"/>
    <w:rsid w:val="00EF7A33"/>
    <w:rsid w:val="00F00150"/>
    <w:rsid w:val="00F00E20"/>
    <w:rsid w:val="00F016BC"/>
    <w:rsid w:val="00F01BD3"/>
    <w:rsid w:val="00F02171"/>
    <w:rsid w:val="00F0289B"/>
    <w:rsid w:val="00F0465C"/>
    <w:rsid w:val="00F04EB7"/>
    <w:rsid w:val="00F06E05"/>
    <w:rsid w:val="00F07327"/>
    <w:rsid w:val="00F076B2"/>
    <w:rsid w:val="00F104EA"/>
    <w:rsid w:val="00F11F29"/>
    <w:rsid w:val="00F12A73"/>
    <w:rsid w:val="00F12D11"/>
    <w:rsid w:val="00F1552F"/>
    <w:rsid w:val="00F15804"/>
    <w:rsid w:val="00F15F6C"/>
    <w:rsid w:val="00F17D70"/>
    <w:rsid w:val="00F203AD"/>
    <w:rsid w:val="00F20AD7"/>
    <w:rsid w:val="00F20C9F"/>
    <w:rsid w:val="00F21CBB"/>
    <w:rsid w:val="00F23B68"/>
    <w:rsid w:val="00F23F4D"/>
    <w:rsid w:val="00F257EC"/>
    <w:rsid w:val="00F25CF0"/>
    <w:rsid w:val="00F26331"/>
    <w:rsid w:val="00F269D5"/>
    <w:rsid w:val="00F26FB1"/>
    <w:rsid w:val="00F2782C"/>
    <w:rsid w:val="00F27ECD"/>
    <w:rsid w:val="00F27EDF"/>
    <w:rsid w:val="00F31197"/>
    <w:rsid w:val="00F31303"/>
    <w:rsid w:val="00F3296F"/>
    <w:rsid w:val="00F32CC0"/>
    <w:rsid w:val="00F3307B"/>
    <w:rsid w:val="00F3364C"/>
    <w:rsid w:val="00F34936"/>
    <w:rsid w:val="00F34FE6"/>
    <w:rsid w:val="00F35617"/>
    <w:rsid w:val="00F36285"/>
    <w:rsid w:val="00F37E29"/>
    <w:rsid w:val="00F407D1"/>
    <w:rsid w:val="00F42494"/>
    <w:rsid w:val="00F42514"/>
    <w:rsid w:val="00F428D8"/>
    <w:rsid w:val="00F44583"/>
    <w:rsid w:val="00F4556C"/>
    <w:rsid w:val="00F45C75"/>
    <w:rsid w:val="00F4763A"/>
    <w:rsid w:val="00F47801"/>
    <w:rsid w:val="00F50749"/>
    <w:rsid w:val="00F5233B"/>
    <w:rsid w:val="00F523C2"/>
    <w:rsid w:val="00F52C96"/>
    <w:rsid w:val="00F542F8"/>
    <w:rsid w:val="00F544B1"/>
    <w:rsid w:val="00F54EB2"/>
    <w:rsid w:val="00F55AD3"/>
    <w:rsid w:val="00F56216"/>
    <w:rsid w:val="00F5675D"/>
    <w:rsid w:val="00F57194"/>
    <w:rsid w:val="00F57209"/>
    <w:rsid w:val="00F5774A"/>
    <w:rsid w:val="00F579E4"/>
    <w:rsid w:val="00F60693"/>
    <w:rsid w:val="00F610F4"/>
    <w:rsid w:val="00F62B67"/>
    <w:rsid w:val="00F63560"/>
    <w:rsid w:val="00F636C6"/>
    <w:rsid w:val="00F63E28"/>
    <w:rsid w:val="00F63FBC"/>
    <w:rsid w:val="00F64874"/>
    <w:rsid w:val="00F65B4C"/>
    <w:rsid w:val="00F667BF"/>
    <w:rsid w:val="00F6697F"/>
    <w:rsid w:val="00F67505"/>
    <w:rsid w:val="00F67824"/>
    <w:rsid w:val="00F67DBC"/>
    <w:rsid w:val="00F70E21"/>
    <w:rsid w:val="00F7144E"/>
    <w:rsid w:val="00F718BF"/>
    <w:rsid w:val="00F71B4A"/>
    <w:rsid w:val="00F71F1D"/>
    <w:rsid w:val="00F7245A"/>
    <w:rsid w:val="00F730A1"/>
    <w:rsid w:val="00F73E72"/>
    <w:rsid w:val="00F75E4C"/>
    <w:rsid w:val="00F76073"/>
    <w:rsid w:val="00F762DC"/>
    <w:rsid w:val="00F768D9"/>
    <w:rsid w:val="00F778BB"/>
    <w:rsid w:val="00F814B8"/>
    <w:rsid w:val="00F84143"/>
    <w:rsid w:val="00F84217"/>
    <w:rsid w:val="00F84A07"/>
    <w:rsid w:val="00F85993"/>
    <w:rsid w:val="00F85A12"/>
    <w:rsid w:val="00F85C34"/>
    <w:rsid w:val="00F86AD3"/>
    <w:rsid w:val="00F8705B"/>
    <w:rsid w:val="00F87984"/>
    <w:rsid w:val="00F87A9D"/>
    <w:rsid w:val="00F90655"/>
    <w:rsid w:val="00F90835"/>
    <w:rsid w:val="00F908F1"/>
    <w:rsid w:val="00F90FE7"/>
    <w:rsid w:val="00F9166E"/>
    <w:rsid w:val="00F92F1B"/>
    <w:rsid w:val="00F932C1"/>
    <w:rsid w:val="00F932FF"/>
    <w:rsid w:val="00F93D71"/>
    <w:rsid w:val="00F94747"/>
    <w:rsid w:val="00F95654"/>
    <w:rsid w:val="00F95CC3"/>
    <w:rsid w:val="00F95E23"/>
    <w:rsid w:val="00F961A8"/>
    <w:rsid w:val="00F96B27"/>
    <w:rsid w:val="00F96C48"/>
    <w:rsid w:val="00F972D3"/>
    <w:rsid w:val="00F974C3"/>
    <w:rsid w:val="00FA05A5"/>
    <w:rsid w:val="00FA0F4B"/>
    <w:rsid w:val="00FA1A24"/>
    <w:rsid w:val="00FA2022"/>
    <w:rsid w:val="00FA2068"/>
    <w:rsid w:val="00FA2729"/>
    <w:rsid w:val="00FA2E69"/>
    <w:rsid w:val="00FA35B5"/>
    <w:rsid w:val="00FA45B0"/>
    <w:rsid w:val="00FA45EA"/>
    <w:rsid w:val="00FA49DB"/>
    <w:rsid w:val="00FA4C88"/>
    <w:rsid w:val="00FA561C"/>
    <w:rsid w:val="00FA5F26"/>
    <w:rsid w:val="00FA64B0"/>
    <w:rsid w:val="00FA7A91"/>
    <w:rsid w:val="00FA7E94"/>
    <w:rsid w:val="00FB0897"/>
    <w:rsid w:val="00FB1C2B"/>
    <w:rsid w:val="00FB3C37"/>
    <w:rsid w:val="00FB53B5"/>
    <w:rsid w:val="00FB59FC"/>
    <w:rsid w:val="00FB5EB3"/>
    <w:rsid w:val="00FB6694"/>
    <w:rsid w:val="00FB701B"/>
    <w:rsid w:val="00FC0231"/>
    <w:rsid w:val="00FC221A"/>
    <w:rsid w:val="00FC2757"/>
    <w:rsid w:val="00FC3903"/>
    <w:rsid w:val="00FC4801"/>
    <w:rsid w:val="00FC482A"/>
    <w:rsid w:val="00FC4FC9"/>
    <w:rsid w:val="00FC5B31"/>
    <w:rsid w:val="00FC6467"/>
    <w:rsid w:val="00FC73A4"/>
    <w:rsid w:val="00FD1018"/>
    <w:rsid w:val="00FD11B7"/>
    <w:rsid w:val="00FD1DCB"/>
    <w:rsid w:val="00FD231B"/>
    <w:rsid w:val="00FD2EF4"/>
    <w:rsid w:val="00FD4A75"/>
    <w:rsid w:val="00FD4C19"/>
    <w:rsid w:val="00FD5E8C"/>
    <w:rsid w:val="00FD60DB"/>
    <w:rsid w:val="00FD65B1"/>
    <w:rsid w:val="00FD6A77"/>
    <w:rsid w:val="00FD6D78"/>
    <w:rsid w:val="00FE1784"/>
    <w:rsid w:val="00FE2124"/>
    <w:rsid w:val="00FE3C5E"/>
    <w:rsid w:val="00FE4268"/>
    <w:rsid w:val="00FE467E"/>
    <w:rsid w:val="00FE4C5B"/>
    <w:rsid w:val="00FE556D"/>
    <w:rsid w:val="00FE5A4B"/>
    <w:rsid w:val="00FE5D62"/>
    <w:rsid w:val="00FE69A1"/>
    <w:rsid w:val="00FE72C7"/>
    <w:rsid w:val="00FF0FB4"/>
    <w:rsid w:val="00FF1864"/>
    <w:rsid w:val="00FF252D"/>
    <w:rsid w:val="00FF275E"/>
    <w:rsid w:val="00FF2B62"/>
    <w:rsid w:val="00FF2BDD"/>
    <w:rsid w:val="00FF33D2"/>
    <w:rsid w:val="00FF39B4"/>
    <w:rsid w:val="00FF3C98"/>
    <w:rsid w:val="00FF45A3"/>
    <w:rsid w:val="00FF4633"/>
    <w:rsid w:val="00FF4EB3"/>
    <w:rsid w:val="00FF57FF"/>
    <w:rsid w:val="00FF60BB"/>
    <w:rsid w:val="00FF6697"/>
    <w:rsid w:val="00FF7DB4"/>
    <w:rsid w:val="00FF7E6E"/>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EF7CE9"/>
  <w15:docId w15:val="{8B5D3583-2D70-46CE-89AA-D02E2AF10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768D9"/>
    <w:pPr>
      <w:spacing w:after="0" w:line="288" w:lineRule="auto"/>
      <w:jc w:val="both"/>
    </w:pPr>
    <w:rPr>
      <w:rFonts w:ascii="Verdana" w:eastAsia="Times New Roman" w:hAnsi="Verdana" w:cs="Times New Roman"/>
      <w:sz w:val="20"/>
      <w:szCs w:val="24"/>
      <w:lang w:val="en-GB"/>
    </w:rPr>
  </w:style>
  <w:style w:type="paragraph" w:styleId="Nadpis4">
    <w:name w:val="heading 4"/>
    <w:basedOn w:val="Normlny"/>
    <w:next w:val="Normlny"/>
    <w:link w:val="Nadpis4Char"/>
    <w:uiPriority w:val="9"/>
    <w:semiHidden/>
    <w:unhideWhenUsed/>
    <w:qFormat/>
    <w:rsid w:val="00F26331"/>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y"/>
    <w:link w:val="Nadpis5Char"/>
    <w:uiPriority w:val="9"/>
    <w:unhideWhenUsed/>
    <w:qFormat/>
    <w:rsid w:val="00140EAF"/>
    <w:pPr>
      <w:widowControl w:val="0"/>
      <w:autoSpaceDE w:val="0"/>
      <w:autoSpaceDN w:val="0"/>
      <w:spacing w:before="126" w:line="240" w:lineRule="auto"/>
      <w:ind w:left="1409" w:right="557" w:hanging="850"/>
      <w:outlineLvl w:val="4"/>
    </w:pPr>
    <w:rPr>
      <w:rFonts w:ascii="Times New Roman" w:hAnsi="Times New Roman"/>
      <w:b/>
      <w:bCs/>
      <w:sz w:val="17"/>
      <w:szCs w:val="17"/>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semiHidden/>
    <w:rsid w:val="00152882"/>
    <w:pPr>
      <w:tabs>
        <w:tab w:val="center" w:pos="4320"/>
        <w:tab w:val="right" w:pos="8640"/>
      </w:tabs>
    </w:pPr>
  </w:style>
  <w:style w:type="character" w:customStyle="1" w:styleId="HlavikaChar">
    <w:name w:val="Hlavička Char"/>
    <w:basedOn w:val="Predvolenpsmoodseku"/>
    <w:link w:val="Hlavika"/>
    <w:semiHidden/>
    <w:rsid w:val="00152882"/>
    <w:rPr>
      <w:rFonts w:ascii="Verdana" w:eastAsia="Times New Roman" w:hAnsi="Verdana" w:cs="Times New Roman"/>
      <w:sz w:val="18"/>
      <w:szCs w:val="24"/>
      <w:lang w:val="en-GB"/>
    </w:rPr>
  </w:style>
  <w:style w:type="paragraph" w:styleId="Pta">
    <w:name w:val="footer"/>
    <w:basedOn w:val="Normlny"/>
    <w:link w:val="PtaChar"/>
    <w:semiHidden/>
    <w:rsid w:val="00152882"/>
    <w:pPr>
      <w:tabs>
        <w:tab w:val="center" w:pos="4320"/>
        <w:tab w:val="right" w:pos="8640"/>
      </w:tabs>
    </w:pPr>
  </w:style>
  <w:style w:type="character" w:customStyle="1" w:styleId="PtaChar">
    <w:name w:val="Päta Char"/>
    <w:basedOn w:val="Predvolenpsmoodseku"/>
    <w:link w:val="Pta"/>
    <w:semiHidden/>
    <w:rsid w:val="00152882"/>
    <w:rPr>
      <w:rFonts w:ascii="Verdana" w:eastAsia="Times New Roman" w:hAnsi="Verdana" w:cs="Times New Roman"/>
      <w:sz w:val="18"/>
      <w:szCs w:val="24"/>
      <w:lang w:val="en-GB"/>
    </w:rPr>
  </w:style>
  <w:style w:type="paragraph" w:customStyle="1" w:styleId="Noparagraphstyle">
    <w:name w:val="[No paragraph style]"/>
    <w:semiHidden/>
    <w:rsid w:val="00152882"/>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GB"/>
    </w:rPr>
  </w:style>
  <w:style w:type="character" w:styleId="slostrany">
    <w:name w:val="page number"/>
    <w:basedOn w:val="Predvolenpsmoodseku"/>
    <w:semiHidden/>
    <w:rsid w:val="00152882"/>
  </w:style>
  <w:style w:type="paragraph" w:customStyle="1" w:styleId="Heading1CEA">
    <w:name w:val="Heading 1 (CEA)"/>
    <w:basedOn w:val="Normlny"/>
    <w:link w:val="Heading1CEAChar"/>
    <w:semiHidden/>
    <w:rsid w:val="00152882"/>
    <w:pPr>
      <w:autoSpaceDE w:val="0"/>
      <w:autoSpaceDN w:val="0"/>
      <w:adjustRightInd w:val="0"/>
    </w:pPr>
    <w:rPr>
      <w:rFonts w:ascii="Arial" w:hAnsi="Arial"/>
      <w:b/>
      <w:color w:val="034EA2"/>
      <w:sz w:val="32"/>
      <w:szCs w:val="32"/>
    </w:rPr>
  </w:style>
  <w:style w:type="character" w:customStyle="1" w:styleId="Heading1CEAChar">
    <w:name w:val="Heading 1 (CEA) Char"/>
    <w:basedOn w:val="Predvolenpsmoodseku"/>
    <w:link w:val="Heading1CEA"/>
    <w:semiHidden/>
    <w:rsid w:val="00152882"/>
    <w:rPr>
      <w:rFonts w:ascii="Arial" w:eastAsia="Times New Roman" w:hAnsi="Arial" w:cs="Times New Roman"/>
      <w:b/>
      <w:color w:val="034EA2"/>
      <w:sz w:val="32"/>
      <w:szCs w:val="32"/>
      <w:lang w:val="en-GB"/>
    </w:rPr>
  </w:style>
  <w:style w:type="paragraph" w:customStyle="1" w:styleId="CEAPositionPaperTitle">
    <w:name w:val="CEA Position Paper Title"/>
    <w:basedOn w:val="Normlny"/>
    <w:semiHidden/>
    <w:qFormat/>
    <w:rsid w:val="00152882"/>
    <w:pPr>
      <w:ind w:left="-27"/>
    </w:pPr>
    <w:rPr>
      <w:b/>
      <w:color w:val="034EA2"/>
      <w:sz w:val="32"/>
      <w:szCs w:val="32"/>
    </w:rPr>
  </w:style>
  <w:style w:type="paragraph" w:customStyle="1" w:styleId="CEADraft">
    <w:name w:val="CEA Draft"/>
    <w:basedOn w:val="Normlny"/>
    <w:semiHidden/>
    <w:qFormat/>
    <w:rsid w:val="00152882"/>
    <w:pPr>
      <w:jc w:val="right"/>
    </w:pPr>
    <w:rPr>
      <w:rFonts w:cs="Arial"/>
      <w:b/>
      <w:i/>
      <w:color w:val="034EA2"/>
      <w:sz w:val="32"/>
      <w:szCs w:val="40"/>
    </w:rPr>
  </w:style>
  <w:style w:type="paragraph" w:customStyle="1" w:styleId="CEAFooterauthorinfo">
    <w:name w:val="CEA Footer (author info)"/>
    <w:basedOn w:val="Normlny"/>
    <w:semiHidden/>
    <w:qFormat/>
    <w:rsid w:val="00152882"/>
    <w:pPr>
      <w:autoSpaceDE w:val="0"/>
      <w:autoSpaceDN w:val="0"/>
      <w:adjustRightInd w:val="0"/>
      <w:textAlignment w:val="center"/>
    </w:pPr>
    <w:rPr>
      <w:rFonts w:cs="Arial"/>
      <w:b/>
      <w:color w:val="034EA2"/>
      <w:sz w:val="16"/>
      <w:szCs w:val="16"/>
    </w:rPr>
  </w:style>
  <w:style w:type="paragraph" w:customStyle="1" w:styleId="CEALabel">
    <w:name w:val="CEA Label"/>
    <w:basedOn w:val="Normlny"/>
    <w:semiHidden/>
    <w:qFormat/>
    <w:rsid w:val="00152882"/>
    <w:rPr>
      <w:rFonts w:cs="Arial"/>
      <w:b/>
      <w:color w:val="034EA2"/>
      <w:szCs w:val="18"/>
    </w:rPr>
  </w:style>
  <w:style w:type="character" w:styleId="Zstupntext">
    <w:name w:val="Placeholder Text"/>
    <w:basedOn w:val="Predvolenpsmoodseku"/>
    <w:uiPriority w:val="99"/>
    <w:semiHidden/>
    <w:rsid w:val="0008034A"/>
    <w:rPr>
      <w:color w:val="808080"/>
    </w:rPr>
  </w:style>
  <w:style w:type="paragraph" w:styleId="Textbubliny">
    <w:name w:val="Balloon Text"/>
    <w:basedOn w:val="Normlny"/>
    <w:link w:val="TextbublinyChar"/>
    <w:uiPriority w:val="99"/>
    <w:semiHidden/>
    <w:unhideWhenUsed/>
    <w:rsid w:val="0008034A"/>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8034A"/>
    <w:rPr>
      <w:rFonts w:ascii="Tahoma" w:eastAsia="Times New Roman" w:hAnsi="Tahoma" w:cs="Tahoma"/>
      <w:sz w:val="16"/>
      <w:szCs w:val="16"/>
      <w:lang w:val="en-GB"/>
    </w:rPr>
  </w:style>
  <w:style w:type="paragraph" w:customStyle="1" w:styleId="CEABullet-Level1">
    <w:name w:val="CEA Bullet - Level 1"/>
    <w:basedOn w:val="Normlny"/>
    <w:qFormat/>
    <w:rsid w:val="00825DAE"/>
    <w:pPr>
      <w:numPr>
        <w:numId w:val="1"/>
      </w:numPr>
      <w:autoSpaceDE w:val="0"/>
      <w:autoSpaceDN w:val="0"/>
      <w:adjustRightInd w:val="0"/>
    </w:pPr>
    <w:rPr>
      <w:rFonts w:cs="Frutiger LT Std 45 Light"/>
      <w:color w:val="000000"/>
      <w:sz w:val="17"/>
      <w:szCs w:val="20"/>
    </w:rPr>
  </w:style>
  <w:style w:type="paragraph" w:customStyle="1" w:styleId="CEABullet-Level2">
    <w:name w:val="CEA Bullet - Level 2"/>
    <w:basedOn w:val="CEABullet-Level1"/>
    <w:next w:val="Normlny"/>
    <w:qFormat/>
    <w:rsid w:val="00825DAE"/>
    <w:pPr>
      <w:numPr>
        <w:numId w:val="2"/>
      </w:numPr>
    </w:pPr>
  </w:style>
  <w:style w:type="paragraph" w:customStyle="1" w:styleId="CEABullet-Level3">
    <w:name w:val="CEA Bullet - Level 3"/>
    <w:basedOn w:val="Normlny"/>
    <w:qFormat/>
    <w:rsid w:val="00825DAE"/>
    <w:pPr>
      <w:numPr>
        <w:numId w:val="3"/>
      </w:numPr>
      <w:autoSpaceDE w:val="0"/>
      <w:autoSpaceDN w:val="0"/>
      <w:adjustRightInd w:val="0"/>
    </w:pPr>
    <w:rPr>
      <w:rFonts w:cs="Frutiger LT Std 45 Light"/>
      <w:color w:val="000000"/>
      <w:sz w:val="17"/>
      <w:szCs w:val="20"/>
    </w:rPr>
  </w:style>
  <w:style w:type="paragraph" w:customStyle="1" w:styleId="CEADirectorGeneral">
    <w:name w:val="CEA Director General"/>
    <w:basedOn w:val="Normlny"/>
    <w:semiHidden/>
    <w:qFormat/>
    <w:rsid w:val="00825DAE"/>
    <w:pPr>
      <w:tabs>
        <w:tab w:val="right" w:pos="360"/>
        <w:tab w:val="left" w:pos="540"/>
      </w:tabs>
      <w:autoSpaceDE w:val="0"/>
      <w:autoSpaceDN w:val="0"/>
      <w:adjustRightInd w:val="0"/>
      <w:textAlignment w:val="center"/>
    </w:pPr>
    <w:rPr>
      <w:sz w:val="22"/>
      <w:szCs w:val="22"/>
    </w:rPr>
  </w:style>
  <w:style w:type="paragraph" w:customStyle="1" w:styleId="CEADocumentType">
    <w:name w:val="CEA Document Type"/>
    <w:basedOn w:val="Normlny"/>
    <w:semiHidden/>
    <w:qFormat/>
    <w:rsid w:val="00825DAE"/>
    <w:pPr>
      <w:jc w:val="right"/>
    </w:pPr>
    <w:rPr>
      <w:rFonts w:cs="Frutiger LT Std 55 Roman"/>
      <w:b/>
      <w:color w:val="0032FF"/>
      <w:sz w:val="40"/>
      <w:szCs w:val="40"/>
    </w:rPr>
  </w:style>
  <w:style w:type="paragraph" w:customStyle="1" w:styleId="CEAFootnote">
    <w:name w:val="CEA Footnote"/>
    <w:basedOn w:val="Normlny"/>
    <w:semiHidden/>
    <w:qFormat/>
    <w:rsid w:val="00825DAE"/>
    <w:pPr>
      <w:spacing w:line="240" w:lineRule="auto"/>
    </w:pPr>
    <w:rPr>
      <w:sz w:val="16"/>
    </w:rPr>
  </w:style>
  <w:style w:type="character" w:customStyle="1" w:styleId="CEAGraphTitle">
    <w:name w:val="CEA Graph Title"/>
    <w:uiPriority w:val="1"/>
    <w:qFormat/>
    <w:rsid w:val="00825DAE"/>
    <w:rPr>
      <w:rFonts w:ascii="Verdana" w:hAnsi="Verdana"/>
      <w:smallCaps w:val="0"/>
      <w:sz w:val="19"/>
      <w:lang w:val="en-GB"/>
    </w:rPr>
  </w:style>
  <w:style w:type="character" w:customStyle="1" w:styleId="CEAGraphX">
    <w:name w:val="CEA Graph X"/>
    <w:uiPriority w:val="1"/>
    <w:qFormat/>
    <w:rsid w:val="00825DAE"/>
    <w:rPr>
      <w:rFonts w:ascii="Verdana" w:hAnsi="Verdana"/>
      <w:smallCaps/>
      <w:sz w:val="19"/>
      <w:lang w:val="en-GB"/>
    </w:rPr>
  </w:style>
  <w:style w:type="paragraph" w:customStyle="1" w:styleId="CEAPressReleaseSubtitle">
    <w:name w:val="CEA Press Release Subtitle"/>
    <w:basedOn w:val="Normlny"/>
    <w:semiHidden/>
    <w:qFormat/>
    <w:rsid w:val="00825DAE"/>
    <w:rPr>
      <w:sz w:val="22"/>
      <w:szCs w:val="22"/>
    </w:rPr>
  </w:style>
  <w:style w:type="paragraph" w:customStyle="1" w:styleId="CEAPressReleaseTitle">
    <w:name w:val="CEA Press Release Title"/>
    <w:basedOn w:val="Normlny"/>
    <w:semiHidden/>
    <w:qFormat/>
    <w:rsid w:val="00825DAE"/>
    <w:pPr>
      <w:autoSpaceDE w:val="0"/>
      <w:autoSpaceDN w:val="0"/>
      <w:adjustRightInd w:val="0"/>
      <w:spacing w:line="240" w:lineRule="auto"/>
    </w:pPr>
    <w:rPr>
      <w:rFonts w:ascii="Frutiger LT Com 45 Light" w:hAnsi="Frutiger LT Com 45 Light"/>
      <w:b/>
      <w:color w:val="034EA2"/>
      <w:sz w:val="36"/>
      <w:szCs w:val="36"/>
    </w:rPr>
  </w:style>
  <w:style w:type="paragraph" w:customStyle="1" w:styleId="CEASubjectLine">
    <w:name w:val="CEA Subject Line"/>
    <w:basedOn w:val="Normlny"/>
    <w:semiHidden/>
    <w:qFormat/>
    <w:rsid w:val="00825DAE"/>
    <w:rPr>
      <w:rFonts w:cs="Frutiger LT Std 55 Roman"/>
      <w:b/>
      <w:sz w:val="17"/>
      <w:szCs w:val="20"/>
    </w:rPr>
  </w:style>
  <w:style w:type="table" w:styleId="Mriekatabuky">
    <w:name w:val="Table Grid"/>
    <w:basedOn w:val="Normlnatabuka"/>
    <w:uiPriority w:val="59"/>
    <w:rsid w:val="001246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7748EE"/>
    <w:rPr>
      <w:color w:val="0000FF" w:themeColor="hyperlink"/>
      <w:u w:val="single"/>
    </w:rPr>
  </w:style>
  <w:style w:type="character" w:styleId="Nevyrieenzmienka">
    <w:name w:val="Unresolved Mention"/>
    <w:basedOn w:val="Predvolenpsmoodseku"/>
    <w:uiPriority w:val="99"/>
    <w:semiHidden/>
    <w:unhideWhenUsed/>
    <w:rsid w:val="007748EE"/>
    <w:rPr>
      <w:color w:val="605E5C"/>
      <w:shd w:val="clear" w:color="auto" w:fill="E1DFDD"/>
    </w:rPr>
  </w:style>
  <w:style w:type="character" w:customStyle="1" w:styleId="Nadpis5Char">
    <w:name w:val="Nadpis 5 Char"/>
    <w:basedOn w:val="Predvolenpsmoodseku"/>
    <w:link w:val="Nadpis5"/>
    <w:uiPriority w:val="9"/>
    <w:rsid w:val="00140EAF"/>
    <w:rPr>
      <w:rFonts w:ascii="Times New Roman" w:eastAsia="Times New Roman" w:hAnsi="Times New Roman" w:cs="Times New Roman"/>
      <w:b/>
      <w:bCs/>
      <w:sz w:val="17"/>
      <w:szCs w:val="17"/>
      <w:lang w:val="en-US"/>
    </w:rPr>
  </w:style>
  <w:style w:type="paragraph" w:styleId="Zkladntext">
    <w:name w:val="Body Text"/>
    <w:basedOn w:val="Normlny"/>
    <w:link w:val="ZkladntextChar"/>
    <w:uiPriority w:val="1"/>
    <w:qFormat/>
    <w:rsid w:val="00C66AD8"/>
    <w:pPr>
      <w:widowControl w:val="0"/>
      <w:autoSpaceDE w:val="0"/>
      <w:autoSpaceDN w:val="0"/>
      <w:spacing w:line="240" w:lineRule="auto"/>
      <w:jc w:val="left"/>
    </w:pPr>
    <w:rPr>
      <w:rFonts w:ascii="Bookman Old Style" w:eastAsia="Bookman Old Style" w:hAnsi="Bookman Old Style" w:cs="Bookman Old Style"/>
      <w:sz w:val="17"/>
      <w:szCs w:val="17"/>
      <w:lang w:val="en-US"/>
    </w:rPr>
  </w:style>
  <w:style w:type="character" w:customStyle="1" w:styleId="ZkladntextChar">
    <w:name w:val="Základný text Char"/>
    <w:basedOn w:val="Predvolenpsmoodseku"/>
    <w:link w:val="Zkladntext"/>
    <w:uiPriority w:val="1"/>
    <w:rsid w:val="00C66AD8"/>
    <w:rPr>
      <w:rFonts w:ascii="Bookman Old Style" w:eastAsia="Bookman Old Style" w:hAnsi="Bookman Old Style" w:cs="Bookman Old Style"/>
      <w:sz w:val="17"/>
      <w:szCs w:val="17"/>
      <w:lang w:val="en-US"/>
    </w:rPr>
  </w:style>
  <w:style w:type="paragraph" w:styleId="Odsekzoznamu">
    <w:name w:val="List Paragraph"/>
    <w:aliases w:val="List Paragraph Main,List first level,Yellow Bullet,Normal bullet 2,Table/Figure Heading,Paragraphe EI,Paragraphe de liste1,EC,Dot pt,No Spacing1,List Paragraph Char Char Char,Indicator Text,Numbered Para 1,Bullet 1,List Paragraph12,L"/>
    <w:basedOn w:val="Normlny"/>
    <w:link w:val="OdsekzoznamuChar"/>
    <w:uiPriority w:val="34"/>
    <w:qFormat/>
    <w:rsid w:val="00C23DC6"/>
    <w:pPr>
      <w:widowControl w:val="0"/>
      <w:autoSpaceDE w:val="0"/>
      <w:autoSpaceDN w:val="0"/>
      <w:spacing w:before="121" w:line="240" w:lineRule="auto"/>
      <w:ind w:left="1409" w:right="1067" w:hanging="567"/>
    </w:pPr>
    <w:rPr>
      <w:rFonts w:eastAsia="Bookman Old Style" w:cs="Bookman Old Style"/>
      <w:sz w:val="17"/>
      <w:szCs w:val="22"/>
      <w:lang w:val="en-US"/>
    </w:rPr>
  </w:style>
  <w:style w:type="character" w:customStyle="1" w:styleId="Nadpis4Char">
    <w:name w:val="Nadpis 4 Char"/>
    <w:basedOn w:val="Predvolenpsmoodseku"/>
    <w:link w:val="Nadpis4"/>
    <w:uiPriority w:val="9"/>
    <w:semiHidden/>
    <w:rsid w:val="00F26331"/>
    <w:rPr>
      <w:rFonts w:asciiTheme="majorHAnsi" w:eastAsiaTheme="majorEastAsia" w:hAnsiTheme="majorHAnsi" w:cstheme="majorBidi"/>
      <w:i/>
      <w:iCs/>
      <w:color w:val="365F91" w:themeColor="accent1" w:themeShade="BF"/>
      <w:sz w:val="20"/>
      <w:szCs w:val="24"/>
      <w:lang w:val="en-GB"/>
    </w:rPr>
  </w:style>
  <w:style w:type="character" w:styleId="Odkaznakomentr">
    <w:name w:val="annotation reference"/>
    <w:basedOn w:val="Predvolenpsmoodseku"/>
    <w:uiPriority w:val="99"/>
    <w:semiHidden/>
    <w:unhideWhenUsed/>
    <w:rsid w:val="002C02FA"/>
    <w:rPr>
      <w:sz w:val="16"/>
      <w:szCs w:val="16"/>
    </w:rPr>
  </w:style>
  <w:style w:type="paragraph" w:styleId="Textkomentra">
    <w:name w:val="annotation text"/>
    <w:basedOn w:val="Normlny"/>
    <w:link w:val="TextkomentraChar"/>
    <w:uiPriority w:val="99"/>
    <w:unhideWhenUsed/>
    <w:rsid w:val="002C02FA"/>
    <w:pPr>
      <w:spacing w:line="240" w:lineRule="auto"/>
    </w:pPr>
    <w:rPr>
      <w:szCs w:val="20"/>
    </w:rPr>
  </w:style>
  <w:style w:type="character" w:customStyle="1" w:styleId="TextkomentraChar">
    <w:name w:val="Text komentára Char"/>
    <w:basedOn w:val="Predvolenpsmoodseku"/>
    <w:link w:val="Textkomentra"/>
    <w:uiPriority w:val="99"/>
    <w:rsid w:val="002C02FA"/>
    <w:rPr>
      <w:rFonts w:ascii="Verdana" w:eastAsia="Times New Roman" w:hAnsi="Verdana" w:cs="Times New Roman"/>
      <w:sz w:val="20"/>
      <w:szCs w:val="20"/>
      <w:lang w:val="en-GB"/>
    </w:rPr>
  </w:style>
  <w:style w:type="paragraph" w:styleId="Predmetkomentra">
    <w:name w:val="annotation subject"/>
    <w:basedOn w:val="Textkomentra"/>
    <w:next w:val="Textkomentra"/>
    <w:link w:val="PredmetkomentraChar"/>
    <w:uiPriority w:val="99"/>
    <w:semiHidden/>
    <w:unhideWhenUsed/>
    <w:rsid w:val="002C02FA"/>
    <w:rPr>
      <w:b/>
      <w:bCs/>
    </w:rPr>
  </w:style>
  <w:style w:type="character" w:customStyle="1" w:styleId="PredmetkomentraChar">
    <w:name w:val="Predmet komentára Char"/>
    <w:basedOn w:val="TextkomentraChar"/>
    <w:link w:val="Predmetkomentra"/>
    <w:uiPriority w:val="99"/>
    <w:semiHidden/>
    <w:rsid w:val="002C02FA"/>
    <w:rPr>
      <w:rFonts w:ascii="Verdana" w:eastAsia="Times New Roman" w:hAnsi="Verdana" w:cs="Times New Roman"/>
      <w:b/>
      <w:bCs/>
      <w:sz w:val="20"/>
      <w:szCs w:val="20"/>
      <w:lang w:val="en-GB"/>
    </w:rPr>
  </w:style>
  <w:style w:type="character" w:customStyle="1" w:styleId="OdsekzoznamuChar">
    <w:name w:val="Odsek zoznamu Char"/>
    <w:aliases w:val="List Paragraph Main Char,List first level Char,Yellow Bullet Char,Normal bullet 2 Char,Table/Figure Heading Char,Paragraphe EI Char,Paragraphe de liste1 Char,EC Char,Dot pt Char,No Spacing1 Char,List Paragraph Char Char Char Char"/>
    <w:basedOn w:val="Predvolenpsmoodseku"/>
    <w:link w:val="Odsekzoznamu"/>
    <w:uiPriority w:val="34"/>
    <w:qFormat/>
    <w:rsid w:val="00650D92"/>
    <w:rPr>
      <w:rFonts w:ascii="Verdana" w:eastAsia="Bookman Old Style" w:hAnsi="Verdana" w:cs="Bookman Old Style"/>
      <w:sz w:val="17"/>
      <w:lang w:val="en-US"/>
    </w:rPr>
  </w:style>
  <w:style w:type="paragraph" w:styleId="Revzia">
    <w:name w:val="Revision"/>
    <w:hidden/>
    <w:uiPriority w:val="99"/>
    <w:semiHidden/>
    <w:rsid w:val="0082098C"/>
    <w:pPr>
      <w:spacing w:after="0" w:line="240" w:lineRule="auto"/>
    </w:pPr>
    <w:rPr>
      <w:rFonts w:ascii="Verdana" w:eastAsia="Times New Roman" w:hAnsi="Verdana" w:cs="Times New Roman"/>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588145">
      <w:bodyDiv w:val="1"/>
      <w:marLeft w:val="0"/>
      <w:marRight w:val="0"/>
      <w:marTop w:val="0"/>
      <w:marBottom w:val="0"/>
      <w:divBdr>
        <w:top w:val="none" w:sz="0" w:space="0" w:color="auto"/>
        <w:left w:val="none" w:sz="0" w:space="0" w:color="auto"/>
        <w:bottom w:val="none" w:sz="0" w:space="0" w:color="auto"/>
        <w:right w:val="none" w:sz="0" w:space="0" w:color="auto"/>
      </w:divBdr>
    </w:div>
    <w:div w:id="214581439">
      <w:bodyDiv w:val="1"/>
      <w:marLeft w:val="0"/>
      <w:marRight w:val="0"/>
      <w:marTop w:val="0"/>
      <w:marBottom w:val="0"/>
      <w:divBdr>
        <w:top w:val="none" w:sz="0" w:space="0" w:color="auto"/>
        <w:left w:val="none" w:sz="0" w:space="0" w:color="auto"/>
        <w:bottom w:val="none" w:sz="0" w:space="0" w:color="auto"/>
        <w:right w:val="none" w:sz="0" w:space="0" w:color="auto"/>
      </w:divBdr>
    </w:div>
    <w:div w:id="306210752">
      <w:bodyDiv w:val="1"/>
      <w:marLeft w:val="0"/>
      <w:marRight w:val="0"/>
      <w:marTop w:val="0"/>
      <w:marBottom w:val="0"/>
      <w:divBdr>
        <w:top w:val="none" w:sz="0" w:space="0" w:color="auto"/>
        <w:left w:val="none" w:sz="0" w:space="0" w:color="auto"/>
        <w:bottom w:val="none" w:sz="0" w:space="0" w:color="auto"/>
        <w:right w:val="none" w:sz="0" w:space="0" w:color="auto"/>
      </w:divBdr>
    </w:div>
    <w:div w:id="533074995">
      <w:bodyDiv w:val="1"/>
      <w:marLeft w:val="0"/>
      <w:marRight w:val="0"/>
      <w:marTop w:val="0"/>
      <w:marBottom w:val="0"/>
      <w:divBdr>
        <w:top w:val="none" w:sz="0" w:space="0" w:color="auto"/>
        <w:left w:val="none" w:sz="0" w:space="0" w:color="auto"/>
        <w:bottom w:val="none" w:sz="0" w:space="0" w:color="auto"/>
        <w:right w:val="none" w:sz="0" w:space="0" w:color="auto"/>
      </w:divBdr>
    </w:div>
    <w:div w:id="1037007452">
      <w:bodyDiv w:val="1"/>
      <w:marLeft w:val="0"/>
      <w:marRight w:val="0"/>
      <w:marTop w:val="0"/>
      <w:marBottom w:val="0"/>
      <w:divBdr>
        <w:top w:val="none" w:sz="0" w:space="0" w:color="auto"/>
        <w:left w:val="none" w:sz="0" w:space="0" w:color="auto"/>
        <w:bottom w:val="none" w:sz="0" w:space="0" w:color="auto"/>
        <w:right w:val="none" w:sz="0" w:space="0" w:color="auto"/>
      </w:divBdr>
    </w:div>
    <w:div w:id="107840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mailt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D103175A-9402-4B30-B3A5-FCC1C0934D84}"/>
      </w:docPartPr>
      <w:docPartBody>
        <w:p w:rsidR="00427EDA" w:rsidRDefault="009C6847">
          <w:r w:rsidRPr="008C7EEE">
            <w:rPr>
              <w:rStyle w:val="Zstupntext"/>
            </w:rPr>
            <w:t>Click or tap here to enter text.</w:t>
          </w:r>
        </w:p>
      </w:docPartBody>
    </w:docPart>
    <w:docPart>
      <w:docPartPr>
        <w:name w:val="2423207A1CC64824B8B0ED1555213A5B"/>
        <w:category>
          <w:name w:val="General"/>
          <w:gallery w:val="placeholder"/>
        </w:category>
        <w:types>
          <w:type w:val="bbPlcHdr"/>
        </w:types>
        <w:behaviors>
          <w:behavior w:val="content"/>
        </w:behaviors>
        <w:guid w:val="{D9494FB0-0800-4A3B-B873-70BF07086C96}"/>
      </w:docPartPr>
      <w:docPartBody>
        <w:p w:rsidR="001C406B" w:rsidRDefault="009C6847">
          <w:pPr>
            <w:pStyle w:val="2423207A1CC64824B8B0ED1555213A5B"/>
          </w:pPr>
          <w:r w:rsidRPr="008C7EEE">
            <w:rPr>
              <w:rStyle w:val="Zstupn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Frutiger LT Std 55 Roman">
    <w:altName w:val="Calibri"/>
    <w:panose1 w:val="00000000000000000000"/>
    <w:charset w:val="00"/>
    <w:family w:val="swiss"/>
    <w:notTrueType/>
    <w:pitch w:val="variable"/>
    <w:sig w:usb0="800000AF" w:usb1="4000204A" w:usb2="00000000" w:usb3="00000000" w:csb0="00000001" w:csb1="00000000"/>
  </w:font>
  <w:font w:name="Frutiger LT Com 45 Light">
    <w:altName w:val="Corbel"/>
    <w:charset w:val="00"/>
    <w:family w:val="swiss"/>
    <w:pitch w:val="variable"/>
    <w:sig w:usb0="00000001"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6970"/>
    <w:rsid w:val="00067782"/>
    <w:rsid w:val="000727AB"/>
    <w:rsid w:val="000F1CB6"/>
    <w:rsid w:val="00134DCC"/>
    <w:rsid w:val="001560A7"/>
    <w:rsid w:val="00187637"/>
    <w:rsid w:val="001C406B"/>
    <w:rsid w:val="001F2E4F"/>
    <w:rsid w:val="002C1F59"/>
    <w:rsid w:val="002F03C2"/>
    <w:rsid w:val="00405EAA"/>
    <w:rsid w:val="00427EDA"/>
    <w:rsid w:val="004963B8"/>
    <w:rsid w:val="004F7598"/>
    <w:rsid w:val="0057158E"/>
    <w:rsid w:val="005E3F5C"/>
    <w:rsid w:val="005E5688"/>
    <w:rsid w:val="00634188"/>
    <w:rsid w:val="006D7481"/>
    <w:rsid w:val="008079F5"/>
    <w:rsid w:val="0098377F"/>
    <w:rsid w:val="009C6847"/>
    <w:rsid w:val="009E45B8"/>
    <w:rsid w:val="00A307CB"/>
    <w:rsid w:val="00AF50EC"/>
    <w:rsid w:val="00B344EB"/>
    <w:rsid w:val="00B42417"/>
    <w:rsid w:val="00C17CD2"/>
    <w:rsid w:val="00C32F28"/>
    <w:rsid w:val="00E401F3"/>
    <w:rsid w:val="00F027F1"/>
    <w:rsid w:val="00F36970"/>
    <w:rsid w:val="00F633AE"/>
    <w:rsid w:val="00F67907"/>
    <w:rsid w:val="00FE7F6A"/>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36970"/>
    <w:rPr>
      <w:rFonts w:cs="Times New Roman"/>
      <w:sz w:val="3276"/>
      <w:szCs w:val="327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9C6847"/>
    <w:rPr>
      <w:color w:val="808080"/>
    </w:rPr>
  </w:style>
  <w:style w:type="paragraph" w:customStyle="1" w:styleId="2423207A1CC64824B8B0ED1555213A5B">
    <w:name w:val="2423207A1CC64824B8B0ED1555213A5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ublished Documents" ma:contentTypeID="0x010100F26877DBD9F0954589FD661D0AEDE87C" ma:contentTypeVersion="20" ma:contentTypeDescription="Published Documents Content types for Insurance Europe" ma:contentTypeScope="" ma:versionID="09be2bd271f06acdf721d21123e705f3">
  <xsd:schema xmlns:xsd="http://www.w3.org/2001/XMLSchema" xmlns:xs="http://www.w3.org/2001/XMLSchema" xmlns:p="http://schemas.microsoft.com/office/2006/metadata/properties" xmlns:ns2="17c212a7-1c13-4d42-b8fe-99adae930fd5" targetNamespace="http://schemas.microsoft.com/office/2006/metadata/properties" ma:root="true" ma:fieldsID="6aca4057c8ba4f9955dff035c1d78a77" ns2:_="">
    <xsd:import namespace="17c212a7-1c13-4d42-b8fe-99adae930fd5"/>
    <xsd:element name="properties">
      <xsd:complexType>
        <xsd:sequence>
          <xsd:element name="documentManagement">
            <xsd:complexType>
              <xsd:all>
                <xsd:element ref="ns2:AllowComments" minOccurs="0"/>
                <xsd:element ref="ns2:Validated" minOccurs="0"/>
                <xsd:element ref="ns2:ValidationComment" minOccurs="0"/>
                <xsd:element ref="ns2:Can_x0020_be_x0020_edited" minOccurs="0"/>
                <xsd:element ref="ns2:Type_x0020_of_x0020_document" minOccurs="0"/>
                <xsd:element ref="ns2:Deadline" minOccurs="0"/>
                <xsd:element ref="ns2:Type_x0020_of_x0020_memo" minOccurs="0"/>
                <xsd:element ref="ns2:Display_x0020_validated_x0020_documents_x0020_library_x0020_button" minOccurs="0"/>
                <xsd:element ref="ns2:isAnnex" minOccurs="0"/>
                <xsd:element ref="ns2:Uploads" minOccurs="0"/>
                <xsd:element ref="ns2:Allow_x0020_uploads" minOccurs="0"/>
                <xsd:element ref="ns2:Allow_x0020_comments" minOccurs="0"/>
                <xsd:element ref="ns2:Feedback_x0020_type" minOccurs="0"/>
                <xsd:element ref="ns2:Leading_x0020_document"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212a7-1c13-4d42-b8fe-99adae930fd5" elementFormDefault="qualified">
    <xsd:import namespace="http://schemas.microsoft.com/office/2006/documentManagement/types"/>
    <xsd:import namespace="http://schemas.microsoft.com/office/infopath/2007/PartnerControls"/>
    <xsd:element name="AllowComments" ma:index="8" nillable="true" ma:displayName="AllowComments" ma:default="1" ma:internalName="AllowComments" ma:readOnly="false">
      <xsd:simpleType>
        <xsd:restriction base="dms:Boolean"/>
      </xsd:simpleType>
    </xsd:element>
    <xsd:element name="Validated" ma:index="9" nillable="true" ma:displayName="Validated" ma:default="0" ma:internalName="Validated" ma:readOnly="false">
      <xsd:simpleType>
        <xsd:restriction base="dms:Boolean"/>
      </xsd:simpleType>
    </xsd:element>
    <xsd:element name="ValidationComment" ma:index="10" nillable="true" ma:displayName="ValidationComment" ma:internalName="ValidationComment" ma:readOnly="false">
      <xsd:simpleType>
        <xsd:restriction base="dms:Note">
          <xsd:maxLength value="255"/>
        </xsd:restriction>
      </xsd:simpleType>
    </xsd:element>
    <xsd:element name="Can_x0020_be_x0020_edited" ma:index="11" nillable="true" ma:displayName="Can be edited" ma:default="0" ma:internalName="Can_x0020_be_x0020_edited" ma:readOnly="false">
      <xsd:simpleType>
        <xsd:restriction base="dms:Boolean"/>
      </xsd:simpleType>
    </xsd:element>
    <xsd:element name="Type_x0020_of_x0020_document" ma:index="12" nillable="true" ma:displayName="Type of document" ma:format="Dropdown" ma:internalName="Type_x0020_of_x0020_document" ma:readOnly="false">
      <xsd:simpleType>
        <xsd:restriction base="dms:Choice">
          <xsd:enumeration value="Memo"/>
          <xsd:enumeration value="Blank document"/>
          <xsd:enumeration value="Agenda"/>
          <xsd:enumeration value="News Flash"/>
          <xsd:enumeration value="Participants List"/>
          <xsd:enumeration value="Press Release"/>
          <xsd:enumeration value="Fax Cover"/>
          <xsd:enumeration value="Letter"/>
          <xsd:enumeration value="Background note"/>
          <xsd:enumeration value="Meeting Conclusions"/>
          <xsd:enumeration value="Position Paper"/>
          <xsd:enumeration value="PowerPoint template"/>
        </xsd:restriction>
      </xsd:simpleType>
    </xsd:element>
    <xsd:element name="Deadline" ma:index="13" nillable="true" ma:displayName="Deadline" ma:format="DateTime" ma:internalName="Deadline" ma:readOnly="false">
      <xsd:simpleType>
        <xsd:restriction base="dms:DateTime"/>
      </xsd:simpleType>
    </xsd:element>
    <xsd:element name="Type_x0020_of_x0020_memo" ma:index="14" nillable="true" ma:displayName="Type of memo" ma:format="Dropdown" ma:internalName="Type_x0020_of_x0020_memo" ma:readOnly="false">
      <xsd:simpleType>
        <xsd:restriction base="dms:Choice">
          <xsd:enumeration value="information"/>
          <xsd:enumeration value="action"/>
        </xsd:restriction>
      </xsd:simpleType>
    </xsd:element>
    <xsd:element name="Display_x0020_validated_x0020_documents_x0020_library_x0020_button" ma:index="15" nillable="true" ma:displayName="Display validated documents library button" ma:default="0" ma:internalName="Display_x0020_validated_x0020_documents_x0020_library_x0020_button" ma:readOnly="false">
      <xsd:simpleType>
        <xsd:restriction base="dms:Boolean"/>
      </xsd:simpleType>
    </xsd:element>
    <xsd:element name="isAnnex" ma:index="16" nillable="true" ma:displayName="isAnnex" ma:internalName="isAnnex" ma:readOnly="false">
      <xsd:simpleType>
        <xsd:restriction base="dms:Text"/>
      </xsd:simpleType>
    </xsd:element>
    <xsd:element name="Uploads" ma:index="17" nillable="true" ma:displayName="Uploads" ma:internalName="Uploads" ma:readOnly="false">
      <xsd:simpleType>
        <xsd:restriction base="dms:Boolean"/>
      </xsd:simpleType>
    </xsd:element>
    <xsd:element name="Allow_x0020_uploads" ma:index="18" nillable="true" ma:displayName="Allow uploads" ma:internalName="Allow_x0020_uploads">
      <xsd:simpleType>
        <xsd:restriction base="dms:Boolean"/>
      </xsd:simpleType>
    </xsd:element>
    <xsd:element name="Allow_x0020_comments" ma:index="19" nillable="true" ma:displayName="Allow comments" ma:internalName="Allow_x0020_comments">
      <xsd:simpleType>
        <xsd:restriction base="dms:Boolean"/>
      </xsd:simpleType>
    </xsd:element>
    <xsd:element name="Feedback_x0020_type" ma:index="20" nillable="true" ma:displayName="Feedback type" ma:internalName="Feedback_x0020_type">
      <xsd:simpleType>
        <xsd:restriction base="dms:Text"/>
      </xsd:simpleType>
    </xsd:element>
    <xsd:element name="Leading_x0020_document" ma:index="21" nillable="true" ma:displayName="Leading document" ma:internalName="Leading_x0020_document">
      <xsd:simpleType>
        <xsd:restriction base="dms:Text"/>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adline xmlns="17c212a7-1c13-4d42-b8fe-99adae930fd5" xsi:nil="true"/>
    <Type_x0020_of_x0020_document xmlns="17c212a7-1c13-4d42-b8fe-99adae930fd5">Position Paper</Type_x0020_of_x0020_document>
    <Type_x0020_of_x0020_memo xmlns="17c212a7-1c13-4d42-b8fe-99adae930fd5" xsi:nil="true"/>
    <Can_x0020_be_x0020_edited xmlns="17c212a7-1c13-4d42-b8fe-99adae930fd5">false</Can_x0020_be_x0020_edited>
    <Feedback_x0020_type xmlns="17c212a7-1c13-4d42-b8fe-99adae930fd5" xsi:nil="true"/>
    <AllowComments xmlns="17c212a7-1c13-4d42-b8fe-99adae930fd5">true</AllowComments>
    <Allow_x0020_uploads xmlns="17c212a7-1c13-4d42-b8fe-99adae930fd5" xsi:nil="true"/>
    <Allow_x0020_comments xmlns="17c212a7-1c13-4d42-b8fe-99adae930fd5" xsi:nil="true"/>
    <Uploads xmlns="17c212a7-1c13-4d42-b8fe-99adae930fd5" xsi:nil="true"/>
    <Validated xmlns="17c212a7-1c13-4d42-b8fe-99adae930fd5">false</Validated>
    <isAnnex xmlns="17c212a7-1c13-4d42-b8fe-99adae930fd5" xsi:nil="true"/>
    <ValidationComment xmlns="17c212a7-1c13-4d42-b8fe-99adae930fd5" xsi:nil="true"/>
    <Leading_x0020_document xmlns="17c212a7-1c13-4d42-b8fe-99adae930fd5" xsi:nil="true"/>
    <Display_x0020_validated_x0020_documents_x0020_library_x0020_button xmlns="17c212a7-1c13-4d42-b8fe-99adae930fd5">false</Display_x0020_validated_x0020_documents_x0020_library_x0020_butt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27B13-D241-4323-B7A9-75B7AD1AA6EE}">
  <ds:schemaRefs>
    <ds:schemaRef ds:uri="http://schemas.microsoft.com/sharepoint/v3/contenttype/forms"/>
  </ds:schemaRefs>
</ds:datastoreItem>
</file>

<file path=customXml/itemProps2.xml><?xml version="1.0" encoding="utf-8"?>
<ds:datastoreItem xmlns:ds="http://schemas.openxmlformats.org/officeDocument/2006/customXml" ds:itemID="{6D6B63B1-DC4E-4DC4-9FDC-C5A7707068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212a7-1c13-4d42-b8fe-99adae930f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5485A1-11AA-442D-8577-727460E39C5A}">
  <ds:schemaRefs>
    <ds:schemaRef ds:uri="http://schemas.microsoft.com/office/2006/metadata/properties"/>
    <ds:schemaRef ds:uri="17c212a7-1c13-4d42-b8fe-99adae930fd5"/>
    <ds:schemaRef ds:uri="http://purl.org/dc/dcmitype/"/>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5BF0DC3C-DEE0-460C-B589-0465E6B44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46</Pages>
  <Words>24730</Words>
  <Characters>140967</Characters>
  <Application>Microsoft Office Word</Application>
  <DocSecurity>4</DocSecurity>
  <Lines>1174</Lines>
  <Paragraphs>330</Paragraphs>
  <ScaleCrop>false</ScaleCrop>
  <HeadingPairs>
    <vt:vector size="2" baseType="variant">
      <vt:variant>
        <vt:lpstr>Title</vt:lpstr>
      </vt:variant>
      <vt:variant>
        <vt:i4>1</vt:i4>
      </vt:variant>
    </vt:vector>
  </HeadingPairs>
  <TitlesOfParts>
    <vt:vector size="1" baseType="lpstr">
      <vt:lpstr>Final response to IFRS Exposure Draft Sustainability Disclosure Standards</vt:lpstr>
    </vt:vector>
  </TitlesOfParts>
  <Company>Insurance Europe</Company>
  <LinksUpToDate>false</LinksUpToDate>
  <CharactersWithSpaces>165367</CharactersWithSpaces>
  <SharedDoc>false</SharedDoc>
  <HLinks>
    <vt:vector size="6" baseType="variant">
      <vt:variant>
        <vt:i4>6422640</vt:i4>
      </vt:variant>
      <vt:variant>
        <vt:i4>8</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Insurance Europe's final response to IFRS Sustainability Disclosure Standards EDs</dc:title>
  <dc:subject/>
  <dc:creator>Insurance Europe</dc:creator>
  <cp:keywords/>
  <cp:lastModifiedBy>jozef.bachnicek</cp:lastModifiedBy>
  <cp:revision>2</cp:revision>
  <dcterms:created xsi:type="dcterms:W3CDTF">2022-08-01T08:14:00Z</dcterms:created>
  <dcterms:modified xsi:type="dcterms:W3CDTF">2022-08-01T08:14:00Z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0x010100F26877DBD9F0954589FD661D0AEDE87C</vt:lpwstr>
  </property>
  <property fmtid="{D5CDD505-2E9C-101B-9397-08002B2CF9AE}" pid="3" name="_dlc_DocIdItemGuid">
    <vt:lpwstr>53f2ccfc-cb5c-4b2a-a083-e4a7e98f292e</vt:lpwstr>
  </property>
</Properties>
</file>