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EE0D" w14:textId="77777777" w:rsidR="00804C53" w:rsidRPr="003D0236" w:rsidRDefault="00804C53" w:rsidP="00804C53">
      <w:pPr>
        <w:rPr>
          <w:sz w:val="17"/>
          <w:szCs w:val="17"/>
        </w:rPr>
        <w:sectPr w:rsidR="00804C53" w:rsidRPr="003D0236" w:rsidSect="00EF7766">
          <w:headerReference w:type="default" r:id="rId10"/>
          <w:footerReference w:type="even" r:id="rId11"/>
          <w:footerReference w:type="default" r:id="rId12"/>
          <w:headerReference w:type="first" r:id="rId13"/>
          <w:footerReference w:type="first" r:id="rId14"/>
          <w:pgSz w:w="11907" w:h="16839" w:code="9"/>
          <w:pgMar w:top="2336" w:right="907" w:bottom="1599" w:left="1418" w:header="709" w:footer="238" w:gutter="0"/>
          <w:cols w:space="708"/>
          <w:titlePg/>
          <w:docGrid w:linePitch="360"/>
        </w:sectPr>
      </w:pPr>
    </w:p>
    <w:p w14:paraId="32206EAC" w14:textId="794DF977" w:rsidR="00854618" w:rsidRDefault="00827BB1" w:rsidP="00827BB1">
      <w:pPr>
        <w:pStyle w:val="CEABullet-Level1"/>
        <w:numPr>
          <w:ilvl w:val="0"/>
          <w:numId w:val="0"/>
        </w:numPr>
      </w:pPr>
      <w:r>
        <w:t xml:space="preserve">The secretariat prepared a </w:t>
      </w:r>
      <w:r w:rsidRPr="0075607F">
        <w:rPr>
          <w:b/>
          <w:bCs/>
        </w:rPr>
        <w:t>response</w:t>
      </w:r>
      <w:r>
        <w:t xml:space="preserve"> of the questionnaire </w:t>
      </w:r>
      <w:r w:rsidRPr="0075607F">
        <w:rPr>
          <w:b/>
          <w:bCs/>
        </w:rPr>
        <w:t>below based on the feedback submitted</w:t>
      </w:r>
      <w:r>
        <w:t xml:space="preserve"> to the </w:t>
      </w:r>
      <w:r w:rsidR="0004730A">
        <w:t>European Commission</w:t>
      </w:r>
      <w:r w:rsidR="00CB7288">
        <w:t xml:space="preserve"> in the context of the public consultation on the roadmap </w:t>
      </w:r>
      <w:r w:rsidR="005661A4">
        <w:t>on a n</w:t>
      </w:r>
      <w:r w:rsidR="005661A4" w:rsidRPr="005661A4">
        <w:t>ew EU system for the avoidance of double taxation and prevention of tax abuse in the field of withholding taxes</w:t>
      </w:r>
      <w:r w:rsidR="0004730A">
        <w:t xml:space="preserve"> (see </w:t>
      </w:r>
      <w:hyperlink r:id="rId15" w:history="1">
        <w:r w:rsidR="0004730A" w:rsidRPr="008B0776">
          <w:rPr>
            <w:rStyle w:val="Hypertextovprepojenie"/>
          </w:rPr>
          <w:t>ECO-TAX-21-085</w:t>
        </w:r>
      </w:hyperlink>
      <w:r w:rsidR="0004730A">
        <w:t>)</w:t>
      </w:r>
      <w:r w:rsidR="008B0776">
        <w:t xml:space="preserve">. </w:t>
      </w:r>
    </w:p>
    <w:p w14:paraId="2966ABAD" w14:textId="77777777" w:rsidR="00827BB1" w:rsidRDefault="00827BB1" w:rsidP="00827BB1">
      <w:pPr>
        <w:pStyle w:val="CEABullet-Level1"/>
        <w:numPr>
          <w:ilvl w:val="0"/>
          <w:numId w:val="0"/>
        </w:numPr>
      </w:pPr>
    </w:p>
    <w:p w14:paraId="7134D355" w14:textId="77777777" w:rsidR="00854618" w:rsidRPr="00854618" w:rsidRDefault="00854618" w:rsidP="00854618">
      <w:pPr>
        <w:autoSpaceDE w:val="0"/>
        <w:autoSpaceDN w:val="0"/>
        <w:adjustRightInd w:val="0"/>
        <w:rPr>
          <w:b/>
          <w:color w:val="002957"/>
          <w:sz w:val="17"/>
          <w:szCs w:val="17"/>
        </w:rPr>
      </w:pPr>
    </w:p>
    <w:p w14:paraId="3F58C8DD" w14:textId="316606D2" w:rsidR="009D4257" w:rsidRPr="009D4257" w:rsidRDefault="009D4257" w:rsidP="009011CC">
      <w:pPr>
        <w:pStyle w:val="Odsekzoznamu"/>
        <w:numPr>
          <w:ilvl w:val="0"/>
          <w:numId w:val="5"/>
        </w:numPr>
        <w:autoSpaceDE w:val="0"/>
        <w:autoSpaceDN w:val="0"/>
        <w:adjustRightInd w:val="0"/>
        <w:rPr>
          <w:b/>
          <w:color w:val="002957"/>
          <w:sz w:val="17"/>
          <w:szCs w:val="17"/>
        </w:rPr>
      </w:pPr>
      <w:r w:rsidRPr="009D4257">
        <w:rPr>
          <w:b/>
          <w:color w:val="002957"/>
          <w:sz w:val="17"/>
          <w:szCs w:val="17"/>
        </w:rPr>
        <w:t>Issue at stake</w:t>
      </w:r>
    </w:p>
    <w:p w14:paraId="4C1E9975" w14:textId="77777777" w:rsidR="009D4257" w:rsidRPr="0000274E" w:rsidRDefault="009D4257" w:rsidP="009011CC">
      <w:pPr>
        <w:pStyle w:val="Zkladntext"/>
        <w:numPr>
          <w:ilvl w:val="0"/>
          <w:numId w:val="12"/>
        </w:numPr>
        <w:spacing w:line="288" w:lineRule="auto"/>
        <w:jc w:val="both"/>
        <w:rPr>
          <w:rFonts w:ascii="Verdana" w:hAnsi="Verdana"/>
          <w:sz w:val="17"/>
          <w:szCs w:val="17"/>
        </w:rPr>
      </w:pPr>
      <w:r w:rsidRPr="0000274E">
        <w:rPr>
          <w:rFonts w:ascii="Verdana" w:hAnsi="Verdana"/>
          <w:sz w:val="17"/>
          <w:szCs w:val="17"/>
        </w:rPr>
        <w:t>Do you think that the current functioning of withholding tax refund procedures in Member States hinders cross-border investment in the EU securities market?</w:t>
      </w:r>
    </w:p>
    <w:p w14:paraId="4B64217E" w14:textId="77777777" w:rsidR="009D4257" w:rsidRDefault="009D4257" w:rsidP="009D4257">
      <w:pPr>
        <w:pStyle w:val="CEABullet-Level1"/>
      </w:pPr>
      <w:r>
        <w:t xml:space="preserve">Strongly agree </w:t>
      </w:r>
    </w:p>
    <w:p w14:paraId="4CF1E8CE" w14:textId="57469F8F" w:rsidR="009D4257" w:rsidRPr="0075607F" w:rsidRDefault="009D4257" w:rsidP="009D4257">
      <w:pPr>
        <w:pStyle w:val="CEABullet-Level1"/>
        <w:rPr>
          <w:highlight w:val="yellow"/>
        </w:rPr>
      </w:pPr>
      <w:r w:rsidRPr="0075607F">
        <w:rPr>
          <w:highlight w:val="yellow"/>
        </w:rPr>
        <w:t>Agree</w:t>
      </w:r>
    </w:p>
    <w:p w14:paraId="6DA2A6E3" w14:textId="77777777" w:rsidR="009D4257" w:rsidRDefault="009D4257" w:rsidP="009D4257">
      <w:pPr>
        <w:pStyle w:val="CEABullet-Level1"/>
      </w:pPr>
      <w:r>
        <w:t>Agree to some extent</w:t>
      </w:r>
    </w:p>
    <w:p w14:paraId="777D15BA" w14:textId="13E95059" w:rsidR="009D4257" w:rsidRDefault="009D4257" w:rsidP="009D4257">
      <w:pPr>
        <w:pStyle w:val="CEABullet-Level1"/>
      </w:pPr>
      <w:r>
        <w:t>Do not agree</w:t>
      </w:r>
    </w:p>
    <w:p w14:paraId="14B77A2F" w14:textId="77777777" w:rsidR="009D4257" w:rsidRDefault="009D4257" w:rsidP="009D4257">
      <w:pPr>
        <w:pStyle w:val="CEABullet-Level1"/>
      </w:pPr>
      <w:r>
        <w:t>Don't know</w:t>
      </w:r>
    </w:p>
    <w:p w14:paraId="73F74C6A" w14:textId="77777777" w:rsidR="009D4257" w:rsidRDefault="009D4257" w:rsidP="009D4257">
      <w:pPr>
        <w:pStyle w:val="CEABullet-Level1"/>
        <w:numPr>
          <w:ilvl w:val="0"/>
          <w:numId w:val="0"/>
        </w:numPr>
        <w:ind w:left="720" w:hanging="360"/>
      </w:pPr>
    </w:p>
    <w:p w14:paraId="11DDA4DA" w14:textId="77777777" w:rsidR="009D4257" w:rsidRDefault="009D4257" w:rsidP="009D4257">
      <w:pPr>
        <w:pStyle w:val="CEABullet-Level1"/>
        <w:numPr>
          <w:ilvl w:val="0"/>
          <w:numId w:val="0"/>
        </w:numPr>
        <w:ind w:left="720" w:hanging="360"/>
      </w:pPr>
    </w:p>
    <w:p w14:paraId="1D834FD4" w14:textId="77777777" w:rsidR="009D4257" w:rsidRPr="002D505C" w:rsidRDefault="009D4257" w:rsidP="009011CC">
      <w:pPr>
        <w:pStyle w:val="Zkladntext"/>
        <w:numPr>
          <w:ilvl w:val="0"/>
          <w:numId w:val="12"/>
        </w:numPr>
        <w:spacing w:line="288" w:lineRule="auto"/>
        <w:jc w:val="both"/>
        <w:rPr>
          <w:rFonts w:ascii="Verdana" w:hAnsi="Verdana"/>
          <w:sz w:val="17"/>
          <w:szCs w:val="17"/>
        </w:rPr>
      </w:pPr>
      <w:r w:rsidRPr="0000274E">
        <w:rPr>
          <w:rFonts w:ascii="Verdana" w:hAnsi="Verdana"/>
          <w:sz w:val="17"/>
          <w:szCs w:val="17"/>
        </w:rPr>
        <w:t>For which of the following payments, do you think that the issue of inefficient WHT procedures is relevant: (</w:t>
      </w:r>
      <w:r w:rsidRPr="002D505C">
        <w:rPr>
          <w:rFonts w:ascii="Verdana" w:hAnsi="Verdana"/>
          <w:sz w:val="17"/>
          <w:szCs w:val="17"/>
        </w:rPr>
        <w:t>Multiple options are available)</w:t>
      </w:r>
    </w:p>
    <w:p w14:paraId="19F8A72A" w14:textId="77777777" w:rsidR="009D4257" w:rsidRPr="002D505C" w:rsidRDefault="009D4257" w:rsidP="002D505C">
      <w:pPr>
        <w:rPr>
          <w:sz w:val="17"/>
          <w:szCs w:val="17"/>
        </w:rPr>
      </w:pPr>
    </w:p>
    <w:tbl>
      <w:tblPr>
        <w:tblW w:w="5000" w:type="pct"/>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CellMar>
          <w:left w:w="0" w:type="dxa"/>
          <w:right w:w="0" w:type="dxa"/>
        </w:tblCellMar>
        <w:tblLook w:val="01E0" w:firstRow="1" w:lastRow="1" w:firstColumn="1" w:lastColumn="1" w:noHBand="0" w:noVBand="0"/>
      </w:tblPr>
      <w:tblGrid>
        <w:gridCol w:w="5885"/>
        <w:gridCol w:w="3626"/>
      </w:tblGrid>
      <w:tr w:rsidR="00DB577A" w:rsidRPr="002D505C" w14:paraId="36C186FE" w14:textId="77777777" w:rsidTr="00E53176">
        <w:trPr>
          <w:trHeight w:hRule="exact" w:val="480"/>
        </w:trPr>
        <w:tc>
          <w:tcPr>
            <w:tcW w:w="3094" w:type="pct"/>
          </w:tcPr>
          <w:p w14:paraId="75B08233" w14:textId="77777777" w:rsidR="00DB577A" w:rsidRPr="002D505C" w:rsidRDefault="00DB577A" w:rsidP="002D505C">
            <w:pPr>
              <w:pStyle w:val="TableParagraph"/>
              <w:spacing w:line="288" w:lineRule="auto"/>
              <w:ind w:left="1044"/>
              <w:jc w:val="both"/>
              <w:rPr>
                <w:rFonts w:ascii="Verdana" w:hAnsi="Verdana"/>
                <w:b/>
                <w:sz w:val="17"/>
                <w:szCs w:val="17"/>
              </w:rPr>
            </w:pPr>
            <w:r w:rsidRPr="002D505C">
              <w:rPr>
                <w:rFonts w:ascii="Verdana" w:hAnsi="Verdana"/>
                <w:b/>
                <w:w w:val="105"/>
                <w:sz w:val="17"/>
                <w:szCs w:val="17"/>
              </w:rPr>
              <w:t>Nature of the cross-border payment</w:t>
            </w:r>
          </w:p>
        </w:tc>
        <w:tc>
          <w:tcPr>
            <w:tcW w:w="1906" w:type="pct"/>
          </w:tcPr>
          <w:p w14:paraId="0F7FD957" w14:textId="77777777" w:rsidR="00DB577A" w:rsidRPr="002D505C" w:rsidRDefault="00DB577A" w:rsidP="002D505C">
            <w:pPr>
              <w:pStyle w:val="TableParagraph"/>
              <w:spacing w:line="288" w:lineRule="auto"/>
              <w:ind w:left="180"/>
              <w:jc w:val="both"/>
              <w:rPr>
                <w:rFonts w:ascii="Verdana" w:hAnsi="Verdana"/>
                <w:b/>
                <w:sz w:val="17"/>
                <w:szCs w:val="17"/>
              </w:rPr>
            </w:pPr>
            <w:r w:rsidRPr="002D505C">
              <w:rPr>
                <w:rFonts w:ascii="Verdana" w:hAnsi="Verdana"/>
                <w:b/>
                <w:w w:val="105"/>
                <w:sz w:val="17"/>
                <w:szCs w:val="17"/>
              </w:rPr>
              <w:t>Check the box where applicable</w:t>
            </w:r>
          </w:p>
        </w:tc>
      </w:tr>
      <w:tr w:rsidR="00DB577A" w:rsidRPr="002D505C" w14:paraId="79FEF04A" w14:textId="77777777" w:rsidTr="00E53176">
        <w:trPr>
          <w:trHeight w:hRule="exact" w:val="497"/>
        </w:trPr>
        <w:tc>
          <w:tcPr>
            <w:tcW w:w="3094" w:type="pct"/>
          </w:tcPr>
          <w:p w14:paraId="39649471" w14:textId="0EEEBBA6"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from listed companies</w:t>
            </w:r>
          </w:p>
        </w:tc>
        <w:tc>
          <w:tcPr>
            <w:tcW w:w="1906" w:type="pct"/>
          </w:tcPr>
          <w:p w14:paraId="2646823C" w14:textId="79F3868C" w:rsidR="00DB577A" w:rsidRPr="002D505C" w:rsidRDefault="00D63372" w:rsidP="00F4729F">
            <w:pPr>
              <w:pStyle w:val="TableParagraph"/>
              <w:spacing w:line="288" w:lineRule="auto"/>
              <w:jc w:val="center"/>
              <w:rPr>
                <w:rFonts w:ascii="Verdana" w:hAnsi="Verdana"/>
                <w:sz w:val="17"/>
                <w:szCs w:val="17"/>
              </w:rPr>
            </w:pPr>
            <w:r>
              <w:rPr>
                <w:rFonts w:ascii="Verdana" w:hAnsi="Verdana"/>
                <w:sz w:val="17"/>
                <w:szCs w:val="17"/>
              </w:rPr>
              <w:t>X</w:t>
            </w:r>
          </w:p>
        </w:tc>
      </w:tr>
      <w:tr w:rsidR="00DB577A" w:rsidRPr="002D505C" w14:paraId="28C6FFD2" w14:textId="77777777" w:rsidTr="00E53176">
        <w:trPr>
          <w:trHeight w:hRule="exact" w:val="497"/>
        </w:trPr>
        <w:tc>
          <w:tcPr>
            <w:tcW w:w="3094" w:type="pct"/>
          </w:tcPr>
          <w:p w14:paraId="44554570" w14:textId="15725DA0"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from unlisted companies</w:t>
            </w:r>
          </w:p>
        </w:tc>
        <w:tc>
          <w:tcPr>
            <w:tcW w:w="1906" w:type="pct"/>
          </w:tcPr>
          <w:p w14:paraId="103A5476" w14:textId="066B93D4" w:rsidR="00DB577A" w:rsidRPr="002D505C" w:rsidRDefault="00D63372" w:rsidP="00F4729F">
            <w:pPr>
              <w:pStyle w:val="TableParagraph"/>
              <w:spacing w:line="288" w:lineRule="auto"/>
              <w:jc w:val="center"/>
              <w:rPr>
                <w:rFonts w:ascii="Verdana" w:hAnsi="Verdana"/>
                <w:sz w:val="17"/>
                <w:szCs w:val="17"/>
              </w:rPr>
            </w:pPr>
            <w:r>
              <w:rPr>
                <w:rFonts w:ascii="Verdana" w:hAnsi="Verdana"/>
                <w:sz w:val="17"/>
                <w:szCs w:val="17"/>
              </w:rPr>
              <w:t>X</w:t>
            </w:r>
          </w:p>
        </w:tc>
      </w:tr>
      <w:tr w:rsidR="00DB577A" w:rsidRPr="002D505C" w14:paraId="2C8F1A8E" w14:textId="77777777" w:rsidTr="00E53176">
        <w:trPr>
          <w:trHeight w:hRule="exact" w:val="497"/>
        </w:trPr>
        <w:tc>
          <w:tcPr>
            <w:tcW w:w="3094" w:type="pct"/>
          </w:tcPr>
          <w:p w14:paraId="7550E3AB" w14:textId="13732592"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sz w:val="17"/>
                <w:szCs w:val="17"/>
              </w:rPr>
              <w:t>Interests related to debt instruments in listed companies</w:t>
            </w:r>
          </w:p>
        </w:tc>
        <w:tc>
          <w:tcPr>
            <w:tcW w:w="1906" w:type="pct"/>
          </w:tcPr>
          <w:p w14:paraId="7604ADDE" w14:textId="6393406D" w:rsidR="00DB577A" w:rsidRPr="002D505C" w:rsidRDefault="00D63372" w:rsidP="00F4729F">
            <w:pPr>
              <w:pStyle w:val="TableParagraph"/>
              <w:spacing w:line="288" w:lineRule="auto"/>
              <w:jc w:val="center"/>
              <w:rPr>
                <w:rFonts w:ascii="Verdana" w:hAnsi="Verdana"/>
                <w:sz w:val="17"/>
                <w:szCs w:val="17"/>
              </w:rPr>
            </w:pPr>
            <w:r>
              <w:rPr>
                <w:rFonts w:ascii="Verdana" w:hAnsi="Verdana"/>
                <w:sz w:val="17"/>
                <w:szCs w:val="17"/>
              </w:rPr>
              <w:t>X</w:t>
            </w:r>
          </w:p>
        </w:tc>
      </w:tr>
      <w:tr w:rsidR="00DB577A" w:rsidRPr="002D505C" w14:paraId="7100074F" w14:textId="77777777" w:rsidTr="00E53176">
        <w:trPr>
          <w:trHeight w:hRule="exact" w:val="497"/>
        </w:trPr>
        <w:tc>
          <w:tcPr>
            <w:tcW w:w="3094" w:type="pct"/>
          </w:tcPr>
          <w:p w14:paraId="08FA8BA3" w14:textId="751D6FCB"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sz w:val="17"/>
                <w:szCs w:val="17"/>
              </w:rPr>
              <w:t xml:space="preserve">Interests related to debt instruments in unlisted </w:t>
            </w:r>
            <w:r w:rsidR="00D0732E">
              <w:rPr>
                <w:rFonts w:ascii="Verdana" w:hAnsi="Verdana"/>
                <w:sz w:val="17"/>
                <w:szCs w:val="17"/>
              </w:rPr>
              <w:t>c</w:t>
            </w:r>
            <w:r w:rsidRPr="002D505C">
              <w:rPr>
                <w:rFonts w:ascii="Verdana" w:hAnsi="Verdana"/>
                <w:sz w:val="17"/>
                <w:szCs w:val="17"/>
              </w:rPr>
              <w:t>ompanies</w:t>
            </w:r>
          </w:p>
        </w:tc>
        <w:tc>
          <w:tcPr>
            <w:tcW w:w="1906" w:type="pct"/>
          </w:tcPr>
          <w:p w14:paraId="0E15AFA5" w14:textId="53934B8C" w:rsidR="00DB577A" w:rsidRPr="002D505C" w:rsidRDefault="00DB577A" w:rsidP="00F4729F">
            <w:pPr>
              <w:pStyle w:val="TableParagraph"/>
              <w:spacing w:line="288" w:lineRule="auto"/>
              <w:jc w:val="center"/>
              <w:rPr>
                <w:rFonts w:ascii="Verdana" w:hAnsi="Verdana"/>
                <w:sz w:val="17"/>
                <w:szCs w:val="17"/>
              </w:rPr>
            </w:pPr>
          </w:p>
        </w:tc>
      </w:tr>
      <w:tr w:rsidR="00DB577A" w:rsidRPr="002D505C" w14:paraId="79BD97DC" w14:textId="77777777" w:rsidTr="00E53176">
        <w:trPr>
          <w:trHeight w:hRule="exact" w:val="497"/>
        </w:trPr>
        <w:tc>
          <w:tcPr>
            <w:tcW w:w="3094" w:type="pct"/>
          </w:tcPr>
          <w:p w14:paraId="29254EA6" w14:textId="77777777"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sz w:val="17"/>
                <w:szCs w:val="17"/>
              </w:rPr>
              <w:lastRenderedPageBreak/>
              <w:t>Royalties</w:t>
            </w:r>
          </w:p>
        </w:tc>
        <w:tc>
          <w:tcPr>
            <w:tcW w:w="1906" w:type="pct"/>
          </w:tcPr>
          <w:p w14:paraId="6AB9ECC8" w14:textId="6C9A65C0" w:rsidR="00DB577A" w:rsidRPr="002D505C" w:rsidRDefault="00D63372" w:rsidP="00F4729F">
            <w:pPr>
              <w:pStyle w:val="TableParagraph"/>
              <w:spacing w:line="288" w:lineRule="auto"/>
              <w:jc w:val="center"/>
              <w:rPr>
                <w:rFonts w:ascii="Verdana" w:hAnsi="Verdana"/>
                <w:sz w:val="17"/>
                <w:szCs w:val="17"/>
              </w:rPr>
            </w:pPr>
            <w:r>
              <w:rPr>
                <w:rFonts w:ascii="Verdana" w:hAnsi="Verdana"/>
                <w:sz w:val="17"/>
                <w:szCs w:val="17"/>
              </w:rPr>
              <w:t>X</w:t>
            </w:r>
          </w:p>
        </w:tc>
      </w:tr>
      <w:tr w:rsidR="00DB577A" w:rsidRPr="002D505C" w14:paraId="2B51A0FB" w14:textId="77777777" w:rsidTr="00E53176">
        <w:trPr>
          <w:trHeight w:hRule="exact" w:val="497"/>
        </w:trPr>
        <w:tc>
          <w:tcPr>
            <w:tcW w:w="3094" w:type="pct"/>
          </w:tcPr>
          <w:p w14:paraId="7977BFA4" w14:textId="77777777" w:rsidR="00DB577A" w:rsidRPr="002D505C" w:rsidRDefault="00DB577A"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Other</w:t>
            </w:r>
          </w:p>
        </w:tc>
        <w:tc>
          <w:tcPr>
            <w:tcW w:w="1906" w:type="pct"/>
          </w:tcPr>
          <w:p w14:paraId="6A9D3044" w14:textId="77777777" w:rsidR="00DB577A" w:rsidRPr="002D505C" w:rsidRDefault="00DB577A" w:rsidP="002D505C">
            <w:pPr>
              <w:pStyle w:val="TableParagraph"/>
              <w:spacing w:line="288" w:lineRule="auto"/>
              <w:jc w:val="both"/>
              <w:rPr>
                <w:rFonts w:ascii="Verdana" w:hAnsi="Verdana"/>
                <w:sz w:val="17"/>
                <w:szCs w:val="17"/>
              </w:rPr>
            </w:pPr>
          </w:p>
        </w:tc>
      </w:tr>
    </w:tbl>
    <w:p w14:paraId="78D7F38D" w14:textId="77777777" w:rsidR="00804C53" w:rsidRPr="002D505C" w:rsidRDefault="00804C53" w:rsidP="002D505C">
      <w:pPr>
        <w:rPr>
          <w:sz w:val="17"/>
          <w:szCs w:val="17"/>
        </w:rPr>
      </w:pPr>
    </w:p>
    <w:p w14:paraId="04E7F6CE" w14:textId="77777777" w:rsidR="009D4257" w:rsidRPr="0000274E" w:rsidRDefault="009D4257" w:rsidP="0000274E">
      <w:pPr>
        <w:pStyle w:val="CEABullet-Level1"/>
        <w:numPr>
          <w:ilvl w:val="0"/>
          <w:numId w:val="0"/>
        </w:numPr>
        <w:ind w:left="720" w:hanging="360"/>
      </w:pPr>
    </w:p>
    <w:p w14:paraId="1C7E25AD" w14:textId="227204A3" w:rsidR="004528BE" w:rsidRPr="0000274E" w:rsidRDefault="004528BE" w:rsidP="009011CC">
      <w:pPr>
        <w:pStyle w:val="CEABullet-Level1"/>
        <w:numPr>
          <w:ilvl w:val="0"/>
          <w:numId w:val="12"/>
        </w:numPr>
      </w:pPr>
      <w:r w:rsidRPr="0000274E">
        <w:t>What is in your opinion the nature of the problems with existing WHT refund procedures? (Multiple options are available. Please qualify your answer by clicking in the grid)</w:t>
      </w:r>
    </w:p>
    <w:tbl>
      <w:tblPr>
        <w:tblW w:w="5000" w:type="pct"/>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CellMar>
          <w:left w:w="0" w:type="dxa"/>
          <w:right w:w="0" w:type="dxa"/>
        </w:tblCellMar>
        <w:tblLook w:val="01E0" w:firstRow="1" w:lastRow="1" w:firstColumn="1" w:lastColumn="1" w:noHBand="0" w:noVBand="0"/>
      </w:tblPr>
      <w:tblGrid>
        <w:gridCol w:w="5553"/>
        <w:gridCol w:w="1320"/>
        <w:gridCol w:w="1320"/>
        <w:gridCol w:w="1318"/>
      </w:tblGrid>
      <w:tr w:rsidR="004528BE" w:rsidRPr="002D505C" w14:paraId="2BD90A19" w14:textId="77777777" w:rsidTr="00E53176">
        <w:trPr>
          <w:trHeight w:hRule="exact" w:val="773"/>
        </w:trPr>
        <w:tc>
          <w:tcPr>
            <w:tcW w:w="2919" w:type="pct"/>
          </w:tcPr>
          <w:p w14:paraId="2E7811ED" w14:textId="77777777" w:rsidR="004528BE" w:rsidRPr="002D505C" w:rsidRDefault="004528BE" w:rsidP="002D505C">
            <w:pPr>
              <w:pStyle w:val="TableParagraph"/>
              <w:spacing w:line="288" w:lineRule="auto"/>
              <w:jc w:val="both"/>
              <w:rPr>
                <w:rFonts w:ascii="Verdana" w:hAnsi="Verdana"/>
                <w:sz w:val="17"/>
                <w:szCs w:val="17"/>
              </w:rPr>
            </w:pPr>
          </w:p>
          <w:p w14:paraId="4F546DCA" w14:textId="77777777" w:rsidR="004528BE" w:rsidRPr="002D505C" w:rsidRDefault="004528BE" w:rsidP="002D505C">
            <w:pPr>
              <w:pStyle w:val="TableParagraph"/>
              <w:spacing w:line="288" w:lineRule="auto"/>
              <w:ind w:left="1806"/>
              <w:jc w:val="both"/>
              <w:rPr>
                <w:rFonts w:ascii="Verdana" w:hAnsi="Verdana"/>
                <w:b/>
                <w:sz w:val="17"/>
                <w:szCs w:val="17"/>
              </w:rPr>
            </w:pPr>
            <w:r w:rsidRPr="002D505C">
              <w:rPr>
                <w:rFonts w:ascii="Verdana" w:hAnsi="Verdana"/>
                <w:b/>
                <w:w w:val="105"/>
                <w:sz w:val="17"/>
                <w:szCs w:val="17"/>
              </w:rPr>
              <w:t>Nature of the problem</w:t>
            </w:r>
          </w:p>
        </w:tc>
        <w:tc>
          <w:tcPr>
            <w:tcW w:w="694" w:type="pct"/>
          </w:tcPr>
          <w:p w14:paraId="7504BD2A" w14:textId="77777777" w:rsidR="004528BE" w:rsidRPr="002D505C" w:rsidRDefault="004528BE" w:rsidP="002D505C">
            <w:pPr>
              <w:pStyle w:val="TableParagraph"/>
              <w:spacing w:line="288" w:lineRule="auto"/>
              <w:ind w:left="180" w:firstLine="276"/>
              <w:jc w:val="both"/>
              <w:rPr>
                <w:rFonts w:ascii="Verdana" w:hAnsi="Verdana"/>
                <w:sz w:val="17"/>
                <w:szCs w:val="17"/>
              </w:rPr>
            </w:pPr>
            <w:r w:rsidRPr="002D505C">
              <w:rPr>
                <w:rFonts w:ascii="Verdana" w:hAnsi="Verdana"/>
                <w:w w:val="105"/>
                <w:sz w:val="17"/>
                <w:szCs w:val="17"/>
              </w:rPr>
              <w:t xml:space="preserve">Low </w:t>
            </w:r>
            <w:r w:rsidRPr="002D505C">
              <w:rPr>
                <w:rFonts w:ascii="Verdana" w:hAnsi="Verdana"/>
                <w:sz w:val="17"/>
                <w:szCs w:val="17"/>
              </w:rPr>
              <w:t>importance</w:t>
            </w:r>
          </w:p>
        </w:tc>
        <w:tc>
          <w:tcPr>
            <w:tcW w:w="694" w:type="pct"/>
          </w:tcPr>
          <w:p w14:paraId="51D9EBD8" w14:textId="77777777" w:rsidR="004528BE" w:rsidRPr="002D505C" w:rsidRDefault="004528BE" w:rsidP="002D505C">
            <w:pPr>
              <w:pStyle w:val="TableParagraph"/>
              <w:spacing w:line="288" w:lineRule="auto"/>
              <w:ind w:left="180" w:firstLine="108"/>
              <w:jc w:val="both"/>
              <w:rPr>
                <w:rFonts w:ascii="Verdana" w:hAnsi="Verdana"/>
                <w:sz w:val="17"/>
                <w:szCs w:val="17"/>
              </w:rPr>
            </w:pPr>
            <w:r w:rsidRPr="002D505C">
              <w:rPr>
                <w:rFonts w:ascii="Verdana" w:hAnsi="Verdana"/>
                <w:sz w:val="17"/>
                <w:szCs w:val="17"/>
              </w:rPr>
              <w:t>Medium importance</w:t>
            </w:r>
          </w:p>
        </w:tc>
        <w:tc>
          <w:tcPr>
            <w:tcW w:w="694" w:type="pct"/>
          </w:tcPr>
          <w:p w14:paraId="3039936A" w14:textId="77777777" w:rsidR="004528BE" w:rsidRPr="002D505C" w:rsidRDefault="004528BE" w:rsidP="002D505C">
            <w:pPr>
              <w:pStyle w:val="TableParagraph"/>
              <w:spacing w:line="288" w:lineRule="auto"/>
              <w:ind w:left="180" w:firstLine="255"/>
              <w:jc w:val="both"/>
              <w:rPr>
                <w:rFonts w:ascii="Verdana" w:hAnsi="Verdana"/>
                <w:sz w:val="17"/>
                <w:szCs w:val="17"/>
              </w:rPr>
            </w:pPr>
            <w:r w:rsidRPr="002D505C">
              <w:rPr>
                <w:rFonts w:ascii="Verdana" w:hAnsi="Verdana"/>
                <w:sz w:val="17"/>
                <w:szCs w:val="17"/>
              </w:rPr>
              <w:t>High importance</w:t>
            </w:r>
          </w:p>
        </w:tc>
      </w:tr>
      <w:tr w:rsidR="004528BE" w:rsidRPr="002D505C" w14:paraId="29B3F111" w14:textId="77777777" w:rsidTr="00E53176">
        <w:trPr>
          <w:trHeight w:hRule="exact" w:val="1069"/>
        </w:trPr>
        <w:tc>
          <w:tcPr>
            <w:tcW w:w="2919" w:type="pct"/>
          </w:tcPr>
          <w:p w14:paraId="40652A96" w14:textId="77777777" w:rsidR="004528BE" w:rsidRPr="002D505C" w:rsidRDefault="004528BE" w:rsidP="002D505C">
            <w:pPr>
              <w:pStyle w:val="TableParagraph"/>
              <w:spacing w:line="288" w:lineRule="auto"/>
              <w:ind w:left="180" w:right="327"/>
              <w:jc w:val="both"/>
              <w:rPr>
                <w:rFonts w:ascii="Verdana" w:hAnsi="Verdana"/>
                <w:sz w:val="17"/>
                <w:szCs w:val="17"/>
              </w:rPr>
            </w:pPr>
            <w:r w:rsidRPr="002D505C">
              <w:rPr>
                <w:rFonts w:ascii="Verdana" w:hAnsi="Verdana"/>
                <w:w w:val="105"/>
                <w:sz w:val="17"/>
                <w:szCs w:val="17"/>
              </w:rPr>
              <w:t>Lack of knowledge by the investor about the existence of refund</w:t>
            </w:r>
            <w:r w:rsidRPr="002D505C">
              <w:rPr>
                <w:rFonts w:ascii="Verdana" w:hAnsi="Verdana"/>
                <w:spacing w:val="-16"/>
                <w:w w:val="105"/>
                <w:sz w:val="17"/>
                <w:szCs w:val="17"/>
              </w:rPr>
              <w:t xml:space="preserve"> </w:t>
            </w:r>
            <w:r w:rsidRPr="002D505C">
              <w:rPr>
                <w:rFonts w:ascii="Verdana" w:hAnsi="Verdana"/>
                <w:w w:val="105"/>
                <w:sz w:val="17"/>
                <w:szCs w:val="17"/>
              </w:rPr>
              <w:t>procedures</w:t>
            </w:r>
            <w:r w:rsidRPr="002D505C">
              <w:rPr>
                <w:rFonts w:ascii="Verdana" w:hAnsi="Verdana"/>
                <w:spacing w:val="-16"/>
                <w:w w:val="105"/>
                <w:sz w:val="17"/>
                <w:szCs w:val="17"/>
              </w:rPr>
              <w:t xml:space="preserve"> </w:t>
            </w:r>
            <w:r w:rsidRPr="002D505C">
              <w:rPr>
                <w:rFonts w:ascii="Verdana" w:hAnsi="Verdana"/>
                <w:w w:val="105"/>
                <w:sz w:val="17"/>
                <w:szCs w:val="17"/>
              </w:rPr>
              <w:t>and/or</w:t>
            </w:r>
            <w:r w:rsidRPr="002D505C">
              <w:rPr>
                <w:rFonts w:ascii="Verdana" w:hAnsi="Verdana"/>
                <w:spacing w:val="-16"/>
                <w:w w:val="105"/>
                <w:sz w:val="17"/>
                <w:szCs w:val="17"/>
              </w:rPr>
              <w:t xml:space="preserve"> </w:t>
            </w:r>
            <w:r w:rsidRPr="002D505C">
              <w:rPr>
                <w:rFonts w:ascii="Verdana" w:hAnsi="Verdana"/>
                <w:w w:val="105"/>
                <w:sz w:val="17"/>
                <w:szCs w:val="17"/>
              </w:rPr>
              <w:t>mechanism</w:t>
            </w:r>
            <w:r w:rsidRPr="002D505C">
              <w:rPr>
                <w:rFonts w:ascii="Verdana" w:hAnsi="Verdana"/>
                <w:spacing w:val="-16"/>
                <w:w w:val="105"/>
                <w:sz w:val="17"/>
                <w:szCs w:val="17"/>
              </w:rPr>
              <w:t xml:space="preserve"> </w:t>
            </w:r>
            <w:r w:rsidRPr="002D505C">
              <w:rPr>
                <w:rFonts w:ascii="Verdana" w:hAnsi="Verdana"/>
                <w:w w:val="105"/>
                <w:sz w:val="17"/>
                <w:szCs w:val="17"/>
              </w:rPr>
              <w:t>available</w:t>
            </w:r>
            <w:r w:rsidRPr="002D505C">
              <w:rPr>
                <w:rFonts w:ascii="Verdana" w:hAnsi="Verdana"/>
                <w:spacing w:val="-16"/>
                <w:w w:val="105"/>
                <w:sz w:val="17"/>
                <w:szCs w:val="17"/>
              </w:rPr>
              <w:t xml:space="preserve"> </w:t>
            </w:r>
            <w:r w:rsidRPr="002D505C">
              <w:rPr>
                <w:rFonts w:ascii="Verdana" w:hAnsi="Verdana"/>
                <w:w w:val="105"/>
                <w:sz w:val="17"/>
                <w:szCs w:val="17"/>
              </w:rPr>
              <w:t>to</w:t>
            </w:r>
            <w:r w:rsidRPr="002D505C">
              <w:rPr>
                <w:rFonts w:ascii="Verdana" w:hAnsi="Verdana"/>
                <w:spacing w:val="-16"/>
                <w:w w:val="105"/>
                <w:sz w:val="17"/>
                <w:szCs w:val="17"/>
              </w:rPr>
              <w:t xml:space="preserve"> </w:t>
            </w:r>
            <w:r w:rsidRPr="002D505C">
              <w:rPr>
                <w:rFonts w:ascii="Verdana" w:hAnsi="Verdana"/>
                <w:w w:val="105"/>
                <w:sz w:val="17"/>
                <w:szCs w:val="17"/>
              </w:rPr>
              <w:t>claim</w:t>
            </w:r>
            <w:r w:rsidRPr="002D505C">
              <w:rPr>
                <w:rFonts w:ascii="Verdana" w:hAnsi="Verdana"/>
                <w:spacing w:val="-16"/>
                <w:w w:val="105"/>
                <w:sz w:val="17"/>
                <w:szCs w:val="17"/>
              </w:rPr>
              <w:t xml:space="preserve"> </w:t>
            </w:r>
            <w:r w:rsidRPr="002D505C">
              <w:rPr>
                <w:rFonts w:ascii="Verdana" w:hAnsi="Verdana"/>
                <w:w w:val="105"/>
                <w:sz w:val="17"/>
                <w:szCs w:val="17"/>
              </w:rPr>
              <w:t>the refund</w:t>
            </w:r>
          </w:p>
        </w:tc>
        <w:tc>
          <w:tcPr>
            <w:tcW w:w="694" w:type="pct"/>
          </w:tcPr>
          <w:p w14:paraId="23ABD7F6"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73E2F133"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704888C5" w14:textId="77777777" w:rsidR="004528BE" w:rsidRPr="002D505C" w:rsidRDefault="004528BE" w:rsidP="002D505C">
            <w:pPr>
              <w:pStyle w:val="TableParagraph"/>
              <w:spacing w:line="288" w:lineRule="auto"/>
              <w:jc w:val="both"/>
              <w:rPr>
                <w:rFonts w:ascii="Verdana" w:hAnsi="Verdana"/>
                <w:sz w:val="17"/>
                <w:szCs w:val="17"/>
              </w:rPr>
            </w:pPr>
          </w:p>
        </w:tc>
      </w:tr>
      <w:tr w:rsidR="004528BE" w:rsidRPr="002D505C" w14:paraId="376B1EB2" w14:textId="77777777" w:rsidTr="00E53176">
        <w:trPr>
          <w:trHeight w:hRule="exact" w:val="773"/>
        </w:trPr>
        <w:tc>
          <w:tcPr>
            <w:tcW w:w="2919" w:type="pct"/>
          </w:tcPr>
          <w:p w14:paraId="7733EA9F" w14:textId="77777777" w:rsidR="004528BE" w:rsidRPr="002D505C" w:rsidRDefault="004528BE" w:rsidP="002D505C">
            <w:pPr>
              <w:pStyle w:val="TableParagraph"/>
              <w:spacing w:line="288" w:lineRule="auto"/>
              <w:ind w:left="180" w:right="327"/>
              <w:jc w:val="both"/>
              <w:rPr>
                <w:rFonts w:ascii="Verdana" w:hAnsi="Verdana"/>
                <w:sz w:val="17"/>
                <w:szCs w:val="17"/>
              </w:rPr>
            </w:pPr>
            <w:r w:rsidRPr="002D505C">
              <w:rPr>
                <w:rFonts w:ascii="Verdana" w:hAnsi="Verdana"/>
                <w:sz w:val="17"/>
                <w:szCs w:val="17"/>
              </w:rPr>
              <w:t xml:space="preserve">Lack of digitalization in WHT procedures and </w:t>
            </w:r>
            <w:proofErr w:type="spellStart"/>
            <w:proofErr w:type="gramStart"/>
            <w:r w:rsidRPr="002D505C">
              <w:rPr>
                <w:rFonts w:ascii="Verdana" w:hAnsi="Verdana"/>
                <w:sz w:val="17"/>
                <w:szCs w:val="17"/>
              </w:rPr>
              <w:t>non user</w:t>
            </w:r>
            <w:proofErr w:type="spellEnd"/>
            <w:proofErr w:type="gramEnd"/>
            <w:r w:rsidRPr="002D505C">
              <w:rPr>
                <w:rFonts w:ascii="Verdana" w:hAnsi="Verdana"/>
                <w:sz w:val="17"/>
                <w:szCs w:val="17"/>
              </w:rPr>
              <w:t>- friendly forms</w:t>
            </w:r>
          </w:p>
        </w:tc>
        <w:tc>
          <w:tcPr>
            <w:tcW w:w="694" w:type="pct"/>
          </w:tcPr>
          <w:p w14:paraId="4AFAC3B6"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072774DC"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49B4C80B" w14:textId="7ABDBC79" w:rsidR="004528BE" w:rsidRPr="00516113" w:rsidRDefault="00CA0A37" w:rsidP="00CA0A37">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73B896BA" w14:textId="77777777" w:rsidTr="00E53176">
        <w:trPr>
          <w:trHeight w:hRule="exact" w:val="497"/>
        </w:trPr>
        <w:tc>
          <w:tcPr>
            <w:tcW w:w="2919" w:type="pct"/>
          </w:tcPr>
          <w:p w14:paraId="23855E32" w14:textId="77777777"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Lengthy WHT refund procedures</w:t>
            </w:r>
          </w:p>
        </w:tc>
        <w:tc>
          <w:tcPr>
            <w:tcW w:w="694" w:type="pct"/>
          </w:tcPr>
          <w:p w14:paraId="48F04B64"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50D37D3B"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09649BC5" w14:textId="17069784" w:rsidR="004528BE" w:rsidRPr="00516113" w:rsidRDefault="00D63372" w:rsidP="00F4729F">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38D4393B" w14:textId="77777777" w:rsidTr="00E53176">
        <w:trPr>
          <w:trHeight w:hRule="exact" w:val="773"/>
        </w:trPr>
        <w:tc>
          <w:tcPr>
            <w:tcW w:w="2919" w:type="pct"/>
          </w:tcPr>
          <w:p w14:paraId="0B7B4653" w14:textId="77777777" w:rsidR="004528BE" w:rsidRPr="002D505C" w:rsidRDefault="004528BE" w:rsidP="002D505C">
            <w:pPr>
              <w:pStyle w:val="TableParagraph"/>
              <w:spacing w:line="288" w:lineRule="auto"/>
              <w:ind w:left="180" w:right="327"/>
              <w:jc w:val="both"/>
              <w:rPr>
                <w:rFonts w:ascii="Verdana" w:hAnsi="Verdana"/>
                <w:sz w:val="17"/>
                <w:szCs w:val="17"/>
              </w:rPr>
            </w:pPr>
            <w:r w:rsidRPr="002D505C">
              <w:rPr>
                <w:rFonts w:ascii="Verdana" w:hAnsi="Verdana"/>
                <w:sz w:val="17"/>
                <w:szCs w:val="17"/>
              </w:rPr>
              <w:t>Costly WHT refund procedures in monetary terms (administrative and opportunity costs   included)</w:t>
            </w:r>
          </w:p>
        </w:tc>
        <w:tc>
          <w:tcPr>
            <w:tcW w:w="694" w:type="pct"/>
          </w:tcPr>
          <w:p w14:paraId="574984C8"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09A20FF2" w14:textId="691A0EE2" w:rsidR="004528BE" w:rsidRPr="002D505C" w:rsidRDefault="00D63372" w:rsidP="00F4729F">
            <w:pPr>
              <w:pStyle w:val="TableParagraph"/>
              <w:spacing w:line="288" w:lineRule="auto"/>
              <w:jc w:val="center"/>
              <w:rPr>
                <w:rFonts w:ascii="Verdana" w:hAnsi="Verdana"/>
                <w:sz w:val="17"/>
                <w:szCs w:val="17"/>
              </w:rPr>
            </w:pPr>
            <w:r>
              <w:rPr>
                <w:rFonts w:ascii="Verdana" w:hAnsi="Verdana"/>
                <w:sz w:val="17"/>
                <w:szCs w:val="17"/>
              </w:rPr>
              <w:t>X</w:t>
            </w:r>
          </w:p>
        </w:tc>
        <w:tc>
          <w:tcPr>
            <w:tcW w:w="694" w:type="pct"/>
          </w:tcPr>
          <w:p w14:paraId="1C6DBC0E" w14:textId="77777777" w:rsidR="004528BE" w:rsidRPr="00516113" w:rsidRDefault="004528BE" w:rsidP="002D505C">
            <w:pPr>
              <w:pStyle w:val="TableParagraph"/>
              <w:spacing w:line="288" w:lineRule="auto"/>
              <w:jc w:val="both"/>
              <w:rPr>
                <w:rFonts w:ascii="Verdana" w:hAnsi="Verdana"/>
                <w:sz w:val="17"/>
                <w:szCs w:val="17"/>
              </w:rPr>
            </w:pPr>
          </w:p>
        </w:tc>
      </w:tr>
      <w:tr w:rsidR="004528BE" w:rsidRPr="002D505C" w14:paraId="60B41461" w14:textId="77777777" w:rsidTr="00E53176">
        <w:trPr>
          <w:trHeight w:hRule="exact" w:val="773"/>
        </w:trPr>
        <w:tc>
          <w:tcPr>
            <w:tcW w:w="2919" w:type="pct"/>
          </w:tcPr>
          <w:p w14:paraId="40A46599" w14:textId="77777777" w:rsidR="004528BE" w:rsidRPr="002D505C" w:rsidRDefault="004528BE" w:rsidP="002D505C">
            <w:pPr>
              <w:pStyle w:val="TableParagraph"/>
              <w:spacing w:line="288" w:lineRule="auto"/>
              <w:ind w:left="180" w:right="905"/>
              <w:jc w:val="both"/>
              <w:rPr>
                <w:rFonts w:ascii="Verdana" w:hAnsi="Verdana"/>
                <w:sz w:val="17"/>
                <w:szCs w:val="17"/>
              </w:rPr>
            </w:pPr>
            <w:r w:rsidRPr="002D505C">
              <w:rPr>
                <w:rFonts w:ascii="Verdana" w:hAnsi="Verdana"/>
                <w:w w:val="105"/>
                <w:sz w:val="17"/>
                <w:szCs w:val="17"/>
              </w:rPr>
              <w:t>Country</w:t>
            </w:r>
            <w:r w:rsidRPr="002D505C">
              <w:rPr>
                <w:rFonts w:ascii="Verdana" w:hAnsi="Verdana"/>
                <w:spacing w:val="-14"/>
                <w:w w:val="105"/>
                <w:sz w:val="17"/>
                <w:szCs w:val="17"/>
              </w:rPr>
              <w:t xml:space="preserve"> </w:t>
            </w:r>
            <w:r w:rsidRPr="002D505C">
              <w:rPr>
                <w:rFonts w:ascii="Verdana" w:hAnsi="Verdana"/>
                <w:w w:val="105"/>
                <w:sz w:val="17"/>
                <w:szCs w:val="17"/>
              </w:rPr>
              <w:t>of</w:t>
            </w:r>
            <w:r w:rsidRPr="002D505C">
              <w:rPr>
                <w:rFonts w:ascii="Verdana" w:hAnsi="Verdana"/>
                <w:spacing w:val="-14"/>
                <w:w w:val="105"/>
                <w:sz w:val="17"/>
                <w:szCs w:val="17"/>
              </w:rPr>
              <w:t xml:space="preserve"> </w:t>
            </w:r>
            <w:r w:rsidRPr="002D505C">
              <w:rPr>
                <w:rFonts w:ascii="Verdana" w:hAnsi="Verdana"/>
                <w:w w:val="105"/>
                <w:sz w:val="17"/>
                <w:szCs w:val="17"/>
              </w:rPr>
              <w:t>investment</w:t>
            </w:r>
            <w:r w:rsidRPr="002D505C">
              <w:rPr>
                <w:rFonts w:ascii="Verdana" w:hAnsi="Verdana"/>
                <w:spacing w:val="-14"/>
                <w:w w:val="105"/>
                <w:sz w:val="17"/>
                <w:szCs w:val="17"/>
              </w:rPr>
              <w:t xml:space="preserve"> </w:t>
            </w:r>
            <w:r w:rsidRPr="002D505C">
              <w:rPr>
                <w:rFonts w:ascii="Verdana" w:hAnsi="Verdana"/>
                <w:w w:val="105"/>
                <w:sz w:val="17"/>
                <w:szCs w:val="17"/>
              </w:rPr>
              <w:t>does</w:t>
            </w:r>
            <w:r w:rsidRPr="002D505C">
              <w:rPr>
                <w:rFonts w:ascii="Verdana" w:hAnsi="Verdana"/>
                <w:spacing w:val="-14"/>
                <w:w w:val="105"/>
                <w:sz w:val="17"/>
                <w:szCs w:val="17"/>
              </w:rPr>
              <w:t xml:space="preserve"> </w:t>
            </w:r>
            <w:r w:rsidRPr="002D505C">
              <w:rPr>
                <w:rFonts w:ascii="Verdana" w:hAnsi="Verdana"/>
                <w:w w:val="105"/>
                <w:sz w:val="17"/>
                <w:szCs w:val="17"/>
              </w:rPr>
              <w:t>not</w:t>
            </w:r>
            <w:r w:rsidRPr="002D505C">
              <w:rPr>
                <w:rFonts w:ascii="Verdana" w:hAnsi="Verdana"/>
                <w:spacing w:val="-14"/>
                <w:w w:val="105"/>
                <w:sz w:val="17"/>
                <w:szCs w:val="17"/>
              </w:rPr>
              <w:t xml:space="preserve"> </w:t>
            </w:r>
            <w:r w:rsidRPr="002D505C">
              <w:rPr>
                <w:rFonts w:ascii="Verdana" w:hAnsi="Verdana"/>
                <w:w w:val="105"/>
                <w:sz w:val="17"/>
                <w:szCs w:val="17"/>
              </w:rPr>
              <w:t>accept</w:t>
            </w:r>
            <w:r w:rsidRPr="002D505C">
              <w:rPr>
                <w:rFonts w:ascii="Verdana" w:hAnsi="Verdana"/>
                <w:spacing w:val="-14"/>
                <w:w w:val="105"/>
                <w:sz w:val="17"/>
                <w:szCs w:val="17"/>
              </w:rPr>
              <w:t xml:space="preserve"> </w:t>
            </w:r>
            <w:r w:rsidRPr="002D505C">
              <w:rPr>
                <w:rFonts w:ascii="Verdana" w:hAnsi="Verdana"/>
                <w:w w:val="105"/>
                <w:sz w:val="17"/>
                <w:szCs w:val="17"/>
              </w:rPr>
              <w:t>tax</w:t>
            </w:r>
            <w:r w:rsidRPr="002D505C">
              <w:rPr>
                <w:rFonts w:ascii="Verdana" w:hAnsi="Verdana"/>
                <w:spacing w:val="-14"/>
                <w:w w:val="105"/>
                <w:sz w:val="17"/>
                <w:szCs w:val="17"/>
              </w:rPr>
              <w:t xml:space="preserve"> </w:t>
            </w:r>
            <w:r w:rsidRPr="002D505C">
              <w:rPr>
                <w:rFonts w:ascii="Verdana" w:hAnsi="Verdana"/>
                <w:w w:val="105"/>
                <w:sz w:val="17"/>
                <w:szCs w:val="17"/>
              </w:rPr>
              <w:t>residence certificates</w:t>
            </w:r>
            <w:r w:rsidRPr="002D505C">
              <w:rPr>
                <w:rFonts w:ascii="Verdana" w:hAnsi="Verdana"/>
                <w:spacing w:val="-17"/>
                <w:w w:val="105"/>
                <w:sz w:val="17"/>
                <w:szCs w:val="17"/>
              </w:rPr>
              <w:t xml:space="preserve"> </w:t>
            </w:r>
            <w:r w:rsidRPr="002D505C">
              <w:rPr>
                <w:rFonts w:ascii="Verdana" w:hAnsi="Verdana"/>
                <w:w w:val="105"/>
                <w:sz w:val="17"/>
                <w:szCs w:val="17"/>
              </w:rPr>
              <w:t>from</w:t>
            </w:r>
            <w:r w:rsidRPr="002D505C">
              <w:rPr>
                <w:rFonts w:ascii="Verdana" w:hAnsi="Verdana"/>
                <w:spacing w:val="-17"/>
                <w:w w:val="105"/>
                <w:sz w:val="17"/>
                <w:szCs w:val="17"/>
              </w:rPr>
              <w:t xml:space="preserve"> </w:t>
            </w:r>
            <w:r w:rsidRPr="002D505C">
              <w:rPr>
                <w:rFonts w:ascii="Verdana" w:hAnsi="Verdana"/>
                <w:w w:val="105"/>
                <w:sz w:val="17"/>
                <w:szCs w:val="17"/>
              </w:rPr>
              <w:t>the</w:t>
            </w:r>
            <w:r w:rsidRPr="002D505C">
              <w:rPr>
                <w:rFonts w:ascii="Verdana" w:hAnsi="Verdana"/>
                <w:spacing w:val="-17"/>
                <w:w w:val="105"/>
                <w:sz w:val="17"/>
                <w:szCs w:val="17"/>
              </w:rPr>
              <w:t xml:space="preserve"> </w:t>
            </w:r>
            <w:r w:rsidRPr="002D505C">
              <w:rPr>
                <w:rFonts w:ascii="Verdana" w:hAnsi="Verdana"/>
                <w:w w:val="105"/>
                <w:sz w:val="17"/>
                <w:szCs w:val="17"/>
              </w:rPr>
              <w:t>residence</w:t>
            </w:r>
            <w:r w:rsidRPr="002D505C">
              <w:rPr>
                <w:rFonts w:ascii="Verdana" w:hAnsi="Verdana"/>
                <w:spacing w:val="-17"/>
                <w:w w:val="105"/>
                <w:sz w:val="17"/>
                <w:szCs w:val="17"/>
              </w:rPr>
              <w:t xml:space="preserve"> </w:t>
            </w:r>
            <w:r w:rsidRPr="002D505C">
              <w:rPr>
                <w:rFonts w:ascii="Verdana" w:hAnsi="Verdana"/>
                <w:w w:val="105"/>
                <w:sz w:val="17"/>
                <w:szCs w:val="17"/>
              </w:rPr>
              <w:t>state</w:t>
            </w:r>
          </w:p>
        </w:tc>
        <w:tc>
          <w:tcPr>
            <w:tcW w:w="694" w:type="pct"/>
          </w:tcPr>
          <w:p w14:paraId="7F4D1924"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25A2E36F" w14:textId="2E13FD19" w:rsidR="004528BE" w:rsidRPr="002D505C" w:rsidRDefault="004528BE" w:rsidP="00674002">
            <w:pPr>
              <w:pStyle w:val="TableParagraph"/>
              <w:spacing w:line="288" w:lineRule="auto"/>
              <w:jc w:val="center"/>
              <w:rPr>
                <w:rFonts w:ascii="Verdana" w:hAnsi="Verdana"/>
                <w:sz w:val="17"/>
                <w:szCs w:val="17"/>
              </w:rPr>
            </w:pPr>
          </w:p>
        </w:tc>
        <w:tc>
          <w:tcPr>
            <w:tcW w:w="694" w:type="pct"/>
          </w:tcPr>
          <w:p w14:paraId="55275350" w14:textId="36DEF94E" w:rsidR="004528BE" w:rsidRPr="00516113" w:rsidRDefault="00570366" w:rsidP="0007707F">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16196BB8" w14:textId="77777777" w:rsidTr="00E53176">
        <w:trPr>
          <w:trHeight w:hRule="exact" w:val="497"/>
        </w:trPr>
        <w:tc>
          <w:tcPr>
            <w:tcW w:w="2919" w:type="pct"/>
          </w:tcPr>
          <w:p w14:paraId="777EB1CA" w14:textId="1C472A69"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sz w:val="17"/>
                <w:szCs w:val="17"/>
              </w:rPr>
              <w:t>Conflict on tax residency</w:t>
            </w:r>
          </w:p>
        </w:tc>
        <w:tc>
          <w:tcPr>
            <w:tcW w:w="694" w:type="pct"/>
          </w:tcPr>
          <w:p w14:paraId="1B4DCBDC"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438DC6A8" w14:textId="5AB6B6CF" w:rsidR="004528BE" w:rsidRPr="002D505C" w:rsidRDefault="004528BE" w:rsidP="002D505C">
            <w:pPr>
              <w:pStyle w:val="TableParagraph"/>
              <w:spacing w:line="288" w:lineRule="auto"/>
              <w:jc w:val="both"/>
              <w:rPr>
                <w:rFonts w:ascii="Verdana" w:hAnsi="Verdana"/>
                <w:sz w:val="17"/>
                <w:szCs w:val="17"/>
              </w:rPr>
            </w:pPr>
          </w:p>
        </w:tc>
        <w:tc>
          <w:tcPr>
            <w:tcW w:w="694" w:type="pct"/>
          </w:tcPr>
          <w:p w14:paraId="7DDCAE58" w14:textId="26CF2711" w:rsidR="004528BE" w:rsidRPr="00516113" w:rsidRDefault="00B464FA" w:rsidP="004A03B1">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12828624" w14:textId="77777777" w:rsidTr="00E53176">
        <w:trPr>
          <w:trHeight w:hRule="exact" w:val="773"/>
        </w:trPr>
        <w:tc>
          <w:tcPr>
            <w:tcW w:w="2919" w:type="pct"/>
          </w:tcPr>
          <w:p w14:paraId="68462E29" w14:textId="1E3189C3" w:rsidR="004528BE" w:rsidRPr="002D505C" w:rsidRDefault="004528BE" w:rsidP="002D505C">
            <w:pPr>
              <w:pStyle w:val="TableParagraph"/>
              <w:spacing w:line="288" w:lineRule="auto"/>
              <w:ind w:left="180" w:right="905"/>
              <w:jc w:val="both"/>
              <w:rPr>
                <w:rFonts w:ascii="Verdana" w:hAnsi="Verdana"/>
                <w:sz w:val="17"/>
                <w:szCs w:val="17"/>
              </w:rPr>
            </w:pPr>
            <w:r w:rsidRPr="002D505C">
              <w:rPr>
                <w:rFonts w:ascii="Verdana" w:hAnsi="Verdana"/>
                <w:sz w:val="17"/>
                <w:szCs w:val="17"/>
              </w:rPr>
              <w:t>Country of investment requires information which the investor is unable to deliver</w:t>
            </w:r>
          </w:p>
        </w:tc>
        <w:tc>
          <w:tcPr>
            <w:tcW w:w="694" w:type="pct"/>
          </w:tcPr>
          <w:p w14:paraId="4C76FE21"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5029DF7B" w14:textId="41F6CF1B" w:rsidR="004528BE" w:rsidRPr="002D505C" w:rsidRDefault="004528BE" w:rsidP="00EB6CEB">
            <w:pPr>
              <w:pStyle w:val="TableParagraph"/>
              <w:spacing w:line="288" w:lineRule="auto"/>
              <w:jc w:val="center"/>
              <w:rPr>
                <w:rFonts w:ascii="Verdana" w:hAnsi="Verdana"/>
                <w:sz w:val="17"/>
                <w:szCs w:val="17"/>
              </w:rPr>
            </w:pPr>
          </w:p>
        </w:tc>
        <w:tc>
          <w:tcPr>
            <w:tcW w:w="694" w:type="pct"/>
          </w:tcPr>
          <w:p w14:paraId="0E23E7DB" w14:textId="177ABE6E" w:rsidR="004528BE" w:rsidRPr="00516113" w:rsidRDefault="00DD2936" w:rsidP="00DD2936">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4D1C03AA" w14:textId="77777777" w:rsidTr="00E53176">
        <w:trPr>
          <w:trHeight w:hRule="exact" w:val="497"/>
        </w:trPr>
        <w:tc>
          <w:tcPr>
            <w:tcW w:w="2919" w:type="pct"/>
          </w:tcPr>
          <w:p w14:paraId="3460D4CB" w14:textId="3B556339"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Other</w:t>
            </w:r>
          </w:p>
        </w:tc>
        <w:tc>
          <w:tcPr>
            <w:tcW w:w="694" w:type="pct"/>
          </w:tcPr>
          <w:p w14:paraId="38DD92E7"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523765E4" w14:textId="77777777" w:rsidR="004528BE" w:rsidRPr="002D505C" w:rsidRDefault="004528BE" w:rsidP="002D505C">
            <w:pPr>
              <w:pStyle w:val="TableParagraph"/>
              <w:spacing w:line="288" w:lineRule="auto"/>
              <w:jc w:val="both"/>
              <w:rPr>
                <w:rFonts w:ascii="Verdana" w:hAnsi="Verdana"/>
                <w:sz w:val="17"/>
                <w:szCs w:val="17"/>
              </w:rPr>
            </w:pPr>
          </w:p>
        </w:tc>
        <w:tc>
          <w:tcPr>
            <w:tcW w:w="694" w:type="pct"/>
          </w:tcPr>
          <w:p w14:paraId="37A1969E" w14:textId="1D4BDB08" w:rsidR="004528BE" w:rsidRPr="00516113" w:rsidRDefault="00C83151" w:rsidP="00C83151">
            <w:pPr>
              <w:pStyle w:val="TableParagraph"/>
              <w:spacing w:line="288" w:lineRule="auto"/>
              <w:jc w:val="center"/>
              <w:rPr>
                <w:rFonts w:ascii="Verdana" w:hAnsi="Verdana"/>
                <w:sz w:val="17"/>
                <w:szCs w:val="17"/>
              </w:rPr>
            </w:pPr>
            <w:r w:rsidRPr="00516113">
              <w:rPr>
                <w:rFonts w:ascii="Verdana" w:hAnsi="Verdana"/>
                <w:sz w:val="17"/>
                <w:szCs w:val="17"/>
              </w:rPr>
              <w:t>X</w:t>
            </w:r>
          </w:p>
        </w:tc>
      </w:tr>
    </w:tbl>
    <w:p w14:paraId="46C5698C" w14:textId="77777777" w:rsidR="004528BE" w:rsidRDefault="004528BE" w:rsidP="002D505C">
      <w:pPr>
        <w:pStyle w:val="Zkladntext"/>
        <w:spacing w:line="288" w:lineRule="auto"/>
        <w:jc w:val="both"/>
        <w:rPr>
          <w:rFonts w:ascii="Verdana" w:hAnsi="Verdana"/>
          <w:sz w:val="17"/>
          <w:szCs w:val="17"/>
        </w:rPr>
      </w:pPr>
    </w:p>
    <w:p w14:paraId="64AC4016" w14:textId="54229550" w:rsidR="002F0C29" w:rsidRDefault="00EB6CEB" w:rsidP="00A32B7D">
      <w:pPr>
        <w:pStyle w:val="Zkladntext"/>
        <w:spacing w:line="288" w:lineRule="auto"/>
        <w:jc w:val="both"/>
        <w:rPr>
          <w:rFonts w:ascii="Verdana" w:hAnsi="Verdana"/>
          <w:w w:val="105"/>
          <w:sz w:val="17"/>
          <w:szCs w:val="17"/>
          <w:lang w:val="en-GB"/>
        </w:rPr>
      </w:pPr>
      <w:r>
        <w:rPr>
          <w:rFonts w:ascii="Verdana" w:hAnsi="Verdana"/>
          <w:sz w:val="17"/>
          <w:szCs w:val="17"/>
        </w:rPr>
        <w:t xml:space="preserve">Please explain: </w:t>
      </w:r>
      <w:r w:rsidRPr="00EB6CEB">
        <w:rPr>
          <w:rFonts w:ascii="Verdana" w:hAnsi="Verdana"/>
          <w:w w:val="105"/>
          <w:sz w:val="17"/>
          <w:szCs w:val="17"/>
        </w:rPr>
        <w:t>Legal uncertainty regarding the application of national withholding tax privileges to non</w:t>
      </w:r>
      <w:r w:rsidR="002C496A">
        <w:rPr>
          <w:rFonts w:ascii="Verdana" w:hAnsi="Verdana"/>
          <w:w w:val="105"/>
          <w:sz w:val="17"/>
          <w:szCs w:val="17"/>
        </w:rPr>
        <w:t>-</w:t>
      </w:r>
      <w:r w:rsidRPr="00EB6CEB">
        <w:rPr>
          <w:rFonts w:ascii="Verdana" w:hAnsi="Verdana"/>
          <w:w w:val="105"/>
          <w:sz w:val="17"/>
          <w:szCs w:val="17"/>
        </w:rPr>
        <w:t>resident entities on the grounds of the non-discrimination principle established by ECJ jurisprudence on the free movement of capital</w:t>
      </w:r>
      <w:r w:rsidR="00A32B7D">
        <w:rPr>
          <w:rFonts w:ascii="Verdana" w:hAnsi="Verdana"/>
          <w:w w:val="105"/>
          <w:sz w:val="17"/>
          <w:szCs w:val="17"/>
        </w:rPr>
        <w:t>.</w:t>
      </w:r>
      <w:r w:rsidR="002F0C29">
        <w:rPr>
          <w:rFonts w:ascii="Verdana" w:hAnsi="Verdana"/>
          <w:w w:val="105"/>
          <w:sz w:val="17"/>
          <w:szCs w:val="17"/>
        </w:rPr>
        <w:t xml:space="preserve"> </w:t>
      </w:r>
      <w:r w:rsidR="00072F57">
        <w:rPr>
          <w:rFonts w:ascii="Verdana" w:hAnsi="Verdana"/>
          <w:w w:val="105"/>
          <w:sz w:val="17"/>
          <w:szCs w:val="17"/>
        </w:rPr>
        <w:t>In addition, t</w:t>
      </w:r>
      <w:r w:rsidR="002F0C29">
        <w:rPr>
          <w:rFonts w:ascii="Verdana" w:hAnsi="Verdana"/>
          <w:w w:val="105"/>
          <w:sz w:val="17"/>
          <w:szCs w:val="17"/>
        </w:rPr>
        <w:t xml:space="preserve">here are </w:t>
      </w:r>
      <w:r w:rsidR="002F0C29" w:rsidRPr="002F0C29">
        <w:rPr>
          <w:rFonts w:ascii="Verdana" w:hAnsi="Verdana"/>
          <w:w w:val="105"/>
          <w:sz w:val="17"/>
          <w:szCs w:val="17"/>
          <w:lang w:val="en-GB"/>
        </w:rPr>
        <w:t>diverse and complex procedures in the process of reducing the tax liability at the source (tax relief) and after the payment of rights when filing a claim for tax refund (tax reclaim).</w:t>
      </w:r>
    </w:p>
    <w:p w14:paraId="79B7BBB6" w14:textId="5566D2A7" w:rsidR="00A32B7D" w:rsidRDefault="00A32B7D" w:rsidP="00A32B7D">
      <w:pPr>
        <w:pStyle w:val="Zkladntext"/>
        <w:spacing w:line="288" w:lineRule="auto"/>
        <w:jc w:val="both"/>
        <w:rPr>
          <w:rFonts w:ascii="Verdana" w:hAnsi="Verdana"/>
          <w:w w:val="105"/>
          <w:sz w:val="17"/>
          <w:szCs w:val="17"/>
        </w:rPr>
      </w:pPr>
      <w:r>
        <w:rPr>
          <w:rFonts w:ascii="Verdana" w:hAnsi="Verdana"/>
          <w:w w:val="105"/>
          <w:sz w:val="17"/>
          <w:szCs w:val="17"/>
        </w:rPr>
        <w:t>In cases where a group has branches in various Member States, the WHT levied on some payments cannot be credited against the CIT of a given branch for 100 % of its value, as the underlying asset is held by the group. In this context, cross-border investments usually result in double taxation.</w:t>
      </w:r>
    </w:p>
    <w:p w14:paraId="1E769453" w14:textId="77777777" w:rsidR="00A32B7D" w:rsidRDefault="00A32B7D" w:rsidP="002D505C">
      <w:pPr>
        <w:pStyle w:val="Zkladntext"/>
        <w:spacing w:line="288" w:lineRule="auto"/>
        <w:jc w:val="both"/>
        <w:rPr>
          <w:rFonts w:ascii="Verdana" w:hAnsi="Verdana"/>
          <w:w w:val="105"/>
          <w:sz w:val="17"/>
          <w:szCs w:val="17"/>
        </w:rPr>
      </w:pPr>
    </w:p>
    <w:p w14:paraId="05BC7E4F" w14:textId="77777777" w:rsidR="00EB6CEB" w:rsidRPr="002D505C" w:rsidRDefault="00EB6CEB" w:rsidP="002D505C">
      <w:pPr>
        <w:pStyle w:val="Zkladntext"/>
        <w:spacing w:line="288" w:lineRule="auto"/>
        <w:jc w:val="both"/>
        <w:rPr>
          <w:rFonts w:ascii="Verdana" w:hAnsi="Verdana"/>
          <w:sz w:val="17"/>
          <w:szCs w:val="17"/>
        </w:rPr>
      </w:pPr>
    </w:p>
    <w:p w14:paraId="1E6F0311" w14:textId="77777777" w:rsidR="004528BE" w:rsidRPr="009011CC" w:rsidRDefault="004528BE" w:rsidP="009011CC">
      <w:pPr>
        <w:pStyle w:val="CEABullet-Level1"/>
        <w:numPr>
          <w:ilvl w:val="0"/>
          <w:numId w:val="12"/>
        </w:numPr>
      </w:pPr>
      <w:r w:rsidRPr="009011CC">
        <w:t>What are in your view the consequences of the problems encountered with WHT refund procedures? (Multiple options are available. Please qualify your answer by clicking in the grid)</w:t>
      </w:r>
    </w:p>
    <w:tbl>
      <w:tblPr>
        <w:tblW w:w="5000" w:type="pct"/>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CellMar>
          <w:left w:w="0" w:type="dxa"/>
          <w:right w:w="0" w:type="dxa"/>
        </w:tblCellMar>
        <w:tblLook w:val="01E0" w:firstRow="1" w:lastRow="1" w:firstColumn="1" w:lastColumn="1" w:noHBand="0" w:noVBand="0"/>
      </w:tblPr>
      <w:tblGrid>
        <w:gridCol w:w="5090"/>
        <w:gridCol w:w="1373"/>
        <w:gridCol w:w="1641"/>
        <w:gridCol w:w="1407"/>
      </w:tblGrid>
      <w:tr w:rsidR="004528BE" w:rsidRPr="002D505C" w14:paraId="46ABAE08" w14:textId="77777777" w:rsidTr="00316AE8">
        <w:trPr>
          <w:trHeight w:hRule="exact" w:val="773"/>
        </w:trPr>
        <w:tc>
          <w:tcPr>
            <w:tcW w:w="2641" w:type="pct"/>
          </w:tcPr>
          <w:p w14:paraId="23D56989" w14:textId="77777777" w:rsidR="004528BE" w:rsidRPr="002D505C" w:rsidRDefault="004528BE" w:rsidP="002D505C">
            <w:pPr>
              <w:pStyle w:val="TableParagraph"/>
              <w:spacing w:line="288" w:lineRule="auto"/>
              <w:jc w:val="both"/>
              <w:rPr>
                <w:rFonts w:ascii="Verdana" w:hAnsi="Verdana"/>
                <w:sz w:val="17"/>
                <w:szCs w:val="17"/>
              </w:rPr>
            </w:pPr>
          </w:p>
          <w:p w14:paraId="4D3E75C0" w14:textId="77777777" w:rsidR="004528BE" w:rsidRPr="002D505C" w:rsidRDefault="004528BE" w:rsidP="002D505C">
            <w:pPr>
              <w:pStyle w:val="TableParagraph"/>
              <w:spacing w:line="288" w:lineRule="auto"/>
              <w:ind w:left="1819" w:right="1820"/>
              <w:jc w:val="both"/>
              <w:rPr>
                <w:rFonts w:ascii="Verdana" w:hAnsi="Verdana"/>
                <w:b/>
                <w:sz w:val="17"/>
                <w:szCs w:val="17"/>
              </w:rPr>
            </w:pPr>
            <w:r w:rsidRPr="002D505C">
              <w:rPr>
                <w:rFonts w:ascii="Verdana" w:hAnsi="Verdana"/>
                <w:b/>
                <w:w w:val="105"/>
                <w:sz w:val="17"/>
                <w:szCs w:val="17"/>
              </w:rPr>
              <w:t>Consequences</w:t>
            </w:r>
          </w:p>
        </w:tc>
        <w:tc>
          <w:tcPr>
            <w:tcW w:w="734" w:type="pct"/>
          </w:tcPr>
          <w:p w14:paraId="70381D70" w14:textId="77777777" w:rsidR="004528BE" w:rsidRPr="002D505C" w:rsidRDefault="004528BE" w:rsidP="002D505C">
            <w:pPr>
              <w:pStyle w:val="TableParagraph"/>
              <w:spacing w:line="288" w:lineRule="auto"/>
              <w:ind w:left="218" w:firstLine="276"/>
              <w:jc w:val="both"/>
              <w:rPr>
                <w:rFonts w:ascii="Verdana" w:hAnsi="Verdana"/>
                <w:sz w:val="17"/>
                <w:szCs w:val="17"/>
              </w:rPr>
            </w:pPr>
            <w:r w:rsidRPr="002D505C">
              <w:rPr>
                <w:rFonts w:ascii="Verdana" w:hAnsi="Verdana"/>
                <w:w w:val="105"/>
                <w:sz w:val="17"/>
                <w:szCs w:val="17"/>
              </w:rPr>
              <w:t xml:space="preserve">Low </w:t>
            </w:r>
            <w:r w:rsidRPr="002D505C">
              <w:rPr>
                <w:rFonts w:ascii="Verdana" w:hAnsi="Verdana"/>
                <w:sz w:val="17"/>
                <w:szCs w:val="17"/>
              </w:rPr>
              <w:t>importance</w:t>
            </w:r>
          </w:p>
        </w:tc>
        <w:tc>
          <w:tcPr>
            <w:tcW w:w="874" w:type="pct"/>
          </w:tcPr>
          <w:p w14:paraId="33CE57F6" w14:textId="77777777" w:rsidR="004528BE" w:rsidRPr="002D505C" w:rsidRDefault="004528BE" w:rsidP="002D505C">
            <w:pPr>
              <w:pStyle w:val="TableParagraph"/>
              <w:spacing w:line="288" w:lineRule="auto"/>
              <w:ind w:left="354" w:firstLine="108"/>
              <w:jc w:val="both"/>
              <w:rPr>
                <w:rFonts w:ascii="Verdana" w:hAnsi="Verdana"/>
                <w:sz w:val="17"/>
                <w:szCs w:val="17"/>
              </w:rPr>
            </w:pPr>
            <w:r w:rsidRPr="002D505C">
              <w:rPr>
                <w:rFonts w:ascii="Verdana" w:hAnsi="Verdana"/>
                <w:sz w:val="17"/>
                <w:szCs w:val="17"/>
              </w:rPr>
              <w:t>Medium importance</w:t>
            </w:r>
          </w:p>
        </w:tc>
        <w:tc>
          <w:tcPr>
            <w:tcW w:w="752" w:type="pct"/>
          </w:tcPr>
          <w:p w14:paraId="0E113F07" w14:textId="77777777" w:rsidR="004528BE" w:rsidRPr="002D505C" w:rsidRDefault="004528BE" w:rsidP="002D505C">
            <w:pPr>
              <w:pStyle w:val="TableParagraph"/>
              <w:spacing w:line="288" w:lineRule="auto"/>
              <w:ind w:left="236" w:firstLine="255"/>
              <w:jc w:val="both"/>
              <w:rPr>
                <w:rFonts w:ascii="Verdana" w:hAnsi="Verdana"/>
                <w:sz w:val="17"/>
                <w:szCs w:val="17"/>
              </w:rPr>
            </w:pPr>
            <w:r w:rsidRPr="002D505C">
              <w:rPr>
                <w:rFonts w:ascii="Verdana" w:hAnsi="Verdana"/>
                <w:sz w:val="17"/>
                <w:szCs w:val="17"/>
              </w:rPr>
              <w:t>High importance</w:t>
            </w:r>
          </w:p>
        </w:tc>
      </w:tr>
      <w:tr w:rsidR="004528BE" w:rsidRPr="002D505C" w14:paraId="63E9C395" w14:textId="77777777" w:rsidTr="00316AE8">
        <w:trPr>
          <w:trHeight w:hRule="exact" w:val="773"/>
        </w:trPr>
        <w:tc>
          <w:tcPr>
            <w:tcW w:w="2641" w:type="pct"/>
          </w:tcPr>
          <w:p w14:paraId="4340557A" w14:textId="77777777" w:rsidR="004528BE" w:rsidRPr="002D505C" w:rsidRDefault="004528BE" w:rsidP="002D505C">
            <w:pPr>
              <w:pStyle w:val="TableParagraph"/>
              <w:spacing w:line="288" w:lineRule="auto"/>
              <w:ind w:left="180" w:right="388"/>
              <w:jc w:val="both"/>
              <w:rPr>
                <w:rFonts w:ascii="Verdana" w:hAnsi="Verdana"/>
                <w:sz w:val="17"/>
                <w:szCs w:val="17"/>
              </w:rPr>
            </w:pPr>
            <w:r w:rsidRPr="002D505C">
              <w:rPr>
                <w:rFonts w:ascii="Verdana" w:hAnsi="Verdana"/>
                <w:sz w:val="17"/>
                <w:szCs w:val="17"/>
              </w:rPr>
              <w:t>Delays in effectively receiving the excessive WHT refund</w:t>
            </w:r>
          </w:p>
        </w:tc>
        <w:tc>
          <w:tcPr>
            <w:tcW w:w="734" w:type="pct"/>
          </w:tcPr>
          <w:p w14:paraId="0A871407" w14:textId="77777777" w:rsidR="004528BE" w:rsidRPr="00516113" w:rsidRDefault="004528BE" w:rsidP="002D505C">
            <w:pPr>
              <w:pStyle w:val="TableParagraph"/>
              <w:spacing w:line="288" w:lineRule="auto"/>
              <w:jc w:val="both"/>
              <w:rPr>
                <w:rFonts w:ascii="Verdana" w:hAnsi="Verdana"/>
                <w:sz w:val="17"/>
                <w:szCs w:val="17"/>
              </w:rPr>
            </w:pPr>
          </w:p>
        </w:tc>
        <w:tc>
          <w:tcPr>
            <w:tcW w:w="874" w:type="pct"/>
          </w:tcPr>
          <w:p w14:paraId="06D36384" w14:textId="70A01AFA" w:rsidR="004528BE" w:rsidRPr="00516113" w:rsidRDefault="004528BE" w:rsidP="00347DC9">
            <w:pPr>
              <w:pStyle w:val="TableParagraph"/>
              <w:spacing w:line="288" w:lineRule="auto"/>
              <w:jc w:val="center"/>
              <w:rPr>
                <w:rFonts w:ascii="Verdana" w:hAnsi="Verdana"/>
                <w:sz w:val="17"/>
                <w:szCs w:val="17"/>
              </w:rPr>
            </w:pPr>
          </w:p>
        </w:tc>
        <w:tc>
          <w:tcPr>
            <w:tcW w:w="752" w:type="pct"/>
          </w:tcPr>
          <w:p w14:paraId="253B02DE" w14:textId="2B44F5E4" w:rsidR="004528BE" w:rsidRPr="00516113" w:rsidRDefault="003203AE"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4D4414C5" w14:textId="77777777" w:rsidTr="00316AE8">
        <w:trPr>
          <w:trHeight w:hRule="exact" w:val="773"/>
        </w:trPr>
        <w:tc>
          <w:tcPr>
            <w:tcW w:w="2641" w:type="pct"/>
          </w:tcPr>
          <w:p w14:paraId="1A01092B" w14:textId="77777777" w:rsidR="004528BE" w:rsidRPr="002D505C" w:rsidRDefault="004528BE" w:rsidP="002D505C">
            <w:pPr>
              <w:pStyle w:val="TableParagraph"/>
              <w:spacing w:line="288" w:lineRule="auto"/>
              <w:ind w:left="180" w:right="740"/>
              <w:jc w:val="both"/>
              <w:rPr>
                <w:rFonts w:ascii="Verdana" w:hAnsi="Verdana"/>
                <w:sz w:val="17"/>
                <w:szCs w:val="17"/>
              </w:rPr>
            </w:pPr>
            <w:r w:rsidRPr="002D505C">
              <w:rPr>
                <w:rFonts w:ascii="Verdana" w:hAnsi="Verdana"/>
                <w:w w:val="105"/>
                <w:sz w:val="17"/>
                <w:szCs w:val="17"/>
              </w:rPr>
              <w:lastRenderedPageBreak/>
              <w:t>High</w:t>
            </w:r>
            <w:r w:rsidRPr="002D505C">
              <w:rPr>
                <w:rFonts w:ascii="Verdana" w:hAnsi="Verdana"/>
                <w:spacing w:val="-15"/>
                <w:w w:val="105"/>
                <w:sz w:val="17"/>
                <w:szCs w:val="17"/>
              </w:rPr>
              <w:t xml:space="preserve"> </w:t>
            </w:r>
            <w:r w:rsidRPr="002D505C">
              <w:rPr>
                <w:rFonts w:ascii="Verdana" w:hAnsi="Verdana"/>
                <w:w w:val="105"/>
                <w:sz w:val="17"/>
                <w:szCs w:val="17"/>
              </w:rPr>
              <w:t>compliance</w:t>
            </w:r>
            <w:r w:rsidRPr="002D505C">
              <w:rPr>
                <w:rFonts w:ascii="Verdana" w:hAnsi="Verdana"/>
                <w:spacing w:val="-15"/>
                <w:w w:val="105"/>
                <w:sz w:val="17"/>
                <w:szCs w:val="17"/>
              </w:rPr>
              <w:t xml:space="preserve"> </w:t>
            </w:r>
            <w:r w:rsidRPr="002D505C">
              <w:rPr>
                <w:rFonts w:ascii="Verdana" w:hAnsi="Verdana"/>
                <w:w w:val="105"/>
                <w:sz w:val="17"/>
                <w:szCs w:val="17"/>
              </w:rPr>
              <w:t>costs</w:t>
            </w:r>
            <w:r w:rsidRPr="002D505C">
              <w:rPr>
                <w:rFonts w:ascii="Verdana" w:hAnsi="Verdana"/>
                <w:spacing w:val="-15"/>
                <w:w w:val="105"/>
                <w:sz w:val="17"/>
                <w:szCs w:val="17"/>
              </w:rPr>
              <w:t xml:space="preserve"> </w:t>
            </w:r>
            <w:r w:rsidRPr="002D505C">
              <w:rPr>
                <w:rFonts w:ascii="Verdana" w:hAnsi="Verdana"/>
                <w:w w:val="105"/>
                <w:sz w:val="17"/>
                <w:szCs w:val="17"/>
              </w:rPr>
              <w:t>associated</w:t>
            </w:r>
            <w:r w:rsidRPr="002D505C">
              <w:rPr>
                <w:rFonts w:ascii="Verdana" w:hAnsi="Verdana"/>
                <w:spacing w:val="-15"/>
                <w:w w:val="105"/>
                <w:sz w:val="17"/>
                <w:szCs w:val="17"/>
              </w:rPr>
              <w:t xml:space="preserve"> </w:t>
            </w:r>
            <w:r w:rsidRPr="002D505C">
              <w:rPr>
                <w:rFonts w:ascii="Verdana" w:hAnsi="Verdana"/>
                <w:w w:val="105"/>
                <w:sz w:val="17"/>
                <w:szCs w:val="17"/>
              </w:rPr>
              <w:t>with</w:t>
            </w:r>
            <w:r w:rsidRPr="002D505C">
              <w:rPr>
                <w:rFonts w:ascii="Verdana" w:hAnsi="Verdana"/>
                <w:spacing w:val="-15"/>
                <w:w w:val="105"/>
                <w:sz w:val="17"/>
                <w:szCs w:val="17"/>
              </w:rPr>
              <w:t xml:space="preserve"> </w:t>
            </w:r>
            <w:r w:rsidRPr="002D505C">
              <w:rPr>
                <w:rFonts w:ascii="Verdana" w:hAnsi="Verdana"/>
                <w:w w:val="105"/>
                <w:sz w:val="17"/>
                <w:szCs w:val="17"/>
              </w:rPr>
              <w:t>the</w:t>
            </w:r>
            <w:r w:rsidRPr="002D505C">
              <w:rPr>
                <w:rFonts w:ascii="Verdana" w:hAnsi="Verdana"/>
                <w:spacing w:val="-15"/>
                <w:w w:val="105"/>
                <w:sz w:val="17"/>
                <w:szCs w:val="17"/>
              </w:rPr>
              <w:t xml:space="preserve"> </w:t>
            </w:r>
            <w:r w:rsidRPr="002D505C">
              <w:rPr>
                <w:rFonts w:ascii="Verdana" w:hAnsi="Verdana"/>
                <w:w w:val="105"/>
                <w:sz w:val="17"/>
                <w:szCs w:val="17"/>
              </w:rPr>
              <w:t>WHT refund</w:t>
            </w:r>
            <w:r w:rsidRPr="002D505C">
              <w:rPr>
                <w:rFonts w:ascii="Verdana" w:hAnsi="Verdana"/>
                <w:spacing w:val="-36"/>
                <w:w w:val="105"/>
                <w:sz w:val="17"/>
                <w:szCs w:val="17"/>
              </w:rPr>
              <w:t xml:space="preserve"> </w:t>
            </w:r>
            <w:r w:rsidRPr="002D505C">
              <w:rPr>
                <w:rFonts w:ascii="Verdana" w:hAnsi="Verdana"/>
                <w:w w:val="105"/>
                <w:sz w:val="17"/>
                <w:szCs w:val="17"/>
              </w:rPr>
              <w:t>procedures</w:t>
            </w:r>
          </w:p>
        </w:tc>
        <w:tc>
          <w:tcPr>
            <w:tcW w:w="734" w:type="pct"/>
          </w:tcPr>
          <w:p w14:paraId="152D9FCD" w14:textId="77777777" w:rsidR="004528BE" w:rsidRPr="00516113" w:rsidRDefault="004528BE" w:rsidP="002D505C">
            <w:pPr>
              <w:pStyle w:val="TableParagraph"/>
              <w:spacing w:line="288" w:lineRule="auto"/>
              <w:jc w:val="both"/>
              <w:rPr>
                <w:rFonts w:ascii="Verdana" w:hAnsi="Verdana"/>
                <w:sz w:val="17"/>
                <w:szCs w:val="17"/>
              </w:rPr>
            </w:pPr>
          </w:p>
        </w:tc>
        <w:tc>
          <w:tcPr>
            <w:tcW w:w="874" w:type="pct"/>
          </w:tcPr>
          <w:p w14:paraId="2B580D1E" w14:textId="77777777" w:rsidR="004528BE" w:rsidRPr="00516113" w:rsidRDefault="004528BE" w:rsidP="002D505C">
            <w:pPr>
              <w:pStyle w:val="TableParagraph"/>
              <w:spacing w:line="288" w:lineRule="auto"/>
              <w:jc w:val="both"/>
              <w:rPr>
                <w:rFonts w:ascii="Verdana" w:hAnsi="Verdana"/>
                <w:sz w:val="17"/>
                <w:szCs w:val="17"/>
              </w:rPr>
            </w:pPr>
          </w:p>
        </w:tc>
        <w:tc>
          <w:tcPr>
            <w:tcW w:w="752" w:type="pct"/>
          </w:tcPr>
          <w:p w14:paraId="7C4DBC77" w14:textId="3D09B778" w:rsidR="004528BE" w:rsidRPr="00516113" w:rsidRDefault="008D41BA" w:rsidP="008D41BA">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7007B8C9" w14:textId="77777777" w:rsidTr="00316AE8">
        <w:trPr>
          <w:trHeight w:hRule="exact" w:val="497"/>
        </w:trPr>
        <w:tc>
          <w:tcPr>
            <w:tcW w:w="2641" w:type="pct"/>
          </w:tcPr>
          <w:p w14:paraId="47DDA700" w14:textId="66F482E9"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sz w:val="17"/>
                <w:szCs w:val="17"/>
              </w:rPr>
              <w:t>Giving up the right of submitting WHT refund claims</w:t>
            </w:r>
          </w:p>
        </w:tc>
        <w:tc>
          <w:tcPr>
            <w:tcW w:w="734" w:type="pct"/>
          </w:tcPr>
          <w:p w14:paraId="1231B65E" w14:textId="16801BC4" w:rsidR="004528BE" w:rsidRPr="00516113" w:rsidRDefault="004528BE" w:rsidP="00EB6CEB">
            <w:pPr>
              <w:pStyle w:val="TableParagraph"/>
              <w:spacing w:line="288" w:lineRule="auto"/>
              <w:jc w:val="center"/>
              <w:rPr>
                <w:rFonts w:ascii="Verdana" w:hAnsi="Verdana"/>
                <w:sz w:val="17"/>
                <w:szCs w:val="17"/>
              </w:rPr>
            </w:pPr>
          </w:p>
        </w:tc>
        <w:tc>
          <w:tcPr>
            <w:tcW w:w="874" w:type="pct"/>
          </w:tcPr>
          <w:p w14:paraId="1E2884D1" w14:textId="77777777" w:rsidR="004528BE" w:rsidRPr="00516113" w:rsidRDefault="004528BE" w:rsidP="002D505C">
            <w:pPr>
              <w:pStyle w:val="TableParagraph"/>
              <w:spacing w:line="288" w:lineRule="auto"/>
              <w:jc w:val="both"/>
              <w:rPr>
                <w:rFonts w:ascii="Verdana" w:hAnsi="Verdana"/>
                <w:sz w:val="17"/>
                <w:szCs w:val="17"/>
              </w:rPr>
            </w:pPr>
          </w:p>
        </w:tc>
        <w:tc>
          <w:tcPr>
            <w:tcW w:w="752" w:type="pct"/>
          </w:tcPr>
          <w:p w14:paraId="530B3547" w14:textId="0676D3A8" w:rsidR="004528BE" w:rsidRPr="00516113" w:rsidRDefault="00B207A3" w:rsidP="002C7E45">
            <w:pPr>
              <w:pStyle w:val="TableParagraph"/>
              <w:spacing w:line="288" w:lineRule="auto"/>
              <w:jc w:val="center"/>
              <w:rPr>
                <w:rFonts w:ascii="Verdana" w:hAnsi="Verdana"/>
                <w:sz w:val="17"/>
                <w:szCs w:val="17"/>
              </w:rPr>
            </w:pPr>
            <w:r w:rsidRPr="00516113">
              <w:rPr>
                <w:rFonts w:ascii="Verdana" w:hAnsi="Verdana"/>
                <w:sz w:val="17"/>
                <w:szCs w:val="17"/>
                <w:lang w:val="en-GB"/>
              </w:rPr>
              <w:t>X</w:t>
            </w:r>
          </w:p>
        </w:tc>
      </w:tr>
      <w:tr w:rsidR="004528BE" w:rsidRPr="002D505C" w14:paraId="2D53E5D1" w14:textId="77777777" w:rsidTr="00316AE8">
        <w:trPr>
          <w:trHeight w:hRule="exact" w:val="773"/>
        </w:trPr>
        <w:tc>
          <w:tcPr>
            <w:tcW w:w="2641" w:type="pct"/>
          </w:tcPr>
          <w:p w14:paraId="7348E89C" w14:textId="77777777" w:rsidR="004528BE" w:rsidRPr="002D505C" w:rsidRDefault="004528BE" w:rsidP="002D505C">
            <w:pPr>
              <w:pStyle w:val="TableParagraph"/>
              <w:spacing w:line="288" w:lineRule="auto"/>
              <w:ind w:left="180" w:right="388"/>
              <w:jc w:val="both"/>
              <w:rPr>
                <w:rFonts w:ascii="Verdana" w:hAnsi="Verdana"/>
                <w:sz w:val="17"/>
                <w:szCs w:val="17"/>
              </w:rPr>
            </w:pPr>
            <w:r w:rsidRPr="002D505C">
              <w:rPr>
                <w:rFonts w:ascii="Verdana" w:hAnsi="Verdana"/>
                <w:sz w:val="17"/>
                <w:szCs w:val="17"/>
              </w:rPr>
              <w:t>High opportunity costs due to the delay in receiving the WHT refunds</w:t>
            </w:r>
          </w:p>
        </w:tc>
        <w:tc>
          <w:tcPr>
            <w:tcW w:w="734" w:type="pct"/>
          </w:tcPr>
          <w:p w14:paraId="049B600C" w14:textId="77777777" w:rsidR="004528BE" w:rsidRPr="00516113" w:rsidRDefault="004528BE" w:rsidP="002D505C">
            <w:pPr>
              <w:pStyle w:val="TableParagraph"/>
              <w:spacing w:line="288" w:lineRule="auto"/>
              <w:jc w:val="both"/>
              <w:rPr>
                <w:rFonts w:ascii="Verdana" w:hAnsi="Verdana"/>
                <w:sz w:val="17"/>
                <w:szCs w:val="17"/>
              </w:rPr>
            </w:pPr>
          </w:p>
        </w:tc>
        <w:tc>
          <w:tcPr>
            <w:tcW w:w="874" w:type="pct"/>
          </w:tcPr>
          <w:p w14:paraId="5940F610" w14:textId="6BBCD38A" w:rsidR="004528BE" w:rsidRPr="00516113" w:rsidRDefault="00347DC9" w:rsidP="00347DC9">
            <w:pPr>
              <w:pStyle w:val="TableParagraph"/>
              <w:spacing w:line="288" w:lineRule="auto"/>
              <w:jc w:val="center"/>
              <w:rPr>
                <w:rFonts w:ascii="Verdana" w:hAnsi="Verdana"/>
                <w:sz w:val="17"/>
                <w:szCs w:val="17"/>
              </w:rPr>
            </w:pPr>
            <w:r w:rsidRPr="00516113">
              <w:rPr>
                <w:rFonts w:ascii="Verdana" w:hAnsi="Verdana"/>
                <w:sz w:val="17"/>
                <w:szCs w:val="17"/>
              </w:rPr>
              <w:t>X</w:t>
            </w:r>
          </w:p>
        </w:tc>
        <w:tc>
          <w:tcPr>
            <w:tcW w:w="752" w:type="pct"/>
          </w:tcPr>
          <w:p w14:paraId="015ECFBB" w14:textId="77777777" w:rsidR="004528BE" w:rsidRPr="00516113" w:rsidRDefault="004528BE" w:rsidP="002D505C">
            <w:pPr>
              <w:pStyle w:val="TableParagraph"/>
              <w:spacing w:line="288" w:lineRule="auto"/>
              <w:jc w:val="both"/>
              <w:rPr>
                <w:rFonts w:ascii="Verdana" w:hAnsi="Verdana"/>
                <w:sz w:val="17"/>
                <w:szCs w:val="17"/>
              </w:rPr>
            </w:pPr>
          </w:p>
        </w:tc>
      </w:tr>
      <w:tr w:rsidR="004528BE" w:rsidRPr="002D505C" w14:paraId="2DFC8A1F" w14:textId="77777777" w:rsidTr="00316AE8">
        <w:trPr>
          <w:trHeight w:hRule="exact" w:val="497"/>
        </w:trPr>
        <w:tc>
          <w:tcPr>
            <w:tcW w:w="2641" w:type="pct"/>
          </w:tcPr>
          <w:p w14:paraId="06A45534" w14:textId="77777777"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Permanent double taxation suffered</w:t>
            </w:r>
          </w:p>
        </w:tc>
        <w:tc>
          <w:tcPr>
            <w:tcW w:w="734" w:type="pct"/>
          </w:tcPr>
          <w:p w14:paraId="57850521" w14:textId="74E23A97" w:rsidR="004528BE" w:rsidRPr="00516113" w:rsidRDefault="004528BE" w:rsidP="00EB6CEB">
            <w:pPr>
              <w:pStyle w:val="TableParagraph"/>
              <w:spacing w:line="288" w:lineRule="auto"/>
              <w:jc w:val="center"/>
              <w:rPr>
                <w:rFonts w:ascii="Verdana" w:hAnsi="Verdana"/>
                <w:sz w:val="17"/>
                <w:szCs w:val="17"/>
              </w:rPr>
            </w:pPr>
          </w:p>
        </w:tc>
        <w:tc>
          <w:tcPr>
            <w:tcW w:w="874" w:type="pct"/>
          </w:tcPr>
          <w:p w14:paraId="578E7DD2" w14:textId="77777777" w:rsidR="004528BE" w:rsidRPr="00516113" w:rsidRDefault="004528BE" w:rsidP="002D505C">
            <w:pPr>
              <w:pStyle w:val="TableParagraph"/>
              <w:spacing w:line="288" w:lineRule="auto"/>
              <w:jc w:val="both"/>
              <w:rPr>
                <w:rFonts w:ascii="Verdana" w:hAnsi="Verdana"/>
                <w:sz w:val="17"/>
                <w:szCs w:val="17"/>
              </w:rPr>
            </w:pPr>
          </w:p>
        </w:tc>
        <w:tc>
          <w:tcPr>
            <w:tcW w:w="752" w:type="pct"/>
          </w:tcPr>
          <w:p w14:paraId="6F51BE40" w14:textId="127E342C" w:rsidR="004528BE" w:rsidRPr="00516113" w:rsidRDefault="003203AE"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4528BE" w:rsidRPr="002D505C" w14:paraId="2C6ED06A" w14:textId="77777777" w:rsidTr="00316AE8">
        <w:trPr>
          <w:trHeight w:hRule="exact" w:val="497"/>
        </w:trPr>
        <w:tc>
          <w:tcPr>
            <w:tcW w:w="2641" w:type="pct"/>
          </w:tcPr>
          <w:p w14:paraId="4C4B9E41" w14:textId="1665E30C"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sz w:val="17"/>
                <w:szCs w:val="17"/>
              </w:rPr>
              <w:t>High risk that the system is abused</w:t>
            </w:r>
          </w:p>
        </w:tc>
        <w:tc>
          <w:tcPr>
            <w:tcW w:w="734" w:type="pct"/>
          </w:tcPr>
          <w:p w14:paraId="6C9DC967" w14:textId="333F2043" w:rsidR="004528BE" w:rsidRPr="00516113" w:rsidRDefault="00CC7EF8" w:rsidP="002C7E45">
            <w:pPr>
              <w:pStyle w:val="TableParagraph"/>
              <w:spacing w:line="288" w:lineRule="auto"/>
              <w:jc w:val="center"/>
              <w:rPr>
                <w:rFonts w:ascii="Verdana" w:hAnsi="Verdana"/>
                <w:sz w:val="17"/>
                <w:szCs w:val="17"/>
              </w:rPr>
            </w:pPr>
            <w:r w:rsidRPr="00516113">
              <w:rPr>
                <w:rFonts w:ascii="Verdana" w:hAnsi="Verdana"/>
                <w:sz w:val="17"/>
                <w:szCs w:val="17"/>
              </w:rPr>
              <w:t>X</w:t>
            </w:r>
          </w:p>
        </w:tc>
        <w:tc>
          <w:tcPr>
            <w:tcW w:w="874" w:type="pct"/>
          </w:tcPr>
          <w:p w14:paraId="378B3DDD" w14:textId="77777777" w:rsidR="004528BE" w:rsidRPr="00516113" w:rsidRDefault="004528BE" w:rsidP="002D505C">
            <w:pPr>
              <w:pStyle w:val="TableParagraph"/>
              <w:spacing w:line="288" w:lineRule="auto"/>
              <w:jc w:val="both"/>
              <w:rPr>
                <w:rFonts w:ascii="Verdana" w:hAnsi="Verdana"/>
                <w:sz w:val="17"/>
                <w:szCs w:val="17"/>
              </w:rPr>
            </w:pPr>
          </w:p>
        </w:tc>
        <w:tc>
          <w:tcPr>
            <w:tcW w:w="752" w:type="pct"/>
          </w:tcPr>
          <w:p w14:paraId="179E3BF4" w14:textId="77777777" w:rsidR="004528BE" w:rsidRPr="00516113" w:rsidRDefault="004528BE" w:rsidP="002D505C">
            <w:pPr>
              <w:pStyle w:val="TableParagraph"/>
              <w:spacing w:line="288" w:lineRule="auto"/>
              <w:jc w:val="both"/>
              <w:rPr>
                <w:rFonts w:ascii="Verdana" w:hAnsi="Verdana"/>
                <w:sz w:val="17"/>
                <w:szCs w:val="17"/>
              </w:rPr>
            </w:pPr>
          </w:p>
        </w:tc>
      </w:tr>
      <w:tr w:rsidR="004528BE" w:rsidRPr="002D505C" w14:paraId="0CD903BE" w14:textId="77777777" w:rsidTr="00316AE8">
        <w:trPr>
          <w:trHeight w:hRule="exact" w:val="497"/>
        </w:trPr>
        <w:tc>
          <w:tcPr>
            <w:tcW w:w="2641" w:type="pct"/>
          </w:tcPr>
          <w:p w14:paraId="323E4501" w14:textId="77777777" w:rsidR="004528BE" w:rsidRPr="002D505C" w:rsidRDefault="004528BE"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Other</w:t>
            </w:r>
          </w:p>
        </w:tc>
        <w:tc>
          <w:tcPr>
            <w:tcW w:w="734" w:type="pct"/>
          </w:tcPr>
          <w:p w14:paraId="532E8D77" w14:textId="77777777" w:rsidR="004528BE" w:rsidRPr="002D505C" w:rsidRDefault="004528BE" w:rsidP="002D505C">
            <w:pPr>
              <w:pStyle w:val="TableParagraph"/>
              <w:spacing w:line="288" w:lineRule="auto"/>
              <w:jc w:val="both"/>
              <w:rPr>
                <w:rFonts w:ascii="Verdana" w:hAnsi="Verdana"/>
                <w:sz w:val="17"/>
                <w:szCs w:val="17"/>
              </w:rPr>
            </w:pPr>
          </w:p>
        </w:tc>
        <w:tc>
          <w:tcPr>
            <w:tcW w:w="874" w:type="pct"/>
          </w:tcPr>
          <w:p w14:paraId="2A3C3DCD" w14:textId="77777777" w:rsidR="004528BE" w:rsidRPr="002D505C" w:rsidRDefault="004528BE" w:rsidP="002D505C">
            <w:pPr>
              <w:pStyle w:val="TableParagraph"/>
              <w:spacing w:line="288" w:lineRule="auto"/>
              <w:jc w:val="both"/>
              <w:rPr>
                <w:rFonts w:ascii="Verdana" w:hAnsi="Verdana"/>
                <w:sz w:val="17"/>
                <w:szCs w:val="17"/>
              </w:rPr>
            </w:pPr>
          </w:p>
        </w:tc>
        <w:tc>
          <w:tcPr>
            <w:tcW w:w="752" w:type="pct"/>
          </w:tcPr>
          <w:p w14:paraId="554D2D8B" w14:textId="77777777" w:rsidR="004528BE" w:rsidRPr="002D505C" w:rsidRDefault="004528BE" w:rsidP="002D505C">
            <w:pPr>
              <w:pStyle w:val="TableParagraph"/>
              <w:spacing w:line="288" w:lineRule="auto"/>
              <w:jc w:val="both"/>
              <w:rPr>
                <w:rFonts w:ascii="Verdana" w:hAnsi="Verdana"/>
                <w:sz w:val="17"/>
                <w:szCs w:val="17"/>
              </w:rPr>
            </w:pPr>
          </w:p>
        </w:tc>
      </w:tr>
    </w:tbl>
    <w:p w14:paraId="67F19982" w14:textId="77777777" w:rsidR="00254144" w:rsidRPr="002D505C" w:rsidRDefault="00254144" w:rsidP="002D505C">
      <w:pPr>
        <w:rPr>
          <w:sz w:val="17"/>
          <w:szCs w:val="17"/>
        </w:rPr>
      </w:pPr>
    </w:p>
    <w:p w14:paraId="0C52F6A0" w14:textId="77777777" w:rsidR="00254144" w:rsidRPr="002D505C" w:rsidRDefault="00254144" w:rsidP="002D505C">
      <w:pPr>
        <w:rPr>
          <w:sz w:val="17"/>
          <w:szCs w:val="17"/>
        </w:rPr>
      </w:pPr>
    </w:p>
    <w:p w14:paraId="24463E1C" w14:textId="122BDB1F" w:rsidR="00254144" w:rsidRDefault="00254144" w:rsidP="009011CC">
      <w:pPr>
        <w:pStyle w:val="CEABullet-Level1"/>
        <w:numPr>
          <w:ilvl w:val="0"/>
          <w:numId w:val="12"/>
        </w:numPr>
      </w:pPr>
      <w:r w:rsidRPr="009011CC">
        <w:t xml:space="preserve">In January 2016, the overall cost of WHT refund procedures was estimated at EUR 8.4 billion per year </w:t>
      </w:r>
      <w:r w:rsidRPr="001D1F6D">
        <w:rPr>
          <w:color w:val="FF0000"/>
        </w:rPr>
        <w:t xml:space="preserve">[4]. </w:t>
      </w:r>
      <w:r w:rsidRPr="009011CC">
        <w:t>Are you aware of any study or estimate of the cost of WHT refund incurred per year on aggregated basis at EU or national level from academic or official source (Please, indicate the source)?</w:t>
      </w:r>
      <w:r w:rsidR="00C36940">
        <w:t xml:space="preserve"> </w:t>
      </w:r>
    </w:p>
    <w:p w14:paraId="74F81C0D" w14:textId="77777777" w:rsidR="00934100" w:rsidRPr="006572A8" w:rsidRDefault="00934100" w:rsidP="00934100">
      <w:pPr>
        <w:pStyle w:val="Odsekzoznamu"/>
        <w:widowControl w:val="0"/>
        <w:tabs>
          <w:tab w:val="left" w:pos="337"/>
        </w:tabs>
        <w:autoSpaceDE w:val="0"/>
        <w:autoSpaceDN w:val="0"/>
        <w:spacing w:line="240" w:lineRule="auto"/>
        <w:contextualSpacing w:val="0"/>
        <w:jc w:val="left"/>
        <w:rPr>
          <w:color w:val="FF0000"/>
          <w:sz w:val="17"/>
          <w:szCs w:val="17"/>
        </w:rPr>
      </w:pPr>
      <w:r w:rsidRPr="006572A8">
        <w:rPr>
          <w:color w:val="FF0000"/>
          <w:sz w:val="17"/>
          <w:szCs w:val="17"/>
        </w:rPr>
        <w:t xml:space="preserve">[4] </w:t>
      </w:r>
      <w:hyperlink r:id="rId16">
        <w:r w:rsidRPr="006572A8">
          <w:rPr>
            <w:color w:val="FF0000"/>
            <w:sz w:val="17"/>
            <w:szCs w:val="17"/>
            <w:u w:val="single" w:color="FF0000"/>
          </w:rPr>
          <w:t>https://ec.europa.eu/info/sites/default/files/170227-report-capital-barriers_en.pdf</w:t>
        </w:r>
      </w:hyperlink>
    </w:p>
    <w:p w14:paraId="478682CC" w14:textId="6D5909DE" w:rsidR="00C36940" w:rsidRPr="009011CC" w:rsidRDefault="00C36940" w:rsidP="00C36940">
      <w:pPr>
        <w:pStyle w:val="CEABullet-Level1"/>
        <w:numPr>
          <w:ilvl w:val="0"/>
          <w:numId w:val="0"/>
        </w:numPr>
        <w:ind w:left="720"/>
      </w:pPr>
    </w:p>
    <w:p w14:paraId="73210254" w14:textId="3ECA8FDF" w:rsidR="00D01EE9" w:rsidRDefault="00254144" w:rsidP="00D01EE9">
      <w:pPr>
        <w:pStyle w:val="CEABullet-Level1"/>
      </w:pPr>
      <w:r w:rsidRPr="002D505C">
        <w:t xml:space="preserve">Yes </w:t>
      </w:r>
    </w:p>
    <w:p w14:paraId="35C9837A" w14:textId="7CEEE054" w:rsidR="00254144" w:rsidRPr="002D505C" w:rsidRDefault="00254144" w:rsidP="00D01EE9">
      <w:pPr>
        <w:pStyle w:val="CEABullet-Level1"/>
      </w:pPr>
      <w:r w:rsidRPr="002C7E45">
        <w:rPr>
          <w:highlight w:val="yellow"/>
        </w:rPr>
        <w:t>No</w:t>
      </w:r>
    </w:p>
    <w:p w14:paraId="59D3A652" w14:textId="77777777" w:rsidR="00254144" w:rsidRPr="0028628C" w:rsidRDefault="00254144" w:rsidP="002D505C">
      <w:pPr>
        <w:pStyle w:val="Zkladntext"/>
        <w:spacing w:line="288" w:lineRule="auto"/>
        <w:jc w:val="both"/>
        <w:rPr>
          <w:rFonts w:ascii="Verdana" w:hAnsi="Verdana"/>
          <w:sz w:val="17"/>
          <w:szCs w:val="17"/>
        </w:rPr>
      </w:pPr>
    </w:p>
    <w:p w14:paraId="4D287529" w14:textId="77777777" w:rsidR="00D01EE9" w:rsidRPr="002D505C" w:rsidRDefault="00D01EE9" w:rsidP="002D505C">
      <w:pPr>
        <w:pStyle w:val="Zkladntext"/>
        <w:spacing w:line="288" w:lineRule="auto"/>
        <w:jc w:val="both"/>
        <w:rPr>
          <w:rFonts w:ascii="Verdana" w:hAnsi="Verdana"/>
          <w:sz w:val="17"/>
          <w:szCs w:val="17"/>
        </w:rPr>
      </w:pPr>
    </w:p>
    <w:p w14:paraId="27A08290" w14:textId="695D7758" w:rsidR="00254144" w:rsidRPr="009011CC" w:rsidRDefault="00254144" w:rsidP="009011CC">
      <w:pPr>
        <w:pStyle w:val="CEABullet-Level1"/>
        <w:numPr>
          <w:ilvl w:val="0"/>
          <w:numId w:val="12"/>
        </w:numPr>
      </w:pPr>
      <w:r w:rsidRPr="009011CC">
        <w:t>Have you ever invested in securities (debt or equity) in an EU country different from your home country?</w:t>
      </w:r>
    </w:p>
    <w:p w14:paraId="63FE9BDD" w14:textId="77777777" w:rsidR="000311D5" w:rsidRDefault="00254144" w:rsidP="00D01EE9">
      <w:pPr>
        <w:pStyle w:val="CEABullet-Level1"/>
      </w:pPr>
      <w:r w:rsidRPr="00EA041A">
        <w:rPr>
          <w:highlight w:val="yellow"/>
        </w:rPr>
        <w:t>Yes, regularly</w:t>
      </w:r>
      <w:r w:rsidRPr="002D505C">
        <w:t xml:space="preserve"> </w:t>
      </w:r>
    </w:p>
    <w:p w14:paraId="34E11E6F" w14:textId="77777777" w:rsidR="000311D5" w:rsidRDefault="00254144" w:rsidP="00D01EE9">
      <w:pPr>
        <w:pStyle w:val="CEABullet-Level1"/>
      </w:pPr>
      <w:r w:rsidRPr="002D505C">
        <w:t>Yes, occasionally</w:t>
      </w:r>
    </w:p>
    <w:p w14:paraId="53BDA1EE" w14:textId="6DA4E79C" w:rsidR="00254144" w:rsidRPr="002D505C" w:rsidRDefault="000311D5" w:rsidP="00D01EE9">
      <w:pPr>
        <w:pStyle w:val="CEABullet-Level1"/>
      </w:pPr>
      <w:r>
        <w:t>N</w:t>
      </w:r>
      <w:r w:rsidR="00254144" w:rsidRPr="002D505C">
        <w:t>o, never</w:t>
      </w:r>
    </w:p>
    <w:p w14:paraId="2CFA1C93" w14:textId="77777777" w:rsidR="00254144" w:rsidRPr="002D505C" w:rsidRDefault="00254144" w:rsidP="00D01EE9">
      <w:pPr>
        <w:pStyle w:val="CEABullet-Level1"/>
      </w:pPr>
      <w:r w:rsidRPr="002D505C">
        <w:t>Don't know</w:t>
      </w:r>
    </w:p>
    <w:p w14:paraId="12270993" w14:textId="77777777" w:rsidR="00B21A91" w:rsidRDefault="00B21A91" w:rsidP="002D505C">
      <w:pPr>
        <w:pStyle w:val="Zkladntext"/>
        <w:spacing w:line="288" w:lineRule="auto"/>
        <w:jc w:val="both"/>
        <w:rPr>
          <w:rFonts w:ascii="Verdana" w:hAnsi="Verdana"/>
          <w:sz w:val="17"/>
          <w:szCs w:val="17"/>
        </w:rPr>
      </w:pPr>
    </w:p>
    <w:p w14:paraId="3BDEB770" w14:textId="77777777" w:rsidR="00EF6F28" w:rsidRPr="0028628C" w:rsidRDefault="009F2D6E" w:rsidP="00EF6F28">
      <w:pPr>
        <w:pStyle w:val="Zkladntext"/>
        <w:numPr>
          <w:ilvl w:val="0"/>
          <w:numId w:val="12"/>
        </w:numPr>
        <w:spacing w:line="288" w:lineRule="auto"/>
        <w:jc w:val="both"/>
        <w:rPr>
          <w:rFonts w:ascii="Verdana" w:hAnsi="Verdana"/>
          <w:sz w:val="17"/>
          <w:szCs w:val="17"/>
        </w:rPr>
      </w:pPr>
      <w:commentRangeStart w:id="1"/>
      <w:r w:rsidRPr="009F2D6E">
        <w:rPr>
          <w:rFonts w:ascii="Verdana" w:hAnsi="Verdana"/>
          <w:sz w:val="17"/>
          <w:szCs w:val="17"/>
          <w:lang w:val="en-GB"/>
        </w:rPr>
        <w:t>If you answered to question 6 in the negative, what is the reason?</w:t>
      </w:r>
      <w:commentRangeEnd w:id="1"/>
      <w:r w:rsidR="00EF6F28" w:rsidRPr="0028628C">
        <w:rPr>
          <w:rStyle w:val="Odkaznakomentr"/>
          <w:rFonts w:ascii="Verdana" w:eastAsia="Times New Roman" w:hAnsi="Verdana" w:cs="Times New Roman"/>
          <w:lang w:val="en-GB"/>
        </w:rPr>
        <w:commentReference w:id="1"/>
      </w:r>
    </w:p>
    <w:p w14:paraId="6A302551" w14:textId="77777777" w:rsidR="00EF6F28" w:rsidRPr="0028628C" w:rsidRDefault="00EF6F28" w:rsidP="00EF6F28">
      <w:pPr>
        <w:pStyle w:val="CEABullet-Level1"/>
      </w:pPr>
      <w:r w:rsidRPr="0028628C">
        <w:t>I do not want to go through WHT procedures due to the inefficiencies of the system</w:t>
      </w:r>
    </w:p>
    <w:p w14:paraId="54148844" w14:textId="77777777" w:rsidR="00EF6F28" w:rsidRPr="0028628C" w:rsidRDefault="00EF6F28" w:rsidP="00EF6F28">
      <w:pPr>
        <w:pStyle w:val="CEABullet-Level1"/>
      </w:pPr>
      <w:r w:rsidRPr="0028628C">
        <w:t>Any other tax-related reasons</w:t>
      </w:r>
    </w:p>
    <w:p w14:paraId="32BC6B80" w14:textId="77777777" w:rsidR="00EF6F28" w:rsidRPr="0028628C" w:rsidRDefault="00EF6F28" w:rsidP="00EF6F28">
      <w:pPr>
        <w:pStyle w:val="CEABullet-Level1"/>
      </w:pPr>
      <w:r w:rsidRPr="0028628C">
        <w:t xml:space="preserve">Any </w:t>
      </w:r>
      <w:proofErr w:type="spellStart"/>
      <w:proofErr w:type="gramStart"/>
      <w:r w:rsidRPr="0028628C">
        <w:t>non tax</w:t>
      </w:r>
      <w:proofErr w:type="spellEnd"/>
      <w:proofErr w:type="gramEnd"/>
      <w:r w:rsidRPr="0028628C">
        <w:t>-related reasons</w:t>
      </w:r>
    </w:p>
    <w:p w14:paraId="0174DC54" w14:textId="77777777" w:rsidR="00EF6F28" w:rsidRPr="0028628C" w:rsidRDefault="00EF6F28" w:rsidP="00EF6F28">
      <w:pPr>
        <w:pStyle w:val="CEABullet-Level1"/>
        <w:numPr>
          <w:ilvl w:val="0"/>
          <w:numId w:val="0"/>
        </w:numPr>
        <w:ind w:left="720" w:hanging="360"/>
      </w:pPr>
    </w:p>
    <w:p w14:paraId="7B353949" w14:textId="77777777" w:rsidR="00EF6F28" w:rsidRPr="0028628C" w:rsidRDefault="00EF6F28" w:rsidP="00EF6F28">
      <w:pPr>
        <w:pStyle w:val="CEABullet-Level1"/>
        <w:numPr>
          <w:ilvl w:val="0"/>
          <w:numId w:val="0"/>
        </w:numPr>
        <w:ind w:left="720" w:hanging="360"/>
      </w:pPr>
      <w:r w:rsidRPr="0028628C">
        <w:t>Please explain the reasons:</w:t>
      </w:r>
    </w:p>
    <w:p w14:paraId="43E39D42" w14:textId="77777777" w:rsidR="00EF6F28" w:rsidRPr="0028628C" w:rsidRDefault="00EF6F28" w:rsidP="00EF6F28">
      <w:pPr>
        <w:pStyle w:val="Zkladntext"/>
        <w:spacing w:line="288" w:lineRule="auto"/>
        <w:jc w:val="both"/>
        <w:rPr>
          <w:rFonts w:ascii="Verdana" w:hAnsi="Verdana"/>
          <w:sz w:val="17"/>
          <w:szCs w:val="17"/>
        </w:rPr>
      </w:pPr>
    </w:p>
    <w:p w14:paraId="7C013F06" w14:textId="77777777" w:rsidR="00EF6F28" w:rsidRPr="0028628C" w:rsidRDefault="00EF6F28" w:rsidP="00EF6F28">
      <w:pPr>
        <w:pStyle w:val="Zkladntext"/>
        <w:spacing w:line="288" w:lineRule="auto"/>
        <w:jc w:val="both"/>
        <w:rPr>
          <w:rFonts w:ascii="Verdana" w:hAnsi="Verdana"/>
          <w:sz w:val="17"/>
          <w:szCs w:val="17"/>
        </w:rPr>
      </w:pPr>
    </w:p>
    <w:p w14:paraId="0E14B609" w14:textId="77777777" w:rsidR="00EF6F28" w:rsidRPr="0028628C" w:rsidRDefault="00EF6F28" w:rsidP="00EF6F28">
      <w:pPr>
        <w:pStyle w:val="Zkladntext"/>
        <w:numPr>
          <w:ilvl w:val="0"/>
          <w:numId w:val="12"/>
        </w:numPr>
        <w:spacing w:line="288" w:lineRule="auto"/>
        <w:jc w:val="both"/>
        <w:rPr>
          <w:rFonts w:ascii="Verdana" w:eastAsia="Times New Roman" w:hAnsi="Verdana" w:cs="Frutiger LT Std 45 Light"/>
          <w:color w:val="000000"/>
          <w:sz w:val="17"/>
          <w:szCs w:val="20"/>
          <w:lang w:val="en-GB"/>
        </w:rPr>
      </w:pPr>
      <w:commentRangeStart w:id="2"/>
      <w:r w:rsidRPr="003D6607">
        <w:rPr>
          <w:rFonts w:ascii="Verdana" w:eastAsia="Times New Roman" w:hAnsi="Verdana" w:cs="Frutiger LT Std 45 Light"/>
          <w:color w:val="000000"/>
          <w:sz w:val="17"/>
          <w:szCs w:val="20"/>
          <w:lang w:val="en-GB"/>
        </w:rPr>
        <w:t>If you answered to question 6 in the affirmative, if the country of investment</w:t>
      </w:r>
      <w:r w:rsidRPr="0028628C">
        <w:rPr>
          <w:rFonts w:ascii="Verdana" w:eastAsia="Times New Roman" w:hAnsi="Verdana" w:cs="Frutiger LT Std 45 Light"/>
          <w:color w:val="000000"/>
          <w:sz w:val="17"/>
          <w:szCs w:val="20"/>
          <w:lang w:val="en-GB"/>
        </w:rPr>
        <w:t xml:space="preserve"> </w:t>
      </w:r>
      <w:r w:rsidRPr="003D6607">
        <w:rPr>
          <w:rFonts w:ascii="Verdana" w:eastAsia="Times New Roman" w:hAnsi="Verdana" w:cs="Frutiger LT Std 45 Light"/>
          <w:color w:val="000000"/>
          <w:sz w:val="17"/>
          <w:szCs w:val="20"/>
          <w:lang w:val="en-GB"/>
        </w:rPr>
        <w:t>levied a withholding tax above the rate of the applicable Double Taxation</w:t>
      </w:r>
      <w:r w:rsidRPr="0028628C">
        <w:rPr>
          <w:rFonts w:ascii="Verdana" w:eastAsia="Times New Roman" w:hAnsi="Verdana" w:cs="Frutiger LT Std 45 Light"/>
          <w:color w:val="000000"/>
          <w:sz w:val="17"/>
          <w:szCs w:val="20"/>
          <w:lang w:val="en-GB"/>
        </w:rPr>
        <w:t xml:space="preserve"> </w:t>
      </w:r>
      <w:r w:rsidRPr="003D6607">
        <w:rPr>
          <w:rFonts w:ascii="Verdana" w:eastAsia="Times New Roman" w:hAnsi="Verdana" w:cs="Frutiger LT Std 45 Light"/>
          <w:color w:val="000000"/>
          <w:sz w:val="17"/>
          <w:szCs w:val="20"/>
          <w:lang w:val="en-GB"/>
        </w:rPr>
        <w:t>Convention, did you encounter problems on the refund of this excess withholding</w:t>
      </w:r>
      <w:r w:rsidRPr="0028628C">
        <w:rPr>
          <w:rFonts w:ascii="Verdana" w:eastAsia="Times New Roman" w:hAnsi="Verdana" w:cs="Frutiger LT Std 45 Light"/>
          <w:color w:val="000000"/>
          <w:sz w:val="17"/>
          <w:szCs w:val="20"/>
          <w:lang w:val="en-GB"/>
        </w:rPr>
        <w:t xml:space="preserve"> tax?</w:t>
      </w:r>
      <w:commentRangeEnd w:id="2"/>
      <w:r w:rsidRPr="0028628C">
        <w:rPr>
          <w:rStyle w:val="Odkaznakomentr"/>
          <w:rFonts w:ascii="Verdana" w:eastAsia="Times New Roman" w:hAnsi="Verdana" w:cs="Times New Roman"/>
          <w:lang w:val="en-GB"/>
        </w:rPr>
        <w:commentReference w:id="2"/>
      </w:r>
    </w:p>
    <w:p w14:paraId="4B982E91" w14:textId="77777777" w:rsidR="00EF6F28" w:rsidRPr="0028628C" w:rsidRDefault="00EF6F28" w:rsidP="00EF6F28">
      <w:pPr>
        <w:pStyle w:val="CEABullet-Level1"/>
      </w:pPr>
      <w:r w:rsidRPr="0028628C">
        <w:t>Yes, regularly</w:t>
      </w:r>
    </w:p>
    <w:p w14:paraId="283F4C77" w14:textId="77777777" w:rsidR="00EF6F28" w:rsidRPr="0028628C" w:rsidRDefault="00EF6F28" w:rsidP="00EF6F28">
      <w:pPr>
        <w:pStyle w:val="CEABullet-Level1"/>
      </w:pPr>
      <w:r w:rsidRPr="00EA041A">
        <w:rPr>
          <w:highlight w:val="yellow"/>
        </w:rPr>
        <w:t>Yes, occasionally</w:t>
      </w:r>
    </w:p>
    <w:p w14:paraId="1F653844" w14:textId="77777777" w:rsidR="00EF6F28" w:rsidRPr="0028628C" w:rsidRDefault="00EF6F28" w:rsidP="00EF6F28">
      <w:pPr>
        <w:pStyle w:val="CEABullet-Level1"/>
      </w:pPr>
      <w:r w:rsidRPr="0028628C">
        <w:t>No, never</w:t>
      </w:r>
    </w:p>
    <w:p w14:paraId="092C43AD" w14:textId="77777777" w:rsidR="00EF6F28" w:rsidRPr="0028628C" w:rsidRDefault="00EF6F28" w:rsidP="00EF6F28">
      <w:pPr>
        <w:pStyle w:val="CEABullet-Level1"/>
      </w:pPr>
      <w:r w:rsidRPr="0028628C">
        <w:t>Don't know</w:t>
      </w:r>
    </w:p>
    <w:p w14:paraId="022CF574" w14:textId="77777777" w:rsidR="00EF6F28" w:rsidRPr="0028628C" w:rsidRDefault="00EF6F28" w:rsidP="00EF6F28">
      <w:pPr>
        <w:pStyle w:val="Zkladntext"/>
        <w:spacing w:line="288" w:lineRule="auto"/>
        <w:jc w:val="both"/>
        <w:rPr>
          <w:rFonts w:ascii="Verdana" w:eastAsia="Times New Roman" w:hAnsi="Verdana" w:cs="Frutiger LT Std 45 Light"/>
          <w:color w:val="000000"/>
          <w:sz w:val="17"/>
          <w:szCs w:val="20"/>
          <w:lang w:val="en-GB"/>
        </w:rPr>
      </w:pPr>
    </w:p>
    <w:p w14:paraId="11D1200F" w14:textId="77777777" w:rsidR="00EF6F28" w:rsidRPr="0028628C" w:rsidRDefault="00EF6F28" w:rsidP="00EF6F28">
      <w:pPr>
        <w:pStyle w:val="Zkladntext"/>
        <w:numPr>
          <w:ilvl w:val="0"/>
          <w:numId w:val="12"/>
        </w:numPr>
        <w:spacing w:line="288" w:lineRule="auto"/>
        <w:jc w:val="both"/>
        <w:rPr>
          <w:rFonts w:ascii="Verdana" w:hAnsi="Verdana"/>
          <w:sz w:val="17"/>
          <w:szCs w:val="17"/>
          <w:lang w:val="en-GB"/>
        </w:rPr>
      </w:pPr>
      <w:commentRangeStart w:id="3"/>
      <w:r w:rsidRPr="0028628C">
        <w:rPr>
          <w:rFonts w:ascii="Verdana" w:hAnsi="Verdana"/>
          <w:sz w:val="17"/>
          <w:szCs w:val="17"/>
          <w:lang w:val="en-GB"/>
        </w:rPr>
        <w:t>With which countries did you encounter such problems?</w:t>
      </w:r>
      <w:commentRangeEnd w:id="3"/>
      <w:r w:rsidRPr="0028628C">
        <w:rPr>
          <w:rStyle w:val="Odkaznakomentr"/>
          <w:rFonts w:ascii="Verdana" w:eastAsia="Times New Roman" w:hAnsi="Verdana" w:cs="Times New Roman"/>
          <w:lang w:val="en-GB"/>
        </w:rPr>
        <w:commentReference w:id="3"/>
      </w:r>
    </w:p>
    <w:tbl>
      <w:tblPr>
        <w:tblW w:w="8392"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ook w:val="01E0" w:firstRow="1" w:lastRow="1" w:firstColumn="1" w:lastColumn="1" w:noHBand="0" w:noVBand="0"/>
      </w:tblPr>
      <w:tblGrid>
        <w:gridCol w:w="2076"/>
        <w:gridCol w:w="459"/>
        <w:gridCol w:w="1217"/>
        <w:gridCol w:w="459"/>
        <w:gridCol w:w="1406"/>
        <w:gridCol w:w="459"/>
        <w:gridCol w:w="2073"/>
        <w:gridCol w:w="459"/>
      </w:tblGrid>
      <w:tr w:rsidR="0028628C" w:rsidRPr="0028628C" w14:paraId="0495DFEB" w14:textId="77777777" w:rsidTr="007F7600">
        <w:trPr>
          <w:trHeight w:val="290"/>
        </w:trPr>
        <w:tc>
          <w:tcPr>
            <w:tcW w:w="2076" w:type="dxa"/>
            <w:shd w:val="clear" w:color="auto" w:fill="auto"/>
            <w:noWrap/>
            <w:vAlign w:val="bottom"/>
            <w:hideMark/>
          </w:tcPr>
          <w:p w14:paraId="1EC7ACC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Austria</w:t>
            </w:r>
          </w:p>
        </w:tc>
        <w:tc>
          <w:tcPr>
            <w:tcW w:w="243" w:type="dxa"/>
            <w:shd w:val="clear" w:color="auto" w:fill="auto"/>
            <w:noWrap/>
            <w:vAlign w:val="bottom"/>
            <w:hideMark/>
          </w:tcPr>
          <w:p w14:paraId="6D3C2A2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382A0E8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Estonia</w:t>
            </w:r>
          </w:p>
        </w:tc>
        <w:tc>
          <w:tcPr>
            <w:tcW w:w="459" w:type="dxa"/>
            <w:shd w:val="clear" w:color="auto" w:fill="auto"/>
            <w:noWrap/>
            <w:vAlign w:val="bottom"/>
            <w:hideMark/>
          </w:tcPr>
          <w:p w14:paraId="407C54B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7CC9E99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Italy</w:t>
            </w:r>
          </w:p>
        </w:tc>
        <w:tc>
          <w:tcPr>
            <w:tcW w:w="459" w:type="dxa"/>
            <w:shd w:val="clear" w:color="auto" w:fill="auto"/>
            <w:noWrap/>
            <w:vAlign w:val="bottom"/>
            <w:hideMark/>
          </w:tcPr>
          <w:p w14:paraId="6913E14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3AB7733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Portugal</w:t>
            </w:r>
          </w:p>
        </w:tc>
        <w:tc>
          <w:tcPr>
            <w:tcW w:w="459" w:type="dxa"/>
            <w:shd w:val="clear" w:color="auto" w:fill="auto"/>
            <w:noWrap/>
            <w:vAlign w:val="bottom"/>
            <w:hideMark/>
          </w:tcPr>
          <w:p w14:paraId="2ACC8EF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4847D473" w14:textId="77777777" w:rsidTr="007F7600">
        <w:trPr>
          <w:trHeight w:val="290"/>
        </w:trPr>
        <w:tc>
          <w:tcPr>
            <w:tcW w:w="2076" w:type="dxa"/>
            <w:shd w:val="clear" w:color="auto" w:fill="auto"/>
            <w:noWrap/>
            <w:vAlign w:val="bottom"/>
            <w:hideMark/>
          </w:tcPr>
          <w:p w14:paraId="04BBFEB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Belgium</w:t>
            </w:r>
          </w:p>
        </w:tc>
        <w:tc>
          <w:tcPr>
            <w:tcW w:w="243" w:type="dxa"/>
            <w:shd w:val="clear" w:color="auto" w:fill="auto"/>
            <w:noWrap/>
            <w:vAlign w:val="bottom"/>
            <w:hideMark/>
          </w:tcPr>
          <w:p w14:paraId="3B27326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69C592A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Finland</w:t>
            </w:r>
          </w:p>
        </w:tc>
        <w:tc>
          <w:tcPr>
            <w:tcW w:w="459" w:type="dxa"/>
            <w:shd w:val="clear" w:color="auto" w:fill="auto"/>
            <w:noWrap/>
            <w:vAlign w:val="bottom"/>
            <w:hideMark/>
          </w:tcPr>
          <w:p w14:paraId="5B97E67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6D7115E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Latvia</w:t>
            </w:r>
          </w:p>
        </w:tc>
        <w:tc>
          <w:tcPr>
            <w:tcW w:w="459" w:type="dxa"/>
            <w:shd w:val="clear" w:color="auto" w:fill="auto"/>
            <w:noWrap/>
            <w:vAlign w:val="bottom"/>
            <w:hideMark/>
          </w:tcPr>
          <w:p w14:paraId="266150D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7E67754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Romania</w:t>
            </w:r>
          </w:p>
        </w:tc>
        <w:tc>
          <w:tcPr>
            <w:tcW w:w="459" w:type="dxa"/>
            <w:shd w:val="clear" w:color="auto" w:fill="auto"/>
            <w:noWrap/>
            <w:vAlign w:val="bottom"/>
            <w:hideMark/>
          </w:tcPr>
          <w:p w14:paraId="620A82C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30CC037D" w14:textId="77777777" w:rsidTr="007F7600">
        <w:trPr>
          <w:trHeight w:val="290"/>
        </w:trPr>
        <w:tc>
          <w:tcPr>
            <w:tcW w:w="2076" w:type="dxa"/>
            <w:shd w:val="clear" w:color="auto" w:fill="auto"/>
            <w:noWrap/>
            <w:vAlign w:val="bottom"/>
            <w:hideMark/>
          </w:tcPr>
          <w:p w14:paraId="06AE168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Bulgaria</w:t>
            </w:r>
          </w:p>
        </w:tc>
        <w:tc>
          <w:tcPr>
            <w:tcW w:w="243" w:type="dxa"/>
            <w:shd w:val="clear" w:color="auto" w:fill="auto"/>
            <w:noWrap/>
            <w:vAlign w:val="bottom"/>
            <w:hideMark/>
          </w:tcPr>
          <w:p w14:paraId="5FA3B95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270B5A6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France</w:t>
            </w:r>
          </w:p>
        </w:tc>
        <w:tc>
          <w:tcPr>
            <w:tcW w:w="459" w:type="dxa"/>
            <w:shd w:val="clear" w:color="auto" w:fill="auto"/>
            <w:noWrap/>
            <w:vAlign w:val="bottom"/>
            <w:hideMark/>
          </w:tcPr>
          <w:p w14:paraId="7998535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63C34C8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Lithuania</w:t>
            </w:r>
          </w:p>
        </w:tc>
        <w:tc>
          <w:tcPr>
            <w:tcW w:w="459" w:type="dxa"/>
            <w:shd w:val="clear" w:color="auto" w:fill="auto"/>
            <w:noWrap/>
            <w:vAlign w:val="bottom"/>
            <w:hideMark/>
          </w:tcPr>
          <w:p w14:paraId="565CFD4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486CE21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Slovakia</w:t>
            </w:r>
          </w:p>
        </w:tc>
        <w:tc>
          <w:tcPr>
            <w:tcW w:w="459" w:type="dxa"/>
            <w:shd w:val="clear" w:color="auto" w:fill="auto"/>
            <w:noWrap/>
            <w:vAlign w:val="bottom"/>
            <w:hideMark/>
          </w:tcPr>
          <w:p w14:paraId="142A2B4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71116484" w14:textId="77777777" w:rsidTr="007F7600">
        <w:trPr>
          <w:trHeight w:val="290"/>
        </w:trPr>
        <w:tc>
          <w:tcPr>
            <w:tcW w:w="2076" w:type="dxa"/>
            <w:shd w:val="clear" w:color="auto" w:fill="auto"/>
            <w:noWrap/>
            <w:vAlign w:val="bottom"/>
            <w:hideMark/>
          </w:tcPr>
          <w:p w14:paraId="1DAE961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Croatia</w:t>
            </w:r>
          </w:p>
        </w:tc>
        <w:tc>
          <w:tcPr>
            <w:tcW w:w="243" w:type="dxa"/>
            <w:shd w:val="clear" w:color="auto" w:fill="auto"/>
            <w:noWrap/>
            <w:vAlign w:val="bottom"/>
            <w:hideMark/>
          </w:tcPr>
          <w:p w14:paraId="4DC00B3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5B7A9B7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Germany</w:t>
            </w:r>
          </w:p>
        </w:tc>
        <w:tc>
          <w:tcPr>
            <w:tcW w:w="459" w:type="dxa"/>
            <w:shd w:val="clear" w:color="auto" w:fill="auto"/>
            <w:noWrap/>
            <w:vAlign w:val="bottom"/>
            <w:hideMark/>
          </w:tcPr>
          <w:p w14:paraId="09ABDCD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2143A9B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Luxemburg</w:t>
            </w:r>
          </w:p>
        </w:tc>
        <w:tc>
          <w:tcPr>
            <w:tcW w:w="459" w:type="dxa"/>
            <w:shd w:val="clear" w:color="auto" w:fill="auto"/>
            <w:noWrap/>
            <w:vAlign w:val="bottom"/>
            <w:hideMark/>
          </w:tcPr>
          <w:p w14:paraId="3BD30FF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2B17ACC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Slovenia</w:t>
            </w:r>
          </w:p>
        </w:tc>
        <w:tc>
          <w:tcPr>
            <w:tcW w:w="459" w:type="dxa"/>
            <w:shd w:val="clear" w:color="auto" w:fill="auto"/>
            <w:noWrap/>
            <w:vAlign w:val="bottom"/>
            <w:hideMark/>
          </w:tcPr>
          <w:p w14:paraId="464C1D6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4E98A8D3" w14:textId="77777777" w:rsidTr="007F7600">
        <w:trPr>
          <w:trHeight w:val="290"/>
        </w:trPr>
        <w:tc>
          <w:tcPr>
            <w:tcW w:w="2076" w:type="dxa"/>
            <w:shd w:val="clear" w:color="auto" w:fill="auto"/>
            <w:noWrap/>
            <w:vAlign w:val="bottom"/>
            <w:hideMark/>
          </w:tcPr>
          <w:p w14:paraId="434A033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lastRenderedPageBreak/>
              <w:t>Republic of Cyprus</w:t>
            </w:r>
          </w:p>
        </w:tc>
        <w:tc>
          <w:tcPr>
            <w:tcW w:w="243" w:type="dxa"/>
            <w:shd w:val="clear" w:color="auto" w:fill="auto"/>
            <w:noWrap/>
            <w:vAlign w:val="bottom"/>
            <w:hideMark/>
          </w:tcPr>
          <w:p w14:paraId="0969C76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3A14326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Greece</w:t>
            </w:r>
          </w:p>
        </w:tc>
        <w:tc>
          <w:tcPr>
            <w:tcW w:w="459" w:type="dxa"/>
            <w:shd w:val="clear" w:color="auto" w:fill="auto"/>
            <w:noWrap/>
            <w:vAlign w:val="bottom"/>
            <w:hideMark/>
          </w:tcPr>
          <w:p w14:paraId="33DF88A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2189DDE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Malta</w:t>
            </w:r>
          </w:p>
        </w:tc>
        <w:tc>
          <w:tcPr>
            <w:tcW w:w="459" w:type="dxa"/>
            <w:shd w:val="clear" w:color="auto" w:fill="auto"/>
            <w:noWrap/>
            <w:vAlign w:val="bottom"/>
            <w:hideMark/>
          </w:tcPr>
          <w:p w14:paraId="41120CE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6C86DA8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Spain</w:t>
            </w:r>
          </w:p>
        </w:tc>
        <w:tc>
          <w:tcPr>
            <w:tcW w:w="459" w:type="dxa"/>
            <w:shd w:val="clear" w:color="auto" w:fill="auto"/>
            <w:noWrap/>
            <w:vAlign w:val="bottom"/>
            <w:hideMark/>
          </w:tcPr>
          <w:p w14:paraId="0C7A659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1C60FC45" w14:textId="77777777" w:rsidTr="007F7600">
        <w:trPr>
          <w:trHeight w:val="290"/>
        </w:trPr>
        <w:tc>
          <w:tcPr>
            <w:tcW w:w="2076" w:type="dxa"/>
            <w:shd w:val="clear" w:color="auto" w:fill="auto"/>
            <w:noWrap/>
            <w:vAlign w:val="bottom"/>
            <w:hideMark/>
          </w:tcPr>
          <w:p w14:paraId="5191855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Czech Republic</w:t>
            </w:r>
          </w:p>
        </w:tc>
        <w:tc>
          <w:tcPr>
            <w:tcW w:w="243" w:type="dxa"/>
            <w:shd w:val="clear" w:color="auto" w:fill="auto"/>
            <w:noWrap/>
            <w:vAlign w:val="bottom"/>
            <w:hideMark/>
          </w:tcPr>
          <w:p w14:paraId="56B60B0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20D258B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Hungary</w:t>
            </w:r>
          </w:p>
        </w:tc>
        <w:tc>
          <w:tcPr>
            <w:tcW w:w="459" w:type="dxa"/>
            <w:shd w:val="clear" w:color="auto" w:fill="auto"/>
            <w:noWrap/>
            <w:vAlign w:val="bottom"/>
            <w:hideMark/>
          </w:tcPr>
          <w:p w14:paraId="40A18B3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1067968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Netherland</w:t>
            </w:r>
          </w:p>
        </w:tc>
        <w:tc>
          <w:tcPr>
            <w:tcW w:w="459" w:type="dxa"/>
            <w:shd w:val="clear" w:color="auto" w:fill="auto"/>
            <w:noWrap/>
            <w:vAlign w:val="bottom"/>
            <w:hideMark/>
          </w:tcPr>
          <w:p w14:paraId="71076E92"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4529BE9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Sweden</w:t>
            </w:r>
          </w:p>
        </w:tc>
        <w:tc>
          <w:tcPr>
            <w:tcW w:w="459" w:type="dxa"/>
            <w:shd w:val="clear" w:color="auto" w:fill="auto"/>
            <w:noWrap/>
            <w:vAlign w:val="bottom"/>
            <w:hideMark/>
          </w:tcPr>
          <w:p w14:paraId="6D8181E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7F896589" w14:textId="77777777" w:rsidTr="007F7600">
        <w:trPr>
          <w:trHeight w:val="290"/>
        </w:trPr>
        <w:tc>
          <w:tcPr>
            <w:tcW w:w="2076" w:type="dxa"/>
            <w:shd w:val="clear" w:color="auto" w:fill="auto"/>
            <w:noWrap/>
            <w:vAlign w:val="bottom"/>
            <w:hideMark/>
          </w:tcPr>
          <w:p w14:paraId="4FBAA10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Denmark</w:t>
            </w:r>
          </w:p>
        </w:tc>
        <w:tc>
          <w:tcPr>
            <w:tcW w:w="243" w:type="dxa"/>
            <w:shd w:val="clear" w:color="auto" w:fill="auto"/>
            <w:noWrap/>
            <w:vAlign w:val="bottom"/>
            <w:hideMark/>
          </w:tcPr>
          <w:p w14:paraId="45C09210"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07B047B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Ireland</w:t>
            </w:r>
          </w:p>
        </w:tc>
        <w:tc>
          <w:tcPr>
            <w:tcW w:w="459" w:type="dxa"/>
            <w:shd w:val="clear" w:color="auto" w:fill="auto"/>
            <w:noWrap/>
            <w:vAlign w:val="bottom"/>
            <w:hideMark/>
          </w:tcPr>
          <w:p w14:paraId="10BBA0B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0910EAD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Poland</w:t>
            </w:r>
          </w:p>
        </w:tc>
        <w:tc>
          <w:tcPr>
            <w:tcW w:w="459" w:type="dxa"/>
            <w:shd w:val="clear" w:color="auto" w:fill="auto"/>
            <w:noWrap/>
            <w:vAlign w:val="bottom"/>
            <w:hideMark/>
          </w:tcPr>
          <w:p w14:paraId="690DFE9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58ECC17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None of the above</w:t>
            </w:r>
          </w:p>
        </w:tc>
        <w:tc>
          <w:tcPr>
            <w:tcW w:w="459" w:type="dxa"/>
            <w:shd w:val="clear" w:color="auto" w:fill="auto"/>
            <w:noWrap/>
            <w:vAlign w:val="bottom"/>
            <w:hideMark/>
          </w:tcPr>
          <w:p w14:paraId="0DC5FD0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bl>
    <w:p w14:paraId="5509311A" w14:textId="77777777" w:rsidR="00EF6F28" w:rsidRPr="0028628C" w:rsidRDefault="00EF6F28" w:rsidP="00EF6F28">
      <w:pPr>
        <w:pStyle w:val="Zkladntext"/>
        <w:spacing w:line="288" w:lineRule="auto"/>
        <w:ind w:left="720"/>
        <w:jc w:val="both"/>
        <w:rPr>
          <w:rFonts w:ascii="Verdana" w:hAnsi="Verdana"/>
          <w:sz w:val="17"/>
          <w:szCs w:val="17"/>
          <w:lang w:val="en-GB"/>
        </w:rPr>
      </w:pPr>
    </w:p>
    <w:p w14:paraId="0288078F" w14:textId="77777777" w:rsidR="001D2E8D" w:rsidRPr="0028628C" w:rsidRDefault="001D2E8D" w:rsidP="00EF6F28">
      <w:pPr>
        <w:pStyle w:val="Zkladntext"/>
        <w:spacing w:line="288" w:lineRule="auto"/>
        <w:ind w:left="720"/>
        <w:jc w:val="both"/>
        <w:rPr>
          <w:rFonts w:ascii="Verdana" w:hAnsi="Verdana"/>
          <w:sz w:val="17"/>
          <w:szCs w:val="17"/>
          <w:lang w:val="en-GB"/>
        </w:rPr>
      </w:pPr>
    </w:p>
    <w:p w14:paraId="5CADA7DB" w14:textId="77777777" w:rsidR="00EF6F28" w:rsidRPr="0028628C" w:rsidRDefault="00EF6F28" w:rsidP="00EF6F28">
      <w:pPr>
        <w:pStyle w:val="Zkladntext"/>
        <w:numPr>
          <w:ilvl w:val="0"/>
          <w:numId w:val="12"/>
        </w:numPr>
        <w:spacing w:line="288" w:lineRule="auto"/>
        <w:jc w:val="both"/>
        <w:rPr>
          <w:rFonts w:ascii="Verdana" w:hAnsi="Verdana"/>
          <w:sz w:val="17"/>
          <w:szCs w:val="17"/>
          <w:lang w:val="en-GB"/>
        </w:rPr>
      </w:pPr>
      <w:commentRangeStart w:id="4"/>
      <w:r w:rsidRPr="0028628C">
        <w:rPr>
          <w:rFonts w:ascii="Verdana" w:hAnsi="Verdana"/>
          <w:sz w:val="17"/>
          <w:szCs w:val="17"/>
          <w:lang w:val="en-GB"/>
        </w:rPr>
        <w:t>With which countries did you not encounter such problems?</w:t>
      </w:r>
      <w:commentRangeEnd w:id="4"/>
      <w:r w:rsidRPr="0028628C">
        <w:rPr>
          <w:rStyle w:val="Odkaznakomentr"/>
          <w:rFonts w:ascii="Verdana" w:eastAsia="Times New Roman" w:hAnsi="Verdana" w:cs="Times New Roman"/>
          <w:lang w:val="en-GB"/>
        </w:rPr>
        <w:commentReference w:id="4"/>
      </w:r>
    </w:p>
    <w:tbl>
      <w:tblPr>
        <w:tblW w:w="8392"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ook w:val="01E0" w:firstRow="1" w:lastRow="1" w:firstColumn="1" w:lastColumn="1" w:noHBand="0" w:noVBand="0"/>
      </w:tblPr>
      <w:tblGrid>
        <w:gridCol w:w="2076"/>
        <w:gridCol w:w="459"/>
        <w:gridCol w:w="1217"/>
        <w:gridCol w:w="459"/>
        <w:gridCol w:w="1406"/>
        <w:gridCol w:w="459"/>
        <w:gridCol w:w="2073"/>
        <w:gridCol w:w="459"/>
      </w:tblGrid>
      <w:tr w:rsidR="00EF6F28" w:rsidRPr="0028628C" w14:paraId="05001B46" w14:textId="77777777" w:rsidTr="007F7600">
        <w:trPr>
          <w:trHeight w:val="290"/>
        </w:trPr>
        <w:tc>
          <w:tcPr>
            <w:tcW w:w="2076" w:type="dxa"/>
            <w:shd w:val="clear" w:color="auto" w:fill="auto"/>
            <w:noWrap/>
            <w:vAlign w:val="bottom"/>
            <w:hideMark/>
          </w:tcPr>
          <w:p w14:paraId="0D0D6E9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Austria</w:t>
            </w:r>
          </w:p>
        </w:tc>
        <w:tc>
          <w:tcPr>
            <w:tcW w:w="243" w:type="dxa"/>
            <w:shd w:val="clear" w:color="auto" w:fill="auto"/>
            <w:noWrap/>
            <w:vAlign w:val="bottom"/>
            <w:hideMark/>
          </w:tcPr>
          <w:p w14:paraId="5758CEF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05084BA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Estonia</w:t>
            </w:r>
          </w:p>
        </w:tc>
        <w:tc>
          <w:tcPr>
            <w:tcW w:w="459" w:type="dxa"/>
            <w:shd w:val="clear" w:color="auto" w:fill="auto"/>
            <w:noWrap/>
            <w:vAlign w:val="bottom"/>
            <w:hideMark/>
          </w:tcPr>
          <w:p w14:paraId="2A4ACD1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12AA9E29"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Italy</w:t>
            </w:r>
          </w:p>
        </w:tc>
        <w:tc>
          <w:tcPr>
            <w:tcW w:w="459" w:type="dxa"/>
            <w:shd w:val="clear" w:color="auto" w:fill="auto"/>
            <w:noWrap/>
            <w:vAlign w:val="bottom"/>
            <w:hideMark/>
          </w:tcPr>
          <w:p w14:paraId="3682443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3E7FCA19"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Portugal</w:t>
            </w:r>
          </w:p>
        </w:tc>
        <w:tc>
          <w:tcPr>
            <w:tcW w:w="459" w:type="dxa"/>
            <w:shd w:val="clear" w:color="auto" w:fill="auto"/>
            <w:noWrap/>
            <w:vAlign w:val="bottom"/>
            <w:hideMark/>
          </w:tcPr>
          <w:p w14:paraId="4778EBE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20B45F25" w14:textId="77777777" w:rsidTr="007F7600">
        <w:trPr>
          <w:trHeight w:val="290"/>
        </w:trPr>
        <w:tc>
          <w:tcPr>
            <w:tcW w:w="2076" w:type="dxa"/>
            <w:shd w:val="clear" w:color="auto" w:fill="auto"/>
            <w:noWrap/>
            <w:vAlign w:val="bottom"/>
            <w:hideMark/>
          </w:tcPr>
          <w:p w14:paraId="70231209"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Belgium</w:t>
            </w:r>
          </w:p>
        </w:tc>
        <w:tc>
          <w:tcPr>
            <w:tcW w:w="243" w:type="dxa"/>
            <w:shd w:val="clear" w:color="auto" w:fill="auto"/>
            <w:noWrap/>
            <w:vAlign w:val="bottom"/>
            <w:hideMark/>
          </w:tcPr>
          <w:p w14:paraId="0C77D9A9"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6CE5DB9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Finland</w:t>
            </w:r>
          </w:p>
        </w:tc>
        <w:tc>
          <w:tcPr>
            <w:tcW w:w="459" w:type="dxa"/>
            <w:shd w:val="clear" w:color="auto" w:fill="auto"/>
            <w:noWrap/>
            <w:vAlign w:val="bottom"/>
            <w:hideMark/>
          </w:tcPr>
          <w:p w14:paraId="49254C3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36E92A8D"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Latvia</w:t>
            </w:r>
          </w:p>
        </w:tc>
        <w:tc>
          <w:tcPr>
            <w:tcW w:w="459" w:type="dxa"/>
            <w:shd w:val="clear" w:color="auto" w:fill="auto"/>
            <w:noWrap/>
            <w:vAlign w:val="bottom"/>
            <w:hideMark/>
          </w:tcPr>
          <w:p w14:paraId="2A123DE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18DCFF1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Romania</w:t>
            </w:r>
          </w:p>
        </w:tc>
        <w:tc>
          <w:tcPr>
            <w:tcW w:w="459" w:type="dxa"/>
            <w:shd w:val="clear" w:color="auto" w:fill="auto"/>
            <w:noWrap/>
            <w:vAlign w:val="bottom"/>
            <w:hideMark/>
          </w:tcPr>
          <w:p w14:paraId="7131DB3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07E74087" w14:textId="77777777" w:rsidTr="007F7600">
        <w:trPr>
          <w:trHeight w:val="290"/>
        </w:trPr>
        <w:tc>
          <w:tcPr>
            <w:tcW w:w="2076" w:type="dxa"/>
            <w:shd w:val="clear" w:color="auto" w:fill="auto"/>
            <w:noWrap/>
            <w:vAlign w:val="bottom"/>
            <w:hideMark/>
          </w:tcPr>
          <w:p w14:paraId="42B2D9E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Bulgaria</w:t>
            </w:r>
          </w:p>
        </w:tc>
        <w:tc>
          <w:tcPr>
            <w:tcW w:w="243" w:type="dxa"/>
            <w:shd w:val="clear" w:color="auto" w:fill="auto"/>
            <w:noWrap/>
            <w:vAlign w:val="bottom"/>
            <w:hideMark/>
          </w:tcPr>
          <w:p w14:paraId="625DFCA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4AB2AA6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France</w:t>
            </w:r>
          </w:p>
        </w:tc>
        <w:tc>
          <w:tcPr>
            <w:tcW w:w="459" w:type="dxa"/>
            <w:shd w:val="clear" w:color="auto" w:fill="auto"/>
            <w:noWrap/>
            <w:vAlign w:val="bottom"/>
            <w:hideMark/>
          </w:tcPr>
          <w:p w14:paraId="433FDE1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043762A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Lithuania</w:t>
            </w:r>
          </w:p>
        </w:tc>
        <w:tc>
          <w:tcPr>
            <w:tcW w:w="459" w:type="dxa"/>
            <w:shd w:val="clear" w:color="auto" w:fill="auto"/>
            <w:noWrap/>
            <w:vAlign w:val="bottom"/>
            <w:hideMark/>
          </w:tcPr>
          <w:p w14:paraId="5BCFB19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49DE199F"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Slovakia</w:t>
            </w:r>
          </w:p>
        </w:tc>
        <w:tc>
          <w:tcPr>
            <w:tcW w:w="459" w:type="dxa"/>
            <w:shd w:val="clear" w:color="auto" w:fill="auto"/>
            <w:noWrap/>
            <w:vAlign w:val="bottom"/>
            <w:hideMark/>
          </w:tcPr>
          <w:p w14:paraId="6889C21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0FE4DAF6" w14:textId="77777777" w:rsidTr="007F7600">
        <w:trPr>
          <w:trHeight w:val="290"/>
        </w:trPr>
        <w:tc>
          <w:tcPr>
            <w:tcW w:w="2076" w:type="dxa"/>
            <w:shd w:val="clear" w:color="auto" w:fill="auto"/>
            <w:noWrap/>
            <w:vAlign w:val="bottom"/>
            <w:hideMark/>
          </w:tcPr>
          <w:p w14:paraId="4DA3248E"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Croatia</w:t>
            </w:r>
          </w:p>
        </w:tc>
        <w:tc>
          <w:tcPr>
            <w:tcW w:w="243" w:type="dxa"/>
            <w:shd w:val="clear" w:color="auto" w:fill="auto"/>
            <w:noWrap/>
            <w:vAlign w:val="bottom"/>
            <w:hideMark/>
          </w:tcPr>
          <w:p w14:paraId="06BE273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47F240D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Germany</w:t>
            </w:r>
          </w:p>
        </w:tc>
        <w:tc>
          <w:tcPr>
            <w:tcW w:w="459" w:type="dxa"/>
            <w:shd w:val="clear" w:color="auto" w:fill="auto"/>
            <w:noWrap/>
            <w:vAlign w:val="bottom"/>
            <w:hideMark/>
          </w:tcPr>
          <w:p w14:paraId="33AE613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43D4E83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Luxemburg</w:t>
            </w:r>
          </w:p>
        </w:tc>
        <w:tc>
          <w:tcPr>
            <w:tcW w:w="459" w:type="dxa"/>
            <w:shd w:val="clear" w:color="auto" w:fill="auto"/>
            <w:noWrap/>
            <w:vAlign w:val="bottom"/>
            <w:hideMark/>
          </w:tcPr>
          <w:p w14:paraId="59DCEF9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0BDFCEB2"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Slovenia</w:t>
            </w:r>
          </w:p>
        </w:tc>
        <w:tc>
          <w:tcPr>
            <w:tcW w:w="459" w:type="dxa"/>
            <w:shd w:val="clear" w:color="auto" w:fill="auto"/>
            <w:noWrap/>
            <w:vAlign w:val="bottom"/>
            <w:hideMark/>
          </w:tcPr>
          <w:p w14:paraId="2409328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32F43E4A" w14:textId="77777777" w:rsidTr="007F7600">
        <w:trPr>
          <w:trHeight w:val="290"/>
        </w:trPr>
        <w:tc>
          <w:tcPr>
            <w:tcW w:w="2076" w:type="dxa"/>
            <w:shd w:val="clear" w:color="auto" w:fill="auto"/>
            <w:noWrap/>
            <w:vAlign w:val="bottom"/>
            <w:hideMark/>
          </w:tcPr>
          <w:p w14:paraId="59B0C863"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Republic of Cyprus</w:t>
            </w:r>
          </w:p>
        </w:tc>
        <w:tc>
          <w:tcPr>
            <w:tcW w:w="243" w:type="dxa"/>
            <w:shd w:val="clear" w:color="auto" w:fill="auto"/>
            <w:noWrap/>
            <w:vAlign w:val="bottom"/>
            <w:hideMark/>
          </w:tcPr>
          <w:p w14:paraId="6E04609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38F99C6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Greece</w:t>
            </w:r>
          </w:p>
        </w:tc>
        <w:tc>
          <w:tcPr>
            <w:tcW w:w="459" w:type="dxa"/>
            <w:shd w:val="clear" w:color="auto" w:fill="auto"/>
            <w:noWrap/>
            <w:vAlign w:val="bottom"/>
            <w:hideMark/>
          </w:tcPr>
          <w:p w14:paraId="5AF0F8E6"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69896A3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Malta</w:t>
            </w:r>
          </w:p>
        </w:tc>
        <w:tc>
          <w:tcPr>
            <w:tcW w:w="459" w:type="dxa"/>
            <w:shd w:val="clear" w:color="auto" w:fill="auto"/>
            <w:noWrap/>
            <w:vAlign w:val="bottom"/>
            <w:hideMark/>
          </w:tcPr>
          <w:p w14:paraId="57BCB7F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7DE96AF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Spain</w:t>
            </w:r>
          </w:p>
        </w:tc>
        <w:tc>
          <w:tcPr>
            <w:tcW w:w="459" w:type="dxa"/>
            <w:shd w:val="clear" w:color="auto" w:fill="auto"/>
            <w:noWrap/>
            <w:vAlign w:val="bottom"/>
            <w:hideMark/>
          </w:tcPr>
          <w:p w14:paraId="7EB9A4CD"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22A107AB" w14:textId="77777777" w:rsidTr="007F7600">
        <w:trPr>
          <w:trHeight w:val="290"/>
        </w:trPr>
        <w:tc>
          <w:tcPr>
            <w:tcW w:w="2076" w:type="dxa"/>
            <w:shd w:val="clear" w:color="auto" w:fill="auto"/>
            <w:noWrap/>
            <w:vAlign w:val="bottom"/>
            <w:hideMark/>
          </w:tcPr>
          <w:p w14:paraId="5F06736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Czech Republic</w:t>
            </w:r>
          </w:p>
        </w:tc>
        <w:tc>
          <w:tcPr>
            <w:tcW w:w="243" w:type="dxa"/>
            <w:shd w:val="clear" w:color="auto" w:fill="auto"/>
            <w:noWrap/>
            <w:vAlign w:val="bottom"/>
            <w:hideMark/>
          </w:tcPr>
          <w:p w14:paraId="1586EE92"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747B25F0"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Hungary</w:t>
            </w:r>
          </w:p>
        </w:tc>
        <w:tc>
          <w:tcPr>
            <w:tcW w:w="459" w:type="dxa"/>
            <w:shd w:val="clear" w:color="auto" w:fill="auto"/>
            <w:noWrap/>
            <w:vAlign w:val="bottom"/>
            <w:hideMark/>
          </w:tcPr>
          <w:p w14:paraId="336B4C4B"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365AA680"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Netherland</w:t>
            </w:r>
          </w:p>
        </w:tc>
        <w:tc>
          <w:tcPr>
            <w:tcW w:w="459" w:type="dxa"/>
            <w:shd w:val="clear" w:color="auto" w:fill="auto"/>
            <w:noWrap/>
            <w:vAlign w:val="bottom"/>
            <w:hideMark/>
          </w:tcPr>
          <w:p w14:paraId="4EB23A6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hideMark/>
          </w:tcPr>
          <w:p w14:paraId="2676E98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Sweden</w:t>
            </w:r>
          </w:p>
        </w:tc>
        <w:tc>
          <w:tcPr>
            <w:tcW w:w="459" w:type="dxa"/>
            <w:shd w:val="clear" w:color="auto" w:fill="auto"/>
            <w:noWrap/>
            <w:vAlign w:val="bottom"/>
            <w:hideMark/>
          </w:tcPr>
          <w:p w14:paraId="3AE948F7"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r w:rsidR="00EF6F28" w:rsidRPr="0028628C" w14:paraId="7923842A" w14:textId="77777777" w:rsidTr="007F7600">
        <w:trPr>
          <w:trHeight w:val="290"/>
        </w:trPr>
        <w:tc>
          <w:tcPr>
            <w:tcW w:w="2076" w:type="dxa"/>
            <w:shd w:val="clear" w:color="auto" w:fill="auto"/>
            <w:noWrap/>
            <w:vAlign w:val="bottom"/>
            <w:hideMark/>
          </w:tcPr>
          <w:p w14:paraId="16B00018"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Denmark</w:t>
            </w:r>
          </w:p>
        </w:tc>
        <w:tc>
          <w:tcPr>
            <w:tcW w:w="243" w:type="dxa"/>
            <w:shd w:val="clear" w:color="auto" w:fill="auto"/>
            <w:noWrap/>
            <w:vAlign w:val="bottom"/>
            <w:hideMark/>
          </w:tcPr>
          <w:p w14:paraId="79004B71"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217" w:type="dxa"/>
            <w:shd w:val="clear" w:color="auto" w:fill="auto"/>
            <w:noWrap/>
            <w:vAlign w:val="bottom"/>
            <w:hideMark/>
          </w:tcPr>
          <w:p w14:paraId="1B5B2D22"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Ireland</w:t>
            </w:r>
          </w:p>
        </w:tc>
        <w:tc>
          <w:tcPr>
            <w:tcW w:w="459" w:type="dxa"/>
            <w:shd w:val="clear" w:color="auto" w:fill="auto"/>
            <w:noWrap/>
            <w:vAlign w:val="bottom"/>
            <w:hideMark/>
          </w:tcPr>
          <w:p w14:paraId="13DF273A"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1406" w:type="dxa"/>
            <w:shd w:val="clear" w:color="auto" w:fill="auto"/>
            <w:noWrap/>
            <w:vAlign w:val="bottom"/>
            <w:hideMark/>
          </w:tcPr>
          <w:p w14:paraId="72F0A68C"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Poland</w:t>
            </w:r>
          </w:p>
        </w:tc>
        <w:tc>
          <w:tcPr>
            <w:tcW w:w="459" w:type="dxa"/>
            <w:shd w:val="clear" w:color="auto" w:fill="auto"/>
            <w:noWrap/>
            <w:vAlign w:val="bottom"/>
            <w:hideMark/>
          </w:tcPr>
          <w:p w14:paraId="153237D5"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c>
          <w:tcPr>
            <w:tcW w:w="2073" w:type="dxa"/>
            <w:shd w:val="clear" w:color="auto" w:fill="auto"/>
            <w:noWrap/>
            <w:vAlign w:val="bottom"/>
          </w:tcPr>
          <w:p w14:paraId="42949A4E" w14:textId="77777777" w:rsidR="00EF6F28" w:rsidRPr="003E2391" w:rsidRDefault="00EF6F28" w:rsidP="007F7600">
            <w:pPr>
              <w:pStyle w:val="TableParagraph"/>
              <w:spacing w:line="288" w:lineRule="auto"/>
              <w:ind w:left="180"/>
              <w:jc w:val="both"/>
              <w:rPr>
                <w:rFonts w:ascii="Verdana" w:hAnsi="Verdana"/>
                <w:w w:val="105"/>
                <w:sz w:val="17"/>
                <w:szCs w:val="17"/>
              </w:rPr>
            </w:pPr>
          </w:p>
        </w:tc>
        <w:tc>
          <w:tcPr>
            <w:tcW w:w="459" w:type="dxa"/>
            <w:shd w:val="clear" w:color="auto" w:fill="auto"/>
            <w:noWrap/>
            <w:vAlign w:val="bottom"/>
            <w:hideMark/>
          </w:tcPr>
          <w:p w14:paraId="59F07774" w14:textId="77777777" w:rsidR="00EF6F28" w:rsidRPr="003E2391" w:rsidRDefault="00EF6F28" w:rsidP="007F7600">
            <w:pPr>
              <w:pStyle w:val="TableParagraph"/>
              <w:spacing w:line="288" w:lineRule="auto"/>
              <w:ind w:left="180"/>
              <w:jc w:val="both"/>
              <w:rPr>
                <w:rFonts w:ascii="Verdana" w:hAnsi="Verdana"/>
                <w:w w:val="105"/>
                <w:sz w:val="17"/>
                <w:szCs w:val="17"/>
              </w:rPr>
            </w:pPr>
            <w:r w:rsidRPr="003E2391">
              <w:rPr>
                <w:rFonts w:ascii="Verdana" w:hAnsi="Verdana"/>
                <w:w w:val="105"/>
                <w:sz w:val="17"/>
                <w:szCs w:val="17"/>
              </w:rPr>
              <w:t> </w:t>
            </w:r>
          </w:p>
        </w:tc>
      </w:tr>
    </w:tbl>
    <w:p w14:paraId="62923618" w14:textId="77777777" w:rsidR="00EF6F28" w:rsidRPr="0028628C" w:rsidRDefault="00EF6F28" w:rsidP="00EF6F28">
      <w:pPr>
        <w:pStyle w:val="Odsekzoznamu"/>
        <w:rPr>
          <w:sz w:val="17"/>
          <w:szCs w:val="17"/>
        </w:rPr>
      </w:pPr>
    </w:p>
    <w:p w14:paraId="1E3213DB" w14:textId="77777777" w:rsidR="00EF6F28" w:rsidRPr="0028628C" w:rsidRDefault="00EF6F28" w:rsidP="00EF6F28">
      <w:pPr>
        <w:pStyle w:val="Zkladntext"/>
        <w:spacing w:line="288" w:lineRule="auto"/>
        <w:ind w:left="720"/>
        <w:jc w:val="both"/>
        <w:rPr>
          <w:rFonts w:ascii="Verdana" w:hAnsi="Verdana"/>
          <w:sz w:val="17"/>
          <w:szCs w:val="17"/>
          <w:lang w:val="en-GB"/>
        </w:rPr>
      </w:pPr>
    </w:p>
    <w:p w14:paraId="023089EF" w14:textId="77777777" w:rsidR="00EF6F28" w:rsidRPr="0028628C" w:rsidRDefault="00EF6F28" w:rsidP="00EF6F28">
      <w:pPr>
        <w:pStyle w:val="Zkladntext"/>
        <w:numPr>
          <w:ilvl w:val="0"/>
          <w:numId w:val="12"/>
        </w:numPr>
        <w:spacing w:line="288" w:lineRule="auto"/>
        <w:jc w:val="both"/>
        <w:rPr>
          <w:rFonts w:ascii="Verdana" w:hAnsi="Verdana"/>
          <w:sz w:val="17"/>
          <w:szCs w:val="17"/>
          <w:lang w:val="en-GB"/>
        </w:rPr>
      </w:pPr>
      <w:commentRangeStart w:id="5"/>
      <w:r w:rsidRPr="0028628C">
        <w:rPr>
          <w:rFonts w:ascii="Verdana" w:hAnsi="Verdana"/>
          <w:sz w:val="17"/>
          <w:szCs w:val="17"/>
          <w:lang w:val="en-GB"/>
        </w:rPr>
        <w:t>Did you manage to receive the excessive tax withheld back?</w:t>
      </w:r>
      <w:commentRangeEnd w:id="5"/>
      <w:r w:rsidRPr="0028628C">
        <w:rPr>
          <w:rStyle w:val="Odkaznakomentr"/>
          <w:rFonts w:ascii="Verdana" w:eastAsia="Times New Roman" w:hAnsi="Verdana" w:cs="Times New Roman"/>
          <w:lang w:val="en-GB"/>
        </w:rPr>
        <w:commentReference w:id="5"/>
      </w:r>
    </w:p>
    <w:p w14:paraId="1B285358" w14:textId="77777777" w:rsidR="00EF6F28" w:rsidRPr="0028628C" w:rsidRDefault="00EF6F28" w:rsidP="00EF6F28">
      <w:pPr>
        <w:pStyle w:val="CEABullet-Level1"/>
        <w:rPr>
          <w:rFonts w:eastAsia="Microsoft Sans Serif"/>
        </w:rPr>
      </w:pPr>
      <w:r w:rsidRPr="0028628C">
        <w:rPr>
          <w:rFonts w:eastAsia="Microsoft Sans Serif"/>
        </w:rPr>
        <w:t>Yes, in all cases</w:t>
      </w:r>
    </w:p>
    <w:p w14:paraId="75120F50" w14:textId="77777777" w:rsidR="00EF6F28" w:rsidRPr="0028628C" w:rsidRDefault="00EF6F28" w:rsidP="00EF6F28">
      <w:pPr>
        <w:pStyle w:val="CEABullet-Level1"/>
        <w:rPr>
          <w:rFonts w:eastAsia="Microsoft Sans Serif"/>
        </w:rPr>
      </w:pPr>
      <w:r w:rsidRPr="0028628C">
        <w:rPr>
          <w:rFonts w:eastAsia="Microsoft Sans Serif"/>
        </w:rPr>
        <w:t>In some cases</w:t>
      </w:r>
    </w:p>
    <w:p w14:paraId="50E277AF" w14:textId="77777777" w:rsidR="00EF6F28" w:rsidRPr="0028628C" w:rsidRDefault="00EF6F28" w:rsidP="00EF6F28">
      <w:pPr>
        <w:pStyle w:val="CEABullet-Level1"/>
        <w:rPr>
          <w:rFonts w:eastAsia="Microsoft Sans Serif"/>
        </w:rPr>
      </w:pPr>
      <w:r w:rsidRPr="0028628C">
        <w:rPr>
          <w:rFonts w:eastAsia="Microsoft Sans Serif"/>
        </w:rPr>
        <w:t>In few cases</w:t>
      </w:r>
    </w:p>
    <w:p w14:paraId="1B1645B9" w14:textId="77777777" w:rsidR="00EF6F28" w:rsidRPr="0028628C" w:rsidRDefault="00EF6F28" w:rsidP="00EF6F28">
      <w:pPr>
        <w:pStyle w:val="CEABullet-Level1"/>
        <w:rPr>
          <w:rFonts w:eastAsia="Microsoft Sans Serif"/>
        </w:rPr>
      </w:pPr>
      <w:r w:rsidRPr="0028628C">
        <w:rPr>
          <w:rFonts w:eastAsia="Microsoft Sans Serif"/>
        </w:rPr>
        <w:t>No, never</w:t>
      </w:r>
    </w:p>
    <w:p w14:paraId="407D992F" w14:textId="77777777" w:rsidR="00EF6F28" w:rsidRPr="0028628C" w:rsidRDefault="00EF6F28" w:rsidP="00EF6F28">
      <w:pPr>
        <w:pStyle w:val="CEABullet-Level1"/>
      </w:pPr>
      <w:r w:rsidRPr="00AD2745">
        <w:rPr>
          <w:rFonts w:eastAsiaTheme="minorHAnsi"/>
          <w:highlight w:val="yellow"/>
        </w:rPr>
        <w:t>Don't know</w:t>
      </w:r>
    </w:p>
    <w:p w14:paraId="2D6A64C9" w14:textId="77777777" w:rsidR="00EF6F28" w:rsidRPr="0028628C" w:rsidRDefault="00EF6F28" w:rsidP="00EF6F28">
      <w:pPr>
        <w:pStyle w:val="Zkladntext"/>
        <w:spacing w:line="288" w:lineRule="auto"/>
        <w:ind w:left="720"/>
        <w:jc w:val="both"/>
        <w:rPr>
          <w:rFonts w:ascii="Verdana" w:hAnsi="Verdana"/>
          <w:sz w:val="17"/>
          <w:szCs w:val="17"/>
          <w:lang w:val="en-GB"/>
        </w:rPr>
      </w:pPr>
    </w:p>
    <w:p w14:paraId="7D2BD3F1" w14:textId="77777777" w:rsidR="001D2E8D" w:rsidRPr="0028628C" w:rsidRDefault="001D2E8D" w:rsidP="00EF6F28">
      <w:pPr>
        <w:pStyle w:val="Zkladntext"/>
        <w:spacing w:line="288" w:lineRule="auto"/>
        <w:ind w:left="720"/>
        <w:jc w:val="both"/>
        <w:rPr>
          <w:rFonts w:ascii="Verdana" w:hAnsi="Verdana"/>
          <w:sz w:val="17"/>
          <w:szCs w:val="17"/>
          <w:lang w:val="en-GB"/>
        </w:rPr>
      </w:pPr>
    </w:p>
    <w:p w14:paraId="65A93C26" w14:textId="77777777" w:rsidR="00EF6F28" w:rsidRPr="0028628C" w:rsidRDefault="00EF6F28" w:rsidP="00EF6F28">
      <w:pPr>
        <w:pStyle w:val="Zkladntext"/>
        <w:numPr>
          <w:ilvl w:val="0"/>
          <w:numId w:val="12"/>
        </w:numPr>
        <w:spacing w:line="288" w:lineRule="auto"/>
        <w:jc w:val="both"/>
        <w:rPr>
          <w:rFonts w:ascii="Verdana" w:hAnsi="Verdana"/>
          <w:sz w:val="17"/>
          <w:szCs w:val="17"/>
          <w:lang w:val="en-GB"/>
        </w:rPr>
      </w:pPr>
      <w:commentRangeStart w:id="6"/>
      <w:r w:rsidRPr="0028628C">
        <w:rPr>
          <w:rFonts w:ascii="Verdana" w:hAnsi="Verdana"/>
          <w:sz w:val="17"/>
          <w:szCs w:val="17"/>
          <w:lang w:val="en-GB"/>
        </w:rPr>
        <w:t>How long did you have to wait for the refund after submitting the application?</w:t>
      </w:r>
      <w:commentRangeEnd w:id="6"/>
      <w:r w:rsidRPr="0028628C">
        <w:rPr>
          <w:rStyle w:val="Odkaznakomentr"/>
          <w:rFonts w:ascii="Verdana" w:eastAsia="Times New Roman" w:hAnsi="Verdana" w:cs="Times New Roman"/>
          <w:lang w:val="en-GB"/>
        </w:rPr>
        <w:commentReference w:id="6"/>
      </w:r>
    </w:p>
    <w:p w14:paraId="2875626F" w14:textId="77777777" w:rsidR="00EF6F28" w:rsidRPr="0028628C" w:rsidRDefault="00EF6F28" w:rsidP="00EF6F28">
      <w:pPr>
        <w:pStyle w:val="CEABullet-Level1"/>
      </w:pPr>
      <w:r w:rsidRPr="0028628C">
        <w:t>Period of time for the refund: between 0 and 6 months</w:t>
      </w:r>
    </w:p>
    <w:p w14:paraId="3A4E13FE" w14:textId="77777777" w:rsidR="00EF6F28" w:rsidRPr="0028628C" w:rsidRDefault="00EF6F28" w:rsidP="00EF6F28">
      <w:pPr>
        <w:pStyle w:val="CEABullet-Level1"/>
      </w:pPr>
      <w:r w:rsidRPr="0028628C">
        <w:t>Period of time for the refund: between 6 months and 1 year</w:t>
      </w:r>
    </w:p>
    <w:p w14:paraId="6061BEAE" w14:textId="77777777" w:rsidR="00EF6F28" w:rsidRPr="0028628C" w:rsidRDefault="00EF6F28" w:rsidP="00EF6F28">
      <w:pPr>
        <w:pStyle w:val="CEABullet-Level1"/>
      </w:pPr>
      <w:r w:rsidRPr="0028628C">
        <w:t>Period of time for the refund: between 1 and 2 years</w:t>
      </w:r>
    </w:p>
    <w:p w14:paraId="20DCF706" w14:textId="77777777" w:rsidR="00EF6F28" w:rsidRPr="0028628C" w:rsidRDefault="00EF6F28" w:rsidP="00EF6F28">
      <w:pPr>
        <w:pStyle w:val="CEABullet-Level1"/>
      </w:pPr>
      <w:r w:rsidRPr="0028628C">
        <w:t>Period of time for the refund: longer than 2 years</w:t>
      </w:r>
    </w:p>
    <w:p w14:paraId="57FD648A" w14:textId="77777777" w:rsidR="00EF6F28" w:rsidRPr="0028628C" w:rsidRDefault="00EF6F28" w:rsidP="00EF6F28">
      <w:pPr>
        <w:pStyle w:val="CEABullet-Level1"/>
      </w:pPr>
      <w:r w:rsidRPr="00AD2745">
        <w:rPr>
          <w:highlight w:val="yellow"/>
        </w:rPr>
        <w:t>Don’t know</w:t>
      </w:r>
    </w:p>
    <w:p w14:paraId="2F06E74A" w14:textId="77777777" w:rsidR="00EF6F28" w:rsidRPr="0028628C" w:rsidRDefault="00EF6F28" w:rsidP="00EF6F28">
      <w:pPr>
        <w:pStyle w:val="Zkladntext"/>
        <w:spacing w:line="288" w:lineRule="auto"/>
        <w:ind w:left="720"/>
        <w:jc w:val="both"/>
        <w:rPr>
          <w:rFonts w:ascii="Verdana" w:hAnsi="Verdana"/>
          <w:sz w:val="17"/>
          <w:szCs w:val="17"/>
          <w:lang w:val="en-GB"/>
        </w:rPr>
      </w:pPr>
    </w:p>
    <w:p w14:paraId="1ACDEDEF" w14:textId="77777777" w:rsidR="001D2E8D" w:rsidRPr="0028628C" w:rsidRDefault="001D2E8D" w:rsidP="00EF6F28">
      <w:pPr>
        <w:pStyle w:val="Zkladntext"/>
        <w:spacing w:line="288" w:lineRule="auto"/>
        <w:ind w:left="720"/>
        <w:jc w:val="both"/>
        <w:rPr>
          <w:rFonts w:ascii="Verdana" w:hAnsi="Verdana"/>
          <w:sz w:val="17"/>
          <w:szCs w:val="17"/>
          <w:lang w:val="en-GB"/>
        </w:rPr>
      </w:pPr>
    </w:p>
    <w:p w14:paraId="36E3BD9A" w14:textId="77777777" w:rsidR="00EF6F28" w:rsidRPr="0028628C" w:rsidRDefault="00EF6F28" w:rsidP="00EF6F28">
      <w:pPr>
        <w:pStyle w:val="Zkladntext"/>
        <w:numPr>
          <w:ilvl w:val="0"/>
          <w:numId w:val="12"/>
        </w:numPr>
        <w:spacing w:line="288" w:lineRule="auto"/>
        <w:jc w:val="both"/>
        <w:rPr>
          <w:rFonts w:ascii="Verdana" w:hAnsi="Verdana"/>
          <w:sz w:val="17"/>
          <w:szCs w:val="17"/>
          <w:lang w:val="en-GB"/>
        </w:rPr>
      </w:pPr>
      <w:commentRangeStart w:id="7"/>
      <w:r w:rsidRPr="00E37D26">
        <w:rPr>
          <w:rFonts w:ascii="Verdana" w:hAnsi="Verdana"/>
          <w:sz w:val="17"/>
          <w:szCs w:val="17"/>
          <w:lang w:val="en-GB"/>
        </w:rPr>
        <w:t>In monetary terms, how much did the procedure for getting the refund back cost</w:t>
      </w:r>
      <w:r w:rsidRPr="0028628C">
        <w:rPr>
          <w:rFonts w:ascii="Verdana" w:hAnsi="Verdana"/>
          <w:sz w:val="17"/>
          <w:szCs w:val="17"/>
          <w:lang w:val="en-GB"/>
        </w:rPr>
        <w:t xml:space="preserve"> </w:t>
      </w:r>
      <w:r w:rsidRPr="0028628C">
        <w:rPr>
          <w:rFonts w:ascii="Verdana" w:eastAsia="Times New Roman" w:hAnsi="Verdana" w:cs="Frutiger LT Std 45 Light"/>
          <w:color w:val="FF0000"/>
          <w:sz w:val="17"/>
          <w:szCs w:val="20"/>
          <w:lang w:val="en-GB"/>
        </w:rPr>
        <w:t>[5]</w:t>
      </w:r>
      <w:r w:rsidRPr="0028628C">
        <w:rPr>
          <w:rFonts w:ascii="Verdana" w:hAnsi="Verdana"/>
          <w:sz w:val="17"/>
          <w:szCs w:val="17"/>
          <w:lang w:val="en-GB"/>
        </w:rPr>
        <w:t xml:space="preserve"> you?</w:t>
      </w:r>
      <w:commentRangeEnd w:id="7"/>
      <w:r w:rsidRPr="0028628C">
        <w:rPr>
          <w:rStyle w:val="Odkaznakomentr"/>
          <w:rFonts w:ascii="Verdana" w:eastAsia="Times New Roman" w:hAnsi="Verdana" w:cs="Times New Roman"/>
          <w:lang w:val="en-GB"/>
        </w:rPr>
        <w:commentReference w:id="7"/>
      </w:r>
    </w:p>
    <w:p w14:paraId="59ED8DDE" w14:textId="77777777" w:rsidR="00EF6F28" w:rsidRPr="0028628C" w:rsidRDefault="00EF6F28" w:rsidP="00EF6F28">
      <w:pPr>
        <w:pStyle w:val="Zkladntext"/>
        <w:spacing w:line="288" w:lineRule="auto"/>
        <w:ind w:left="360"/>
        <w:jc w:val="both"/>
        <w:rPr>
          <w:rFonts w:ascii="Verdana" w:eastAsiaTheme="minorHAnsi" w:hAnsi="Verdana" w:cs="FreeSans"/>
          <w:color w:val="FF0000"/>
          <w:sz w:val="17"/>
          <w:szCs w:val="17"/>
        </w:rPr>
      </w:pPr>
      <w:r w:rsidRPr="0028628C">
        <w:rPr>
          <w:rFonts w:ascii="Verdana" w:eastAsiaTheme="minorHAnsi" w:hAnsi="Verdana" w:cs="FreeSans"/>
          <w:color w:val="FF0000"/>
          <w:sz w:val="17"/>
          <w:szCs w:val="17"/>
        </w:rPr>
        <w:t xml:space="preserve"> [5] Amount of administrative and compliance costs related to the reclaim procedure (custodian fee over customer, advisor costs, paperwork, etc.). Opportunity costs (cash flow disadvantage) for not having the money back are not covered by this question.</w:t>
      </w:r>
    </w:p>
    <w:p w14:paraId="09685E16" w14:textId="77777777" w:rsidR="00EF6F28" w:rsidRPr="0028628C" w:rsidRDefault="00EF6F28" w:rsidP="00EF6F28">
      <w:pPr>
        <w:pStyle w:val="CEABullet-Level1"/>
      </w:pPr>
      <w:r w:rsidRPr="0028628C">
        <w:t>Small percentage of the amount of the refund (below 5%)</w:t>
      </w:r>
    </w:p>
    <w:p w14:paraId="03EE1CB5" w14:textId="77777777" w:rsidR="00EF6F28" w:rsidRPr="0028628C" w:rsidRDefault="00EF6F28" w:rsidP="00EF6F28">
      <w:pPr>
        <w:pStyle w:val="CEABullet-Level1"/>
      </w:pPr>
      <w:r w:rsidRPr="0028628C">
        <w:t>Medium percentage of the amount of the refund (5-30%)</w:t>
      </w:r>
    </w:p>
    <w:p w14:paraId="60CFED65" w14:textId="77777777" w:rsidR="00EF6F28" w:rsidRPr="0028628C" w:rsidRDefault="00EF6F28" w:rsidP="00EF6F28">
      <w:pPr>
        <w:pStyle w:val="CEABullet-Level1"/>
      </w:pPr>
      <w:r w:rsidRPr="0028628C">
        <w:t>High percentage of the amount owed as refund (30-50%)</w:t>
      </w:r>
    </w:p>
    <w:p w14:paraId="23D32AE3" w14:textId="77777777" w:rsidR="00EF6F28" w:rsidRPr="0028628C" w:rsidRDefault="00EF6F28" w:rsidP="00EF6F28">
      <w:pPr>
        <w:pStyle w:val="CEABullet-Level1"/>
      </w:pPr>
      <w:r w:rsidRPr="0028628C">
        <w:t>Very high percentage of the amount of the refund (above 50%)</w:t>
      </w:r>
    </w:p>
    <w:p w14:paraId="77210F38" w14:textId="77777777" w:rsidR="00EF6F28" w:rsidRPr="0028628C" w:rsidRDefault="00EF6F28" w:rsidP="00EF6F28">
      <w:pPr>
        <w:pStyle w:val="CEABullet-Level1"/>
      </w:pPr>
      <w:r w:rsidRPr="00AD2745">
        <w:rPr>
          <w:highlight w:val="yellow"/>
        </w:rPr>
        <w:t>Don't know</w:t>
      </w:r>
    </w:p>
    <w:p w14:paraId="4A51BF7E" w14:textId="77777777" w:rsidR="00EF6F28" w:rsidRPr="0028628C" w:rsidRDefault="00EF6F28" w:rsidP="00EF6F28">
      <w:pPr>
        <w:pStyle w:val="Zkladntext"/>
        <w:spacing w:line="288" w:lineRule="auto"/>
        <w:ind w:left="360"/>
        <w:jc w:val="both"/>
        <w:rPr>
          <w:rFonts w:ascii="Verdana" w:hAnsi="Verdana"/>
          <w:sz w:val="17"/>
          <w:szCs w:val="17"/>
          <w:lang w:val="en-GB"/>
        </w:rPr>
      </w:pPr>
    </w:p>
    <w:p w14:paraId="3FFC84BE" w14:textId="77777777" w:rsidR="001D2E8D" w:rsidRPr="0028628C" w:rsidRDefault="001D2E8D" w:rsidP="00EF6F28">
      <w:pPr>
        <w:pStyle w:val="Zkladntext"/>
        <w:spacing w:line="288" w:lineRule="auto"/>
        <w:ind w:left="360"/>
        <w:jc w:val="both"/>
        <w:rPr>
          <w:rFonts w:ascii="Verdana" w:hAnsi="Verdana"/>
          <w:sz w:val="17"/>
          <w:szCs w:val="17"/>
          <w:lang w:val="en-GB"/>
        </w:rPr>
      </w:pPr>
    </w:p>
    <w:p w14:paraId="3D2C3132" w14:textId="77777777" w:rsidR="00EF6F28" w:rsidRPr="0028628C" w:rsidRDefault="00EF6F28" w:rsidP="00EF6F28">
      <w:pPr>
        <w:pStyle w:val="Zkladntext"/>
        <w:numPr>
          <w:ilvl w:val="0"/>
          <w:numId w:val="12"/>
        </w:numPr>
        <w:spacing w:line="288" w:lineRule="auto"/>
        <w:jc w:val="both"/>
        <w:rPr>
          <w:rFonts w:ascii="Verdana" w:eastAsia="Times New Roman" w:hAnsi="Verdana" w:cs="Frutiger LT Std 45 Light"/>
          <w:color w:val="000000"/>
          <w:sz w:val="17"/>
          <w:szCs w:val="20"/>
        </w:rPr>
      </w:pPr>
      <w:commentRangeStart w:id="8"/>
      <w:r w:rsidRPr="0028628C">
        <w:rPr>
          <w:rFonts w:ascii="Verdana" w:eastAsia="Times New Roman" w:hAnsi="Verdana" w:cs="Frutiger LT Std 45 Light"/>
          <w:color w:val="000000"/>
          <w:sz w:val="17"/>
          <w:szCs w:val="20"/>
        </w:rPr>
        <w:t>In terms of time spent, how long did it take you, on average, to collect all the documentation required to submit one refund claim?</w:t>
      </w:r>
      <w:commentRangeEnd w:id="8"/>
      <w:r w:rsidRPr="0028628C">
        <w:rPr>
          <w:rStyle w:val="Odkaznakomentr"/>
          <w:rFonts w:ascii="Verdana" w:eastAsia="Times New Roman" w:hAnsi="Verdana" w:cs="Times New Roman"/>
          <w:lang w:val="en-GB"/>
        </w:rPr>
        <w:commentReference w:id="8"/>
      </w:r>
    </w:p>
    <w:p w14:paraId="63681EA2" w14:textId="77777777" w:rsidR="00EF6F28" w:rsidRPr="0028628C" w:rsidRDefault="00EF6F28" w:rsidP="00EF6F28">
      <w:pPr>
        <w:pStyle w:val="CEABullet-Level1"/>
      </w:pPr>
      <w:r w:rsidRPr="0028628C">
        <w:t>Less than a week</w:t>
      </w:r>
    </w:p>
    <w:p w14:paraId="2C6C1408" w14:textId="77777777" w:rsidR="00EF6F28" w:rsidRPr="0028628C" w:rsidRDefault="00EF6F28" w:rsidP="00EF6F28">
      <w:pPr>
        <w:pStyle w:val="CEABullet-Level1"/>
      </w:pPr>
      <w:r w:rsidRPr="0028628C">
        <w:t>Between 1-3 weeks</w:t>
      </w:r>
    </w:p>
    <w:p w14:paraId="49492EF4" w14:textId="77777777" w:rsidR="00EF6F28" w:rsidRPr="0028628C" w:rsidRDefault="00EF6F28" w:rsidP="00EF6F28">
      <w:pPr>
        <w:pStyle w:val="CEABullet-Level1"/>
      </w:pPr>
      <w:r w:rsidRPr="0098771B">
        <w:rPr>
          <w:highlight w:val="yellow"/>
        </w:rPr>
        <w:t>More than 3 weeks</w:t>
      </w:r>
    </w:p>
    <w:p w14:paraId="179B1B63" w14:textId="77777777" w:rsidR="00EF6F28" w:rsidRPr="0028628C" w:rsidRDefault="00EF6F28" w:rsidP="00EF6F28">
      <w:pPr>
        <w:pStyle w:val="CEABullet-Level1"/>
      </w:pPr>
      <w:r w:rsidRPr="0028628C">
        <w:t>Don't know</w:t>
      </w:r>
    </w:p>
    <w:p w14:paraId="34766927" w14:textId="77777777" w:rsidR="00EF6F28" w:rsidRPr="0028628C" w:rsidRDefault="00EF6F28" w:rsidP="00EF6F28">
      <w:pPr>
        <w:pStyle w:val="Zkladntext"/>
        <w:spacing w:line="288" w:lineRule="auto"/>
        <w:ind w:left="720"/>
        <w:jc w:val="both"/>
        <w:rPr>
          <w:rFonts w:ascii="Verdana" w:eastAsia="Times New Roman" w:hAnsi="Verdana" w:cs="Frutiger LT Std 45 Light"/>
          <w:color w:val="000000"/>
          <w:sz w:val="17"/>
          <w:szCs w:val="20"/>
        </w:rPr>
      </w:pPr>
    </w:p>
    <w:p w14:paraId="3DACBBE2" w14:textId="77777777" w:rsidR="00EF6F28" w:rsidRPr="0028628C" w:rsidRDefault="00EF6F28" w:rsidP="00EF6F28">
      <w:pPr>
        <w:pStyle w:val="Zkladntext"/>
        <w:spacing w:line="288" w:lineRule="auto"/>
        <w:ind w:left="720"/>
        <w:jc w:val="both"/>
        <w:rPr>
          <w:rFonts w:ascii="Verdana" w:eastAsia="Times New Roman" w:hAnsi="Verdana" w:cs="Frutiger LT Std 45 Light"/>
          <w:color w:val="000000"/>
          <w:sz w:val="17"/>
          <w:szCs w:val="20"/>
        </w:rPr>
      </w:pPr>
      <w:r w:rsidRPr="0028628C">
        <w:rPr>
          <w:rFonts w:ascii="Verdana" w:eastAsia="Times New Roman" w:hAnsi="Verdana" w:cs="Frutiger LT Std 45 Light"/>
          <w:color w:val="000000"/>
          <w:sz w:val="17"/>
          <w:szCs w:val="20"/>
        </w:rPr>
        <w:t>In case of more than a week, can you indicate what the issue is?</w:t>
      </w:r>
    </w:p>
    <w:p w14:paraId="26CE4F37" w14:textId="56243E74" w:rsidR="001D2E8D" w:rsidRPr="0028628C" w:rsidRDefault="00EF163C" w:rsidP="002D505C">
      <w:pPr>
        <w:pStyle w:val="Zkladntext"/>
        <w:spacing w:line="288" w:lineRule="auto"/>
        <w:jc w:val="both"/>
        <w:rPr>
          <w:rFonts w:ascii="Verdana" w:hAnsi="Verdana"/>
          <w:sz w:val="17"/>
          <w:szCs w:val="17"/>
        </w:rPr>
      </w:pPr>
      <w:r>
        <w:rPr>
          <w:rFonts w:ascii="Verdana" w:hAnsi="Verdana"/>
          <w:sz w:val="17"/>
          <w:szCs w:val="17"/>
        </w:rPr>
        <w:t xml:space="preserve">In most cases, insurers share the burden of the WHT with financial intermediaries and the collection of specific </w:t>
      </w:r>
      <w:r>
        <w:rPr>
          <w:rFonts w:ascii="Verdana" w:hAnsi="Verdana"/>
          <w:sz w:val="17"/>
          <w:szCs w:val="17"/>
        </w:rPr>
        <w:lastRenderedPageBreak/>
        <w:t>data relating to WHT takes time.</w:t>
      </w:r>
    </w:p>
    <w:p w14:paraId="2CA6074E" w14:textId="77777777" w:rsidR="001D2E8D" w:rsidRPr="0028628C" w:rsidRDefault="001D2E8D" w:rsidP="002D505C">
      <w:pPr>
        <w:pStyle w:val="Zkladntext"/>
        <w:spacing w:line="288" w:lineRule="auto"/>
        <w:jc w:val="both"/>
        <w:rPr>
          <w:rFonts w:ascii="Verdana" w:hAnsi="Verdana"/>
          <w:sz w:val="17"/>
          <w:szCs w:val="17"/>
        </w:rPr>
      </w:pPr>
    </w:p>
    <w:p w14:paraId="7F16452F" w14:textId="77777777" w:rsidR="003D6607" w:rsidRPr="0028628C" w:rsidRDefault="003D6607" w:rsidP="003D6607">
      <w:pPr>
        <w:pStyle w:val="Zkladntext"/>
        <w:spacing w:line="288" w:lineRule="auto"/>
        <w:jc w:val="both"/>
        <w:rPr>
          <w:rFonts w:ascii="Verdana" w:hAnsi="Verdana"/>
          <w:sz w:val="17"/>
          <w:szCs w:val="17"/>
        </w:rPr>
      </w:pPr>
    </w:p>
    <w:p w14:paraId="7EA6FB87" w14:textId="4FE843CB" w:rsidR="00254144" w:rsidRDefault="00254144" w:rsidP="009011CC">
      <w:pPr>
        <w:pStyle w:val="Nadpis1"/>
        <w:numPr>
          <w:ilvl w:val="0"/>
          <w:numId w:val="5"/>
        </w:numPr>
        <w:tabs>
          <w:tab w:val="left" w:pos="449"/>
        </w:tabs>
        <w:spacing w:line="288" w:lineRule="auto"/>
        <w:ind w:left="448" w:hanging="333"/>
        <w:jc w:val="both"/>
        <w:rPr>
          <w:rFonts w:ascii="Verdana" w:eastAsia="Times New Roman" w:hAnsi="Verdana" w:cs="Times New Roman"/>
          <w:b/>
          <w:color w:val="002957"/>
          <w:sz w:val="17"/>
          <w:szCs w:val="17"/>
          <w:lang w:val="en-GB"/>
        </w:rPr>
      </w:pPr>
      <w:r w:rsidRPr="000311D5">
        <w:rPr>
          <w:rFonts w:ascii="Verdana" w:eastAsia="Times New Roman" w:hAnsi="Verdana" w:cs="Times New Roman"/>
          <w:b/>
          <w:color w:val="002957"/>
          <w:sz w:val="17"/>
          <w:szCs w:val="17"/>
          <w:lang w:val="en-GB"/>
        </w:rPr>
        <w:t>Need for EU action</w:t>
      </w:r>
    </w:p>
    <w:p w14:paraId="2AFE4AC5" w14:textId="77777777" w:rsidR="000311D5" w:rsidRPr="000311D5" w:rsidRDefault="000311D5" w:rsidP="000311D5">
      <w:pPr>
        <w:pStyle w:val="Nadpis1"/>
        <w:tabs>
          <w:tab w:val="left" w:pos="449"/>
        </w:tabs>
        <w:spacing w:line="288" w:lineRule="auto"/>
        <w:ind w:left="448"/>
        <w:jc w:val="both"/>
        <w:rPr>
          <w:rFonts w:ascii="Verdana" w:eastAsia="Times New Roman" w:hAnsi="Verdana" w:cs="Times New Roman"/>
          <w:b/>
          <w:color w:val="002957"/>
          <w:sz w:val="17"/>
          <w:szCs w:val="17"/>
          <w:lang w:val="en-GB"/>
        </w:rPr>
      </w:pPr>
    </w:p>
    <w:p w14:paraId="670C73E9" w14:textId="77777777" w:rsidR="00254144" w:rsidRPr="009011CC" w:rsidRDefault="00254144" w:rsidP="009011CC">
      <w:pPr>
        <w:pStyle w:val="CEABullet-Level1"/>
        <w:numPr>
          <w:ilvl w:val="0"/>
          <w:numId w:val="12"/>
        </w:numPr>
      </w:pPr>
      <w:r w:rsidRPr="009011CC">
        <w:t>Several EU countries have now introduced (or are planning to introduce) enhanced procedures to make WHT procedures more efficient. In this context, do you think that there is a need for EU action in order to make WHT refund/relief procedures more efficient?</w:t>
      </w:r>
    </w:p>
    <w:p w14:paraId="71595B1A" w14:textId="77777777" w:rsidR="008F6D1B" w:rsidRPr="002B051D" w:rsidRDefault="00254144" w:rsidP="008F6D1B">
      <w:pPr>
        <w:pStyle w:val="CEABullet-Level1"/>
        <w:rPr>
          <w:highlight w:val="yellow"/>
        </w:rPr>
      </w:pPr>
      <w:r w:rsidRPr="002B051D">
        <w:rPr>
          <w:highlight w:val="yellow"/>
        </w:rPr>
        <w:t xml:space="preserve">Strongly support </w:t>
      </w:r>
    </w:p>
    <w:p w14:paraId="63C793E0" w14:textId="637096E3" w:rsidR="00254144" w:rsidRPr="002D505C" w:rsidRDefault="00254144" w:rsidP="008F6D1B">
      <w:pPr>
        <w:pStyle w:val="CEABullet-Level1"/>
      </w:pPr>
      <w:r w:rsidRPr="002D505C">
        <w:t>Support</w:t>
      </w:r>
    </w:p>
    <w:p w14:paraId="11AB6A42" w14:textId="77777777" w:rsidR="008F6D1B" w:rsidRDefault="00254144" w:rsidP="008F6D1B">
      <w:pPr>
        <w:pStyle w:val="CEABullet-Level1"/>
      </w:pPr>
      <w:r w:rsidRPr="002D505C">
        <w:t xml:space="preserve">Support to some extend </w:t>
      </w:r>
    </w:p>
    <w:p w14:paraId="7A80D73B" w14:textId="6493B59E" w:rsidR="00254144" w:rsidRPr="002D505C" w:rsidRDefault="00254144" w:rsidP="008F6D1B">
      <w:pPr>
        <w:pStyle w:val="CEABullet-Level1"/>
      </w:pPr>
      <w:r w:rsidRPr="002D505C">
        <w:t>Do not support</w:t>
      </w:r>
    </w:p>
    <w:p w14:paraId="3BCDF0FD" w14:textId="77777777" w:rsidR="00254144" w:rsidRPr="002D505C" w:rsidRDefault="00254144" w:rsidP="008F6D1B">
      <w:pPr>
        <w:pStyle w:val="CEABullet-Level1"/>
      </w:pPr>
      <w:r w:rsidRPr="002D505C">
        <w:t>Don't know</w:t>
      </w:r>
    </w:p>
    <w:p w14:paraId="66A2EBCE" w14:textId="77777777" w:rsidR="00254144" w:rsidRDefault="00254144" w:rsidP="002D505C">
      <w:pPr>
        <w:pStyle w:val="Zkladntext"/>
        <w:spacing w:line="288" w:lineRule="auto"/>
        <w:jc w:val="both"/>
        <w:rPr>
          <w:rFonts w:ascii="Verdana" w:hAnsi="Verdana"/>
          <w:sz w:val="17"/>
          <w:szCs w:val="17"/>
        </w:rPr>
      </w:pPr>
    </w:p>
    <w:p w14:paraId="4FE24E0E" w14:textId="77777777" w:rsidR="008F6D1B" w:rsidRPr="002D505C" w:rsidRDefault="008F6D1B" w:rsidP="002D505C">
      <w:pPr>
        <w:pStyle w:val="Zkladntext"/>
        <w:spacing w:line="288" w:lineRule="auto"/>
        <w:jc w:val="both"/>
        <w:rPr>
          <w:rFonts w:ascii="Verdana" w:hAnsi="Verdana"/>
          <w:sz w:val="17"/>
          <w:szCs w:val="17"/>
        </w:rPr>
      </w:pPr>
    </w:p>
    <w:p w14:paraId="133D2C22" w14:textId="6F13C275" w:rsidR="00254144" w:rsidRPr="009011CC" w:rsidRDefault="00254144" w:rsidP="009011CC">
      <w:pPr>
        <w:pStyle w:val="CEABullet-Level1"/>
        <w:numPr>
          <w:ilvl w:val="0"/>
          <w:numId w:val="12"/>
        </w:numPr>
      </w:pPr>
      <w:r w:rsidRPr="009011CC">
        <w:t>What would be the added value of an action at EU level, compared to actions taken by Member States? (</w:t>
      </w:r>
      <w:proofErr w:type="gramStart"/>
      <w:r w:rsidRPr="009011CC">
        <w:t>i.e.</w:t>
      </w:r>
      <w:proofErr w:type="gramEnd"/>
      <w:r w:rsidRPr="009011CC">
        <w:t xml:space="preserve"> harmonized system, single set of standardized forms, common procedures, etc.)?</w:t>
      </w:r>
    </w:p>
    <w:p w14:paraId="2CD2D637" w14:textId="30356FDE" w:rsidR="00254144" w:rsidRPr="00E55B88" w:rsidRDefault="00254144" w:rsidP="008F6D1B">
      <w:pPr>
        <w:pStyle w:val="CEABullet-Level1"/>
        <w:rPr>
          <w:highlight w:val="yellow"/>
        </w:rPr>
      </w:pPr>
      <w:r w:rsidRPr="00E55B88">
        <w:rPr>
          <w:highlight w:val="yellow"/>
        </w:rPr>
        <w:t>High added value as there would be an EU wide harmonized framework in place (no more fragmented WHT systems across the EU)</w:t>
      </w:r>
    </w:p>
    <w:p w14:paraId="2F70C8DC" w14:textId="77777777" w:rsidR="00254144" w:rsidRPr="002D505C" w:rsidRDefault="00254144" w:rsidP="008F6D1B">
      <w:pPr>
        <w:pStyle w:val="CEABullet-Level1"/>
      </w:pPr>
      <w:r w:rsidRPr="002D505C">
        <w:t>Medium value</w:t>
      </w:r>
    </w:p>
    <w:p w14:paraId="21DDF324" w14:textId="77777777" w:rsidR="0014392E" w:rsidRDefault="00254144" w:rsidP="008F6D1B">
      <w:pPr>
        <w:pStyle w:val="CEABullet-Level1"/>
      </w:pPr>
      <w:r w:rsidRPr="002D505C">
        <w:t xml:space="preserve">Low added value as an EU wide harmonized framework is not needed </w:t>
      </w:r>
    </w:p>
    <w:p w14:paraId="14D66156" w14:textId="5A76FD3D" w:rsidR="00254144" w:rsidRPr="002D505C" w:rsidRDefault="00254144" w:rsidP="008F6D1B">
      <w:pPr>
        <w:pStyle w:val="CEABullet-Level1"/>
      </w:pPr>
      <w:r w:rsidRPr="002D505C">
        <w:t>No added value</w:t>
      </w:r>
    </w:p>
    <w:p w14:paraId="7F60E9AB" w14:textId="77777777" w:rsidR="00254144" w:rsidRPr="002D505C" w:rsidRDefault="00254144" w:rsidP="008F6D1B">
      <w:pPr>
        <w:pStyle w:val="CEABullet-Level1"/>
      </w:pPr>
      <w:r w:rsidRPr="002D505C">
        <w:t>Don't know</w:t>
      </w:r>
    </w:p>
    <w:p w14:paraId="50A3322E" w14:textId="77777777" w:rsidR="00254144" w:rsidRPr="002D505C" w:rsidRDefault="00254144" w:rsidP="002D505C">
      <w:pPr>
        <w:rPr>
          <w:sz w:val="17"/>
          <w:szCs w:val="17"/>
        </w:rPr>
      </w:pPr>
    </w:p>
    <w:p w14:paraId="1567BF11" w14:textId="77777777" w:rsidR="00254144" w:rsidRPr="008F6D1B" w:rsidRDefault="00254144" w:rsidP="002D505C">
      <w:pPr>
        <w:rPr>
          <w:b/>
          <w:color w:val="002957"/>
          <w:sz w:val="17"/>
          <w:szCs w:val="17"/>
        </w:rPr>
      </w:pPr>
    </w:p>
    <w:p w14:paraId="500F9DB2" w14:textId="7BE33E68" w:rsidR="00EA0E02" w:rsidRPr="008F6D1B" w:rsidRDefault="00EA0E02" w:rsidP="009011CC">
      <w:pPr>
        <w:pStyle w:val="Nadpis1"/>
        <w:numPr>
          <w:ilvl w:val="0"/>
          <w:numId w:val="5"/>
        </w:numPr>
        <w:tabs>
          <w:tab w:val="left" w:pos="532"/>
        </w:tabs>
        <w:spacing w:line="288" w:lineRule="auto"/>
        <w:ind w:left="532" w:hanging="417"/>
        <w:jc w:val="both"/>
        <w:rPr>
          <w:rFonts w:ascii="Verdana" w:eastAsia="Times New Roman" w:hAnsi="Verdana" w:cs="Times New Roman"/>
          <w:b/>
          <w:color w:val="002957"/>
          <w:sz w:val="17"/>
          <w:szCs w:val="17"/>
          <w:lang w:val="en-GB"/>
        </w:rPr>
      </w:pPr>
      <w:r w:rsidRPr="008F6D1B">
        <w:rPr>
          <w:rFonts w:ascii="Verdana" w:eastAsia="Times New Roman" w:hAnsi="Verdana" w:cs="Times New Roman"/>
          <w:b/>
          <w:color w:val="002957"/>
          <w:sz w:val="17"/>
          <w:szCs w:val="17"/>
          <w:lang w:val="en-GB"/>
        </w:rPr>
        <w:t>Policy options</w:t>
      </w:r>
    </w:p>
    <w:p w14:paraId="022187F0" w14:textId="77777777" w:rsidR="00EA0E02" w:rsidRPr="009011CC" w:rsidRDefault="00EA0E02" w:rsidP="009011CC">
      <w:pPr>
        <w:pStyle w:val="CEABullet-Level1"/>
        <w:numPr>
          <w:ilvl w:val="0"/>
          <w:numId w:val="12"/>
        </w:numPr>
      </w:pPr>
      <w:r w:rsidRPr="009011CC">
        <w:t>As an investor, which mechanism would you prefer to have in place across the EU to obtain the return on your cross-border investment from securities?</w:t>
      </w:r>
    </w:p>
    <w:p w14:paraId="5B68C698" w14:textId="1B588DF4" w:rsidR="00EA0E02" w:rsidRPr="006C39B3" w:rsidRDefault="00EA0E02" w:rsidP="0014392E">
      <w:pPr>
        <w:pStyle w:val="CEABullet-Level1"/>
      </w:pPr>
      <w:r w:rsidRPr="006C39B3">
        <w:t xml:space="preserve">Preference for a harmonized relief at source system </w:t>
      </w:r>
      <w:r w:rsidRPr="006C39B3">
        <w:rPr>
          <w:color w:val="FF0000"/>
        </w:rPr>
        <w:t xml:space="preserve">[6] </w:t>
      </w:r>
      <w:r w:rsidRPr="006C39B3">
        <w:t>(hereby the reduced WHT rate over dividends, interests, etc. is applied directly by the issuer of the securities/financial institution)</w:t>
      </w:r>
    </w:p>
    <w:p w14:paraId="5D97AF34" w14:textId="75D4B34D" w:rsidR="00EA0E02" w:rsidRPr="002D505C" w:rsidRDefault="00EA0E02" w:rsidP="0014392E">
      <w:pPr>
        <w:pStyle w:val="CEABullet-Level1"/>
      </w:pPr>
      <w:r w:rsidRPr="002D505C">
        <w:t>Preference for a harmonised and more efficient refund procedure system (whereby the issuer of the securities/financial institution applies the domestic WHT rate and then the investor claims the refund of the excessive tax withheld)</w:t>
      </w:r>
    </w:p>
    <w:p w14:paraId="57FB6EF3" w14:textId="77777777" w:rsidR="00BE500C" w:rsidRDefault="00EA0E02" w:rsidP="0014392E">
      <w:pPr>
        <w:pStyle w:val="CEABullet-Level1"/>
      </w:pPr>
      <w:r w:rsidRPr="006C39B3">
        <w:rPr>
          <w:highlight w:val="yellow"/>
        </w:rPr>
        <w:t>Preference for putting in place a combination of both previous mechanisms</w:t>
      </w:r>
      <w:r w:rsidRPr="002D505C">
        <w:t xml:space="preserve"> </w:t>
      </w:r>
    </w:p>
    <w:p w14:paraId="1F2943A5" w14:textId="2399A27E" w:rsidR="00EA0E02" w:rsidRPr="002D505C" w:rsidRDefault="00EA0E02" w:rsidP="0014392E">
      <w:pPr>
        <w:pStyle w:val="CEABullet-Level1"/>
      </w:pPr>
      <w:r w:rsidRPr="002D505C">
        <w:t>No preference for one or the other system, provided that current system is not burdensome and that it is</w:t>
      </w:r>
      <w:r w:rsidRPr="002D505C">
        <w:rPr>
          <w:spacing w:val="8"/>
        </w:rPr>
        <w:t xml:space="preserve"> </w:t>
      </w:r>
      <w:r w:rsidRPr="002D505C">
        <w:t>efficient</w:t>
      </w:r>
    </w:p>
    <w:p w14:paraId="0D14DE0C" w14:textId="77777777" w:rsidR="00EA0E02" w:rsidRDefault="00EA0E02" w:rsidP="0014392E">
      <w:pPr>
        <w:pStyle w:val="CEABullet-Level1"/>
      </w:pPr>
      <w:r w:rsidRPr="002D505C">
        <w:t>Other</w:t>
      </w:r>
    </w:p>
    <w:p w14:paraId="0A5F3D39" w14:textId="77777777" w:rsidR="00210ED4" w:rsidRPr="00210ED4" w:rsidRDefault="00210ED4" w:rsidP="00210ED4">
      <w:pPr>
        <w:pStyle w:val="Odsekzoznamu"/>
        <w:widowControl w:val="0"/>
        <w:numPr>
          <w:ilvl w:val="0"/>
          <w:numId w:val="10"/>
        </w:numPr>
        <w:tabs>
          <w:tab w:val="left" w:pos="337"/>
        </w:tabs>
        <w:autoSpaceDE w:val="0"/>
        <w:autoSpaceDN w:val="0"/>
        <w:spacing w:line="269" w:lineRule="auto"/>
        <w:ind w:left="113" w:right="680" w:firstLine="0"/>
        <w:contextualSpacing w:val="0"/>
        <w:jc w:val="both"/>
        <w:rPr>
          <w:sz w:val="17"/>
          <w:szCs w:val="17"/>
        </w:rPr>
      </w:pPr>
      <w:r w:rsidRPr="00210ED4">
        <w:rPr>
          <w:color w:val="FF0000"/>
          <w:sz w:val="17"/>
          <w:szCs w:val="17"/>
        </w:rPr>
        <w:t xml:space="preserve">A relief at source system would mirror TRACE model ('treaty relief and compliance enhancement').Find more information in the </w:t>
      </w:r>
      <w:hyperlink r:id="rId21">
        <w:r w:rsidRPr="00210ED4">
          <w:rPr>
            <w:color w:val="004493"/>
            <w:sz w:val="17"/>
            <w:szCs w:val="17"/>
            <w:u w:val="single" w:color="004493"/>
          </w:rPr>
          <w:t>link</w:t>
        </w:r>
      </w:hyperlink>
      <w:r w:rsidRPr="00210ED4">
        <w:rPr>
          <w:color w:val="FF0000"/>
          <w:sz w:val="17"/>
          <w:szCs w:val="17"/>
        </w:rPr>
        <w:t xml:space="preserve">: </w:t>
      </w:r>
      <w:hyperlink r:id="rId22">
        <w:r w:rsidRPr="00210ED4">
          <w:rPr>
            <w:color w:val="FF0000"/>
            <w:sz w:val="17"/>
            <w:szCs w:val="17"/>
          </w:rPr>
          <w:t>https://www.oecd.org/ctp/exchange-of-tax-information/aboutthetracegroup.htm</w:t>
        </w:r>
      </w:hyperlink>
    </w:p>
    <w:p w14:paraId="283704F3" w14:textId="77777777" w:rsidR="0014392E" w:rsidRPr="002D505C" w:rsidRDefault="0014392E" w:rsidP="002D505C">
      <w:pPr>
        <w:pStyle w:val="Zkladntext"/>
        <w:spacing w:line="288" w:lineRule="auto"/>
        <w:ind w:left="760"/>
        <w:jc w:val="both"/>
        <w:rPr>
          <w:rFonts w:ascii="Verdana" w:hAnsi="Verdana"/>
          <w:sz w:val="17"/>
          <w:szCs w:val="17"/>
        </w:rPr>
      </w:pPr>
    </w:p>
    <w:p w14:paraId="4F124F1F" w14:textId="218F270B" w:rsidR="00EA0E02" w:rsidRPr="009011CC" w:rsidRDefault="00EA0E02" w:rsidP="009011CC">
      <w:pPr>
        <w:pStyle w:val="CEABullet-Level1"/>
        <w:numPr>
          <w:ilvl w:val="0"/>
          <w:numId w:val="12"/>
        </w:numPr>
      </w:pPr>
      <w:r w:rsidRPr="009011CC">
        <w:t>As a financial intermediary, which mechanism would you prefer to have in place across EU to manage the return on your clients’ investments in order to remove barriers to cross-border investment?</w:t>
      </w:r>
    </w:p>
    <w:p w14:paraId="0C293D2B" w14:textId="77777777" w:rsidR="00BE500C" w:rsidRDefault="00EA0E02" w:rsidP="00BE500C">
      <w:pPr>
        <w:pStyle w:val="CEABullet-Level1"/>
      </w:pPr>
      <w:r w:rsidRPr="002D505C">
        <w:t xml:space="preserve">Current system with different national procedures in place </w:t>
      </w:r>
    </w:p>
    <w:p w14:paraId="0C722BF6" w14:textId="5668C3B8" w:rsidR="00EA0E02" w:rsidRPr="002D505C" w:rsidRDefault="00EA0E02" w:rsidP="00BE500C">
      <w:pPr>
        <w:pStyle w:val="CEABullet-Level1"/>
      </w:pPr>
      <w:r w:rsidRPr="002D505C">
        <w:t>Harmonized system of relief at source</w:t>
      </w:r>
    </w:p>
    <w:p w14:paraId="130D2BBA" w14:textId="77777777" w:rsidR="00EA0E02" w:rsidRPr="002D505C" w:rsidRDefault="00EA0E02" w:rsidP="00BE500C">
      <w:pPr>
        <w:pStyle w:val="CEABullet-Level1"/>
      </w:pPr>
      <w:r w:rsidRPr="002D505C">
        <w:t>Harmonized system of improved refund procedures</w:t>
      </w:r>
    </w:p>
    <w:p w14:paraId="49D5E7CA" w14:textId="77777777" w:rsidR="00BE500C" w:rsidRDefault="00EA0E02" w:rsidP="00BE500C">
      <w:pPr>
        <w:pStyle w:val="CEABullet-Level1"/>
      </w:pPr>
      <w:r w:rsidRPr="002D505C">
        <w:t xml:space="preserve">A combination of the above systems (relief at source and refund system) </w:t>
      </w:r>
    </w:p>
    <w:p w14:paraId="7B532A40" w14:textId="251C4D80" w:rsidR="00EA0E02" w:rsidRDefault="00EA0E02" w:rsidP="00BE500C">
      <w:pPr>
        <w:pStyle w:val="CEABullet-Level1"/>
      </w:pPr>
      <w:r w:rsidRPr="002D505C">
        <w:t>Other</w:t>
      </w:r>
    </w:p>
    <w:p w14:paraId="6D77ECB5" w14:textId="77777777" w:rsidR="00BE500C" w:rsidRPr="002D505C" w:rsidRDefault="00BE500C" w:rsidP="002D505C">
      <w:pPr>
        <w:pStyle w:val="Zkladntext"/>
        <w:spacing w:line="288" w:lineRule="auto"/>
        <w:ind w:left="760" w:right="401"/>
        <w:jc w:val="both"/>
        <w:rPr>
          <w:rFonts w:ascii="Verdana" w:hAnsi="Verdana"/>
          <w:sz w:val="17"/>
          <w:szCs w:val="17"/>
        </w:rPr>
      </w:pPr>
    </w:p>
    <w:p w14:paraId="4088D57B" w14:textId="05BBBD85" w:rsidR="00EA0E02" w:rsidRPr="009011CC" w:rsidRDefault="00EA0E02" w:rsidP="009011CC">
      <w:pPr>
        <w:pStyle w:val="CEABullet-Level1"/>
        <w:numPr>
          <w:ilvl w:val="0"/>
          <w:numId w:val="12"/>
        </w:numPr>
      </w:pPr>
      <w:r w:rsidRPr="009011CC">
        <w:t>As tax administration, which mechanism would you prefer to have in place across EU for non-resident investors receive the return on their investment:</w:t>
      </w:r>
    </w:p>
    <w:p w14:paraId="506BF957" w14:textId="77777777" w:rsidR="00396695" w:rsidRDefault="00EA0E02" w:rsidP="00396695">
      <w:pPr>
        <w:pStyle w:val="CEABullet-Level1"/>
      </w:pPr>
      <w:r w:rsidRPr="002D505C">
        <w:t xml:space="preserve">Current system with different national procedures in place </w:t>
      </w:r>
    </w:p>
    <w:p w14:paraId="5C72AFD1" w14:textId="4117FDAF" w:rsidR="00EA0E02" w:rsidRPr="002D505C" w:rsidRDefault="00EA0E02" w:rsidP="00396695">
      <w:pPr>
        <w:pStyle w:val="CEABullet-Level1"/>
      </w:pPr>
      <w:r w:rsidRPr="002D505C">
        <w:t>Harmonized system of relief at source</w:t>
      </w:r>
    </w:p>
    <w:p w14:paraId="36CFC07D" w14:textId="77777777" w:rsidR="00EA0E02" w:rsidRPr="002D505C" w:rsidRDefault="00EA0E02" w:rsidP="00396695">
      <w:pPr>
        <w:pStyle w:val="CEABullet-Level1"/>
      </w:pPr>
      <w:r w:rsidRPr="002D505C">
        <w:t>Harmonized system of improved refund procedures</w:t>
      </w:r>
    </w:p>
    <w:p w14:paraId="5D89892E" w14:textId="77777777" w:rsidR="00396695" w:rsidRDefault="00EA0E02" w:rsidP="00396695">
      <w:pPr>
        <w:pStyle w:val="CEABullet-Level1"/>
      </w:pPr>
      <w:r w:rsidRPr="002D505C">
        <w:lastRenderedPageBreak/>
        <w:t xml:space="preserve">A combination of the above systems (relief at source and refund system) </w:t>
      </w:r>
    </w:p>
    <w:p w14:paraId="5B1853E6" w14:textId="41A1215B" w:rsidR="00EA0E02" w:rsidRPr="002D505C" w:rsidRDefault="00EA0E02" w:rsidP="00396695">
      <w:pPr>
        <w:pStyle w:val="CEABullet-Level1"/>
      </w:pPr>
      <w:r w:rsidRPr="002D505C">
        <w:t>Other</w:t>
      </w:r>
    </w:p>
    <w:p w14:paraId="1B4989FE" w14:textId="77777777" w:rsidR="00254144" w:rsidRPr="002D505C" w:rsidRDefault="00254144" w:rsidP="002D505C">
      <w:pPr>
        <w:rPr>
          <w:sz w:val="17"/>
          <w:szCs w:val="17"/>
        </w:rPr>
      </w:pPr>
    </w:p>
    <w:p w14:paraId="1BDCF1E5" w14:textId="77777777" w:rsidR="00EA54AB" w:rsidRPr="002D505C" w:rsidRDefault="00EA54AB" w:rsidP="002D505C">
      <w:pPr>
        <w:rPr>
          <w:sz w:val="17"/>
          <w:szCs w:val="17"/>
        </w:rPr>
      </w:pPr>
    </w:p>
    <w:p w14:paraId="326D518E" w14:textId="0EC72DE1" w:rsidR="00EA54AB" w:rsidRPr="00396695" w:rsidRDefault="00396695" w:rsidP="00396695">
      <w:pPr>
        <w:pStyle w:val="Nadpis1"/>
        <w:tabs>
          <w:tab w:val="left" w:pos="532"/>
        </w:tabs>
        <w:spacing w:line="288" w:lineRule="auto"/>
        <w:ind w:left="0"/>
        <w:jc w:val="both"/>
        <w:rPr>
          <w:rFonts w:ascii="Verdana" w:eastAsia="Times New Roman" w:hAnsi="Verdana" w:cs="Times New Roman"/>
          <w:b/>
          <w:color w:val="002957"/>
          <w:sz w:val="17"/>
          <w:szCs w:val="17"/>
          <w:lang w:val="en-GB"/>
        </w:rPr>
      </w:pPr>
      <w:r>
        <w:rPr>
          <w:rFonts w:ascii="Verdana" w:eastAsia="Times New Roman" w:hAnsi="Verdana" w:cs="Times New Roman"/>
          <w:b/>
          <w:color w:val="002957"/>
          <w:sz w:val="17"/>
          <w:szCs w:val="17"/>
          <w:lang w:val="en-GB"/>
        </w:rPr>
        <w:t xml:space="preserve">III.A. </w:t>
      </w:r>
      <w:r w:rsidR="00EA54AB" w:rsidRPr="00396695">
        <w:rPr>
          <w:rFonts w:ascii="Verdana" w:eastAsia="Times New Roman" w:hAnsi="Verdana" w:cs="Times New Roman"/>
          <w:b/>
          <w:color w:val="002957"/>
          <w:sz w:val="17"/>
          <w:szCs w:val="17"/>
          <w:lang w:val="en-GB"/>
        </w:rPr>
        <w:t>Improving withholding tax refund procedures</w:t>
      </w:r>
    </w:p>
    <w:p w14:paraId="7168EF5A" w14:textId="77777777" w:rsidR="00EA54AB" w:rsidRPr="002D505C" w:rsidRDefault="00EA54AB" w:rsidP="002D505C">
      <w:pPr>
        <w:rPr>
          <w:sz w:val="17"/>
          <w:szCs w:val="17"/>
        </w:rPr>
      </w:pPr>
    </w:p>
    <w:p w14:paraId="0FF39FAC" w14:textId="77777777" w:rsidR="00A07E28" w:rsidRPr="009011CC" w:rsidRDefault="00A07E28" w:rsidP="009011CC">
      <w:pPr>
        <w:pStyle w:val="CEABullet-Level1"/>
        <w:numPr>
          <w:ilvl w:val="0"/>
          <w:numId w:val="12"/>
        </w:numPr>
      </w:pPr>
      <w:r w:rsidRPr="009011CC">
        <w:t>In case the EU initiative consists of simplifying and streamlining the WHT refund procedures, which measures do you think will be more effective to achieve these goals? (Multiple options are available)</w:t>
      </w:r>
    </w:p>
    <w:tbl>
      <w:tblPr>
        <w:tblW w:w="5000" w:type="pct"/>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CellMar>
          <w:left w:w="0" w:type="dxa"/>
          <w:right w:w="0" w:type="dxa"/>
        </w:tblCellMar>
        <w:tblLook w:val="01E0" w:firstRow="1" w:lastRow="1" w:firstColumn="1" w:lastColumn="1" w:noHBand="0" w:noVBand="0"/>
      </w:tblPr>
      <w:tblGrid>
        <w:gridCol w:w="8026"/>
        <w:gridCol w:w="1485"/>
      </w:tblGrid>
      <w:tr w:rsidR="00A07E28" w:rsidRPr="002D505C" w14:paraId="046C3ACA" w14:textId="77777777" w:rsidTr="00316AE8">
        <w:trPr>
          <w:trHeight w:hRule="exact" w:val="1378"/>
        </w:trPr>
        <w:tc>
          <w:tcPr>
            <w:tcW w:w="4279" w:type="pct"/>
          </w:tcPr>
          <w:p w14:paraId="10414B59" w14:textId="77777777" w:rsidR="00A07E28" w:rsidRPr="002D505C" w:rsidRDefault="00A07E28" w:rsidP="002D505C">
            <w:pPr>
              <w:pStyle w:val="TableParagraph"/>
              <w:spacing w:line="288" w:lineRule="auto"/>
              <w:jc w:val="both"/>
              <w:rPr>
                <w:rFonts w:ascii="Verdana" w:hAnsi="Verdana"/>
                <w:sz w:val="17"/>
                <w:szCs w:val="17"/>
              </w:rPr>
            </w:pPr>
          </w:p>
          <w:p w14:paraId="33F46236" w14:textId="77777777" w:rsidR="00A07E28" w:rsidRPr="002D505C" w:rsidRDefault="00A07E28" w:rsidP="002D505C">
            <w:pPr>
              <w:pStyle w:val="TableParagraph"/>
              <w:spacing w:line="288" w:lineRule="auto"/>
              <w:jc w:val="both"/>
              <w:rPr>
                <w:rFonts w:ascii="Verdana" w:hAnsi="Verdana"/>
                <w:sz w:val="17"/>
                <w:szCs w:val="17"/>
              </w:rPr>
            </w:pPr>
          </w:p>
          <w:p w14:paraId="41687308" w14:textId="77777777" w:rsidR="00A07E28" w:rsidRPr="002D505C" w:rsidRDefault="00A07E28" w:rsidP="002D505C">
            <w:pPr>
              <w:pStyle w:val="TableParagraph"/>
              <w:spacing w:line="288" w:lineRule="auto"/>
              <w:ind w:left="2691"/>
              <w:jc w:val="both"/>
              <w:rPr>
                <w:rFonts w:ascii="Verdana" w:hAnsi="Verdana"/>
                <w:b/>
                <w:sz w:val="17"/>
                <w:szCs w:val="17"/>
              </w:rPr>
            </w:pPr>
            <w:r w:rsidRPr="002D505C">
              <w:rPr>
                <w:rFonts w:ascii="Verdana" w:hAnsi="Verdana"/>
                <w:b/>
                <w:w w:val="105"/>
                <w:sz w:val="17"/>
                <w:szCs w:val="17"/>
              </w:rPr>
              <w:t>Nature of the solution provided</w:t>
            </w:r>
          </w:p>
        </w:tc>
        <w:tc>
          <w:tcPr>
            <w:tcW w:w="721" w:type="pct"/>
          </w:tcPr>
          <w:p w14:paraId="477F9461" w14:textId="18E425AF" w:rsidR="00A07E28" w:rsidRPr="002D505C" w:rsidRDefault="00A07E28" w:rsidP="00FC3D02">
            <w:pPr>
              <w:pStyle w:val="TableParagraph"/>
              <w:spacing w:line="288" w:lineRule="auto"/>
              <w:ind w:left="196" w:right="249"/>
              <w:jc w:val="both"/>
              <w:rPr>
                <w:rFonts w:ascii="Verdana" w:hAnsi="Verdana"/>
                <w:b/>
                <w:sz w:val="17"/>
                <w:szCs w:val="17"/>
              </w:rPr>
            </w:pPr>
            <w:r w:rsidRPr="002D505C">
              <w:rPr>
                <w:rFonts w:ascii="Verdana" w:hAnsi="Verdana"/>
                <w:b/>
                <w:w w:val="105"/>
                <w:sz w:val="17"/>
                <w:szCs w:val="17"/>
              </w:rPr>
              <w:t>Check</w:t>
            </w:r>
            <w:r w:rsidRPr="002D505C">
              <w:rPr>
                <w:rFonts w:ascii="Verdana" w:hAnsi="Verdana"/>
                <w:b/>
                <w:spacing w:val="-22"/>
                <w:w w:val="105"/>
                <w:sz w:val="17"/>
                <w:szCs w:val="17"/>
              </w:rPr>
              <w:t xml:space="preserve"> </w:t>
            </w:r>
            <w:r w:rsidRPr="002D505C">
              <w:rPr>
                <w:rFonts w:ascii="Verdana" w:hAnsi="Verdana"/>
                <w:b/>
                <w:w w:val="105"/>
                <w:sz w:val="17"/>
                <w:szCs w:val="17"/>
              </w:rPr>
              <w:t>the</w:t>
            </w:r>
            <w:r w:rsidRPr="002D505C">
              <w:rPr>
                <w:rFonts w:ascii="Verdana" w:hAnsi="Verdana"/>
                <w:b/>
                <w:w w:val="102"/>
                <w:sz w:val="17"/>
                <w:szCs w:val="17"/>
              </w:rPr>
              <w:t xml:space="preserve"> </w:t>
            </w:r>
            <w:r w:rsidRPr="002D505C">
              <w:rPr>
                <w:rFonts w:ascii="Verdana" w:hAnsi="Verdana"/>
                <w:b/>
                <w:w w:val="105"/>
                <w:sz w:val="17"/>
                <w:szCs w:val="17"/>
              </w:rPr>
              <w:t>box where</w:t>
            </w:r>
            <w:r w:rsidR="00FC3D02">
              <w:rPr>
                <w:rFonts w:ascii="Verdana" w:hAnsi="Verdana"/>
                <w:b/>
                <w:w w:val="105"/>
                <w:sz w:val="17"/>
                <w:szCs w:val="17"/>
              </w:rPr>
              <w:t xml:space="preserve"> </w:t>
            </w:r>
            <w:r w:rsidRPr="002D505C">
              <w:rPr>
                <w:rFonts w:ascii="Verdana" w:hAnsi="Verdana"/>
                <w:b/>
                <w:w w:val="105"/>
                <w:sz w:val="17"/>
                <w:szCs w:val="17"/>
              </w:rPr>
              <w:t>applicable</w:t>
            </w:r>
          </w:p>
        </w:tc>
      </w:tr>
      <w:tr w:rsidR="00A07E28" w:rsidRPr="002D505C" w14:paraId="66D86EDC" w14:textId="77777777" w:rsidTr="00316AE8">
        <w:trPr>
          <w:trHeight w:hRule="exact" w:val="773"/>
        </w:trPr>
        <w:tc>
          <w:tcPr>
            <w:tcW w:w="4279" w:type="pct"/>
          </w:tcPr>
          <w:p w14:paraId="4717F9ED" w14:textId="77777777" w:rsidR="00A07E28" w:rsidRPr="002D505C" w:rsidRDefault="00A07E28" w:rsidP="002D505C">
            <w:pPr>
              <w:pStyle w:val="TableParagraph"/>
              <w:spacing w:line="288" w:lineRule="auto"/>
              <w:ind w:left="180" w:right="580"/>
              <w:jc w:val="both"/>
              <w:rPr>
                <w:rFonts w:ascii="Verdana" w:hAnsi="Verdana"/>
                <w:sz w:val="17"/>
                <w:szCs w:val="17"/>
              </w:rPr>
            </w:pPr>
            <w:r w:rsidRPr="002D505C">
              <w:rPr>
                <w:rFonts w:ascii="Verdana" w:hAnsi="Verdana"/>
                <w:w w:val="105"/>
                <w:sz w:val="17"/>
                <w:szCs w:val="17"/>
              </w:rPr>
              <w:t>Standardized</w:t>
            </w:r>
            <w:r w:rsidRPr="002D505C">
              <w:rPr>
                <w:rFonts w:ascii="Verdana" w:hAnsi="Verdana"/>
                <w:spacing w:val="-15"/>
                <w:w w:val="105"/>
                <w:sz w:val="17"/>
                <w:szCs w:val="17"/>
              </w:rPr>
              <w:t xml:space="preserve"> </w:t>
            </w:r>
            <w:r w:rsidRPr="002D505C">
              <w:rPr>
                <w:rFonts w:ascii="Verdana" w:hAnsi="Verdana"/>
                <w:w w:val="105"/>
                <w:sz w:val="17"/>
                <w:szCs w:val="17"/>
              </w:rPr>
              <w:t>and</w:t>
            </w:r>
            <w:r w:rsidRPr="002D505C">
              <w:rPr>
                <w:rFonts w:ascii="Verdana" w:hAnsi="Verdana"/>
                <w:spacing w:val="-15"/>
                <w:w w:val="105"/>
                <w:sz w:val="17"/>
                <w:szCs w:val="17"/>
              </w:rPr>
              <w:t xml:space="preserve"> </w:t>
            </w:r>
            <w:r w:rsidRPr="002D505C">
              <w:rPr>
                <w:rFonts w:ascii="Verdana" w:hAnsi="Verdana"/>
                <w:w w:val="105"/>
                <w:sz w:val="17"/>
                <w:szCs w:val="17"/>
              </w:rPr>
              <w:t>same</w:t>
            </w:r>
            <w:r w:rsidRPr="002D505C">
              <w:rPr>
                <w:rFonts w:ascii="Verdana" w:hAnsi="Verdana"/>
                <w:spacing w:val="-15"/>
                <w:w w:val="105"/>
                <w:sz w:val="17"/>
                <w:szCs w:val="17"/>
              </w:rPr>
              <w:t xml:space="preserve"> </w:t>
            </w:r>
            <w:r w:rsidRPr="002D505C">
              <w:rPr>
                <w:rFonts w:ascii="Verdana" w:hAnsi="Verdana"/>
                <w:w w:val="105"/>
                <w:sz w:val="17"/>
                <w:szCs w:val="17"/>
              </w:rPr>
              <w:t>language</w:t>
            </w:r>
            <w:r w:rsidRPr="002D505C">
              <w:rPr>
                <w:rFonts w:ascii="Verdana" w:hAnsi="Verdana"/>
                <w:spacing w:val="-15"/>
                <w:w w:val="105"/>
                <w:sz w:val="17"/>
                <w:szCs w:val="17"/>
              </w:rPr>
              <w:t xml:space="preserve"> </w:t>
            </w:r>
            <w:r w:rsidRPr="002D505C">
              <w:rPr>
                <w:rFonts w:ascii="Verdana" w:hAnsi="Verdana"/>
                <w:w w:val="105"/>
                <w:sz w:val="17"/>
                <w:szCs w:val="17"/>
              </w:rPr>
              <w:t>forms</w:t>
            </w:r>
            <w:r w:rsidRPr="002D505C">
              <w:rPr>
                <w:rFonts w:ascii="Verdana" w:hAnsi="Verdana"/>
                <w:spacing w:val="-15"/>
                <w:w w:val="105"/>
                <w:sz w:val="17"/>
                <w:szCs w:val="17"/>
              </w:rPr>
              <w:t xml:space="preserve"> </w:t>
            </w:r>
            <w:r w:rsidRPr="002D505C">
              <w:rPr>
                <w:rFonts w:ascii="Verdana" w:hAnsi="Verdana"/>
                <w:w w:val="105"/>
                <w:sz w:val="17"/>
                <w:szCs w:val="17"/>
              </w:rPr>
              <w:t>for</w:t>
            </w:r>
            <w:r w:rsidRPr="002D505C">
              <w:rPr>
                <w:rFonts w:ascii="Verdana" w:hAnsi="Verdana"/>
                <w:spacing w:val="-15"/>
                <w:w w:val="105"/>
                <w:sz w:val="17"/>
                <w:szCs w:val="17"/>
              </w:rPr>
              <w:t xml:space="preserve"> </w:t>
            </w:r>
            <w:r w:rsidRPr="002D505C">
              <w:rPr>
                <w:rFonts w:ascii="Verdana" w:hAnsi="Verdana"/>
                <w:w w:val="105"/>
                <w:sz w:val="17"/>
                <w:szCs w:val="17"/>
              </w:rPr>
              <w:t>refund</w:t>
            </w:r>
            <w:r w:rsidRPr="002D505C">
              <w:rPr>
                <w:rFonts w:ascii="Verdana" w:hAnsi="Verdana"/>
                <w:spacing w:val="-15"/>
                <w:w w:val="105"/>
                <w:sz w:val="17"/>
                <w:szCs w:val="17"/>
              </w:rPr>
              <w:t xml:space="preserve"> </w:t>
            </w:r>
            <w:r w:rsidRPr="002D505C">
              <w:rPr>
                <w:rFonts w:ascii="Verdana" w:hAnsi="Verdana"/>
                <w:w w:val="105"/>
                <w:sz w:val="17"/>
                <w:szCs w:val="17"/>
              </w:rPr>
              <w:t>requests</w:t>
            </w:r>
            <w:r w:rsidRPr="002D505C">
              <w:rPr>
                <w:rFonts w:ascii="Verdana" w:hAnsi="Verdana"/>
                <w:spacing w:val="-15"/>
                <w:w w:val="105"/>
                <w:sz w:val="17"/>
                <w:szCs w:val="17"/>
              </w:rPr>
              <w:t xml:space="preserve"> </w:t>
            </w:r>
            <w:r w:rsidRPr="002D505C">
              <w:rPr>
                <w:rFonts w:ascii="Verdana" w:hAnsi="Verdana"/>
                <w:w w:val="105"/>
                <w:sz w:val="17"/>
                <w:szCs w:val="17"/>
              </w:rPr>
              <w:t>across</w:t>
            </w:r>
            <w:r w:rsidRPr="002D505C">
              <w:rPr>
                <w:rFonts w:ascii="Verdana" w:hAnsi="Verdana"/>
                <w:spacing w:val="-15"/>
                <w:w w:val="105"/>
                <w:sz w:val="17"/>
                <w:szCs w:val="17"/>
              </w:rPr>
              <w:t xml:space="preserve"> </w:t>
            </w:r>
            <w:r w:rsidRPr="002D505C">
              <w:rPr>
                <w:rFonts w:ascii="Verdana" w:hAnsi="Verdana"/>
                <w:w w:val="105"/>
                <w:sz w:val="17"/>
                <w:szCs w:val="17"/>
              </w:rPr>
              <w:t>Member</w:t>
            </w:r>
            <w:r w:rsidRPr="002D505C">
              <w:rPr>
                <w:rFonts w:ascii="Verdana" w:hAnsi="Verdana"/>
                <w:spacing w:val="-15"/>
                <w:w w:val="105"/>
                <w:sz w:val="17"/>
                <w:szCs w:val="17"/>
              </w:rPr>
              <w:t xml:space="preserve"> </w:t>
            </w:r>
            <w:r w:rsidRPr="002D505C">
              <w:rPr>
                <w:rFonts w:ascii="Verdana" w:hAnsi="Verdana"/>
                <w:w w:val="105"/>
                <w:sz w:val="17"/>
                <w:szCs w:val="17"/>
              </w:rPr>
              <w:t>States’</w:t>
            </w:r>
            <w:r w:rsidRPr="002D505C">
              <w:rPr>
                <w:rFonts w:ascii="Verdana" w:hAnsi="Verdana"/>
                <w:spacing w:val="-15"/>
                <w:w w:val="105"/>
                <w:sz w:val="17"/>
                <w:szCs w:val="17"/>
              </w:rPr>
              <w:t xml:space="preserve"> </w:t>
            </w:r>
            <w:r w:rsidRPr="002D505C">
              <w:rPr>
                <w:rFonts w:ascii="Verdana" w:hAnsi="Verdana"/>
                <w:w w:val="105"/>
                <w:sz w:val="17"/>
                <w:szCs w:val="17"/>
              </w:rPr>
              <w:t>tax administrations</w:t>
            </w:r>
          </w:p>
        </w:tc>
        <w:tc>
          <w:tcPr>
            <w:tcW w:w="721" w:type="pct"/>
          </w:tcPr>
          <w:p w14:paraId="5C168425" w14:textId="0F14376C" w:rsidR="00A07E28" w:rsidRPr="00516113" w:rsidRDefault="00424AAD" w:rsidP="00424AAD">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5F32C1B7" w14:textId="77777777" w:rsidTr="00316AE8">
        <w:trPr>
          <w:trHeight w:hRule="exact" w:val="773"/>
        </w:trPr>
        <w:tc>
          <w:tcPr>
            <w:tcW w:w="4279" w:type="pct"/>
          </w:tcPr>
          <w:p w14:paraId="1821CB96" w14:textId="77777777" w:rsidR="00A07E28" w:rsidRPr="002D505C" w:rsidRDefault="00A07E28" w:rsidP="002D505C">
            <w:pPr>
              <w:pStyle w:val="TableParagraph"/>
              <w:spacing w:line="288" w:lineRule="auto"/>
              <w:ind w:left="180" w:right="350"/>
              <w:jc w:val="both"/>
              <w:rPr>
                <w:rFonts w:ascii="Verdana" w:hAnsi="Verdana"/>
                <w:sz w:val="17"/>
                <w:szCs w:val="17"/>
              </w:rPr>
            </w:pPr>
            <w:r w:rsidRPr="002D505C">
              <w:rPr>
                <w:rFonts w:ascii="Verdana" w:hAnsi="Verdana"/>
                <w:w w:val="105"/>
                <w:sz w:val="17"/>
                <w:szCs w:val="17"/>
              </w:rPr>
              <w:t>Central</w:t>
            </w:r>
            <w:r w:rsidRPr="002D505C">
              <w:rPr>
                <w:rFonts w:ascii="Verdana" w:hAnsi="Verdana"/>
                <w:spacing w:val="-13"/>
                <w:w w:val="105"/>
                <w:sz w:val="17"/>
                <w:szCs w:val="17"/>
              </w:rPr>
              <w:t xml:space="preserve"> </w:t>
            </w:r>
            <w:r w:rsidRPr="002D505C">
              <w:rPr>
                <w:rFonts w:ascii="Verdana" w:hAnsi="Verdana"/>
                <w:w w:val="105"/>
                <w:sz w:val="17"/>
                <w:szCs w:val="17"/>
              </w:rPr>
              <w:t>repository</w:t>
            </w:r>
            <w:r w:rsidRPr="002D505C">
              <w:rPr>
                <w:rFonts w:ascii="Verdana" w:hAnsi="Verdana"/>
                <w:spacing w:val="-13"/>
                <w:w w:val="105"/>
                <w:sz w:val="17"/>
                <w:szCs w:val="17"/>
              </w:rPr>
              <w:t xml:space="preserve"> </w:t>
            </w:r>
            <w:r w:rsidRPr="002D505C">
              <w:rPr>
                <w:rFonts w:ascii="Verdana" w:hAnsi="Verdana"/>
                <w:w w:val="105"/>
                <w:sz w:val="17"/>
                <w:szCs w:val="17"/>
              </w:rPr>
              <w:t>at</w:t>
            </w:r>
            <w:r w:rsidRPr="002D505C">
              <w:rPr>
                <w:rFonts w:ascii="Verdana" w:hAnsi="Verdana"/>
                <w:spacing w:val="-13"/>
                <w:w w:val="105"/>
                <w:sz w:val="17"/>
                <w:szCs w:val="17"/>
              </w:rPr>
              <w:t xml:space="preserve"> </w:t>
            </w:r>
            <w:r w:rsidRPr="002D505C">
              <w:rPr>
                <w:rFonts w:ascii="Verdana" w:hAnsi="Verdana"/>
                <w:w w:val="105"/>
                <w:sz w:val="17"/>
                <w:szCs w:val="17"/>
              </w:rPr>
              <w:t>EU</w:t>
            </w:r>
            <w:r w:rsidRPr="002D505C">
              <w:rPr>
                <w:rFonts w:ascii="Verdana" w:hAnsi="Verdana"/>
                <w:spacing w:val="-13"/>
                <w:w w:val="105"/>
                <w:sz w:val="17"/>
                <w:szCs w:val="17"/>
              </w:rPr>
              <w:t xml:space="preserve"> </w:t>
            </w:r>
            <w:r w:rsidRPr="002D505C">
              <w:rPr>
                <w:rFonts w:ascii="Verdana" w:hAnsi="Verdana"/>
                <w:w w:val="105"/>
                <w:sz w:val="17"/>
                <w:szCs w:val="17"/>
              </w:rPr>
              <w:t>level</w:t>
            </w:r>
            <w:r w:rsidRPr="002D505C">
              <w:rPr>
                <w:rFonts w:ascii="Verdana" w:hAnsi="Verdana"/>
                <w:spacing w:val="-13"/>
                <w:w w:val="105"/>
                <w:sz w:val="17"/>
                <w:szCs w:val="17"/>
              </w:rPr>
              <w:t xml:space="preserve"> </w:t>
            </w:r>
            <w:r w:rsidRPr="002D505C">
              <w:rPr>
                <w:rFonts w:ascii="Verdana" w:hAnsi="Verdana"/>
                <w:w w:val="105"/>
                <w:sz w:val="17"/>
                <w:szCs w:val="17"/>
              </w:rPr>
              <w:t>to</w:t>
            </w:r>
            <w:r w:rsidRPr="002D505C">
              <w:rPr>
                <w:rFonts w:ascii="Verdana" w:hAnsi="Verdana"/>
                <w:spacing w:val="-13"/>
                <w:w w:val="105"/>
                <w:sz w:val="17"/>
                <w:szCs w:val="17"/>
              </w:rPr>
              <w:t xml:space="preserve"> </w:t>
            </w:r>
            <w:r w:rsidRPr="002D505C">
              <w:rPr>
                <w:rFonts w:ascii="Verdana" w:hAnsi="Verdana"/>
                <w:w w:val="105"/>
                <w:sz w:val="17"/>
                <w:szCs w:val="17"/>
              </w:rPr>
              <w:t>store</w:t>
            </w:r>
            <w:r w:rsidRPr="002D505C">
              <w:rPr>
                <w:rFonts w:ascii="Verdana" w:hAnsi="Verdana"/>
                <w:spacing w:val="-13"/>
                <w:w w:val="105"/>
                <w:sz w:val="17"/>
                <w:szCs w:val="17"/>
              </w:rPr>
              <w:t xml:space="preserve"> </w:t>
            </w:r>
            <w:r w:rsidRPr="002D505C">
              <w:rPr>
                <w:rFonts w:ascii="Verdana" w:hAnsi="Verdana"/>
                <w:w w:val="105"/>
                <w:sz w:val="17"/>
                <w:szCs w:val="17"/>
              </w:rPr>
              <w:t>tax</w:t>
            </w:r>
            <w:r w:rsidRPr="002D505C">
              <w:rPr>
                <w:rFonts w:ascii="Verdana" w:hAnsi="Verdana"/>
                <w:spacing w:val="-13"/>
                <w:w w:val="105"/>
                <w:sz w:val="17"/>
                <w:szCs w:val="17"/>
              </w:rPr>
              <w:t xml:space="preserve"> </w:t>
            </w:r>
            <w:r w:rsidRPr="002D505C">
              <w:rPr>
                <w:rFonts w:ascii="Verdana" w:hAnsi="Verdana"/>
                <w:w w:val="105"/>
                <w:sz w:val="17"/>
                <w:szCs w:val="17"/>
              </w:rPr>
              <w:t>residence</w:t>
            </w:r>
            <w:r w:rsidRPr="002D505C">
              <w:rPr>
                <w:rFonts w:ascii="Verdana" w:hAnsi="Verdana"/>
                <w:spacing w:val="-13"/>
                <w:w w:val="105"/>
                <w:sz w:val="17"/>
                <w:szCs w:val="17"/>
              </w:rPr>
              <w:t xml:space="preserve"> </w:t>
            </w:r>
            <w:r w:rsidRPr="002D505C">
              <w:rPr>
                <w:rFonts w:ascii="Verdana" w:hAnsi="Verdana"/>
                <w:w w:val="105"/>
                <w:sz w:val="17"/>
                <w:szCs w:val="17"/>
              </w:rPr>
              <w:t>certificates</w:t>
            </w:r>
            <w:r w:rsidRPr="002D505C">
              <w:rPr>
                <w:rFonts w:ascii="Verdana" w:hAnsi="Verdana"/>
                <w:spacing w:val="-13"/>
                <w:w w:val="105"/>
                <w:sz w:val="17"/>
                <w:szCs w:val="17"/>
              </w:rPr>
              <w:t xml:space="preserve"> </w:t>
            </w:r>
            <w:r w:rsidRPr="002D505C">
              <w:rPr>
                <w:rFonts w:ascii="Verdana" w:hAnsi="Verdana"/>
                <w:w w:val="105"/>
                <w:sz w:val="17"/>
                <w:szCs w:val="17"/>
              </w:rPr>
              <w:t>issued</w:t>
            </w:r>
            <w:r w:rsidRPr="002D505C">
              <w:rPr>
                <w:rFonts w:ascii="Verdana" w:hAnsi="Verdana"/>
                <w:spacing w:val="-13"/>
                <w:w w:val="105"/>
                <w:sz w:val="17"/>
                <w:szCs w:val="17"/>
              </w:rPr>
              <w:t xml:space="preserve"> </w:t>
            </w:r>
            <w:r w:rsidRPr="002D505C">
              <w:rPr>
                <w:rFonts w:ascii="Verdana" w:hAnsi="Verdana"/>
                <w:w w:val="105"/>
                <w:sz w:val="17"/>
                <w:szCs w:val="17"/>
              </w:rPr>
              <w:t>by</w:t>
            </w:r>
            <w:r w:rsidRPr="002D505C">
              <w:rPr>
                <w:rFonts w:ascii="Verdana" w:hAnsi="Verdana"/>
                <w:spacing w:val="-13"/>
                <w:w w:val="105"/>
                <w:sz w:val="17"/>
                <w:szCs w:val="17"/>
              </w:rPr>
              <w:t xml:space="preserve"> </w:t>
            </w:r>
            <w:r w:rsidRPr="002D505C">
              <w:rPr>
                <w:rFonts w:ascii="Verdana" w:hAnsi="Verdana"/>
                <w:w w:val="105"/>
                <w:sz w:val="17"/>
                <w:szCs w:val="17"/>
              </w:rPr>
              <w:t>Member</w:t>
            </w:r>
            <w:r w:rsidRPr="002D505C">
              <w:rPr>
                <w:rFonts w:ascii="Verdana" w:hAnsi="Verdana"/>
                <w:spacing w:val="-13"/>
                <w:w w:val="105"/>
                <w:sz w:val="17"/>
                <w:szCs w:val="17"/>
              </w:rPr>
              <w:t xml:space="preserve"> </w:t>
            </w:r>
            <w:r w:rsidRPr="002D505C">
              <w:rPr>
                <w:rFonts w:ascii="Verdana" w:hAnsi="Verdana"/>
                <w:w w:val="105"/>
                <w:sz w:val="17"/>
                <w:szCs w:val="17"/>
              </w:rPr>
              <w:t xml:space="preserve">States’ </w:t>
            </w:r>
            <w:r w:rsidRPr="002D505C">
              <w:rPr>
                <w:rFonts w:ascii="Verdana" w:hAnsi="Verdana"/>
                <w:sz w:val="17"/>
                <w:szCs w:val="17"/>
              </w:rPr>
              <w:t>tax</w:t>
            </w:r>
            <w:r w:rsidRPr="002D505C">
              <w:rPr>
                <w:rFonts w:ascii="Verdana" w:hAnsi="Verdana"/>
                <w:spacing w:val="39"/>
                <w:sz w:val="17"/>
                <w:szCs w:val="17"/>
              </w:rPr>
              <w:t xml:space="preserve"> </w:t>
            </w:r>
            <w:r w:rsidRPr="002D505C">
              <w:rPr>
                <w:rFonts w:ascii="Verdana" w:hAnsi="Verdana"/>
                <w:sz w:val="17"/>
                <w:szCs w:val="17"/>
              </w:rPr>
              <w:t>administrations</w:t>
            </w:r>
          </w:p>
        </w:tc>
        <w:tc>
          <w:tcPr>
            <w:tcW w:w="721" w:type="pct"/>
          </w:tcPr>
          <w:p w14:paraId="24D374C0" w14:textId="153C802D" w:rsidR="00A07E28" w:rsidRPr="00516113" w:rsidRDefault="00BF0896"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7CA36322" w14:textId="77777777" w:rsidTr="00316AE8">
        <w:trPr>
          <w:trHeight w:hRule="exact" w:val="773"/>
        </w:trPr>
        <w:tc>
          <w:tcPr>
            <w:tcW w:w="4279" w:type="pct"/>
          </w:tcPr>
          <w:p w14:paraId="393E6CC3" w14:textId="3625A031" w:rsidR="00A07E28" w:rsidRPr="002D505C" w:rsidRDefault="00A07E28" w:rsidP="002D505C">
            <w:pPr>
              <w:pStyle w:val="TableParagraph"/>
              <w:spacing w:line="288" w:lineRule="auto"/>
              <w:ind w:left="180" w:right="350"/>
              <w:jc w:val="both"/>
              <w:rPr>
                <w:rFonts w:ascii="Verdana" w:hAnsi="Verdana"/>
                <w:sz w:val="17"/>
                <w:szCs w:val="17"/>
              </w:rPr>
            </w:pPr>
            <w:r w:rsidRPr="002D505C">
              <w:rPr>
                <w:rFonts w:ascii="Verdana" w:hAnsi="Verdana"/>
                <w:sz w:val="17"/>
                <w:szCs w:val="17"/>
              </w:rPr>
              <w:t>E-request of tax residence certificate (swift online provision of the tax residence certificate) and digitalized verification system</w:t>
            </w:r>
          </w:p>
        </w:tc>
        <w:tc>
          <w:tcPr>
            <w:tcW w:w="721" w:type="pct"/>
          </w:tcPr>
          <w:p w14:paraId="0622B5C1" w14:textId="06626C2E" w:rsidR="00A07E28" w:rsidRPr="00516113" w:rsidRDefault="00424AAD" w:rsidP="00424AAD">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77534A95" w14:textId="77777777" w:rsidTr="00316AE8">
        <w:trPr>
          <w:trHeight w:hRule="exact" w:val="1070"/>
        </w:trPr>
        <w:tc>
          <w:tcPr>
            <w:tcW w:w="4279" w:type="pct"/>
          </w:tcPr>
          <w:p w14:paraId="231F0E22" w14:textId="4A485712" w:rsidR="00A07E28" w:rsidRPr="002D505C" w:rsidRDefault="00A07E28" w:rsidP="002D505C">
            <w:pPr>
              <w:pStyle w:val="TableParagraph"/>
              <w:spacing w:line="288" w:lineRule="auto"/>
              <w:ind w:left="180"/>
              <w:jc w:val="both"/>
              <w:rPr>
                <w:rFonts w:ascii="Verdana" w:hAnsi="Verdana"/>
                <w:sz w:val="17"/>
                <w:szCs w:val="17"/>
              </w:rPr>
            </w:pPr>
            <w:r w:rsidRPr="002D505C">
              <w:rPr>
                <w:rFonts w:ascii="Verdana" w:hAnsi="Verdana"/>
                <w:sz w:val="17"/>
                <w:szCs w:val="17"/>
              </w:rPr>
              <w:t>Obligation of digitalizing the WHT refund procedures by every Member States’ tax administrations (E-filing of tax reclaim, online website to monitor refund status, e-document sharing, online communication of the outcome, etc.)</w:t>
            </w:r>
          </w:p>
        </w:tc>
        <w:tc>
          <w:tcPr>
            <w:tcW w:w="721" w:type="pct"/>
          </w:tcPr>
          <w:p w14:paraId="4E038006" w14:textId="3A579D3A" w:rsidR="00A07E28" w:rsidRPr="00516113" w:rsidRDefault="00BF0896"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24770FA5" w14:textId="77777777" w:rsidTr="00316AE8">
        <w:trPr>
          <w:trHeight w:hRule="exact" w:val="773"/>
        </w:trPr>
        <w:tc>
          <w:tcPr>
            <w:tcW w:w="4279" w:type="pct"/>
          </w:tcPr>
          <w:p w14:paraId="51611F41" w14:textId="77777777" w:rsidR="00A07E28" w:rsidRPr="002D505C" w:rsidRDefault="00A07E28" w:rsidP="002D505C">
            <w:pPr>
              <w:pStyle w:val="TableParagraph"/>
              <w:spacing w:line="288" w:lineRule="auto"/>
              <w:ind w:left="180"/>
              <w:jc w:val="both"/>
              <w:rPr>
                <w:rFonts w:ascii="Verdana" w:hAnsi="Verdana"/>
                <w:sz w:val="17"/>
                <w:szCs w:val="17"/>
              </w:rPr>
            </w:pPr>
            <w:r w:rsidRPr="002D505C">
              <w:rPr>
                <w:rFonts w:ascii="Verdana" w:hAnsi="Verdana"/>
                <w:sz w:val="17"/>
                <w:szCs w:val="17"/>
              </w:rPr>
              <w:t>Single web-portal (one-stop shop) where an investor could log in and make a refund claim irrespective of the source MS, based on standardized   forms</w:t>
            </w:r>
          </w:p>
        </w:tc>
        <w:tc>
          <w:tcPr>
            <w:tcW w:w="721" w:type="pct"/>
          </w:tcPr>
          <w:p w14:paraId="1A0A9EB4" w14:textId="11F1C794" w:rsidR="00A07E28" w:rsidRPr="00516113" w:rsidRDefault="008C5D35" w:rsidP="008C5D35">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192A378E" w14:textId="77777777" w:rsidTr="00316AE8">
        <w:trPr>
          <w:trHeight w:hRule="exact" w:val="497"/>
        </w:trPr>
        <w:tc>
          <w:tcPr>
            <w:tcW w:w="4279" w:type="pct"/>
          </w:tcPr>
          <w:p w14:paraId="06A005E3" w14:textId="497EFAE8" w:rsidR="00A07E28" w:rsidRPr="002D505C" w:rsidRDefault="00A07E28" w:rsidP="002D505C">
            <w:pPr>
              <w:pStyle w:val="TableParagraph"/>
              <w:spacing w:line="288" w:lineRule="auto"/>
              <w:ind w:left="180"/>
              <w:jc w:val="both"/>
              <w:rPr>
                <w:rFonts w:ascii="Verdana" w:hAnsi="Verdana"/>
                <w:sz w:val="17"/>
                <w:szCs w:val="17"/>
              </w:rPr>
            </w:pPr>
            <w:r w:rsidRPr="002D505C">
              <w:rPr>
                <w:rFonts w:ascii="Verdana" w:hAnsi="Verdana"/>
                <w:sz w:val="17"/>
                <w:szCs w:val="17"/>
              </w:rPr>
              <w:t>Allowing alternative ways of proving tax residence (</w:t>
            </w:r>
            <w:proofErr w:type="gramStart"/>
            <w:r w:rsidRPr="002D505C">
              <w:rPr>
                <w:rFonts w:ascii="Verdana" w:hAnsi="Verdana"/>
                <w:sz w:val="17"/>
                <w:szCs w:val="17"/>
              </w:rPr>
              <w:t>i.e.</w:t>
            </w:r>
            <w:proofErr w:type="gramEnd"/>
            <w:r w:rsidRPr="002D505C">
              <w:rPr>
                <w:rFonts w:ascii="Verdana" w:hAnsi="Verdana"/>
                <w:sz w:val="17"/>
                <w:szCs w:val="17"/>
              </w:rPr>
              <w:t xml:space="preserve"> investor self-declaration)</w:t>
            </w:r>
          </w:p>
        </w:tc>
        <w:tc>
          <w:tcPr>
            <w:tcW w:w="721" w:type="pct"/>
          </w:tcPr>
          <w:p w14:paraId="4BDDDB13" w14:textId="77777777" w:rsidR="00A07E28" w:rsidRPr="00516113" w:rsidRDefault="00A07E28" w:rsidP="002D505C">
            <w:pPr>
              <w:pStyle w:val="TableParagraph"/>
              <w:spacing w:line="288" w:lineRule="auto"/>
              <w:jc w:val="both"/>
              <w:rPr>
                <w:rFonts w:ascii="Verdana" w:hAnsi="Verdana"/>
                <w:sz w:val="17"/>
                <w:szCs w:val="17"/>
              </w:rPr>
            </w:pPr>
          </w:p>
        </w:tc>
      </w:tr>
      <w:tr w:rsidR="00A07E28" w:rsidRPr="002D505C" w14:paraId="2892CEA1" w14:textId="77777777" w:rsidTr="00316AE8">
        <w:trPr>
          <w:trHeight w:hRule="exact" w:val="773"/>
        </w:trPr>
        <w:tc>
          <w:tcPr>
            <w:tcW w:w="4279" w:type="pct"/>
          </w:tcPr>
          <w:p w14:paraId="03A1F94A" w14:textId="276C8208" w:rsidR="00A07E28" w:rsidRPr="002D505C" w:rsidRDefault="00A07E28" w:rsidP="002D505C">
            <w:pPr>
              <w:pStyle w:val="TableParagraph"/>
              <w:spacing w:line="288" w:lineRule="auto"/>
              <w:ind w:left="180" w:right="580"/>
              <w:jc w:val="both"/>
              <w:rPr>
                <w:rFonts w:ascii="Verdana" w:hAnsi="Verdana"/>
                <w:sz w:val="17"/>
                <w:szCs w:val="17"/>
              </w:rPr>
            </w:pPr>
            <w:r w:rsidRPr="002D505C">
              <w:rPr>
                <w:rFonts w:ascii="Verdana" w:hAnsi="Verdana"/>
                <w:sz w:val="17"/>
                <w:szCs w:val="17"/>
              </w:rPr>
              <w:t>Accruing interest in case of delays on getting the refund back under a limited period for handling the WHT reclaim</w:t>
            </w:r>
          </w:p>
        </w:tc>
        <w:tc>
          <w:tcPr>
            <w:tcW w:w="721" w:type="pct"/>
          </w:tcPr>
          <w:p w14:paraId="0D9502A3" w14:textId="7336B182" w:rsidR="00A07E28" w:rsidRPr="00516113" w:rsidRDefault="00BF0896"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52E852EE" w14:textId="77777777" w:rsidTr="00316AE8">
        <w:trPr>
          <w:trHeight w:hRule="exact" w:val="773"/>
        </w:trPr>
        <w:tc>
          <w:tcPr>
            <w:tcW w:w="4279" w:type="pct"/>
          </w:tcPr>
          <w:p w14:paraId="230DBECC" w14:textId="77777777" w:rsidR="00A07E28" w:rsidRPr="002D505C" w:rsidRDefault="00A07E28" w:rsidP="002D505C">
            <w:pPr>
              <w:pStyle w:val="TableParagraph"/>
              <w:spacing w:line="288" w:lineRule="auto"/>
              <w:ind w:left="180" w:right="580"/>
              <w:jc w:val="both"/>
              <w:rPr>
                <w:rFonts w:ascii="Verdana" w:hAnsi="Verdana"/>
                <w:sz w:val="17"/>
                <w:szCs w:val="17"/>
              </w:rPr>
            </w:pPr>
            <w:r w:rsidRPr="002D505C">
              <w:rPr>
                <w:rFonts w:ascii="Verdana" w:hAnsi="Verdana"/>
                <w:sz w:val="17"/>
                <w:szCs w:val="17"/>
              </w:rPr>
              <w:t>Issuing digital passport to attest investor's entitlement to tax treaty benefits for a period of time</w:t>
            </w:r>
          </w:p>
        </w:tc>
        <w:tc>
          <w:tcPr>
            <w:tcW w:w="721" w:type="pct"/>
          </w:tcPr>
          <w:p w14:paraId="71AE9DCA" w14:textId="04085002" w:rsidR="00A07E28" w:rsidRPr="00516113" w:rsidRDefault="00BF0896" w:rsidP="00EB6CEB">
            <w:pPr>
              <w:pStyle w:val="TableParagraph"/>
              <w:spacing w:line="288" w:lineRule="auto"/>
              <w:jc w:val="center"/>
              <w:rPr>
                <w:rFonts w:ascii="Verdana" w:hAnsi="Verdana"/>
                <w:sz w:val="17"/>
                <w:szCs w:val="17"/>
              </w:rPr>
            </w:pPr>
            <w:r w:rsidRPr="00516113">
              <w:rPr>
                <w:rFonts w:ascii="Verdana" w:hAnsi="Verdana"/>
                <w:sz w:val="17"/>
                <w:szCs w:val="17"/>
              </w:rPr>
              <w:t>X</w:t>
            </w:r>
          </w:p>
        </w:tc>
      </w:tr>
      <w:tr w:rsidR="00A07E28" w:rsidRPr="002D505C" w14:paraId="25E5BDC3" w14:textId="77777777" w:rsidTr="00316AE8">
        <w:trPr>
          <w:trHeight w:hRule="exact" w:val="773"/>
        </w:trPr>
        <w:tc>
          <w:tcPr>
            <w:tcW w:w="4279" w:type="pct"/>
          </w:tcPr>
          <w:p w14:paraId="35C25ABD" w14:textId="77777777" w:rsidR="00A07E28" w:rsidRPr="002D505C" w:rsidRDefault="00A07E28" w:rsidP="002D505C">
            <w:pPr>
              <w:pStyle w:val="TableParagraph"/>
              <w:spacing w:line="288" w:lineRule="auto"/>
              <w:ind w:left="180" w:right="606"/>
              <w:jc w:val="both"/>
              <w:rPr>
                <w:rFonts w:ascii="Verdana" w:hAnsi="Verdana"/>
                <w:sz w:val="17"/>
                <w:szCs w:val="17"/>
              </w:rPr>
            </w:pPr>
            <w:r w:rsidRPr="002D505C">
              <w:rPr>
                <w:rFonts w:ascii="Verdana" w:hAnsi="Verdana"/>
                <w:w w:val="105"/>
                <w:sz w:val="17"/>
                <w:szCs w:val="17"/>
              </w:rPr>
              <w:t>Refund</w:t>
            </w:r>
            <w:r w:rsidRPr="002D505C">
              <w:rPr>
                <w:rFonts w:ascii="Verdana" w:hAnsi="Verdana"/>
                <w:spacing w:val="-11"/>
                <w:w w:val="105"/>
                <w:sz w:val="17"/>
                <w:szCs w:val="17"/>
              </w:rPr>
              <w:t xml:space="preserve"> </w:t>
            </w:r>
            <w:r w:rsidRPr="002D505C">
              <w:rPr>
                <w:rFonts w:ascii="Verdana" w:hAnsi="Verdana"/>
                <w:w w:val="105"/>
                <w:sz w:val="17"/>
                <w:szCs w:val="17"/>
              </w:rPr>
              <w:t>claim</w:t>
            </w:r>
            <w:r w:rsidRPr="002D505C">
              <w:rPr>
                <w:rFonts w:ascii="Verdana" w:hAnsi="Verdana"/>
                <w:spacing w:val="-11"/>
                <w:w w:val="105"/>
                <w:sz w:val="17"/>
                <w:szCs w:val="17"/>
              </w:rPr>
              <w:t xml:space="preserve"> </w:t>
            </w:r>
            <w:r w:rsidRPr="002D505C">
              <w:rPr>
                <w:rFonts w:ascii="Verdana" w:hAnsi="Verdana"/>
                <w:w w:val="105"/>
                <w:sz w:val="17"/>
                <w:szCs w:val="17"/>
              </w:rPr>
              <w:t>made</w:t>
            </w:r>
            <w:r w:rsidRPr="002D505C">
              <w:rPr>
                <w:rFonts w:ascii="Verdana" w:hAnsi="Verdana"/>
                <w:spacing w:val="-11"/>
                <w:w w:val="105"/>
                <w:sz w:val="17"/>
                <w:szCs w:val="17"/>
              </w:rPr>
              <w:t xml:space="preserve"> </w:t>
            </w:r>
            <w:r w:rsidRPr="002D505C">
              <w:rPr>
                <w:rFonts w:ascii="Verdana" w:hAnsi="Verdana"/>
                <w:w w:val="105"/>
                <w:sz w:val="17"/>
                <w:szCs w:val="17"/>
              </w:rPr>
              <w:t>on</w:t>
            </w:r>
            <w:r w:rsidRPr="002D505C">
              <w:rPr>
                <w:rFonts w:ascii="Verdana" w:hAnsi="Verdana"/>
                <w:spacing w:val="-11"/>
                <w:w w:val="105"/>
                <w:sz w:val="17"/>
                <w:szCs w:val="17"/>
              </w:rPr>
              <w:t xml:space="preserve"> </w:t>
            </w:r>
            <w:r w:rsidRPr="002D505C">
              <w:rPr>
                <w:rFonts w:ascii="Verdana" w:hAnsi="Verdana"/>
                <w:w w:val="105"/>
                <w:sz w:val="17"/>
                <w:szCs w:val="17"/>
              </w:rPr>
              <w:t>the</w:t>
            </w:r>
            <w:r w:rsidRPr="002D505C">
              <w:rPr>
                <w:rFonts w:ascii="Verdana" w:hAnsi="Verdana"/>
                <w:spacing w:val="-11"/>
                <w:w w:val="105"/>
                <w:sz w:val="17"/>
                <w:szCs w:val="17"/>
              </w:rPr>
              <w:t xml:space="preserve"> </w:t>
            </w:r>
            <w:r w:rsidRPr="002D505C">
              <w:rPr>
                <w:rFonts w:ascii="Verdana" w:hAnsi="Verdana"/>
                <w:w w:val="105"/>
                <w:sz w:val="17"/>
                <w:szCs w:val="17"/>
              </w:rPr>
              <w:t>investor’s</w:t>
            </w:r>
            <w:r w:rsidRPr="002D505C">
              <w:rPr>
                <w:rFonts w:ascii="Verdana" w:hAnsi="Verdana"/>
                <w:spacing w:val="-11"/>
                <w:w w:val="105"/>
                <w:sz w:val="17"/>
                <w:szCs w:val="17"/>
              </w:rPr>
              <w:t xml:space="preserve"> </w:t>
            </w:r>
            <w:r w:rsidRPr="002D505C">
              <w:rPr>
                <w:rFonts w:ascii="Verdana" w:hAnsi="Verdana"/>
                <w:w w:val="105"/>
                <w:sz w:val="17"/>
                <w:szCs w:val="17"/>
              </w:rPr>
              <w:t>residence</w:t>
            </w:r>
            <w:r w:rsidRPr="002D505C">
              <w:rPr>
                <w:rFonts w:ascii="Verdana" w:hAnsi="Verdana"/>
                <w:spacing w:val="-11"/>
                <w:w w:val="105"/>
                <w:sz w:val="17"/>
                <w:szCs w:val="17"/>
              </w:rPr>
              <w:t xml:space="preserve"> </w:t>
            </w:r>
            <w:r w:rsidRPr="002D505C">
              <w:rPr>
                <w:rFonts w:ascii="Verdana" w:hAnsi="Verdana"/>
                <w:w w:val="105"/>
                <w:sz w:val="17"/>
                <w:szCs w:val="17"/>
              </w:rPr>
              <w:t>country</w:t>
            </w:r>
            <w:r w:rsidRPr="002D505C">
              <w:rPr>
                <w:rFonts w:ascii="Verdana" w:hAnsi="Verdana"/>
                <w:spacing w:val="-11"/>
                <w:w w:val="105"/>
                <w:sz w:val="17"/>
                <w:szCs w:val="17"/>
              </w:rPr>
              <w:t xml:space="preserve"> </w:t>
            </w:r>
            <w:r w:rsidRPr="002D505C">
              <w:rPr>
                <w:rFonts w:ascii="Verdana" w:hAnsi="Verdana"/>
                <w:w w:val="105"/>
                <w:sz w:val="17"/>
                <w:szCs w:val="17"/>
              </w:rPr>
              <w:t>instead</w:t>
            </w:r>
            <w:r w:rsidRPr="002D505C">
              <w:rPr>
                <w:rFonts w:ascii="Verdana" w:hAnsi="Verdana"/>
                <w:spacing w:val="-11"/>
                <w:w w:val="105"/>
                <w:sz w:val="17"/>
                <w:szCs w:val="17"/>
              </w:rPr>
              <w:t xml:space="preserve"> </w:t>
            </w:r>
            <w:r w:rsidRPr="002D505C">
              <w:rPr>
                <w:rFonts w:ascii="Verdana" w:hAnsi="Verdana"/>
                <w:w w:val="105"/>
                <w:sz w:val="17"/>
                <w:szCs w:val="17"/>
              </w:rPr>
              <w:t>of</w:t>
            </w:r>
            <w:r w:rsidRPr="002D505C">
              <w:rPr>
                <w:rFonts w:ascii="Verdana" w:hAnsi="Verdana"/>
                <w:spacing w:val="-11"/>
                <w:w w:val="105"/>
                <w:sz w:val="17"/>
                <w:szCs w:val="17"/>
              </w:rPr>
              <w:t xml:space="preserve"> </w:t>
            </w:r>
            <w:r w:rsidRPr="002D505C">
              <w:rPr>
                <w:rFonts w:ascii="Verdana" w:hAnsi="Verdana"/>
                <w:w w:val="105"/>
                <w:sz w:val="17"/>
                <w:szCs w:val="17"/>
              </w:rPr>
              <w:t>on</w:t>
            </w:r>
            <w:r w:rsidRPr="002D505C">
              <w:rPr>
                <w:rFonts w:ascii="Verdana" w:hAnsi="Verdana"/>
                <w:spacing w:val="-11"/>
                <w:w w:val="105"/>
                <w:sz w:val="17"/>
                <w:szCs w:val="17"/>
              </w:rPr>
              <w:t xml:space="preserve"> </w:t>
            </w:r>
            <w:r w:rsidRPr="002D505C">
              <w:rPr>
                <w:rFonts w:ascii="Verdana" w:hAnsi="Verdana"/>
                <w:w w:val="105"/>
                <w:sz w:val="17"/>
                <w:szCs w:val="17"/>
              </w:rPr>
              <w:t>the</w:t>
            </w:r>
            <w:r w:rsidRPr="002D505C">
              <w:rPr>
                <w:rFonts w:ascii="Verdana" w:hAnsi="Verdana"/>
                <w:spacing w:val="-11"/>
                <w:w w:val="105"/>
                <w:sz w:val="17"/>
                <w:szCs w:val="17"/>
              </w:rPr>
              <w:t xml:space="preserve"> </w:t>
            </w:r>
            <w:r w:rsidRPr="002D505C">
              <w:rPr>
                <w:rFonts w:ascii="Verdana" w:hAnsi="Verdana"/>
                <w:w w:val="105"/>
                <w:sz w:val="17"/>
                <w:szCs w:val="17"/>
              </w:rPr>
              <w:t>country</w:t>
            </w:r>
            <w:r w:rsidRPr="002D505C">
              <w:rPr>
                <w:rFonts w:ascii="Verdana" w:hAnsi="Verdana"/>
                <w:spacing w:val="-11"/>
                <w:w w:val="105"/>
                <w:sz w:val="17"/>
                <w:szCs w:val="17"/>
              </w:rPr>
              <w:t xml:space="preserve"> </w:t>
            </w:r>
            <w:r w:rsidRPr="002D505C">
              <w:rPr>
                <w:rFonts w:ascii="Verdana" w:hAnsi="Verdana"/>
                <w:w w:val="105"/>
                <w:sz w:val="17"/>
                <w:szCs w:val="17"/>
              </w:rPr>
              <w:t>of</w:t>
            </w:r>
            <w:r w:rsidRPr="002D505C">
              <w:rPr>
                <w:rFonts w:ascii="Verdana" w:hAnsi="Verdana"/>
                <w:spacing w:val="-11"/>
                <w:w w:val="105"/>
                <w:sz w:val="17"/>
                <w:szCs w:val="17"/>
              </w:rPr>
              <w:t xml:space="preserve"> </w:t>
            </w:r>
            <w:r w:rsidRPr="002D505C">
              <w:rPr>
                <w:rFonts w:ascii="Verdana" w:hAnsi="Verdana"/>
                <w:w w:val="105"/>
                <w:sz w:val="17"/>
                <w:szCs w:val="17"/>
              </w:rPr>
              <w:t>the investment</w:t>
            </w:r>
          </w:p>
        </w:tc>
        <w:tc>
          <w:tcPr>
            <w:tcW w:w="721" w:type="pct"/>
          </w:tcPr>
          <w:p w14:paraId="7917ECD6" w14:textId="5AD167C4" w:rsidR="00A07E28" w:rsidRPr="002D505C" w:rsidRDefault="002B02C1" w:rsidP="00061492">
            <w:pPr>
              <w:pStyle w:val="TableParagraph"/>
              <w:spacing w:line="288" w:lineRule="auto"/>
              <w:jc w:val="center"/>
              <w:rPr>
                <w:rFonts w:ascii="Verdana" w:hAnsi="Verdana"/>
                <w:sz w:val="17"/>
                <w:szCs w:val="17"/>
              </w:rPr>
            </w:pPr>
            <w:r>
              <w:rPr>
                <w:rFonts w:ascii="Verdana" w:hAnsi="Verdana"/>
                <w:sz w:val="17"/>
                <w:szCs w:val="17"/>
              </w:rPr>
              <w:t>X</w:t>
            </w:r>
          </w:p>
        </w:tc>
      </w:tr>
    </w:tbl>
    <w:p w14:paraId="79ADAA98" w14:textId="77777777" w:rsidR="00A07E28" w:rsidRPr="002D505C" w:rsidRDefault="00A07E28" w:rsidP="002D505C">
      <w:pPr>
        <w:pStyle w:val="Zkladntext"/>
        <w:spacing w:line="288" w:lineRule="auto"/>
        <w:jc w:val="both"/>
        <w:rPr>
          <w:rFonts w:ascii="Verdana" w:hAnsi="Verdana"/>
          <w:sz w:val="17"/>
          <w:szCs w:val="17"/>
        </w:rPr>
      </w:pPr>
    </w:p>
    <w:p w14:paraId="1676715F" w14:textId="77777777" w:rsidR="00A07E28" w:rsidRPr="009011CC" w:rsidRDefault="00A07E28" w:rsidP="009011CC">
      <w:pPr>
        <w:pStyle w:val="CEABullet-Level1"/>
        <w:numPr>
          <w:ilvl w:val="0"/>
          <w:numId w:val="12"/>
        </w:numPr>
      </w:pPr>
      <w:r w:rsidRPr="009011CC">
        <w:t>Explain below any other mechanism you consider appropriate to streamline the WHT refund processes.</w:t>
      </w:r>
    </w:p>
    <w:p w14:paraId="014FD7CA" w14:textId="1830133F" w:rsidR="00FF1799" w:rsidRDefault="00FF1799" w:rsidP="00FF1799">
      <w:pPr>
        <w:pStyle w:val="Zkladntext"/>
        <w:spacing w:line="288" w:lineRule="auto"/>
        <w:ind w:left="360"/>
        <w:jc w:val="both"/>
        <w:rPr>
          <w:rFonts w:ascii="Verdana" w:hAnsi="Verdana"/>
          <w:sz w:val="17"/>
          <w:szCs w:val="17"/>
        </w:rPr>
      </w:pPr>
      <w:r>
        <w:rPr>
          <w:rFonts w:ascii="Verdana" w:hAnsi="Verdana"/>
          <w:sz w:val="17"/>
          <w:szCs w:val="17"/>
        </w:rPr>
        <w:t>Consideration may</w:t>
      </w:r>
      <w:r w:rsidR="006C39B3">
        <w:rPr>
          <w:rFonts w:ascii="Verdana" w:hAnsi="Verdana"/>
          <w:sz w:val="17"/>
          <w:szCs w:val="17"/>
        </w:rPr>
        <w:t xml:space="preserve"> be</w:t>
      </w:r>
      <w:r>
        <w:rPr>
          <w:rFonts w:ascii="Verdana" w:hAnsi="Verdana"/>
          <w:sz w:val="17"/>
          <w:szCs w:val="17"/>
        </w:rPr>
        <w:t xml:space="preserve"> given to rescinding the regulatory requirement to appoint a tax representative in each Member State. In case MS tax administrations cannot agree on a single standardized form, it should be envisaged to have them upload their national forms on the single web-portal abovementioned.</w:t>
      </w:r>
    </w:p>
    <w:p w14:paraId="58E80F92" w14:textId="7B6A701C" w:rsidR="00A07E28" w:rsidRDefault="00A07E28" w:rsidP="002D505C">
      <w:pPr>
        <w:pStyle w:val="Zkladntext"/>
        <w:spacing w:line="288" w:lineRule="auto"/>
        <w:ind w:left="407"/>
        <w:jc w:val="both"/>
        <w:rPr>
          <w:rFonts w:ascii="Verdana" w:hAnsi="Verdana"/>
          <w:sz w:val="17"/>
          <w:szCs w:val="17"/>
        </w:rPr>
      </w:pPr>
    </w:p>
    <w:p w14:paraId="45BE23C9" w14:textId="77777777" w:rsidR="00FC3D02" w:rsidRPr="002D505C" w:rsidRDefault="00FC3D02" w:rsidP="002D505C">
      <w:pPr>
        <w:pStyle w:val="Zkladntext"/>
        <w:spacing w:line="288" w:lineRule="auto"/>
        <w:ind w:left="407"/>
        <w:jc w:val="both"/>
        <w:rPr>
          <w:rFonts w:ascii="Verdana" w:hAnsi="Verdana"/>
          <w:sz w:val="17"/>
          <w:szCs w:val="17"/>
        </w:rPr>
      </w:pPr>
    </w:p>
    <w:p w14:paraId="0F1780DC" w14:textId="77777777" w:rsidR="009011CC" w:rsidRPr="009011CC" w:rsidRDefault="00A07E28" w:rsidP="009011CC">
      <w:pPr>
        <w:pStyle w:val="CEABullet-Level1"/>
        <w:numPr>
          <w:ilvl w:val="0"/>
          <w:numId w:val="12"/>
        </w:numPr>
      </w:pPr>
      <w:r w:rsidRPr="009011CC">
        <w:rPr>
          <w:noProof/>
        </w:rPr>
        <w:drawing>
          <wp:anchor distT="0" distB="0" distL="0" distR="0" simplePos="0" relativeHeight="251658240" behindDoc="1" locked="0" layoutInCell="1" allowOverlap="1" wp14:anchorId="4AFA3BDE" wp14:editId="7CD79A99">
            <wp:simplePos x="0" y="0"/>
            <wp:positionH relativeFrom="page">
              <wp:posOffset>895350</wp:posOffset>
            </wp:positionH>
            <wp:positionV relativeFrom="paragraph">
              <wp:posOffset>454981</wp:posOffset>
            </wp:positionV>
            <wp:extent cx="142875" cy="142874"/>
            <wp:effectExtent l="0" t="0" r="0" b="0"/>
            <wp:wrapNone/>
            <wp:docPr id="7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1.png"/>
                    <pic:cNvPicPr/>
                  </pic:nvPicPr>
                  <pic:blipFill>
                    <a:blip r:embed="rId23" cstate="print"/>
                    <a:stretch>
                      <a:fillRect/>
                    </a:stretch>
                  </pic:blipFill>
                  <pic:spPr>
                    <a:xfrm>
                      <a:off x="0" y="0"/>
                      <a:ext cx="142875" cy="142874"/>
                    </a:xfrm>
                    <a:prstGeom prst="rect">
                      <a:avLst/>
                    </a:prstGeom>
                  </pic:spPr>
                </pic:pic>
              </a:graphicData>
            </a:graphic>
          </wp:anchor>
        </w:drawing>
      </w:r>
      <w:r w:rsidRPr="009011CC">
        <w:rPr>
          <w:noProof/>
        </w:rPr>
        <w:drawing>
          <wp:anchor distT="0" distB="0" distL="0" distR="0" simplePos="0" relativeHeight="251658241" behindDoc="1" locked="0" layoutInCell="1" allowOverlap="1" wp14:anchorId="7652CF72" wp14:editId="61ED4FF5">
            <wp:simplePos x="0" y="0"/>
            <wp:positionH relativeFrom="page">
              <wp:posOffset>895350</wp:posOffset>
            </wp:positionH>
            <wp:positionV relativeFrom="paragraph">
              <wp:posOffset>734635</wp:posOffset>
            </wp:positionV>
            <wp:extent cx="142875" cy="142875"/>
            <wp:effectExtent l="0" t="0" r="0" b="0"/>
            <wp:wrapNone/>
            <wp:docPr id="7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1.png"/>
                    <pic:cNvPicPr/>
                  </pic:nvPicPr>
                  <pic:blipFill>
                    <a:blip r:embed="rId23" cstate="print"/>
                    <a:stretch>
                      <a:fillRect/>
                    </a:stretch>
                  </pic:blipFill>
                  <pic:spPr>
                    <a:xfrm>
                      <a:off x="0" y="0"/>
                      <a:ext cx="142875" cy="142875"/>
                    </a:xfrm>
                    <a:prstGeom prst="rect">
                      <a:avLst/>
                    </a:prstGeom>
                  </pic:spPr>
                </pic:pic>
              </a:graphicData>
            </a:graphic>
          </wp:anchor>
        </w:drawing>
      </w:r>
      <w:r w:rsidRPr="009011CC">
        <w:t>Who should make the refund claim to the investment country?</w:t>
      </w:r>
    </w:p>
    <w:p w14:paraId="59AA2782" w14:textId="3EAC7374" w:rsidR="00A07E28" w:rsidRPr="002D505C" w:rsidRDefault="00A07E28" w:rsidP="00316AE8">
      <w:pPr>
        <w:pStyle w:val="CEABullet-Level1"/>
      </w:pPr>
      <w:r w:rsidRPr="002D505C">
        <w:t>Only the non-resident</w:t>
      </w:r>
      <w:r w:rsidRPr="002D505C">
        <w:rPr>
          <w:spacing w:val="3"/>
        </w:rPr>
        <w:t xml:space="preserve"> </w:t>
      </w:r>
      <w:r w:rsidRPr="002D505C">
        <w:t>investor</w:t>
      </w:r>
    </w:p>
    <w:p w14:paraId="62CF86D3" w14:textId="6FB9FF42" w:rsidR="00A07E28" w:rsidRPr="002D505C" w:rsidRDefault="00A07E28" w:rsidP="00394B3D">
      <w:pPr>
        <w:pStyle w:val="CEABullet-Level1"/>
      </w:pPr>
      <w:r w:rsidRPr="006C39B3">
        <w:rPr>
          <w:highlight w:val="yellow"/>
        </w:rPr>
        <w:t>Besides the non-resident investor, the financial intermediary should have the</w:t>
      </w:r>
      <w:r w:rsidR="00316AE8" w:rsidRPr="006C39B3">
        <w:rPr>
          <w:highlight w:val="yellow"/>
        </w:rPr>
        <w:t xml:space="preserve"> </w:t>
      </w:r>
      <w:r w:rsidRPr="006C39B3">
        <w:rPr>
          <w:highlight w:val="yellow"/>
        </w:rPr>
        <w:t xml:space="preserve">opportunity to make the refund claim on behalf of the non-resident investor in </w:t>
      </w:r>
      <w:proofErr w:type="gramStart"/>
      <w:r w:rsidRPr="006C39B3">
        <w:rPr>
          <w:highlight w:val="yellow"/>
        </w:rPr>
        <w:t>case by case</w:t>
      </w:r>
      <w:proofErr w:type="gramEnd"/>
      <w:r w:rsidRPr="006C39B3">
        <w:rPr>
          <w:highlight w:val="yellow"/>
        </w:rPr>
        <w:t xml:space="preserve"> basis</w:t>
      </w:r>
    </w:p>
    <w:p w14:paraId="7D928DDA" w14:textId="1CD922FD" w:rsidR="00D0387F" w:rsidRPr="002D505C" w:rsidRDefault="00D0387F" w:rsidP="00316AE8">
      <w:pPr>
        <w:pStyle w:val="CEABullet-Level1"/>
      </w:pPr>
      <w:r w:rsidRPr="002D505C">
        <w:lastRenderedPageBreak/>
        <w:t>Besides the non-resident investor, the financial intermediary should have the opportunity to make the refund claim on behalf of the non-resident investor in bulk basis</w:t>
      </w:r>
    </w:p>
    <w:p w14:paraId="7A58D436" w14:textId="77777777" w:rsidR="00D0387F" w:rsidRPr="002D505C" w:rsidRDefault="00D0387F" w:rsidP="002D505C">
      <w:pPr>
        <w:pStyle w:val="Zkladntext"/>
        <w:spacing w:line="288" w:lineRule="auto"/>
        <w:jc w:val="both"/>
        <w:rPr>
          <w:rFonts w:ascii="Verdana" w:hAnsi="Verdana"/>
          <w:sz w:val="17"/>
          <w:szCs w:val="17"/>
        </w:rPr>
      </w:pPr>
    </w:p>
    <w:p w14:paraId="3CD20ABD" w14:textId="22C023FB" w:rsidR="00D0387F" w:rsidRDefault="00316AE8" w:rsidP="00316AE8">
      <w:pPr>
        <w:pStyle w:val="Nadpis1"/>
        <w:tabs>
          <w:tab w:val="left" w:pos="532"/>
        </w:tabs>
        <w:spacing w:line="288" w:lineRule="auto"/>
        <w:ind w:left="0"/>
        <w:jc w:val="both"/>
        <w:rPr>
          <w:rFonts w:ascii="Verdana" w:eastAsia="Times New Roman" w:hAnsi="Verdana" w:cs="Times New Roman"/>
          <w:b/>
          <w:color w:val="002957"/>
          <w:sz w:val="17"/>
          <w:szCs w:val="17"/>
          <w:lang w:val="en-GB"/>
        </w:rPr>
      </w:pPr>
      <w:r>
        <w:rPr>
          <w:rFonts w:ascii="Verdana" w:eastAsia="Times New Roman" w:hAnsi="Verdana" w:cs="Times New Roman"/>
          <w:b/>
          <w:color w:val="002957"/>
          <w:sz w:val="17"/>
          <w:szCs w:val="17"/>
          <w:lang w:val="en-GB"/>
        </w:rPr>
        <w:t xml:space="preserve">III.B. </w:t>
      </w:r>
      <w:r w:rsidR="00D0387F" w:rsidRPr="00316AE8">
        <w:rPr>
          <w:rFonts w:ascii="Verdana" w:eastAsia="Times New Roman" w:hAnsi="Verdana" w:cs="Times New Roman"/>
          <w:b/>
          <w:color w:val="002957"/>
          <w:sz w:val="17"/>
          <w:szCs w:val="17"/>
          <w:lang w:val="en-GB"/>
        </w:rPr>
        <w:t>Establishing a common EU relief at source system</w:t>
      </w:r>
    </w:p>
    <w:p w14:paraId="2749679B" w14:textId="77777777" w:rsidR="00316AE8" w:rsidRPr="00316AE8" w:rsidRDefault="00316AE8" w:rsidP="00316AE8">
      <w:pPr>
        <w:pStyle w:val="Nadpis1"/>
        <w:tabs>
          <w:tab w:val="left" w:pos="532"/>
        </w:tabs>
        <w:spacing w:line="288" w:lineRule="auto"/>
        <w:ind w:left="0"/>
        <w:jc w:val="both"/>
        <w:rPr>
          <w:rFonts w:ascii="Verdana" w:eastAsia="Times New Roman" w:hAnsi="Verdana" w:cs="Times New Roman"/>
          <w:b/>
          <w:color w:val="002957"/>
          <w:sz w:val="17"/>
          <w:szCs w:val="17"/>
          <w:lang w:val="en-GB"/>
        </w:rPr>
      </w:pPr>
    </w:p>
    <w:p w14:paraId="60F2B685" w14:textId="77777777" w:rsidR="00D0387F" w:rsidRPr="009011CC" w:rsidRDefault="00D0387F" w:rsidP="009011CC">
      <w:pPr>
        <w:pStyle w:val="CEABullet-Level1"/>
        <w:numPr>
          <w:ilvl w:val="0"/>
          <w:numId w:val="12"/>
        </w:numPr>
      </w:pPr>
      <w:r w:rsidRPr="009011CC">
        <w:t>Which payments do you think should be covered under a potential EU relief at source system?</w:t>
      </w:r>
    </w:p>
    <w:tbl>
      <w:tblPr>
        <w:tblW w:w="0" w:type="auto"/>
        <w:tblInd w:w="46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CellMar>
          <w:left w:w="0" w:type="dxa"/>
          <w:right w:w="0" w:type="dxa"/>
        </w:tblCellMar>
        <w:tblLook w:val="01E0" w:firstRow="1" w:lastRow="1" w:firstColumn="1" w:lastColumn="1" w:noHBand="0" w:noVBand="0"/>
      </w:tblPr>
      <w:tblGrid>
        <w:gridCol w:w="5672"/>
        <w:gridCol w:w="3340"/>
      </w:tblGrid>
      <w:tr w:rsidR="00D0387F" w:rsidRPr="002D505C" w14:paraId="005B0338" w14:textId="77777777" w:rsidTr="009F3622">
        <w:trPr>
          <w:trHeight w:hRule="exact" w:val="480"/>
        </w:trPr>
        <w:tc>
          <w:tcPr>
            <w:tcW w:w="5672" w:type="dxa"/>
          </w:tcPr>
          <w:p w14:paraId="5A50FF8E" w14:textId="77777777" w:rsidR="00D0387F" w:rsidRPr="002D505C" w:rsidRDefault="00D0387F" w:rsidP="002D505C">
            <w:pPr>
              <w:pStyle w:val="TableParagraph"/>
              <w:spacing w:line="288" w:lineRule="auto"/>
              <w:ind w:left="1166"/>
              <w:jc w:val="both"/>
              <w:rPr>
                <w:rFonts w:ascii="Verdana" w:hAnsi="Verdana"/>
                <w:b/>
                <w:sz w:val="17"/>
                <w:szCs w:val="17"/>
              </w:rPr>
            </w:pPr>
            <w:r w:rsidRPr="002D505C">
              <w:rPr>
                <w:rFonts w:ascii="Verdana" w:hAnsi="Verdana"/>
                <w:b/>
                <w:w w:val="105"/>
                <w:sz w:val="17"/>
                <w:szCs w:val="17"/>
              </w:rPr>
              <w:t>Nature of the cross-border payment</w:t>
            </w:r>
          </w:p>
        </w:tc>
        <w:tc>
          <w:tcPr>
            <w:tcW w:w="3340" w:type="dxa"/>
          </w:tcPr>
          <w:p w14:paraId="7068D25C" w14:textId="77777777" w:rsidR="00D0387F" w:rsidRPr="002D505C" w:rsidRDefault="00D0387F" w:rsidP="002D505C">
            <w:pPr>
              <w:pStyle w:val="TableParagraph"/>
              <w:spacing w:line="288" w:lineRule="auto"/>
              <w:ind w:left="180"/>
              <w:jc w:val="both"/>
              <w:rPr>
                <w:rFonts w:ascii="Verdana" w:hAnsi="Verdana"/>
                <w:b/>
                <w:sz w:val="17"/>
                <w:szCs w:val="17"/>
              </w:rPr>
            </w:pPr>
            <w:r w:rsidRPr="002D505C">
              <w:rPr>
                <w:rFonts w:ascii="Verdana" w:hAnsi="Verdana"/>
                <w:b/>
                <w:w w:val="105"/>
                <w:sz w:val="17"/>
                <w:szCs w:val="17"/>
              </w:rPr>
              <w:t>Check the box where applicable</w:t>
            </w:r>
          </w:p>
        </w:tc>
      </w:tr>
      <w:tr w:rsidR="00D0387F" w:rsidRPr="002D505C" w14:paraId="502ACEA0" w14:textId="77777777" w:rsidTr="009F3622">
        <w:trPr>
          <w:trHeight w:hRule="exact" w:val="497"/>
        </w:trPr>
        <w:tc>
          <w:tcPr>
            <w:tcW w:w="5672" w:type="dxa"/>
          </w:tcPr>
          <w:p w14:paraId="3E972F1F" w14:textId="7385FBCF" w:rsidR="00D0387F" w:rsidRPr="002D505C" w:rsidRDefault="00D0387F"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from listed companies</w:t>
            </w:r>
          </w:p>
        </w:tc>
        <w:tc>
          <w:tcPr>
            <w:tcW w:w="3340" w:type="dxa"/>
          </w:tcPr>
          <w:p w14:paraId="2A245DAF" w14:textId="77777777" w:rsidR="00D0387F" w:rsidRPr="002D505C" w:rsidRDefault="00D0387F" w:rsidP="002D505C">
            <w:pPr>
              <w:pStyle w:val="TableParagraph"/>
              <w:spacing w:line="288" w:lineRule="auto"/>
              <w:jc w:val="both"/>
              <w:rPr>
                <w:rFonts w:ascii="Verdana" w:hAnsi="Verdana"/>
                <w:sz w:val="17"/>
                <w:szCs w:val="17"/>
              </w:rPr>
            </w:pPr>
          </w:p>
        </w:tc>
      </w:tr>
      <w:tr w:rsidR="00D0387F" w:rsidRPr="002D505C" w14:paraId="3F73C45A" w14:textId="77777777" w:rsidTr="009F3622">
        <w:trPr>
          <w:trHeight w:hRule="exact" w:val="497"/>
        </w:trPr>
        <w:tc>
          <w:tcPr>
            <w:tcW w:w="5672" w:type="dxa"/>
          </w:tcPr>
          <w:p w14:paraId="1545B7FB" w14:textId="77777777" w:rsidR="00D0387F" w:rsidRPr="002D505C" w:rsidRDefault="00D0387F"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in general</w:t>
            </w:r>
          </w:p>
        </w:tc>
        <w:tc>
          <w:tcPr>
            <w:tcW w:w="3340" w:type="dxa"/>
          </w:tcPr>
          <w:p w14:paraId="40A61B58" w14:textId="77777777" w:rsidR="00D0387F" w:rsidRPr="002D505C" w:rsidRDefault="00D0387F" w:rsidP="002D505C">
            <w:pPr>
              <w:pStyle w:val="TableParagraph"/>
              <w:spacing w:line="288" w:lineRule="auto"/>
              <w:jc w:val="both"/>
              <w:rPr>
                <w:rFonts w:ascii="Verdana" w:hAnsi="Verdana"/>
                <w:sz w:val="17"/>
                <w:szCs w:val="17"/>
              </w:rPr>
            </w:pPr>
          </w:p>
        </w:tc>
      </w:tr>
      <w:tr w:rsidR="00D0387F" w:rsidRPr="002D505C" w14:paraId="65785755" w14:textId="77777777" w:rsidTr="009F3622">
        <w:trPr>
          <w:trHeight w:hRule="exact" w:val="497"/>
        </w:trPr>
        <w:tc>
          <w:tcPr>
            <w:tcW w:w="5672" w:type="dxa"/>
          </w:tcPr>
          <w:p w14:paraId="5740922D" w14:textId="77777777" w:rsidR="00D0387F" w:rsidRPr="002D505C" w:rsidRDefault="00D0387F"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and interest</w:t>
            </w:r>
          </w:p>
        </w:tc>
        <w:tc>
          <w:tcPr>
            <w:tcW w:w="3340" w:type="dxa"/>
          </w:tcPr>
          <w:p w14:paraId="61FDECF5" w14:textId="77777777" w:rsidR="00D0387F" w:rsidRPr="00434648" w:rsidRDefault="00D0387F" w:rsidP="002D505C">
            <w:pPr>
              <w:pStyle w:val="TableParagraph"/>
              <w:spacing w:line="288" w:lineRule="auto"/>
              <w:jc w:val="both"/>
              <w:rPr>
                <w:rFonts w:ascii="Verdana" w:hAnsi="Verdana"/>
                <w:sz w:val="17"/>
                <w:szCs w:val="17"/>
              </w:rPr>
            </w:pPr>
          </w:p>
        </w:tc>
      </w:tr>
      <w:tr w:rsidR="00D0387F" w:rsidRPr="002D505C" w14:paraId="50E64FE0" w14:textId="77777777" w:rsidTr="009F3622">
        <w:trPr>
          <w:trHeight w:hRule="exact" w:val="497"/>
        </w:trPr>
        <w:tc>
          <w:tcPr>
            <w:tcW w:w="5672" w:type="dxa"/>
          </w:tcPr>
          <w:p w14:paraId="54BB3A09" w14:textId="77777777" w:rsidR="00D0387F" w:rsidRPr="002D505C" w:rsidRDefault="00D0387F" w:rsidP="002D505C">
            <w:pPr>
              <w:pStyle w:val="TableParagraph"/>
              <w:spacing w:line="288" w:lineRule="auto"/>
              <w:ind w:left="180"/>
              <w:jc w:val="both"/>
              <w:rPr>
                <w:rFonts w:ascii="Verdana" w:hAnsi="Verdana"/>
                <w:sz w:val="17"/>
                <w:szCs w:val="17"/>
              </w:rPr>
            </w:pPr>
            <w:r w:rsidRPr="002D505C">
              <w:rPr>
                <w:rFonts w:ascii="Verdana" w:hAnsi="Verdana"/>
                <w:sz w:val="17"/>
                <w:szCs w:val="17"/>
              </w:rPr>
              <w:t>Dividends, interest, royalties, other passive income   payments</w:t>
            </w:r>
          </w:p>
        </w:tc>
        <w:tc>
          <w:tcPr>
            <w:tcW w:w="3340" w:type="dxa"/>
          </w:tcPr>
          <w:p w14:paraId="456BBAB3" w14:textId="1DA64E63" w:rsidR="00D0387F" w:rsidRPr="00434648" w:rsidRDefault="006527E4" w:rsidP="00CF5F7A">
            <w:pPr>
              <w:pStyle w:val="TableParagraph"/>
              <w:spacing w:line="288" w:lineRule="auto"/>
              <w:jc w:val="center"/>
              <w:rPr>
                <w:rFonts w:ascii="Verdana" w:hAnsi="Verdana"/>
                <w:sz w:val="17"/>
                <w:szCs w:val="17"/>
              </w:rPr>
            </w:pPr>
            <w:r w:rsidRPr="00434648">
              <w:rPr>
                <w:rFonts w:ascii="Verdana" w:hAnsi="Verdana"/>
                <w:sz w:val="17"/>
                <w:szCs w:val="17"/>
              </w:rPr>
              <w:t>X</w:t>
            </w:r>
          </w:p>
        </w:tc>
      </w:tr>
      <w:tr w:rsidR="00D0387F" w:rsidRPr="002D505C" w14:paraId="24408471" w14:textId="77777777" w:rsidTr="009F3622">
        <w:trPr>
          <w:trHeight w:hRule="exact" w:val="497"/>
        </w:trPr>
        <w:tc>
          <w:tcPr>
            <w:tcW w:w="5672" w:type="dxa"/>
          </w:tcPr>
          <w:p w14:paraId="2E931EF7" w14:textId="77777777" w:rsidR="00D0387F" w:rsidRPr="002D505C" w:rsidRDefault="00D0387F" w:rsidP="002D505C">
            <w:pPr>
              <w:pStyle w:val="TableParagraph"/>
              <w:spacing w:line="288" w:lineRule="auto"/>
              <w:ind w:left="180"/>
              <w:jc w:val="both"/>
              <w:rPr>
                <w:rFonts w:ascii="Verdana" w:hAnsi="Verdana"/>
                <w:sz w:val="17"/>
                <w:szCs w:val="17"/>
              </w:rPr>
            </w:pPr>
            <w:r w:rsidRPr="002D505C">
              <w:rPr>
                <w:rFonts w:ascii="Verdana" w:hAnsi="Verdana"/>
                <w:w w:val="105"/>
                <w:sz w:val="17"/>
                <w:szCs w:val="17"/>
              </w:rPr>
              <w:t>Other</w:t>
            </w:r>
          </w:p>
        </w:tc>
        <w:tc>
          <w:tcPr>
            <w:tcW w:w="3340" w:type="dxa"/>
          </w:tcPr>
          <w:p w14:paraId="4AF7ECB4" w14:textId="77777777" w:rsidR="00D0387F" w:rsidRPr="002D505C" w:rsidRDefault="00D0387F" w:rsidP="002D505C">
            <w:pPr>
              <w:pStyle w:val="TableParagraph"/>
              <w:spacing w:line="288" w:lineRule="auto"/>
              <w:jc w:val="both"/>
              <w:rPr>
                <w:rFonts w:ascii="Verdana" w:hAnsi="Verdana"/>
                <w:sz w:val="17"/>
                <w:szCs w:val="17"/>
              </w:rPr>
            </w:pPr>
          </w:p>
        </w:tc>
      </w:tr>
    </w:tbl>
    <w:p w14:paraId="5A25AEBA" w14:textId="77777777" w:rsidR="00D0387F" w:rsidRPr="002D505C" w:rsidRDefault="00D0387F" w:rsidP="002D505C">
      <w:pPr>
        <w:pStyle w:val="Zkladntext"/>
        <w:spacing w:line="288" w:lineRule="auto"/>
        <w:jc w:val="both"/>
        <w:rPr>
          <w:rFonts w:ascii="Verdana" w:hAnsi="Verdana"/>
          <w:sz w:val="17"/>
          <w:szCs w:val="17"/>
        </w:rPr>
      </w:pPr>
    </w:p>
    <w:p w14:paraId="72AD00F1" w14:textId="4138AD82" w:rsidR="00D0387F" w:rsidRPr="009011CC" w:rsidRDefault="00D0387F" w:rsidP="009011CC">
      <w:pPr>
        <w:pStyle w:val="CEABullet-Level1"/>
        <w:numPr>
          <w:ilvl w:val="0"/>
          <w:numId w:val="12"/>
        </w:numPr>
      </w:pPr>
      <w:r w:rsidRPr="009011CC">
        <w:t xml:space="preserve">There are countries where the relief at source system is just used for </w:t>
      </w:r>
      <w:proofErr w:type="gramStart"/>
      <w:r w:rsidRPr="009011CC">
        <w:t>low risk</w:t>
      </w:r>
      <w:proofErr w:type="gramEnd"/>
      <w:r w:rsidRPr="009011CC">
        <w:t xml:space="preserve"> payments (i.e. payments below EUR 10.000 and above 15% withholding tax rate). Do you think that a relief at source system should cover both low and high-risk payments without any threshold in terms of amount/rate or should it be used only for low-risk situations?</w:t>
      </w:r>
    </w:p>
    <w:p w14:paraId="720A028D" w14:textId="2F89BC73" w:rsidR="00D0387F" w:rsidRPr="002D505C" w:rsidRDefault="00EB6CEB" w:rsidP="008001B6">
      <w:pPr>
        <w:pStyle w:val="CEABullet-Level1"/>
      </w:pPr>
      <w:r w:rsidRPr="006C39B3">
        <w:rPr>
          <w:highlight w:val="yellow"/>
        </w:rPr>
        <w:t>Fu</w:t>
      </w:r>
      <w:r w:rsidR="00D0387F" w:rsidRPr="006C39B3">
        <w:rPr>
          <w:highlight w:val="yellow"/>
        </w:rPr>
        <w:t>lly fledged relief at source system (covering both low and high-risk payments)</w:t>
      </w:r>
    </w:p>
    <w:p w14:paraId="0510D5BC" w14:textId="77777777" w:rsidR="00D0387F" w:rsidRPr="002D505C" w:rsidRDefault="00D0387F" w:rsidP="008001B6">
      <w:pPr>
        <w:pStyle w:val="CEABullet-Level1"/>
      </w:pPr>
      <w:r w:rsidRPr="002D505C">
        <w:t>Relief at source system covering only low-risk payments</w:t>
      </w:r>
    </w:p>
    <w:p w14:paraId="71E4402C" w14:textId="77777777" w:rsidR="00D0387F" w:rsidRDefault="00D0387F" w:rsidP="009011CC">
      <w:pPr>
        <w:pStyle w:val="CEABullet-Level1"/>
        <w:numPr>
          <w:ilvl w:val="0"/>
          <w:numId w:val="0"/>
        </w:numPr>
        <w:ind w:left="720"/>
      </w:pPr>
    </w:p>
    <w:p w14:paraId="3581CBBC" w14:textId="77777777" w:rsidR="001F00CE" w:rsidRPr="009011CC" w:rsidRDefault="001F00CE" w:rsidP="009011CC">
      <w:pPr>
        <w:pStyle w:val="CEABullet-Level1"/>
        <w:numPr>
          <w:ilvl w:val="0"/>
          <w:numId w:val="0"/>
        </w:numPr>
        <w:ind w:left="720"/>
      </w:pPr>
    </w:p>
    <w:p w14:paraId="5C7EBEA2" w14:textId="6B09EFFD" w:rsidR="00D0387F" w:rsidRPr="009011CC" w:rsidRDefault="00D0387F" w:rsidP="009011CC">
      <w:pPr>
        <w:pStyle w:val="CEABullet-Level1"/>
        <w:numPr>
          <w:ilvl w:val="0"/>
          <w:numId w:val="12"/>
        </w:numPr>
      </w:pPr>
      <w:r w:rsidRPr="009011CC">
        <w:t>What do you consider as low-risk payment in the context of a relief at source system?</w:t>
      </w:r>
    </w:p>
    <w:p w14:paraId="32BE943B" w14:textId="77777777" w:rsidR="001F00CE" w:rsidRDefault="00D0387F" w:rsidP="001F00CE">
      <w:pPr>
        <w:pStyle w:val="CEABullet-Level1"/>
      </w:pPr>
      <w:r w:rsidRPr="002D505C">
        <w:t xml:space="preserve">Payment where the withholding tax rate to be applied is above 5% </w:t>
      </w:r>
    </w:p>
    <w:p w14:paraId="5FCA8F12" w14:textId="77777777" w:rsidR="001F00CE" w:rsidRDefault="00D0387F" w:rsidP="001F00CE">
      <w:pPr>
        <w:pStyle w:val="CEABullet-Level1"/>
      </w:pPr>
      <w:r w:rsidRPr="002D505C">
        <w:t xml:space="preserve">Payment where the withholding tax rate to be applied is above 10% </w:t>
      </w:r>
    </w:p>
    <w:p w14:paraId="0564475D" w14:textId="76F63E8D" w:rsidR="00D0387F" w:rsidRPr="002D505C" w:rsidRDefault="00D0387F" w:rsidP="001F00CE">
      <w:pPr>
        <w:pStyle w:val="CEABullet-Level1"/>
      </w:pPr>
      <w:r w:rsidRPr="002D505C">
        <w:t>Payment where the withholding tax rate to be applied is above 15%</w:t>
      </w:r>
    </w:p>
    <w:p w14:paraId="73126D95" w14:textId="77777777" w:rsidR="00D0387F" w:rsidRPr="002D505C" w:rsidRDefault="00D0387F" w:rsidP="001F00CE">
      <w:pPr>
        <w:pStyle w:val="CEABullet-Level1"/>
      </w:pPr>
      <w:r w:rsidRPr="002D505C">
        <w:t>A joint limit of minimum withholding tax rate and maximum amount of payment</w:t>
      </w:r>
    </w:p>
    <w:p w14:paraId="2502F32D" w14:textId="77777777" w:rsidR="00D0387F" w:rsidRDefault="00D0387F" w:rsidP="002D505C">
      <w:pPr>
        <w:pStyle w:val="Zkladntext"/>
        <w:spacing w:line="288" w:lineRule="auto"/>
        <w:jc w:val="both"/>
        <w:rPr>
          <w:rFonts w:ascii="Verdana" w:hAnsi="Verdana"/>
          <w:sz w:val="17"/>
          <w:szCs w:val="17"/>
        </w:rPr>
      </w:pPr>
    </w:p>
    <w:p w14:paraId="5C5425E9" w14:textId="77777777" w:rsidR="001F00CE" w:rsidRPr="002D505C" w:rsidRDefault="001F00CE" w:rsidP="002D505C">
      <w:pPr>
        <w:pStyle w:val="Zkladntext"/>
        <w:spacing w:line="288" w:lineRule="auto"/>
        <w:jc w:val="both"/>
        <w:rPr>
          <w:rFonts w:ascii="Verdana" w:hAnsi="Verdana"/>
          <w:sz w:val="17"/>
          <w:szCs w:val="17"/>
        </w:rPr>
      </w:pPr>
    </w:p>
    <w:p w14:paraId="7D37DD89" w14:textId="3C57F9BF" w:rsidR="00D0387F" w:rsidRPr="009011CC" w:rsidRDefault="00D0387F" w:rsidP="009011CC">
      <w:pPr>
        <w:pStyle w:val="CEABullet-Level1"/>
        <w:numPr>
          <w:ilvl w:val="0"/>
          <w:numId w:val="12"/>
        </w:numPr>
      </w:pPr>
      <w:r w:rsidRPr="009011CC">
        <w:t>Which investors do you think should benefit from a potential relief at source system: cross-border investors from EU Member States or investors from non-EU Member States as well?</w:t>
      </w:r>
    </w:p>
    <w:p w14:paraId="710D6158" w14:textId="77777777" w:rsidR="001F00CE" w:rsidRDefault="00D0387F" w:rsidP="001F00CE">
      <w:pPr>
        <w:pStyle w:val="CEABullet-Level1"/>
      </w:pPr>
      <w:r w:rsidRPr="002D505C">
        <w:t xml:space="preserve">Only cross-border investors from EU Member States </w:t>
      </w:r>
    </w:p>
    <w:p w14:paraId="1B13CE5C" w14:textId="70C2824B" w:rsidR="00A07E28" w:rsidRPr="001E571A" w:rsidRDefault="00D0387F" w:rsidP="001F00CE">
      <w:pPr>
        <w:pStyle w:val="CEABullet-Level1"/>
        <w:rPr>
          <w:highlight w:val="yellow"/>
        </w:rPr>
      </w:pPr>
      <w:r w:rsidRPr="001E571A">
        <w:rPr>
          <w:highlight w:val="yellow"/>
        </w:rPr>
        <w:t>Investors from both EU and non-EU Member States</w:t>
      </w:r>
    </w:p>
    <w:p w14:paraId="1D6617B1" w14:textId="77777777" w:rsidR="00D31F7A" w:rsidRPr="002D505C" w:rsidRDefault="00D31F7A" w:rsidP="002D505C">
      <w:pPr>
        <w:rPr>
          <w:sz w:val="17"/>
          <w:szCs w:val="17"/>
        </w:rPr>
      </w:pPr>
    </w:p>
    <w:p w14:paraId="5845210E" w14:textId="77777777" w:rsidR="00D31F7A" w:rsidRPr="002D505C" w:rsidRDefault="00D31F7A" w:rsidP="002D505C">
      <w:pPr>
        <w:rPr>
          <w:sz w:val="17"/>
          <w:szCs w:val="17"/>
        </w:rPr>
      </w:pPr>
    </w:p>
    <w:p w14:paraId="1353BC9D" w14:textId="424E92E3" w:rsidR="00D31F7A" w:rsidRPr="009011CC" w:rsidRDefault="00D31F7A" w:rsidP="009011CC">
      <w:pPr>
        <w:pStyle w:val="CEABullet-Level1"/>
        <w:numPr>
          <w:ilvl w:val="0"/>
          <w:numId w:val="12"/>
        </w:numPr>
      </w:pPr>
      <w:r w:rsidRPr="009011CC">
        <w:t>Who should be the entities obliged to report the relevant information on the correct WHT rate to be levied on the dividend payment (or other passive income payments) to the withholding agent: only EU financial intermediaries or both EU and non-EU financial intermediaries?</w:t>
      </w:r>
    </w:p>
    <w:p w14:paraId="0E77913B" w14:textId="77777777" w:rsidR="00D31F7A" w:rsidRPr="002D505C" w:rsidRDefault="00D31F7A" w:rsidP="003F4C52">
      <w:pPr>
        <w:pStyle w:val="CEABullet-Level1"/>
      </w:pPr>
      <w:r w:rsidRPr="002D505C">
        <w:t>Only EU financial intermediaries</w:t>
      </w:r>
    </w:p>
    <w:p w14:paraId="1C0B2EC5" w14:textId="22DD96A2" w:rsidR="00D31F7A" w:rsidRPr="002D505C" w:rsidRDefault="00D31F7A" w:rsidP="003F4C52">
      <w:pPr>
        <w:pStyle w:val="CEABullet-Level1"/>
      </w:pPr>
      <w:r w:rsidRPr="001E571A">
        <w:rPr>
          <w:highlight w:val="yellow"/>
        </w:rPr>
        <w:t xml:space="preserve">Both EU and non-EU financial </w:t>
      </w:r>
      <w:proofErr w:type="gramStart"/>
      <w:r w:rsidRPr="001E571A">
        <w:rPr>
          <w:highlight w:val="yellow"/>
        </w:rPr>
        <w:t>intermediaries</w:t>
      </w:r>
      <w:r w:rsidRPr="002D505C">
        <w:rPr>
          <w:color w:val="FF0000"/>
        </w:rPr>
        <w:t>[</w:t>
      </w:r>
      <w:proofErr w:type="gramEnd"/>
      <w:r w:rsidRPr="002D505C">
        <w:rPr>
          <w:color w:val="FF0000"/>
        </w:rPr>
        <w:t>7]</w:t>
      </w:r>
    </w:p>
    <w:p w14:paraId="098143EF" w14:textId="44316FE6" w:rsidR="000C22FC" w:rsidRPr="005C69EF" w:rsidRDefault="005C69EF" w:rsidP="005C69EF">
      <w:pPr>
        <w:widowControl w:val="0"/>
        <w:tabs>
          <w:tab w:val="left" w:pos="337"/>
        </w:tabs>
        <w:autoSpaceDE w:val="0"/>
        <w:autoSpaceDN w:val="0"/>
        <w:spacing w:line="269" w:lineRule="auto"/>
        <w:ind w:left="-107" w:right="542"/>
        <w:rPr>
          <w:sz w:val="17"/>
          <w:szCs w:val="17"/>
        </w:rPr>
      </w:pPr>
      <w:r w:rsidRPr="005C69EF">
        <w:rPr>
          <w:color w:val="FF0000"/>
          <w:sz w:val="17"/>
          <w:szCs w:val="17"/>
        </w:rPr>
        <w:t xml:space="preserve">[7] </w:t>
      </w:r>
      <w:r w:rsidR="000C22FC" w:rsidRPr="005C69EF">
        <w:rPr>
          <w:color w:val="FF0000"/>
          <w:sz w:val="17"/>
          <w:szCs w:val="17"/>
        </w:rPr>
        <w:t>as far as there is automatic exchange of information and mutual assistance in place between the relevant non-EU country and the EU source</w:t>
      </w:r>
      <w:r w:rsidR="000C22FC" w:rsidRPr="005C69EF">
        <w:rPr>
          <w:color w:val="FF0000"/>
          <w:spacing w:val="-1"/>
          <w:sz w:val="17"/>
          <w:szCs w:val="17"/>
        </w:rPr>
        <w:t xml:space="preserve"> </w:t>
      </w:r>
      <w:r w:rsidR="000C22FC" w:rsidRPr="005C69EF">
        <w:rPr>
          <w:color w:val="FF0000"/>
          <w:sz w:val="17"/>
          <w:szCs w:val="17"/>
        </w:rPr>
        <w:t>country</w:t>
      </w:r>
    </w:p>
    <w:p w14:paraId="094415DF" w14:textId="77777777" w:rsidR="000C22FC" w:rsidRPr="002D505C" w:rsidRDefault="000C22FC" w:rsidP="002D505C">
      <w:pPr>
        <w:pStyle w:val="Zkladntext"/>
        <w:spacing w:line="288" w:lineRule="auto"/>
        <w:jc w:val="both"/>
        <w:rPr>
          <w:rFonts w:ascii="Verdana" w:hAnsi="Verdana"/>
          <w:sz w:val="17"/>
          <w:szCs w:val="17"/>
        </w:rPr>
      </w:pPr>
    </w:p>
    <w:p w14:paraId="14C0227E" w14:textId="77777777" w:rsidR="00D31F7A" w:rsidRPr="002D505C" w:rsidRDefault="00D31F7A" w:rsidP="002D505C">
      <w:pPr>
        <w:pStyle w:val="Zkladntext"/>
        <w:spacing w:line="288" w:lineRule="auto"/>
        <w:jc w:val="both"/>
        <w:rPr>
          <w:rFonts w:ascii="Verdana" w:hAnsi="Verdana"/>
          <w:sz w:val="17"/>
          <w:szCs w:val="17"/>
        </w:rPr>
      </w:pPr>
    </w:p>
    <w:p w14:paraId="29F7EFC6" w14:textId="68E96EDC" w:rsidR="00D31F7A" w:rsidRPr="009011CC" w:rsidRDefault="00D31F7A" w:rsidP="009011CC">
      <w:pPr>
        <w:pStyle w:val="CEABullet-Level1"/>
        <w:numPr>
          <w:ilvl w:val="0"/>
          <w:numId w:val="12"/>
        </w:numPr>
      </w:pPr>
      <w:r w:rsidRPr="009011CC">
        <w:t>What would be the preferred or best way to establish authorized intermediaries in a relief at source system?</w:t>
      </w:r>
    </w:p>
    <w:p w14:paraId="27B65B05" w14:textId="75F8EF06" w:rsidR="00D31F7A" w:rsidRPr="002D505C" w:rsidRDefault="00D31F7A" w:rsidP="003F4C52">
      <w:pPr>
        <w:pStyle w:val="CEABullet-Level1"/>
      </w:pPr>
      <w:r w:rsidRPr="00EB3BE3">
        <w:rPr>
          <w:highlight w:val="yellow"/>
        </w:rPr>
        <w:t>By way of a request by the financial intermediary and explicit approval by the tax administration</w:t>
      </w:r>
    </w:p>
    <w:p w14:paraId="19CE8B5C" w14:textId="77777777" w:rsidR="00D31F7A" w:rsidRPr="002D505C" w:rsidRDefault="00D31F7A" w:rsidP="003F4C52">
      <w:pPr>
        <w:pStyle w:val="CEABullet-Level1"/>
      </w:pPr>
      <w:r w:rsidRPr="002D505C">
        <w:t>By way of registering in a public EU register of authorized intermediaries without explicit prior approval by the tax authorities</w:t>
      </w:r>
    </w:p>
    <w:p w14:paraId="23C51946" w14:textId="77777777" w:rsidR="00D31F7A" w:rsidRPr="002D505C" w:rsidRDefault="00D31F7A" w:rsidP="002D505C">
      <w:pPr>
        <w:pStyle w:val="Zkladntext"/>
        <w:spacing w:line="288" w:lineRule="auto"/>
        <w:jc w:val="both"/>
        <w:rPr>
          <w:rFonts w:ascii="Verdana" w:hAnsi="Verdana"/>
          <w:sz w:val="17"/>
          <w:szCs w:val="17"/>
        </w:rPr>
      </w:pPr>
    </w:p>
    <w:p w14:paraId="5B674588" w14:textId="3D285DA6" w:rsidR="00D31F7A" w:rsidRDefault="004F034A" w:rsidP="004F034A">
      <w:pPr>
        <w:pStyle w:val="Nadpis1"/>
        <w:tabs>
          <w:tab w:val="left" w:pos="532"/>
        </w:tabs>
        <w:spacing w:line="288" w:lineRule="auto"/>
        <w:ind w:left="0"/>
        <w:jc w:val="both"/>
        <w:rPr>
          <w:rFonts w:ascii="Verdana" w:eastAsia="Times New Roman" w:hAnsi="Verdana" w:cs="Times New Roman"/>
          <w:b/>
          <w:color w:val="002957"/>
          <w:sz w:val="17"/>
          <w:szCs w:val="17"/>
          <w:lang w:val="en-GB"/>
        </w:rPr>
      </w:pPr>
      <w:r>
        <w:rPr>
          <w:rFonts w:ascii="Verdana" w:eastAsia="Times New Roman" w:hAnsi="Verdana" w:cs="Times New Roman"/>
          <w:b/>
          <w:color w:val="002957"/>
          <w:sz w:val="17"/>
          <w:szCs w:val="17"/>
          <w:lang w:val="en-GB"/>
        </w:rPr>
        <w:t xml:space="preserve">III.C. </w:t>
      </w:r>
      <w:r w:rsidR="00D31F7A" w:rsidRPr="004F034A">
        <w:rPr>
          <w:rFonts w:ascii="Verdana" w:eastAsia="Times New Roman" w:hAnsi="Verdana" w:cs="Times New Roman"/>
          <w:b/>
          <w:color w:val="002957"/>
          <w:sz w:val="17"/>
          <w:szCs w:val="17"/>
          <w:lang w:val="en-GB"/>
        </w:rPr>
        <w:t>Enhancing existing administrative cooperation framework</w:t>
      </w:r>
    </w:p>
    <w:p w14:paraId="44F69D09" w14:textId="77777777" w:rsidR="004F034A" w:rsidRPr="004F034A" w:rsidRDefault="004F034A" w:rsidP="004F034A">
      <w:pPr>
        <w:pStyle w:val="Nadpis1"/>
        <w:tabs>
          <w:tab w:val="left" w:pos="532"/>
        </w:tabs>
        <w:spacing w:line="288" w:lineRule="auto"/>
        <w:ind w:left="0"/>
        <w:jc w:val="both"/>
        <w:rPr>
          <w:rFonts w:ascii="Verdana" w:eastAsia="Times New Roman" w:hAnsi="Verdana" w:cs="Times New Roman"/>
          <w:b/>
          <w:color w:val="002957"/>
          <w:sz w:val="17"/>
          <w:szCs w:val="17"/>
          <w:lang w:val="en-GB"/>
        </w:rPr>
      </w:pPr>
    </w:p>
    <w:p w14:paraId="23E3479A" w14:textId="41585886" w:rsidR="00D31F7A" w:rsidRPr="009011CC" w:rsidRDefault="00D31F7A" w:rsidP="009011CC">
      <w:pPr>
        <w:pStyle w:val="CEABullet-Level1"/>
        <w:numPr>
          <w:ilvl w:val="0"/>
          <w:numId w:val="12"/>
        </w:numPr>
      </w:pPr>
      <w:r w:rsidRPr="009011CC">
        <w:t>Do you think that it would be appropriate to broaden the administrative cooperation framework in the EU (based on the Directive on administrative cooperation – DAC) to include the automatic exchange of additional financial information</w:t>
      </w:r>
      <w:r w:rsidR="00B421FC">
        <w:t xml:space="preserve"> </w:t>
      </w:r>
      <w:r w:rsidRPr="0028628C">
        <w:rPr>
          <w:color w:val="FF0000"/>
        </w:rPr>
        <w:t xml:space="preserve">[8] </w:t>
      </w:r>
      <w:r w:rsidRPr="009011CC">
        <w:t>related to the payments received</w:t>
      </w:r>
    </w:p>
    <w:p w14:paraId="77641C46" w14:textId="77777777" w:rsidR="004F034A" w:rsidRDefault="00D31F7A" w:rsidP="004F034A">
      <w:pPr>
        <w:pStyle w:val="CEABullet-Level1"/>
      </w:pPr>
      <w:r w:rsidRPr="002D505C">
        <w:t xml:space="preserve">Strongly agree </w:t>
      </w:r>
    </w:p>
    <w:p w14:paraId="613EA693" w14:textId="365A5428" w:rsidR="00D31F7A" w:rsidRPr="002D505C" w:rsidRDefault="00D31F7A" w:rsidP="004F034A">
      <w:pPr>
        <w:pStyle w:val="CEABullet-Level1"/>
      </w:pPr>
      <w:r w:rsidRPr="002D505C">
        <w:t>Agree</w:t>
      </w:r>
    </w:p>
    <w:p w14:paraId="377C0E1C" w14:textId="77777777" w:rsidR="004F034A" w:rsidRDefault="00D31F7A" w:rsidP="004F034A">
      <w:pPr>
        <w:pStyle w:val="CEABullet-Level1"/>
      </w:pPr>
      <w:r w:rsidRPr="002D505C">
        <w:t xml:space="preserve">Agree to some extent </w:t>
      </w:r>
    </w:p>
    <w:p w14:paraId="3B89481E" w14:textId="254A8925" w:rsidR="00D31F7A" w:rsidRPr="002D505C" w:rsidRDefault="00D31F7A" w:rsidP="004F034A">
      <w:pPr>
        <w:pStyle w:val="CEABullet-Level1"/>
      </w:pPr>
      <w:r w:rsidRPr="002D505C">
        <w:t>Do not agree</w:t>
      </w:r>
    </w:p>
    <w:p w14:paraId="1CA08443" w14:textId="77777777" w:rsidR="00D31F7A" w:rsidRPr="002D505C" w:rsidRDefault="00D31F7A" w:rsidP="004F034A">
      <w:pPr>
        <w:pStyle w:val="CEABullet-Level1"/>
      </w:pPr>
      <w:r w:rsidRPr="002D505C">
        <w:t>Don't know</w:t>
      </w:r>
    </w:p>
    <w:p w14:paraId="5CAD20D2" w14:textId="4B374B0D" w:rsidR="0032569F" w:rsidRPr="0028628C" w:rsidRDefault="0032569F" w:rsidP="002D505C">
      <w:pPr>
        <w:pStyle w:val="Zkladntext"/>
        <w:spacing w:line="288" w:lineRule="auto"/>
        <w:jc w:val="both"/>
        <w:rPr>
          <w:rFonts w:ascii="Verdana" w:hAnsi="Verdana"/>
          <w:color w:val="FF0000"/>
          <w:sz w:val="17"/>
          <w:szCs w:val="17"/>
          <w:lang w:val="en-GB"/>
        </w:rPr>
      </w:pPr>
      <w:r w:rsidRPr="0028628C">
        <w:rPr>
          <w:rFonts w:ascii="Verdana" w:hAnsi="Verdana"/>
          <w:color w:val="FF0000"/>
          <w:sz w:val="17"/>
          <w:szCs w:val="17"/>
          <w:lang w:val="en-GB"/>
        </w:rPr>
        <w:t>[8] DAC2 already comprises as reporting items the amount of dividend received in the holder account. Conversely, it does not comprise any additional relevant data for the correct checking of refund/relief procedures (</w:t>
      </w:r>
      <w:proofErr w:type="gramStart"/>
      <w:r w:rsidRPr="0028628C">
        <w:rPr>
          <w:rFonts w:ascii="Verdana" w:hAnsi="Verdana"/>
          <w:color w:val="FF0000"/>
          <w:sz w:val="17"/>
          <w:szCs w:val="17"/>
          <w:lang w:val="en-GB"/>
        </w:rPr>
        <w:t>e.g.</w:t>
      </w:r>
      <w:proofErr w:type="gramEnd"/>
      <w:r w:rsidRPr="0028628C">
        <w:rPr>
          <w:rFonts w:ascii="Verdana" w:hAnsi="Verdana"/>
          <w:color w:val="FF0000"/>
          <w:sz w:val="17"/>
          <w:szCs w:val="17"/>
          <w:lang w:val="en-GB"/>
        </w:rPr>
        <w:t xml:space="preserve"> WHT agent, intermediaries in the financial chain, gross dividend paid, date of payment, etc.)</w:t>
      </w:r>
    </w:p>
    <w:p w14:paraId="1BB9576E" w14:textId="77777777" w:rsidR="001D2E8D" w:rsidRPr="0028628C" w:rsidRDefault="001D2E8D" w:rsidP="002D505C">
      <w:pPr>
        <w:pStyle w:val="Zkladntext"/>
        <w:spacing w:line="288" w:lineRule="auto"/>
        <w:jc w:val="both"/>
        <w:rPr>
          <w:rFonts w:ascii="Verdana" w:hAnsi="Verdana"/>
          <w:color w:val="FF0000"/>
          <w:sz w:val="17"/>
          <w:szCs w:val="17"/>
          <w:lang w:val="en-GB"/>
        </w:rPr>
      </w:pPr>
    </w:p>
    <w:p w14:paraId="5D1823B6" w14:textId="77777777" w:rsidR="004F034A" w:rsidRDefault="004F034A" w:rsidP="002D505C">
      <w:pPr>
        <w:pStyle w:val="Zkladntext"/>
        <w:spacing w:line="288" w:lineRule="auto"/>
        <w:jc w:val="both"/>
        <w:rPr>
          <w:rFonts w:ascii="Verdana" w:hAnsi="Verdana"/>
          <w:sz w:val="17"/>
          <w:szCs w:val="17"/>
        </w:rPr>
      </w:pPr>
    </w:p>
    <w:p w14:paraId="5FC3FFB0" w14:textId="77777777" w:rsidR="001D2E8D" w:rsidRPr="0028628C" w:rsidRDefault="001D2E8D" w:rsidP="001D2E8D">
      <w:pPr>
        <w:pStyle w:val="CEABullet-Level1"/>
        <w:numPr>
          <w:ilvl w:val="0"/>
          <w:numId w:val="12"/>
        </w:numPr>
      </w:pPr>
      <w:commentRangeStart w:id="9"/>
      <w:r w:rsidRPr="0028628C">
        <w:t>In case of a positive reply to the previous question, do you consider that the EU framework for administrative cooperation in the field of direct taxation should be broadened:</w:t>
      </w:r>
      <w:commentRangeEnd w:id="9"/>
      <w:r w:rsidRPr="0028628C">
        <w:rPr>
          <w:rStyle w:val="Odkaznakomentr"/>
          <w:rFonts w:cs="Times New Roman"/>
          <w:color w:val="auto"/>
        </w:rPr>
        <w:commentReference w:id="9"/>
      </w:r>
    </w:p>
    <w:p w14:paraId="7D34FE91" w14:textId="77777777" w:rsidR="003629B3" w:rsidRPr="003629B3" w:rsidRDefault="003629B3" w:rsidP="003629B3">
      <w:pPr>
        <w:pStyle w:val="CEABullet-Level1"/>
      </w:pPr>
      <w:r w:rsidRPr="003629B3">
        <w:t xml:space="preserve">Independently from the implementation of the measures described in section III.A and section III.B </w:t>
      </w:r>
    </w:p>
    <w:p w14:paraId="7516F5A3" w14:textId="77777777" w:rsidR="003629B3" w:rsidRPr="003629B3" w:rsidRDefault="003629B3" w:rsidP="003629B3">
      <w:pPr>
        <w:pStyle w:val="CEABullet-Level1"/>
      </w:pPr>
      <w:r w:rsidRPr="003629B3">
        <w:t>In combination with the above-mentioned measures</w:t>
      </w:r>
    </w:p>
    <w:p w14:paraId="22D5F2BC" w14:textId="0CDA5CE3" w:rsidR="003629B3" w:rsidRDefault="003629B3" w:rsidP="001D2E8D">
      <w:pPr>
        <w:pStyle w:val="CEABullet-Level1"/>
        <w:numPr>
          <w:ilvl w:val="0"/>
          <w:numId w:val="0"/>
        </w:numPr>
        <w:ind w:left="720"/>
      </w:pPr>
    </w:p>
    <w:p w14:paraId="06ED78F3" w14:textId="77777777" w:rsidR="003629B3" w:rsidRDefault="003629B3" w:rsidP="001D2E8D">
      <w:pPr>
        <w:pStyle w:val="CEABullet-Level1"/>
        <w:numPr>
          <w:ilvl w:val="0"/>
          <w:numId w:val="0"/>
        </w:numPr>
        <w:ind w:left="720"/>
      </w:pPr>
    </w:p>
    <w:p w14:paraId="78D0FE57" w14:textId="1A9A0C48" w:rsidR="00D31F7A" w:rsidRPr="009011CC" w:rsidRDefault="00D31F7A" w:rsidP="009011CC">
      <w:pPr>
        <w:pStyle w:val="CEABullet-Level1"/>
        <w:numPr>
          <w:ilvl w:val="0"/>
          <w:numId w:val="12"/>
        </w:numPr>
      </w:pPr>
      <w:r w:rsidRPr="009011CC">
        <w:t>Who should be the entities bound to report the relevant information on the payment made to the investor: only EU financial intermediaries or both EU and non- EU financial intermediaries?</w:t>
      </w:r>
    </w:p>
    <w:p w14:paraId="04BA3895" w14:textId="77777777" w:rsidR="00D31F7A" w:rsidRPr="002D505C" w:rsidRDefault="00D31F7A" w:rsidP="004F034A">
      <w:pPr>
        <w:pStyle w:val="CEABullet-Level1"/>
      </w:pPr>
      <w:r w:rsidRPr="002D505C">
        <w:t>Only EU financial intermediaries</w:t>
      </w:r>
    </w:p>
    <w:p w14:paraId="56C138E2" w14:textId="5CF11EA9" w:rsidR="00414B02" w:rsidRPr="00EB6CEB" w:rsidRDefault="00D31F7A" w:rsidP="001A3067">
      <w:pPr>
        <w:pStyle w:val="CEABullet-Level1"/>
        <w:rPr>
          <w:szCs w:val="17"/>
        </w:rPr>
      </w:pPr>
      <w:r w:rsidRPr="00EB3BE3">
        <w:rPr>
          <w:highlight w:val="yellow"/>
        </w:rPr>
        <w:t>Both EU and non-EU financial intermediaries</w:t>
      </w:r>
    </w:p>
    <w:p w14:paraId="330D9910" w14:textId="77777777" w:rsidR="00414B02" w:rsidRPr="009011CC" w:rsidRDefault="00414B02" w:rsidP="009011CC">
      <w:pPr>
        <w:pStyle w:val="CEABullet-Level1"/>
        <w:numPr>
          <w:ilvl w:val="0"/>
          <w:numId w:val="0"/>
        </w:numPr>
        <w:ind w:left="720"/>
      </w:pPr>
    </w:p>
    <w:p w14:paraId="4733219A" w14:textId="451C6651" w:rsidR="00414B02" w:rsidRPr="009011CC" w:rsidRDefault="00414B02" w:rsidP="009011CC">
      <w:pPr>
        <w:pStyle w:val="CEABullet-Level1"/>
        <w:numPr>
          <w:ilvl w:val="0"/>
          <w:numId w:val="12"/>
        </w:numPr>
      </w:pPr>
      <w:r w:rsidRPr="009011CC">
        <w:t>In which country should the relevant information be reported by the financial intermediary closest to the investor (multiple option are available)?</w:t>
      </w:r>
    </w:p>
    <w:p w14:paraId="0F9CE4DE" w14:textId="77777777" w:rsidR="00414B02" w:rsidRPr="00690F94" w:rsidRDefault="00414B02" w:rsidP="004F034A">
      <w:pPr>
        <w:pStyle w:val="CEABullet-Level1"/>
        <w:rPr>
          <w:highlight w:val="yellow"/>
        </w:rPr>
      </w:pPr>
      <w:r w:rsidRPr="00690F94">
        <w:rPr>
          <w:highlight w:val="yellow"/>
        </w:rPr>
        <w:t>The residence country of the investor</w:t>
      </w:r>
    </w:p>
    <w:p w14:paraId="2B611092" w14:textId="77777777" w:rsidR="004F034A" w:rsidRDefault="00414B02" w:rsidP="004F034A">
      <w:pPr>
        <w:pStyle w:val="CEABullet-Level1"/>
      </w:pPr>
      <w:r w:rsidRPr="00EB3BE3">
        <w:rPr>
          <w:highlight w:val="yellow"/>
        </w:rPr>
        <w:t>The residence country of the financial intermediary</w:t>
      </w:r>
    </w:p>
    <w:p w14:paraId="1104DCE9" w14:textId="45C57DB1" w:rsidR="00414B02" w:rsidRDefault="00414B02" w:rsidP="004F034A">
      <w:pPr>
        <w:pStyle w:val="CEABullet-Level1"/>
      </w:pPr>
      <w:r w:rsidRPr="002D505C">
        <w:t>The source country of the investment</w:t>
      </w:r>
    </w:p>
    <w:p w14:paraId="1BEA399D" w14:textId="77777777" w:rsidR="004F034A" w:rsidRDefault="004F034A" w:rsidP="004F034A">
      <w:pPr>
        <w:pStyle w:val="CEABullet-Level1"/>
        <w:numPr>
          <w:ilvl w:val="0"/>
          <w:numId w:val="0"/>
        </w:numPr>
        <w:ind w:left="720"/>
      </w:pPr>
    </w:p>
    <w:p w14:paraId="27ECE7C7" w14:textId="77777777" w:rsidR="004F034A" w:rsidRPr="002D505C" w:rsidRDefault="004F034A" w:rsidP="004F034A">
      <w:pPr>
        <w:pStyle w:val="CEABullet-Level1"/>
        <w:numPr>
          <w:ilvl w:val="0"/>
          <w:numId w:val="0"/>
        </w:numPr>
        <w:ind w:left="720"/>
      </w:pPr>
    </w:p>
    <w:p w14:paraId="029B9C55" w14:textId="49AADCA8" w:rsidR="00414B02" w:rsidRPr="009011CC" w:rsidRDefault="00414B02" w:rsidP="009011CC">
      <w:pPr>
        <w:pStyle w:val="CEABullet-Level1"/>
        <w:numPr>
          <w:ilvl w:val="0"/>
          <w:numId w:val="12"/>
        </w:numPr>
      </w:pPr>
      <w:r w:rsidRPr="009011CC">
        <w:t xml:space="preserve">According to works at </w:t>
      </w:r>
      <w:hyperlink r:id="rId24">
        <w:r w:rsidRPr="009011CC">
          <w:t xml:space="preserve">international </w:t>
        </w:r>
      </w:hyperlink>
      <w:r w:rsidRPr="009011CC">
        <w:t xml:space="preserve">and </w:t>
      </w:r>
      <w:hyperlink r:id="rId25">
        <w:r w:rsidRPr="009011CC">
          <w:t xml:space="preserve">EU </w:t>
        </w:r>
      </w:hyperlink>
      <w:r w:rsidRPr="009011CC">
        <w:t>level in this field, it is relevant to report the following information in order to achieve the goal of ensuring tax treaty benefits entitlement: the identification information and treaty residence status of the beneficial owners of the income paid and the nature and amount of income earned by those investors. Do you agree with this approach?</w:t>
      </w:r>
    </w:p>
    <w:p w14:paraId="43CFF783" w14:textId="5C3777C8" w:rsidR="004F034A" w:rsidRDefault="00414B02" w:rsidP="004F034A">
      <w:pPr>
        <w:pStyle w:val="CEABullet-Level1"/>
      </w:pPr>
      <w:r w:rsidRPr="00EB3BE3">
        <w:rPr>
          <w:highlight w:val="yellow"/>
        </w:rPr>
        <w:t>Yes</w:t>
      </w:r>
    </w:p>
    <w:p w14:paraId="26C91982" w14:textId="43C6A108" w:rsidR="00414B02" w:rsidRPr="002D505C" w:rsidRDefault="00414B02" w:rsidP="004F034A">
      <w:pPr>
        <w:pStyle w:val="CEABullet-Level1"/>
      </w:pPr>
      <w:r w:rsidRPr="002D505C">
        <w:t>No</w:t>
      </w:r>
    </w:p>
    <w:p w14:paraId="0BE465A7" w14:textId="77777777" w:rsidR="00414B02" w:rsidRPr="002D505C" w:rsidRDefault="00414B02" w:rsidP="004F034A">
      <w:pPr>
        <w:pStyle w:val="CEABullet-Level1"/>
      </w:pPr>
      <w:r w:rsidRPr="002D505C">
        <w:t>Don't know</w:t>
      </w:r>
    </w:p>
    <w:p w14:paraId="541C5E7B" w14:textId="77777777" w:rsidR="00414B02" w:rsidRDefault="00414B02" w:rsidP="002D505C">
      <w:pPr>
        <w:pStyle w:val="Zkladntext"/>
        <w:spacing w:line="288" w:lineRule="auto"/>
        <w:jc w:val="both"/>
        <w:rPr>
          <w:rFonts w:ascii="Verdana" w:hAnsi="Verdana"/>
          <w:sz w:val="17"/>
          <w:szCs w:val="17"/>
        </w:rPr>
      </w:pPr>
    </w:p>
    <w:p w14:paraId="7F75BAB6" w14:textId="77777777" w:rsidR="004F034A" w:rsidRPr="002D505C" w:rsidRDefault="004F034A" w:rsidP="002D505C">
      <w:pPr>
        <w:pStyle w:val="Zkladntext"/>
        <w:spacing w:line="288" w:lineRule="auto"/>
        <w:jc w:val="both"/>
        <w:rPr>
          <w:rFonts w:ascii="Verdana" w:hAnsi="Verdana"/>
          <w:sz w:val="17"/>
          <w:szCs w:val="17"/>
        </w:rPr>
      </w:pPr>
    </w:p>
    <w:p w14:paraId="5F6171F8" w14:textId="4600E7EF" w:rsidR="00414B02" w:rsidRPr="00EB3BE3" w:rsidRDefault="00414B02" w:rsidP="009011CC">
      <w:pPr>
        <w:pStyle w:val="CEABullet-Level1"/>
        <w:numPr>
          <w:ilvl w:val="0"/>
          <w:numId w:val="12"/>
        </w:numPr>
      </w:pPr>
      <w:r w:rsidRPr="009011CC">
        <w:t xml:space="preserve">What do you suggest to ensure that exchanges of information between relevant authorities is as efficient </w:t>
      </w:r>
      <w:r w:rsidRPr="00EB3BE3">
        <w:t>as possible?</w:t>
      </w:r>
    </w:p>
    <w:p w14:paraId="385E1667" w14:textId="09FD9727" w:rsidR="00414B02" w:rsidRPr="00EB3BE3" w:rsidRDefault="00414B02" w:rsidP="004F034A">
      <w:pPr>
        <w:pStyle w:val="CEABullet-Level1"/>
      </w:pPr>
      <w:r w:rsidRPr="00EB3BE3">
        <w:rPr>
          <w:w w:val="105"/>
        </w:rPr>
        <w:t>To</w:t>
      </w:r>
      <w:r w:rsidRPr="00EB3BE3">
        <w:rPr>
          <w:spacing w:val="-33"/>
          <w:w w:val="105"/>
        </w:rPr>
        <w:t xml:space="preserve"> </w:t>
      </w:r>
      <w:r w:rsidRPr="00EB3BE3">
        <w:rPr>
          <w:w w:val="105"/>
        </w:rPr>
        <w:t>include</w:t>
      </w:r>
      <w:r w:rsidRPr="00EB3BE3">
        <w:rPr>
          <w:spacing w:val="-33"/>
          <w:w w:val="105"/>
        </w:rPr>
        <w:t xml:space="preserve"> </w:t>
      </w:r>
      <w:r w:rsidRPr="00EB3BE3">
        <w:rPr>
          <w:w w:val="105"/>
        </w:rPr>
        <w:t>it</w:t>
      </w:r>
      <w:r w:rsidRPr="00EB3BE3">
        <w:rPr>
          <w:spacing w:val="-33"/>
          <w:w w:val="105"/>
        </w:rPr>
        <w:t xml:space="preserve"> </w:t>
      </w:r>
      <w:r w:rsidRPr="00EB3BE3">
        <w:rPr>
          <w:w w:val="105"/>
        </w:rPr>
        <w:t>as</w:t>
      </w:r>
      <w:r w:rsidRPr="00EB3BE3">
        <w:rPr>
          <w:spacing w:val="-33"/>
          <w:w w:val="105"/>
        </w:rPr>
        <w:t xml:space="preserve"> </w:t>
      </w:r>
      <w:r w:rsidRPr="00EB3BE3">
        <w:rPr>
          <w:w w:val="105"/>
        </w:rPr>
        <w:t>a</w:t>
      </w:r>
      <w:r w:rsidRPr="00EB3BE3">
        <w:rPr>
          <w:spacing w:val="-33"/>
          <w:w w:val="105"/>
        </w:rPr>
        <w:t xml:space="preserve"> </w:t>
      </w:r>
      <w:r w:rsidRPr="00EB3BE3">
        <w:rPr>
          <w:w w:val="105"/>
        </w:rPr>
        <w:t>new</w:t>
      </w:r>
      <w:r w:rsidRPr="00EB3BE3">
        <w:rPr>
          <w:spacing w:val="-33"/>
          <w:w w:val="105"/>
        </w:rPr>
        <w:t xml:space="preserve"> </w:t>
      </w:r>
      <w:r w:rsidRPr="00EB3BE3">
        <w:rPr>
          <w:w w:val="105"/>
        </w:rPr>
        <w:t>reporting</w:t>
      </w:r>
      <w:r w:rsidRPr="00EB3BE3">
        <w:rPr>
          <w:spacing w:val="-33"/>
          <w:w w:val="105"/>
        </w:rPr>
        <w:t xml:space="preserve"> </w:t>
      </w:r>
      <w:r w:rsidRPr="00EB3BE3">
        <w:rPr>
          <w:w w:val="105"/>
        </w:rPr>
        <w:t>item</w:t>
      </w:r>
      <w:r w:rsidRPr="00EB3BE3">
        <w:rPr>
          <w:spacing w:val="-33"/>
          <w:w w:val="105"/>
        </w:rPr>
        <w:t xml:space="preserve"> </w:t>
      </w:r>
      <w:r w:rsidRPr="00EB3BE3">
        <w:rPr>
          <w:w w:val="105"/>
        </w:rPr>
        <w:t>of</w:t>
      </w:r>
      <w:r w:rsidRPr="00EB3BE3">
        <w:rPr>
          <w:spacing w:val="-33"/>
          <w:w w:val="105"/>
        </w:rPr>
        <w:t xml:space="preserve"> </w:t>
      </w:r>
      <w:r w:rsidRPr="00EB3BE3">
        <w:rPr>
          <w:w w:val="105"/>
        </w:rPr>
        <w:t>the</w:t>
      </w:r>
      <w:r w:rsidRPr="00EB3BE3">
        <w:rPr>
          <w:spacing w:val="-33"/>
          <w:w w:val="105"/>
        </w:rPr>
        <w:t xml:space="preserve"> </w:t>
      </w:r>
      <w:r w:rsidRPr="00EB3BE3">
        <w:rPr>
          <w:w w:val="105"/>
        </w:rPr>
        <w:t>already</w:t>
      </w:r>
      <w:r w:rsidRPr="00EB3BE3">
        <w:rPr>
          <w:spacing w:val="-33"/>
          <w:w w:val="105"/>
        </w:rPr>
        <w:t xml:space="preserve"> </w:t>
      </w:r>
      <w:r w:rsidRPr="00EB3BE3">
        <w:rPr>
          <w:w w:val="105"/>
        </w:rPr>
        <w:t>standardized</w:t>
      </w:r>
      <w:r w:rsidRPr="00EB3BE3">
        <w:rPr>
          <w:spacing w:val="-33"/>
          <w:w w:val="105"/>
        </w:rPr>
        <w:t xml:space="preserve"> </w:t>
      </w:r>
      <w:r w:rsidRPr="00EB3BE3">
        <w:rPr>
          <w:w w:val="105"/>
        </w:rPr>
        <w:t>process</w:t>
      </w:r>
      <w:r w:rsidRPr="00EB3BE3">
        <w:rPr>
          <w:spacing w:val="-33"/>
          <w:w w:val="105"/>
        </w:rPr>
        <w:t xml:space="preserve"> </w:t>
      </w:r>
      <w:r w:rsidRPr="00EB3BE3">
        <w:rPr>
          <w:w w:val="105"/>
        </w:rPr>
        <w:t>of automatic</w:t>
      </w:r>
      <w:r w:rsidRPr="00EB3BE3">
        <w:rPr>
          <w:spacing w:val="-37"/>
          <w:w w:val="105"/>
        </w:rPr>
        <w:t xml:space="preserve"> </w:t>
      </w:r>
      <w:r w:rsidRPr="00EB3BE3">
        <w:rPr>
          <w:w w:val="105"/>
        </w:rPr>
        <w:t>information</w:t>
      </w:r>
      <w:r w:rsidRPr="00EB3BE3">
        <w:rPr>
          <w:spacing w:val="-37"/>
          <w:w w:val="105"/>
        </w:rPr>
        <w:t xml:space="preserve"> </w:t>
      </w:r>
      <w:r w:rsidRPr="00EB3BE3">
        <w:rPr>
          <w:w w:val="105"/>
        </w:rPr>
        <w:t>exchange</w:t>
      </w:r>
      <w:r w:rsidRPr="00EB3BE3">
        <w:rPr>
          <w:spacing w:val="-37"/>
          <w:w w:val="105"/>
        </w:rPr>
        <w:t xml:space="preserve"> </w:t>
      </w:r>
      <w:r w:rsidRPr="00EB3BE3">
        <w:rPr>
          <w:w w:val="105"/>
        </w:rPr>
        <w:t>established</w:t>
      </w:r>
      <w:r w:rsidRPr="00EB3BE3">
        <w:rPr>
          <w:spacing w:val="-37"/>
          <w:w w:val="105"/>
        </w:rPr>
        <w:t xml:space="preserve"> </w:t>
      </w:r>
      <w:r w:rsidRPr="00EB3BE3">
        <w:rPr>
          <w:w w:val="105"/>
        </w:rPr>
        <w:t>at</w:t>
      </w:r>
      <w:r w:rsidRPr="00EB3BE3">
        <w:rPr>
          <w:spacing w:val="-37"/>
          <w:w w:val="105"/>
        </w:rPr>
        <w:t xml:space="preserve"> </w:t>
      </w:r>
      <w:r w:rsidRPr="00EB3BE3">
        <w:rPr>
          <w:w w:val="105"/>
        </w:rPr>
        <w:t>international</w:t>
      </w:r>
      <w:r w:rsidRPr="00EB3BE3">
        <w:rPr>
          <w:spacing w:val="-37"/>
          <w:w w:val="105"/>
        </w:rPr>
        <w:t xml:space="preserve"> </w:t>
      </w:r>
      <w:r w:rsidRPr="00EB3BE3">
        <w:rPr>
          <w:w w:val="105"/>
        </w:rPr>
        <w:t>and</w:t>
      </w:r>
      <w:r w:rsidRPr="00EB3BE3">
        <w:rPr>
          <w:spacing w:val="-37"/>
          <w:w w:val="105"/>
        </w:rPr>
        <w:t xml:space="preserve"> </w:t>
      </w:r>
      <w:r w:rsidRPr="00EB3BE3">
        <w:rPr>
          <w:w w:val="105"/>
        </w:rPr>
        <w:t>EU</w:t>
      </w:r>
      <w:r w:rsidRPr="00EB3BE3">
        <w:rPr>
          <w:spacing w:val="-37"/>
          <w:w w:val="105"/>
        </w:rPr>
        <w:t xml:space="preserve"> </w:t>
      </w:r>
      <w:r w:rsidRPr="00EB3BE3">
        <w:rPr>
          <w:w w:val="105"/>
        </w:rPr>
        <w:t>level (Common</w:t>
      </w:r>
      <w:r w:rsidRPr="00EB3BE3">
        <w:rPr>
          <w:spacing w:val="-44"/>
          <w:w w:val="105"/>
        </w:rPr>
        <w:t xml:space="preserve"> </w:t>
      </w:r>
      <w:r w:rsidRPr="00EB3BE3">
        <w:rPr>
          <w:w w:val="105"/>
        </w:rPr>
        <w:t>reporting</w:t>
      </w:r>
      <w:r w:rsidRPr="00EB3BE3">
        <w:rPr>
          <w:spacing w:val="-44"/>
          <w:w w:val="105"/>
        </w:rPr>
        <w:t xml:space="preserve"> </w:t>
      </w:r>
      <w:r w:rsidRPr="00EB3BE3">
        <w:rPr>
          <w:w w:val="105"/>
        </w:rPr>
        <w:t>standard</w:t>
      </w:r>
      <w:r w:rsidRPr="00EB3BE3">
        <w:rPr>
          <w:spacing w:val="-44"/>
          <w:w w:val="105"/>
        </w:rPr>
        <w:t xml:space="preserve"> </w:t>
      </w:r>
      <w:r w:rsidRPr="00EB3BE3">
        <w:rPr>
          <w:w w:val="160"/>
        </w:rPr>
        <w:t>–</w:t>
      </w:r>
      <w:r w:rsidRPr="00EB3BE3">
        <w:rPr>
          <w:spacing w:val="-84"/>
          <w:w w:val="160"/>
        </w:rPr>
        <w:t xml:space="preserve"> </w:t>
      </w:r>
      <w:r w:rsidRPr="00EB3BE3">
        <w:rPr>
          <w:w w:val="105"/>
        </w:rPr>
        <w:t>CRS,</w:t>
      </w:r>
      <w:r w:rsidRPr="00EB3BE3">
        <w:rPr>
          <w:spacing w:val="-44"/>
          <w:w w:val="105"/>
        </w:rPr>
        <w:t xml:space="preserve"> </w:t>
      </w:r>
      <w:r w:rsidRPr="00EB3BE3">
        <w:rPr>
          <w:w w:val="105"/>
        </w:rPr>
        <w:t>DAC2)</w:t>
      </w:r>
    </w:p>
    <w:p w14:paraId="0C8E490F" w14:textId="77777777" w:rsidR="00414B02" w:rsidRPr="002D505C" w:rsidRDefault="00414B02" w:rsidP="004F034A">
      <w:pPr>
        <w:pStyle w:val="CEABullet-Level1"/>
      </w:pPr>
      <w:r w:rsidRPr="002D505C">
        <w:t>As part of another separate mechanism</w:t>
      </w:r>
    </w:p>
    <w:p w14:paraId="49957D8B" w14:textId="420BE9B9" w:rsidR="005C69EF" w:rsidRDefault="005C69EF">
      <w:pPr>
        <w:spacing w:after="160" w:line="259" w:lineRule="auto"/>
        <w:jc w:val="left"/>
        <w:rPr>
          <w:rFonts w:eastAsia="Microsoft Sans Serif" w:cs="Microsoft Sans Serif"/>
          <w:sz w:val="17"/>
          <w:szCs w:val="17"/>
          <w:lang w:val="en-US"/>
        </w:rPr>
      </w:pPr>
      <w:r>
        <w:rPr>
          <w:sz w:val="17"/>
          <w:szCs w:val="17"/>
        </w:rPr>
        <w:br w:type="page"/>
      </w:r>
    </w:p>
    <w:p w14:paraId="5E122503" w14:textId="77777777" w:rsidR="00414B02" w:rsidRPr="002D505C" w:rsidRDefault="00414B02" w:rsidP="002D505C">
      <w:pPr>
        <w:pStyle w:val="Zkladntext"/>
        <w:spacing w:line="288" w:lineRule="auto"/>
        <w:jc w:val="both"/>
        <w:rPr>
          <w:rFonts w:ascii="Verdana" w:hAnsi="Verdana"/>
          <w:sz w:val="17"/>
          <w:szCs w:val="17"/>
        </w:rPr>
      </w:pPr>
    </w:p>
    <w:p w14:paraId="06FE2713" w14:textId="494D7287" w:rsidR="00414B02" w:rsidRPr="00A536BC" w:rsidRDefault="00414B02" w:rsidP="00A536BC">
      <w:pPr>
        <w:pStyle w:val="Nadpis1"/>
        <w:numPr>
          <w:ilvl w:val="0"/>
          <w:numId w:val="5"/>
        </w:numPr>
        <w:tabs>
          <w:tab w:val="left" w:pos="532"/>
        </w:tabs>
        <w:spacing w:line="288" w:lineRule="auto"/>
        <w:ind w:left="532" w:hanging="417"/>
        <w:jc w:val="both"/>
        <w:rPr>
          <w:rFonts w:ascii="Verdana" w:eastAsia="Times New Roman" w:hAnsi="Verdana" w:cs="Times New Roman"/>
          <w:b/>
          <w:color w:val="002957"/>
          <w:sz w:val="17"/>
          <w:szCs w:val="17"/>
          <w:lang w:val="en-GB"/>
        </w:rPr>
      </w:pPr>
      <w:r w:rsidRPr="00A536BC">
        <w:rPr>
          <w:rFonts w:ascii="Verdana" w:eastAsia="Times New Roman" w:hAnsi="Verdana" w:cs="Times New Roman"/>
          <w:b/>
          <w:color w:val="002957"/>
          <w:sz w:val="17"/>
          <w:szCs w:val="17"/>
          <w:lang w:val="en-GB"/>
        </w:rPr>
        <w:t>Combating Tax Abuse</w:t>
      </w:r>
    </w:p>
    <w:p w14:paraId="5F2DB4C1" w14:textId="77777777" w:rsidR="00414B02" w:rsidRPr="002D505C" w:rsidRDefault="00414B02" w:rsidP="002D505C">
      <w:pPr>
        <w:ind w:left="115" w:right="208"/>
        <w:rPr>
          <w:sz w:val="17"/>
          <w:szCs w:val="17"/>
        </w:rPr>
      </w:pPr>
      <w:r w:rsidRPr="002D505C">
        <w:rPr>
          <w:sz w:val="17"/>
          <w:szCs w:val="17"/>
        </w:rPr>
        <w:t>Combating tax abuse is one of the main goals of this initiative. Bearing this in mind we would like to hear your views on which system would be best suited to fight against any kind of tax abuse. The question of who should be held liable in case of flaws or incorrect information in any of the systems eventually implemented plays a crucial part to minimize or avoid failures in compliance. Therefore, we would like to hear your opinion on who should be accountable in case of any underreporting during WHT procedures in order to avoid tax abuse and loss of tax</w:t>
      </w:r>
      <w:r w:rsidRPr="002D505C">
        <w:rPr>
          <w:spacing w:val="14"/>
          <w:sz w:val="17"/>
          <w:szCs w:val="17"/>
        </w:rPr>
        <w:t xml:space="preserve"> </w:t>
      </w:r>
      <w:r w:rsidRPr="002D505C">
        <w:rPr>
          <w:sz w:val="17"/>
          <w:szCs w:val="17"/>
        </w:rPr>
        <w:t>revenue.</w:t>
      </w:r>
    </w:p>
    <w:p w14:paraId="777C3A6F" w14:textId="77777777" w:rsidR="00414B02" w:rsidRPr="002D505C" w:rsidRDefault="00414B02" w:rsidP="002D505C">
      <w:pPr>
        <w:pStyle w:val="Zkladntext"/>
        <w:spacing w:line="288" w:lineRule="auto"/>
        <w:jc w:val="both"/>
        <w:rPr>
          <w:rFonts w:ascii="Verdana" w:hAnsi="Verdana"/>
          <w:sz w:val="17"/>
          <w:szCs w:val="17"/>
        </w:rPr>
      </w:pPr>
    </w:p>
    <w:p w14:paraId="73DAAADC" w14:textId="61CE51CC" w:rsidR="00414B02" w:rsidRPr="00EB3BE3" w:rsidRDefault="00414B02" w:rsidP="009011CC">
      <w:pPr>
        <w:pStyle w:val="CEABullet-Level1"/>
        <w:numPr>
          <w:ilvl w:val="0"/>
          <w:numId w:val="12"/>
        </w:numPr>
      </w:pPr>
      <w:r w:rsidRPr="009011CC">
        <w:t xml:space="preserve">Which of the </w:t>
      </w:r>
      <w:proofErr w:type="gramStart"/>
      <w:r w:rsidRPr="009011CC">
        <w:t>above mentioned</w:t>
      </w:r>
      <w:proofErr w:type="gramEnd"/>
      <w:r w:rsidRPr="009011CC">
        <w:t xml:space="preserve"> options would be most effective in tackling tax abuse regarding </w:t>
      </w:r>
      <w:r w:rsidRPr="00EB3BE3">
        <w:t>withholding taxes:</w:t>
      </w:r>
    </w:p>
    <w:p w14:paraId="339464AE" w14:textId="77777777" w:rsidR="00A536BC" w:rsidRPr="00EB3BE3" w:rsidRDefault="00414B02" w:rsidP="00A536BC">
      <w:pPr>
        <w:pStyle w:val="CEABullet-Level1"/>
      </w:pPr>
      <w:r w:rsidRPr="00EB3BE3">
        <w:t xml:space="preserve">An improved refund procedure system (section III.A) </w:t>
      </w:r>
    </w:p>
    <w:p w14:paraId="26D9A18D" w14:textId="1988E3B5" w:rsidR="00414B02" w:rsidRPr="00EB3BE3" w:rsidRDefault="00414B02" w:rsidP="00A536BC">
      <w:pPr>
        <w:pStyle w:val="CEABullet-Level1"/>
      </w:pPr>
      <w:r w:rsidRPr="00EB3BE3">
        <w:t>An EU-wide relief at source system (section III.B)</w:t>
      </w:r>
    </w:p>
    <w:p w14:paraId="682D679A" w14:textId="77777777" w:rsidR="00A536BC" w:rsidRDefault="00414B02" w:rsidP="00A536BC">
      <w:pPr>
        <w:pStyle w:val="CEABullet-Level1"/>
      </w:pPr>
      <w:r w:rsidRPr="002D505C">
        <w:t xml:space="preserve">Enhanced automatic exchange of information (section III.C) </w:t>
      </w:r>
    </w:p>
    <w:p w14:paraId="1173FF9E" w14:textId="5EE73D74" w:rsidR="00414B02" w:rsidRPr="002D505C" w:rsidRDefault="00414B02" w:rsidP="00A536BC">
      <w:pPr>
        <w:pStyle w:val="CEABullet-Level1"/>
      </w:pPr>
      <w:r w:rsidRPr="00EB3BE3">
        <w:rPr>
          <w:highlight w:val="yellow"/>
        </w:rPr>
        <w:t>A combination of the above options</w:t>
      </w:r>
    </w:p>
    <w:p w14:paraId="55A469A1" w14:textId="77777777" w:rsidR="00651EC9" w:rsidRPr="002D505C" w:rsidRDefault="00651EC9" w:rsidP="002D505C">
      <w:pPr>
        <w:rPr>
          <w:sz w:val="17"/>
          <w:szCs w:val="17"/>
        </w:rPr>
      </w:pPr>
    </w:p>
    <w:p w14:paraId="0552EBC3" w14:textId="77777777" w:rsidR="00651EC9" w:rsidRPr="002D505C" w:rsidRDefault="00651EC9" w:rsidP="002D505C">
      <w:pPr>
        <w:rPr>
          <w:sz w:val="17"/>
          <w:szCs w:val="17"/>
        </w:rPr>
      </w:pPr>
    </w:p>
    <w:p w14:paraId="3ECB833F" w14:textId="77777777" w:rsidR="00651EC9" w:rsidRPr="009011CC" w:rsidRDefault="00651EC9" w:rsidP="009011CC">
      <w:pPr>
        <w:pStyle w:val="CEABullet-Level1"/>
        <w:numPr>
          <w:ilvl w:val="0"/>
          <w:numId w:val="12"/>
        </w:numPr>
      </w:pPr>
      <w:r w:rsidRPr="009011CC">
        <w:t>What other options do you deem helpful to prevent or combat tax abuse. Please explain:</w:t>
      </w:r>
    </w:p>
    <w:p w14:paraId="2076EDDE" w14:textId="76009E01" w:rsidR="00651EC9" w:rsidRDefault="00651EC9" w:rsidP="002D505C">
      <w:pPr>
        <w:pStyle w:val="Zkladntext"/>
        <w:spacing w:line="288" w:lineRule="auto"/>
        <w:ind w:left="767"/>
        <w:jc w:val="both"/>
        <w:rPr>
          <w:rFonts w:ascii="Verdana" w:hAnsi="Verdana"/>
          <w:sz w:val="17"/>
          <w:szCs w:val="17"/>
        </w:rPr>
      </w:pPr>
    </w:p>
    <w:p w14:paraId="5E819613" w14:textId="77777777" w:rsidR="00EE0F18" w:rsidRPr="002D505C" w:rsidRDefault="00EE0F18" w:rsidP="002D505C">
      <w:pPr>
        <w:pStyle w:val="Zkladntext"/>
        <w:spacing w:line="288" w:lineRule="auto"/>
        <w:ind w:left="767"/>
        <w:jc w:val="both"/>
        <w:rPr>
          <w:rFonts w:ascii="Verdana" w:hAnsi="Verdana"/>
          <w:sz w:val="17"/>
          <w:szCs w:val="17"/>
        </w:rPr>
      </w:pPr>
    </w:p>
    <w:p w14:paraId="0D90194B" w14:textId="03EEC3A1" w:rsidR="00651EC9" w:rsidRPr="009011CC" w:rsidRDefault="00651EC9" w:rsidP="009011CC">
      <w:pPr>
        <w:pStyle w:val="CEABullet-Level1"/>
        <w:numPr>
          <w:ilvl w:val="0"/>
          <w:numId w:val="12"/>
        </w:numPr>
      </w:pPr>
      <w:r w:rsidRPr="009011CC">
        <w:t>Under the option of an improved refund system, in case the financial intermediary makes the refund claim on behalf of the non-resident investor, who should be liable in case of any underreporting to the investment country?</w:t>
      </w:r>
    </w:p>
    <w:p w14:paraId="08DF4801" w14:textId="77777777" w:rsidR="00EE0F18" w:rsidRDefault="00651EC9" w:rsidP="00EE0F18">
      <w:pPr>
        <w:pStyle w:val="CEABullet-Level1"/>
      </w:pPr>
      <w:r w:rsidRPr="002D505C">
        <w:t xml:space="preserve">Financial intermediary making the refund claim on behalf of its client </w:t>
      </w:r>
    </w:p>
    <w:p w14:paraId="6C271C33" w14:textId="1028D0CF" w:rsidR="00651EC9" w:rsidRPr="002D505C" w:rsidRDefault="00651EC9" w:rsidP="00EE0F18">
      <w:pPr>
        <w:pStyle w:val="CEABullet-Level1"/>
      </w:pPr>
      <w:r w:rsidRPr="002D505C">
        <w:t>Non-resident investor (final investor)</w:t>
      </w:r>
    </w:p>
    <w:p w14:paraId="3371B515" w14:textId="77777777" w:rsidR="00651EC9" w:rsidRPr="002D505C" w:rsidRDefault="00651EC9" w:rsidP="00EE0F18">
      <w:pPr>
        <w:pStyle w:val="CEABullet-Level1"/>
      </w:pPr>
      <w:r w:rsidRPr="002D505C">
        <w:t>Other</w:t>
      </w:r>
    </w:p>
    <w:p w14:paraId="2C3CB77A" w14:textId="77777777" w:rsidR="00651EC9" w:rsidRDefault="00651EC9" w:rsidP="002D505C">
      <w:pPr>
        <w:pStyle w:val="Zkladntext"/>
        <w:spacing w:line="288" w:lineRule="auto"/>
        <w:jc w:val="both"/>
        <w:rPr>
          <w:rFonts w:ascii="Verdana" w:hAnsi="Verdana"/>
          <w:sz w:val="17"/>
          <w:szCs w:val="17"/>
        </w:rPr>
      </w:pPr>
    </w:p>
    <w:p w14:paraId="6F875E44" w14:textId="77777777" w:rsidR="004E7512" w:rsidRPr="002D505C" w:rsidRDefault="004E7512" w:rsidP="002D505C">
      <w:pPr>
        <w:pStyle w:val="Zkladntext"/>
        <w:spacing w:line="288" w:lineRule="auto"/>
        <w:jc w:val="both"/>
        <w:rPr>
          <w:rFonts w:ascii="Verdana" w:hAnsi="Verdana"/>
          <w:sz w:val="17"/>
          <w:szCs w:val="17"/>
        </w:rPr>
      </w:pPr>
    </w:p>
    <w:p w14:paraId="30579CC9" w14:textId="77777777" w:rsidR="00651EC9" w:rsidRPr="009011CC" w:rsidRDefault="00651EC9" w:rsidP="009011CC">
      <w:pPr>
        <w:pStyle w:val="CEABullet-Level1"/>
        <w:numPr>
          <w:ilvl w:val="0"/>
          <w:numId w:val="12"/>
        </w:numPr>
      </w:pPr>
      <w:r w:rsidRPr="009011CC">
        <w:t>Under the option of an EU-wide relief at source system, do you think that authorized intermediaries [9] should be liable for any underreporting of WHT or should authorised intermediaries only be liable when they did not carry out all reasonable actions to properly verify the investor’s entitlement to the tax treaty benefit?</w:t>
      </w:r>
    </w:p>
    <w:p w14:paraId="60DD259C" w14:textId="3F3FA2BD" w:rsidR="00651EC9" w:rsidRPr="002D505C" w:rsidRDefault="00651EC9" w:rsidP="000F77B1">
      <w:pPr>
        <w:pStyle w:val="CEABullet-Level1"/>
      </w:pPr>
      <w:r w:rsidRPr="002D505C">
        <w:t>Liable for any underreporting detected</w:t>
      </w:r>
    </w:p>
    <w:p w14:paraId="1EF8C464" w14:textId="1DB1C475" w:rsidR="00651EC9" w:rsidRPr="002D505C" w:rsidRDefault="00651EC9" w:rsidP="000F77B1">
      <w:pPr>
        <w:pStyle w:val="CEABullet-Level1"/>
      </w:pPr>
      <w:r w:rsidRPr="002D505C">
        <w:t>Liable for underreporting when acting without due diligence</w:t>
      </w:r>
    </w:p>
    <w:p w14:paraId="4892E753" w14:textId="77777777" w:rsidR="00651EC9" w:rsidRDefault="00651EC9" w:rsidP="002D505C">
      <w:pPr>
        <w:pStyle w:val="Zkladntext"/>
        <w:spacing w:line="288" w:lineRule="auto"/>
        <w:jc w:val="both"/>
        <w:rPr>
          <w:rFonts w:ascii="Verdana" w:hAnsi="Verdana"/>
          <w:sz w:val="17"/>
          <w:szCs w:val="17"/>
        </w:rPr>
      </w:pPr>
    </w:p>
    <w:p w14:paraId="3B6F062E" w14:textId="77777777" w:rsidR="004E7512" w:rsidRPr="0028628C" w:rsidRDefault="004E7512" w:rsidP="002D505C">
      <w:pPr>
        <w:pStyle w:val="Zkladntext"/>
        <w:spacing w:line="288" w:lineRule="auto"/>
        <w:jc w:val="both"/>
        <w:rPr>
          <w:rFonts w:ascii="Verdana" w:hAnsi="Verdana"/>
          <w:sz w:val="17"/>
          <w:szCs w:val="17"/>
        </w:rPr>
      </w:pPr>
    </w:p>
    <w:p w14:paraId="57358ED4" w14:textId="77777777" w:rsidR="00CB7DA3" w:rsidRPr="00C87F7F" w:rsidRDefault="00CB7DA3" w:rsidP="00CB7DA3">
      <w:pPr>
        <w:pStyle w:val="Zkladntext"/>
        <w:spacing w:line="288" w:lineRule="auto"/>
        <w:jc w:val="both"/>
        <w:rPr>
          <w:rFonts w:ascii="Verdana" w:eastAsia="Times New Roman" w:hAnsi="Verdana" w:cs="Frutiger LT Std 45 Light"/>
          <w:b/>
          <w:bCs/>
          <w:color w:val="000000"/>
          <w:sz w:val="17"/>
          <w:szCs w:val="20"/>
          <w:lang w:val="en-GB"/>
        </w:rPr>
      </w:pPr>
      <w:commentRangeStart w:id="10"/>
      <w:r w:rsidRPr="00C87F7F">
        <w:rPr>
          <w:rFonts w:ascii="Verdana" w:eastAsia="Times New Roman" w:hAnsi="Verdana" w:cs="Frutiger LT Std 45 Light"/>
          <w:b/>
          <w:bCs/>
          <w:color w:val="000000"/>
          <w:sz w:val="17"/>
          <w:szCs w:val="20"/>
          <w:lang w:val="en-GB"/>
        </w:rPr>
        <w:t>Final remark</w:t>
      </w:r>
      <w:commentRangeEnd w:id="10"/>
      <w:r>
        <w:rPr>
          <w:rStyle w:val="Odkaznakomentr"/>
          <w:rFonts w:ascii="Verdana" w:eastAsia="Times New Roman" w:hAnsi="Verdana" w:cs="Times New Roman"/>
          <w:lang w:val="en-GB"/>
        </w:rPr>
        <w:commentReference w:id="10"/>
      </w:r>
    </w:p>
    <w:p w14:paraId="596B9EDD" w14:textId="77777777" w:rsidR="004E7512" w:rsidRDefault="004E7512" w:rsidP="006A40D6">
      <w:pPr>
        <w:rPr>
          <w:rFonts w:cs="Arial"/>
          <w:sz w:val="16"/>
          <w:szCs w:val="16"/>
        </w:rPr>
      </w:pPr>
    </w:p>
    <w:p w14:paraId="156D5CD9" w14:textId="77777777" w:rsidR="004E7512" w:rsidRDefault="004E7512" w:rsidP="006A40D6">
      <w:pPr>
        <w:rPr>
          <w:rFonts w:cs="Arial"/>
          <w:sz w:val="16"/>
          <w:szCs w:val="16"/>
        </w:rPr>
      </w:pPr>
    </w:p>
    <w:p w14:paraId="1E662068" w14:textId="6A7323F0" w:rsidR="00F05232" w:rsidRPr="00057DEA" w:rsidRDefault="00F3457C" w:rsidP="00F3457C">
      <w:pPr>
        <w:spacing w:line="276" w:lineRule="auto"/>
        <w:rPr>
          <w:rFonts w:cs="Frutiger LT Std 45 Light"/>
          <w:color w:val="000000"/>
          <w:sz w:val="17"/>
          <w:szCs w:val="20"/>
        </w:rPr>
      </w:pPr>
      <w:r w:rsidRPr="00057DEA">
        <w:rPr>
          <w:rFonts w:cs="Frutiger LT Std 45 Light"/>
          <w:color w:val="000000"/>
          <w:sz w:val="17"/>
          <w:szCs w:val="20"/>
        </w:rPr>
        <w:t xml:space="preserve">Insurance Europe </w:t>
      </w:r>
      <w:r w:rsidR="00F05232" w:rsidRPr="00057DEA">
        <w:rPr>
          <w:rFonts w:cs="Frutiger LT Std 45 Light"/>
          <w:color w:val="000000"/>
          <w:sz w:val="17"/>
          <w:szCs w:val="20"/>
        </w:rPr>
        <w:t>welcome</w:t>
      </w:r>
      <w:r w:rsidRPr="00057DEA">
        <w:rPr>
          <w:rFonts w:cs="Frutiger LT Std 45 Light"/>
          <w:color w:val="000000"/>
          <w:sz w:val="17"/>
          <w:szCs w:val="20"/>
        </w:rPr>
        <w:t>s</w:t>
      </w:r>
      <w:r w:rsidR="00F05232" w:rsidRPr="00057DEA">
        <w:rPr>
          <w:rFonts w:cs="Frutiger LT Std 45 Light"/>
          <w:color w:val="000000"/>
          <w:sz w:val="17"/>
          <w:szCs w:val="20"/>
        </w:rPr>
        <w:t xml:space="preserve"> the initiative by the EU commission to introduce a common, more efficient EU-wide system for withholding tax relief. The widely divergent rules lead to lengthy, complex and costly withholding tax relief procedures. </w:t>
      </w:r>
      <w:r w:rsidR="009233EE">
        <w:rPr>
          <w:rFonts w:cs="Frutiger LT Std 45 Light"/>
          <w:color w:val="000000"/>
          <w:sz w:val="17"/>
          <w:szCs w:val="20"/>
        </w:rPr>
        <w:t>In some cases, investors end up waiving their right to claim a refund or relief from the withholding tax levied.</w:t>
      </w:r>
    </w:p>
    <w:p w14:paraId="4EF5FC23" w14:textId="77777777" w:rsidR="00F05232" w:rsidRPr="00057DEA" w:rsidRDefault="00F05232" w:rsidP="00F3457C">
      <w:pPr>
        <w:spacing w:line="276" w:lineRule="auto"/>
        <w:rPr>
          <w:rFonts w:cs="Frutiger LT Std 45 Light"/>
          <w:color w:val="000000"/>
          <w:sz w:val="17"/>
          <w:szCs w:val="20"/>
        </w:rPr>
      </w:pPr>
    </w:p>
    <w:p w14:paraId="4DD6BA0F" w14:textId="0E091224" w:rsidR="00F05232" w:rsidRPr="00057DEA" w:rsidRDefault="00F05232" w:rsidP="00F3457C">
      <w:pPr>
        <w:spacing w:line="276" w:lineRule="auto"/>
        <w:rPr>
          <w:rFonts w:cs="Frutiger LT Std 45 Light"/>
          <w:color w:val="000000"/>
          <w:sz w:val="17"/>
          <w:szCs w:val="20"/>
        </w:rPr>
      </w:pPr>
      <w:r w:rsidRPr="00057DEA">
        <w:rPr>
          <w:rFonts w:cs="Frutiger LT Std 45 Light"/>
          <w:color w:val="000000"/>
          <w:sz w:val="17"/>
          <w:szCs w:val="20"/>
        </w:rPr>
        <w:t xml:space="preserve">In addition to </w:t>
      </w:r>
      <w:r w:rsidR="00F3457C" w:rsidRPr="00057DEA">
        <w:rPr>
          <w:rFonts w:cs="Frutiger LT Std 45 Light"/>
          <w:color w:val="000000"/>
          <w:sz w:val="17"/>
          <w:szCs w:val="20"/>
        </w:rPr>
        <w:t xml:space="preserve">the </w:t>
      </w:r>
      <w:r w:rsidRPr="00057DEA">
        <w:rPr>
          <w:rFonts w:cs="Frutiger LT Std 45 Light"/>
          <w:color w:val="000000"/>
          <w:sz w:val="17"/>
          <w:szCs w:val="20"/>
        </w:rPr>
        <w:t xml:space="preserve">answers </w:t>
      </w:r>
      <w:r w:rsidR="00F3457C" w:rsidRPr="00057DEA">
        <w:rPr>
          <w:rFonts w:cs="Frutiger LT Std 45 Light"/>
          <w:color w:val="000000"/>
          <w:sz w:val="17"/>
          <w:szCs w:val="20"/>
        </w:rPr>
        <w:t xml:space="preserve">provided </w:t>
      </w:r>
      <w:r w:rsidRPr="00057DEA">
        <w:rPr>
          <w:rFonts w:cs="Frutiger LT Std 45 Light"/>
          <w:color w:val="000000"/>
          <w:sz w:val="17"/>
          <w:szCs w:val="20"/>
        </w:rPr>
        <w:t xml:space="preserve">in the consultation document, </w:t>
      </w:r>
      <w:r w:rsidR="00F3457C" w:rsidRPr="00057DEA">
        <w:rPr>
          <w:rFonts w:cs="Frutiger LT Std 45 Light"/>
          <w:color w:val="000000"/>
          <w:sz w:val="17"/>
          <w:szCs w:val="20"/>
        </w:rPr>
        <w:t xml:space="preserve">there are additional comments that the insurance industry would like to </w:t>
      </w:r>
      <w:r w:rsidRPr="00057DEA">
        <w:rPr>
          <w:rFonts w:cs="Frutiger LT Std 45 Light"/>
          <w:color w:val="000000"/>
          <w:sz w:val="17"/>
          <w:szCs w:val="20"/>
        </w:rPr>
        <w:t>raise.</w:t>
      </w:r>
    </w:p>
    <w:p w14:paraId="41ACA824" w14:textId="77777777" w:rsidR="00F05232" w:rsidRPr="00F05232" w:rsidRDefault="00F05232" w:rsidP="00F3457C">
      <w:pPr>
        <w:spacing w:line="276" w:lineRule="auto"/>
        <w:rPr>
          <w:rFonts w:cs="Arial"/>
          <w:sz w:val="16"/>
          <w:szCs w:val="16"/>
          <w:lang w:val="en-US"/>
        </w:rPr>
      </w:pPr>
    </w:p>
    <w:p w14:paraId="17BB4CFD" w14:textId="77777777" w:rsidR="00F05232" w:rsidRPr="00F05232" w:rsidRDefault="00F05232" w:rsidP="00F3457C">
      <w:pPr>
        <w:numPr>
          <w:ilvl w:val="0"/>
          <w:numId w:val="19"/>
        </w:numPr>
        <w:spacing w:line="276" w:lineRule="auto"/>
        <w:rPr>
          <w:rFonts w:cs="Arial"/>
          <w:b/>
          <w:bCs/>
          <w:sz w:val="16"/>
          <w:szCs w:val="16"/>
          <w:lang w:val="en-US"/>
        </w:rPr>
      </w:pPr>
      <w:proofErr w:type="spellStart"/>
      <w:r w:rsidRPr="00F05232">
        <w:rPr>
          <w:rFonts w:cs="Arial"/>
          <w:b/>
          <w:bCs/>
          <w:sz w:val="16"/>
          <w:szCs w:val="16"/>
          <w:lang w:val="en-US"/>
        </w:rPr>
        <w:t>Harmonisation</w:t>
      </w:r>
      <w:proofErr w:type="spellEnd"/>
      <w:r w:rsidRPr="00F05232">
        <w:rPr>
          <w:rFonts w:cs="Arial"/>
          <w:b/>
          <w:bCs/>
          <w:sz w:val="16"/>
          <w:szCs w:val="16"/>
          <w:lang w:val="en-US"/>
        </w:rPr>
        <w:t xml:space="preserve"> of substance requirements</w:t>
      </w:r>
    </w:p>
    <w:p w14:paraId="07854C92" w14:textId="78936856" w:rsidR="00F05232" w:rsidRPr="00057DEA" w:rsidRDefault="00F05232" w:rsidP="00F3457C">
      <w:pPr>
        <w:spacing w:line="276" w:lineRule="auto"/>
        <w:rPr>
          <w:rFonts w:cs="Frutiger LT Std 45 Light"/>
          <w:color w:val="000000"/>
          <w:sz w:val="17"/>
          <w:szCs w:val="20"/>
        </w:rPr>
      </w:pPr>
      <w:r w:rsidRPr="00057DEA">
        <w:rPr>
          <w:rFonts w:cs="Frutiger LT Std 45 Light"/>
          <w:color w:val="000000"/>
          <w:sz w:val="17"/>
          <w:szCs w:val="20"/>
        </w:rPr>
        <w:t>To claim withholding tax relief, the recipient of a payment may have to demonstrate adequate economic substance and/or activity to be eligible for the tax benefit granted under a DTC or EU law (</w:t>
      </w:r>
      <w:proofErr w:type="spellStart"/>
      <w:r w:rsidRPr="00057DEA">
        <w:rPr>
          <w:rFonts w:cs="Frutiger LT Std 45 Light"/>
          <w:color w:val="000000"/>
          <w:sz w:val="17"/>
          <w:szCs w:val="20"/>
        </w:rPr>
        <w:t>eg.</w:t>
      </w:r>
      <w:proofErr w:type="spellEnd"/>
      <w:r w:rsidRPr="00057DEA">
        <w:rPr>
          <w:rFonts w:cs="Frutiger LT Std 45 Light"/>
          <w:color w:val="000000"/>
          <w:sz w:val="17"/>
          <w:szCs w:val="20"/>
        </w:rPr>
        <w:t xml:space="preserve"> general anti-abuse rule in Art. 6 ATAD). In order to facilitate the application of substance and activity requirements, companies could be enabled to upload a "company profile" to a central server. The server could be made accessible for other Member States which use the information to verify whether a recipient of a cross border payment fulfils substance and/or activity requirements applicable in the case. This would save companies from compiling and submitting information on employees, the existence of office space, etc. each time a withholding </w:t>
      </w:r>
      <w:r w:rsidRPr="00057DEA">
        <w:rPr>
          <w:rFonts w:cs="Frutiger LT Std 45 Light"/>
          <w:color w:val="000000"/>
          <w:sz w:val="17"/>
          <w:szCs w:val="20"/>
        </w:rPr>
        <w:lastRenderedPageBreak/>
        <w:t>tax relief claim is filed for which a substance/activity test is required. It would also be desirable to have a uniform catalog</w:t>
      </w:r>
      <w:r w:rsidR="00337D48">
        <w:rPr>
          <w:rFonts w:cs="Frutiger LT Std 45 Light"/>
          <w:color w:val="000000"/>
          <w:sz w:val="17"/>
          <w:szCs w:val="20"/>
        </w:rPr>
        <w:t>ue</w:t>
      </w:r>
      <w:r w:rsidRPr="00057DEA">
        <w:rPr>
          <w:rFonts w:cs="Frutiger LT Std 45 Light"/>
          <w:color w:val="000000"/>
          <w:sz w:val="17"/>
          <w:szCs w:val="20"/>
        </w:rPr>
        <w:t xml:space="preserve"> of requirements coordinated between the Member States for proof of substance.</w:t>
      </w:r>
    </w:p>
    <w:p w14:paraId="1FD73B88" w14:textId="77777777" w:rsidR="00F05232" w:rsidRPr="00057DEA" w:rsidRDefault="00F05232" w:rsidP="00F3457C">
      <w:pPr>
        <w:spacing w:line="276" w:lineRule="auto"/>
        <w:rPr>
          <w:rFonts w:cs="Frutiger LT Std 45 Light"/>
          <w:color w:val="000000"/>
          <w:sz w:val="17"/>
          <w:szCs w:val="20"/>
        </w:rPr>
      </w:pPr>
    </w:p>
    <w:p w14:paraId="1F13969E" w14:textId="24CFBD78" w:rsidR="00F05232" w:rsidRPr="00057DEA" w:rsidRDefault="00F05232" w:rsidP="00F3457C">
      <w:pPr>
        <w:spacing w:line="276" w:lineRule="auto"/>
        <w:rPr>
          <w:rFonts w:cs="Frutiger LT Std 45 Light"/>
          <w:color w:val="000000"/>
          <w:sz w:val="17"/>
          <w:szCs w:val="20"/>
        </w:rPr>
      </w:pPr>
      <w:r w:rsidRPr="00057DEA">
        <w:rPr>
          <w:rFonts w:cs="Frutiger LT Std 45 Light"/>
          <w:color w:val="000000"/>
          <w:sz w:val="17"/>
          <w:szCs w:val="20"/>
        </w:rPr>
        <w:t>Furthermore, the substance test as envisaged by the recent EU Commission’s proposal for a directive against the misuse of shell entities for tax purposes (</w:t>
      </w:r>
      <w:proofErr w:type="gramStart"/>
      <w:r w:rsidRPr="00057DEA">
        <w:rPr>
          <w:rFonts w:cs="Frutiger LT Std 45 Light"/>
          <w:color w:val="000000"/>
          <w:sz w:val="17"/>
          <w:szCs w:val="20"/>
        </w:rPr>
        <w:t>COM(</w:t>
      </w:r>
      <w:proofErr w:type="gramEnd"/>
      <w:r w:rsidRPr="00057DEA">
        <w:rPr>
          <w:rFonts w:cs="Frutiger LT Std 45 Light"/>
          <w:color w:val="000000"/>
          <w:sz w:val="17"/>
          <w:szCs w:val="20"/>
        </w:rPr>
        <w:t xml:space="preserve">2021) 565 final) could in </w:t>
      </w:r>
      <w:r w:rsidR="00156194" w:rsidRPr="00057DEA">
        <w:rPr>
          <w:rFonts w:cs="Frutiger LT Std 45 Light"/>
          <w:color w:val="000000"/>
          <w:sz w:val="17"/>
          <w:szCs w:val="20"/>
        </w:rPr>
        <w:t xml:space="preserve">the industry’s </w:t>
      </w:r>
      <w:r w:rsidRPr="00057DEA">
        <w:rPr>
          <w:rFonts w:cs="Frutiger LT Std 45 Light"/>
          <w:color w:val="000000"/>
          <w:sz w:val="17"/>
          <w:szCs w:val="20"/>
        </w:rPr>
        <w:t xml:space="preserve">view be an effective instrument to simplify the withholding tax relief process in the internal market. To that end, the proposal would need to be amended so that an entity which was found to have sufficient substance by its state of residence is fully recognised for (withholding) tax purposes by all other EU Member states. Currently, the proposal foresees only an obligation by EU Member States to disallow tax advantages where the state of residence establishes that an entity lacks sufficient substance. </w:t>
      </w:r>
      <w:r w:rsidRPr="00057DEA">
        <w:rPr>
          <w:rFonts w:cs="Frutiger LT Std 45 Light"/>
          <w:color w:val="000000"/>
          <w:sz w:val="17"/>
          <w:szCs w:val="20"/>
        </w:rPr>
        <w:cr/>
      </w:r>
    </w:p>
    <w:p w14:paraId="4D85E671" w14:textId="77777777" w:rsidR="00F05232" w:rsidRPr="00F05232" w:rsidRDefault="00F05232" w:rsidP="00F3457C">
      <w:pPr>
        <w:numPr>
          <w:ilvl w:val="0"/>
          <w:numId w:val="19"/>
        </w:numPr>
        <w:spacing w:line="276" w:lineRule="auto"/>
        <w:rPr>
          <w:rFonts w:cs="Arial"/>
          <w:b/>
          <w:bCs/>
          <w:sz w:val="16"/>
          <w:szCs w:val="16"/>
          <w:lang w:val="en-US"/>
        </w:rPr>
      </w:pPr>
      <w:r w:rsidRPr="00F05232">
        <w:rPr>
          <w:rFonts w:cs="Arial"/>
          <w:b/>
          <w:bCs/>
          <w:sz w:val="16"/>
          <w:szCs w:val="16"/>
          <w:lang w:val="en-US"/>
        </w:rPr>
        <w:t>Clarifications in the Parent-Subsidiary Directive and the Interest and Royalties Directive</w:t>
      </w:r>
    </w:p>
    <w:p w14:paraId="24E65BFD" w14:textId="5AB5D5C6" w:rsidR="00F05232" w:rsidRPr="00057DEA" w:rsidRDefault="00F05232" w:rsidP="00F3457C">
      <w:pPr>
        <w:spacing w:line="276" w:lineRule="auto"/>
        <w:rPr>
          <w:rFonts w:cs="Frutiger LT Std 45 Light"/>
          <w:color w:val="000000"/>
          <w:sz w:val="17"/>
          <w:szCs w:val="20"/>
        </w:rPr>
      </w:pPr>
      <w:r w:rsidRPr="00057DEA">
        <w:rPr>
          <w:rFonts w:cs="Frutiger LT Std 45 Light"/>
          <w:color w:val="000000"/>
          <w:sz w:val="17"/>
          <w:szCs w:val="20"/>
        </w:rPr>
        <w:t xml:space="preserve">The envisaged reform of the EU-withholding tax system appears to be limited in scope to securities. However, the assertion of withholding tax relief claims for intra-group-payments is often as lengthy and cumbersome as is the case for portfolio investments. The scope of the proposed reform should therefore be widened in order to include intra-group payments: </w:t>
      </w:r>
      <w:proofErr w:type="spellStart"/>
      <w:r w:rsidRPr="00057DEA">
        <w:rPr>
          <w:rFonts w:cs="Frutiger LT Std 45 Light"/>
          <w:color w:val="000000"/>
          <w:sz w:val="17"/>
          <w:szCs w:val="20"/>
        </w:rPr>
        <w:t>eg.</w:t>
      </w:r>
      <w:proofErr w:type="spellEnd"/>
      <w:r w:rsidRPr="00057DEA">
        <w:rPr>
          <w:rFonts w:cs="Frutiger LT Std 45 Light"/>
          <w:color w:val="000000"/>
          <w:sz w:val="17"/>
          <w:szCs w:val="20"/>
        </w:rPr>
        <w:t xml:space="preserve"> from controlling participations. To that end, the Parent-Subsidiary Directive should be amended to clarify that the interposition of an intermediary company that is treated as tax transparent (</w:t>
      </w:r>
      <w:proofErr w:type="spellStart"/>
      <w:r w:rsidRPr="00057DEA">
        <w:rPr>
          <w:rFonts w:cs="Frutiger LT Std 45 Light"/>
          <w:color w:val="000000"/>
          <w:sz w:val="17"/>
          <w:szCs w:val="20"/>
        </w:rPr>
        <w:t>eg</w:t>
      </w:r>
      <w:r w:rsidR="00156194" w:rsidRPr="00057DEA">
        <w:rPr>
          <w:rFonts w:cs="Frutiger LT Std 45 Light"/>
          <w:color w:val="000000"/>
          <w:sz w:val="17"/>
          <w:szCs w:val="20"/>
        </w:rPr>
        <w:t>.</w:t>
      </w:r>
      <w:proofErr w:type="spellEnd"/>
      <w:r w:rsidRPr="00057DEA">
        <w:rPr>
          <w:rFonts w:cs="Frutiger LT Std 45 Light"/>
          <w:color w:val="000000"/>
          <w:sz w:val="17"/>
          <w:szCs w:val="20"/>
        </w:rPr>
        <w:t xml:space="preserve"> a partnership) does not exclude the parent company from the benefits granted by the Directive. Since this appears to be a contentious issue amongst tax authorities and taxpayers, legal certainty is needed. Likewise, interest payments and license fees should fall under the Interest and Royalties Directive, regardless of an interposed tax transparent entity.</w:t>
      </w:r>
    </w:p>
    <w:p w14:paraId="3463B1B5" w14:textId="77777777" w:rsidR="00F05232" w:rsidRPr="00F05232" w:rsidRDefault="00F05232" w:rsidP="00F3457C">
      <w:pPr>
        <w:spacing w:line="276" w:lineRule="auto"/>
        <w:rPr>
          <w:rFonts w:cs="Arial"/>
          <w:sz w:val="16"/>
          <w:szCs w:val="16"/>
          <w:lang w:val="en-US"/>
        </w:rPr>
      </w:pPr>
    </w:p>
    <w:p w14:paraId="6FA53A74" w14:textId="77777777" w:rsidR="00F05232" w:rsidRPr="00F05232" w:rsidRDefault="00F05232" w:rsidP="00F3457C">
      <w:pPr>
        <w:spacing w:line="276" w:lineRule="auto"/>
        <w:rPr>
          <w:rFonts w:cs="Arial"/>
          <w:sz w:val="16"/>
          <w:szCs w:val="16"/>
          <w:lang w:val="en-US"/>
        </w:rPr>
      </w:pPr>
    </w:p>
    <w:p w14:paraId="30C05BD8" w14:textId="77777777" w:rsidR="00F05232" w:rsidRPr="00F05232" w:rsidRDefault="00F05232" w:rsidP="00F3457C">
      <w:pPr>
        <w:numPr>
          <w:ilvl w:val="0"/>
          <w:numId w:val="19"/>
        </w:numPr>
        <w:spacing w:line="276" w:lineRule="auto"/>
        <w:rPr>
          <w:rFonts w:cs="Arial"/>
          <w:b/>
          <w:bCs/>
          <w:sz w:val="16"/>
          <w:szCs w:val="16"/>
          <w:lang w:val="en-US"/>
        </w:rPr>
      </w:pPr>
      <w:r w:rsidRPr="00F05232">
        <w:rPr>
          <w:rFonts w:cs="Arial"/>
          <w:b/>
          <w:bCs/>
          <w:sz w:val="16"/>
          <w:szCs w:val="16"/>
          <w:lang w:val="en-US"/>
        </w:rPr>
        <w:t>Refund claims based on ECJ case law (right to non-discrimination under the principle of free movement of capital)</w:t>
      </w:r>
    </w:p>
    <w:p w14:paraId="5E902FEE" w14:textId="60936326" w:rsidR="00F05232" w:rsidRPr="00057DEA" w:rsidRDefault="00F05232" w:rsidP="00F3457C">
      <w:pPr>
        <w:spacing w:line="276" w:lineRule="auto"/>
        <w:rPr>
          <w:rFonts w:cs="Frutiger LT Std 45 Light"/>
          <w:color w:val="000000"/>
          <w:sz w:val="17"/>
          <w:szCs w:val="20"/>
        </w:rPr>
      </w:pPr>
      <w:r w:rsidRPr="00057DEA">
        <w:rPr>
          <w:rFonts w:cs="Frutiger LT Std 45 Light"/>
          <w:color w:val="000000"/>
          <w:sz w:val="17"/>
          <w:szCs w:val="20"/>
        </w:rPr>
        <w:t>Often foreign investors cannot obtain the benefits granted by national law for a reduced withholding tax in the source state. Such discriminatory practices are against the principle of free movement of capital. Furthermore, it results in economic double-taxation as the residence state would not accept a tax credit against the tax charge of the investor on the basis that withholding tax relief is available in the source state.</w:t>
      </w:r>
    </w:p>
    <w:p w14:paraId="50573940" w14:textId="6C5849C6" w:rsidR="004E7512" w:rsidRPr="00057DEA" w:rsidRDefault="00801DE0" w:rsidP="00F3457C">
      <w:pPr>
        <w:spacing w:line="276" w:lineRule="auto"/>
        <w:rPr>
          <w:rFonts w:cs="Frutiger LT Std 45 Light"/>
          <w:color w:val="000000"/>
          <w:sz w:val="17"/>
          <w:szCs w:val="20"/>
        </w:rPr>
      </w:pPr>
      <w:r w:rsidRPr="00057DEA">
        <w:rPr>
          <w:rFonts w:cs="Frutiger LT Std 45 Light"/>
          <w:color w:val="000000"/>
          <w:sz w:val="17"/>
          <w:szCs w:val="20"/>
        </w:rPr>
        <w:t>Taxpayers</w:t>
      </w:r>
      <w:r w:rsidR="00F05232" w:rsidRPr="00057DEA">
        <w:rPr>
          <w:rFonts w:cs="Frutiger LT Std 45 Light"/>
          <w:color w:val="000000"/>
          <w:sz w:val="17"/>
          <w:szCs w:val="20"/>
        </w:rPr>
        <w:t xml:space="preserve"> and tax authorities need legal certainty as to whether withholding tax benefits which a source state limits to its own resident taxpayers are to be extended to foreign taxpayers under the right to non-discrimination according to ECJ case law. One possible solution would be to enter into bilateral agreements between source and residence states on certain types of foreign entities (</w:t>
      </w:r>
      <w:proofErr w:type="spellStart"/>
      <w:r w:rsidR="00F05232" w:rsidRPr="00057DEA">
        <w:rPr>
          <w:rFonts w:cs="Frutiger LT Std 45 Light"/>
          <w:color w:val="000000"/>
          <w:sz w:val="17"/>
          <w:szCs w:val="20"/>
        </w:rPr>
        <w:t>eg.</w:t>
      </w:r>
      <w:proofErr w:type="spellEnd"/>
      <w:r w:rsidR="00F05232" w:rsidRPr="00057DEA">
        <w:rPr>
          <w:rFonts w:cs="Frutiger LT Std 45 Light"/>
          <w:color w:val="000000"/>
          <w:sz w:val="17"/>
          <w:szCs w:val="20"/>
        </w:rPr>
        <w:t xml:space="preserve"> certain types of investment funds) which are eligible for withholding tax benefits granted under the national law of the source state. Another solution could be to introduce a uniform European legal basis to regulate withholding tax for certain investment funds. Finally, by initiating infringement proceedings, the European Commission could ensure that Member States design their withholding tax schemes in line with EU-law and therefore strengthen the EU-principle of free movement of capital.</w:t>
      </w:r>
    </w:p>
    <w:p w14:paraId="65571B65" w14:textId="77777777" w:rsidR="004E7512" w:rsidRDefault="004E7512" w:rsidP="00F3457C">
      <w:pPr>
        <w:spacing w:line="276" w:lineRule="auto"/>
        <w:rPr>
          <w:rFonts w:cs="Arial"/>
          <w:sz w:val="16"/>
          <w:szCs w:val="16"/>
        </w:rPr>
      </w:pPr>
    </w:p>
    <w:p w14:paraId="132F524E" w14:textId="77777777" w:rsidR="004E7512" w:rsidRDefault="004E7512" w:rsidP="006A40D6">
      <w:pPr>
        <w:rPr>
          <w:rFonts w:cs="Arial"/>
          <w:sz w:val="16"/>
          <w:szCs w:val="16"/>
        </w:rPr>
      </w:pPr>
    </w:p>
    <w:p w14:paraId="10D450F3" w14:textId="77777777" w:rsidR="004E7512" w:rsidRDefault="004E7512" w:rsidP="006A40D6">
      <w:pPr>
        <w:rPr>
          <w:rFonts w:cs="Arial"/>
          <w:sz w:val="16"/>
          <w:szCs w:val="16"/>
        </w:rPr>
      </w:pPr>
    </w:p>
    <w:p w14:paraId="2658C98B" w14:textId="77777777" w:rsidR="004E7512" w:rsidRDefault="004E7512" w:rsidP="006A40D6">
      <w:pPr>
        <w:rPr>
          <w:rFonts w:cs="Arial"/>
          <w:sz w:val="16"/>
          <w:szCs w:val="16"/>
        </w:rPr>
      </w:pPr>
    </w:p>
    <w:p w14:paraId="0EC315DA" w14:textId="77777777" w:rsidR="004E7512" w:rsidRDefault="004E7512" w:rsidP="006A40D6">
      <w:pPr>
        <w:rPr>
          <w:rFonts w:cs="Arial"/>
          <w:sz w:val="16"/>
          <w:szCs w:val="16"/>
        </w:rPr>
      </w:pPr>
    </w:p>
    <w:p w14:paraId="245DCB19" w14:textId="77777777" w:rsidR="004E7512" w:rsidRDefault="004E7512" w:rsidP="006A40D6">
      <w:pPr>
        <w:rPr>
          <w:rFonts w:cs="Arial"/>
          <w:sz w:val="16"/>
          <w:szCs w:val="16"/>
        </w:rPr>
      </w:pPr>
    </w:p>
    <w:p w14:paraId="3C642210" w14:textId="77777777" w:rsidR="004E7512" w:rsidRDefault="004E7512" w:rsidP="006A40D6">
      <w:pPr>
        <w:rPr>
          <w:rFonts w:cs="Arial"/>
          <w:sz w:val="16"/>
          <w:szCs w:val="16"/>
        </w:rPr>
      </w:pPr>
    </w:p>
    <w:p w14:paraId="56D3279C" w14:textId="77777777" w:rsidR="004E7512" w:rsidRDefault="004E7512" w:rsidP="006A40D6">
      <w:pPr>
        <w:rPr>
          <w:rFonts w:cs="Arial"/>
          <w:sz w:val="16"/>
          <w:szCs w:val="16"/>
        </w:rPr>
      </w:pPr>
    </w:p>
    <w:p w14:paraId="1ADC749C" w14:textId="77777777" w:rsidR="00964BBF" w:rsidRDefault="00964BBF" w:rsidP="00964BBF">
      <w:pPr>
        <w:rPr>
          <w:sz w:val="17"/>
          <w:szCs w:val="17"/>
        </w:rPr>
      </w:pPr>
      <w:bookmarkStart w:id="11" w:name="_Hlk31789991"/>
      <w:r>
        <w:rPr>
          <w:sz w:val="17"/>
          <w:szCs w:val="17"/>
        </w:rPr>
        <w:t>Insurance Europe is the European insurance and reinsurance federation. Through its 36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bookmarkEnd w:id="11"/>
    </w:p>
    <w:p w14:paraId="798C7189" w14:textId="3E2E8CCD" w:rsidR="003D38C8" w:rsidRPr="006A40D6" w:rsidRDefault="003D38C8" w:rsidP="00964BBF">
      <w:pPr>
        <w:rPr>
          <w:sz w:val="16"/>
          <w:szCs w:val="22"/>
        </w:rPr>
      </w:pPr>
    </w:p>
    <w:sectPr w:rsidR="003D38C8" w:rsidRPr="006A40D6" w:rsidSect="00EF7766">
      <w:footerReference w:type="default" r:id="rId26"/>
      <w:type w:val="continuous"/>
      <w:pgSz w:w="11907" w:h="16839" w:code="9"/>
      <w:pgMar w:top="2336" w:right="902" w:bottom="1077" w:left="1474" w:header="709" w:footer="23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surance Europe" w:date="2022-05-24T14:29:00Z" w:initials="IE">
    <w:p w14:paraId="26B0A837" w14:textId="77777777" w:rsidR="00EF6F28" w:rsidRDefault="00EF6F28" w:rsidP="00EF6F28">
      <w:pPr>
        <w:pStyle w:val="Textkomentra"/>
      </w:pPr>
      <w:r>
        <w:rPr>
          <w:rStyle w:val="Odkaznakomentr"/>
        </w:rPr>
        <w:annotationRef/>
      </w:r>
      <w:r>
        <w:t>The question is shown only in case of a negative answer in Q6</w:t>
      </w:r>
    </w:p>
  </w:comment>
  <w:comment w:id="2" w:author="Insurance Europe" w:date="2022-05-24T14:31:00Z" w:initials="IE">
    <w:p w14:paraId="62321B06" w14:textId="77777777" w:rsidR="00EF6F28" w:rsidRDefault="00EF6F28" w:rsidP="00EF6F28">
      <w:pPr>
        <w:pStyle w:val="Textkomentra"/>
      </w:pPr>
      <w:r>
        <w:rPr>
          <w:rStyle w:val="Odkaznakomentr"/>
        </w:rPr>
        <w:annotationRef/>
      </w:r>
      <w:r>
        <w:t>The question is shown only in case of a positive answer in Q6</w:t>
      </w:r>
    </w:p>
  </w:comment>
  <w:comment w:id="3" w:author="Insurance Europe" w:date="2022-05-24T14:43:00Z" w:initials="IE">
    <w:p w14:paraId="3743953D" w14:textId="77777777" w:rsidR="00EF6F28" w:rsidRDefault="00EF6F28" w:rsidP="00EF6F28">
      <w:pPr>
        <w:pStyle w:val="Textkomentra"/>
      </w:pPr>
      <w:r>
        <w:rPr>
          <w:rStyle w:val="Odkaznakomentr"/>
        </w:rPr>
        <w:annotationRef/>
      </w:r>
      <w:r>
        <w:t>The question is shown only in case of a positive answer in Q6</w:t>
      </w:r>
    </w:p>
  </w:comment>
  <w:comment w:id="4" w:author="Insurance Europe" w:date="2022-05-24T14:43:00Z" w:initials="IE">
    <w:p w14:paraId="36C119C1" w14:textId="77777777" w:rsidR="00EF6F28" w:rsidRDefault="00EF6F28" w:rsidP="00EF6F28">
      <w:pPr>
        <w:pStyle w:val="Textkomentra"/>
      </w:pPr>
      <w:r>
        <w:rPr>
          <w:rStyle w:val="Odkaznakomentr"/>
        </w:rPr>
        <w:annotationRef/>
      </w:r>
      <w:r>
        <w:t>The question is shown only in case of a positive answer in Q6</w:t>
      </w:r>
    </w:p>
  </w:comment>
  <w:comment w:id="5" w:author="Insurance Europe" w:date="2022-05-24T14:43:00Z" w:initials="IE">
    <w:p w14:paraId="2905DDBA" w14:textId="77777777" w:rsidR="00EF6F28" w:rsidRDefault="00EF6F28" w:rsidP="00EF6F28">
      <w:pPr>
        <w:pStyle w:val="Textkomentra"/>
      </w:pPr>
      <w:r>
        <w:rPr>
          <w:rStyle w:val="Odkaznakomentr"/>
        </w:rPr>
        <w:annotationRef/>
      </w:r>
      <w:r>
        <w:t>The question is shown only in case of a positive answer in Q6</w:t>
      </w:r>
    </w:p>
  </w:comment>
  <w:comment w:id="6" w:author="Insurance Europe" w:date="2022-05-24T14:43:00Z" w:initials="IE">
    <w:p w14:paraId="6117EF87" w14:textId="77777777" w:rsidR="00EF6F28" w:rsidRDefault="00EF6F28" w:rsidP="00EF6F28">
      <w:pPr>
        <w:pStyle w:val="Textkomentra"/>
      </w:pPr>
      <w:r>
        <w:rPr>
          <w:rStyle w:val="Odkaznakomentr"/>
        </w:rPr>
        <w:annotationRef/>
      </w:r>
      <w:r>
        <w:t>The question is shown only in case of a positive answer in Q6</w:t>
      </w:r>
    </w:p>
  </w:comment>
  <w:comment w:id="7" w:author="Insurance Europe" w:date="2022-05-24T14:43:00Z" w:initials="IE">
    <w:p w14:paraId="6E4CE867" w14:textId="77777777" w:rsidR="00EF6F28" w:rsidRDefault="00EF6F28" w:rsidP="00EF6F28">
      <w:pPr>
        <w:pStyle w:val="Textkomentra"/>
      </w:pPr>
      <w:r>
        <w:rPr>
          <w:rStyle w:val="Odkaznakomentr"/>
        </w:rPr>
        <w:annotationRef/>
      </w:r>
      <w:r>
        <w:t>The question is shown only in case of a positive answer in Q6</w:t>
      </w:r>
    </w:p>
  </w:comment>
  <w:comment w:id="8" w:author="Insurance Europe" w:date="2022-05-24T14:43:00Z" w:initials="IE">
    <w:p w14:paraId="177CB9DF" w14:textId="77777777" w:rsidR="00EF6F28" w:rsidRDefault="00EF6F28" w:rsidP="00EF6F28">
      <w:pPr>
        <w:pStyle w:val="Textkomentra"/>
      </w:pPr>
      <w:r>
        <w:rPr>
          <w:rStyle w:val="Odkaznakomentr"/>
        </w:rPr>
        <w:annotationRef/>
      </w:r>
      <w:r>
        <w:t>The question is shown only in case of a positive answer in Q6</w:t>
      </w:r>
    </w:p>
  </w:comment>
  <w:comment w:id="9" w:author="Insurance Europe" w:date="2022-05-24T14:56:00Z" w:initials="IE">
    <w:p w14:paraId="302A2EE2" w14:textId="77777777" w:rsidR="001D2E8D" w:rsidRDefault="001D2E8D" w:rsidP="001D2E8D">
      <w:pPr>
        <w:pStyle w:val="Textkomentra"/>
      </w:pPr>
      <w:r>
        <w:rPr>
          <w:rStyle w:val="Odkaznakomentr"/>
        </w:rPr>
        <w:annotationRef/>
      </w:r>
      <w:r>
        <w:t>The question is shown only in case of a positive answer in Q29</w:t>
      </w:r>
    </w:p>
  </w:comment>
  <w:comment w:id="10" w:author="Insurance Europe" w:date="2022-05-24T15:02:00Z" w:initials="IE">
    <w:p w14:paraId="3CB53D8C" w14:textId="77777777" w:rsidR="00CB7DA3" w:rsidRPr="00C87F7F" w:rsidRDefault="00CB7DA3" w:rsidP="00CB7DA3">
      <w:pPr>
        <w:pStyle w:val="Zkladntext"/>
        <w:spacing w:line="288" w:lineRule="auto"/>
        <w:jc w:val="both"/>
        <w:rPr>
          <w:rFonts w:ascii="Verdana" w:eastAsia="Times New Roman" w:hAnsi="Verdana" w:cs="Frutiger LT Std 45 Light"/>
          <w:color w:val="000000"/>
          <w:sz w:val="17"/>
          <w:szCs w:val="20"/>
          <w:lang w:val="en-GB"/>
        </w:rPr>
      </w:pPr>
      <w:r>
        <w:rPr>
          <w:rStyle w:val="Odkaznakomentr"/>
        </w:rPr>
        <w:annotationRef/>
      </w:r>
      <w:r w:rsidRPr="00C87F7F">
        <w:rPr>
          <w:rFonts w:ascii="Verdana" w:eastAsia="Times New Roman" w:hAnsi="Verdana" w:cs="Frutiger LT Std 45 Light"/>
          <w:color w:val="000000"/>
          <w:sz w:val="17"/>
          <w:szCs w:val="20"/>
          <w:lang w:val="en-GB"/>
        </w:rPr>
        <w:t>Should you wish to provide additional information (for example a position paper) or raise specific points not</w:t>
      </w:r>
      <w:r>
        <w:rPr>
          <w:rFonts w:ascii="Verdana" w:eastAsia="Times New Roman" w:hAnsi="Verdana" w:cs="Frutiger LT Std 45 Light"/>
          <w:color w:val="000000"/>
          <w:sz w:val="17"/>
          <w:szCs w:val="20"/>
          <w:lang w:val="en-GB"/>
        </w:rPr>
        <w:t xml:space="preserve"> </w:t>
      </w:r>
      <w:r w:rsidRPr="00C87F7F">
        <w:rPr>
          <w:rFonts w:ascii="Verdana" w:eastAsia="Times New Roman" w:hAnsi="Verdana" w:cs="Frutiger LT Std 45 Light"/>
          <w:color w:val="000000"/>
          <w:sz w:val="17"/>
          <w:szCs w:val="20"/>
          <w:lang w:val="en-GB"/>
        </w:rPr>
        <w:t>covered by the questionnaire, you can upload your additional document here.</w:t>
      </w:r>
    </w:p>
    <w:p w14:paraId="1006F83B" w14:textId="77777777" w:rsidR="00CB7DA3" w:rsidRDefault="00CB7DA3" w:rsidP="00CB7DA3">
      <w:pPr>
        <w:pStyle w:val="Textkomentr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B0A837" w15:done="0"/>
  <w15:commentEx w15:paraId="62321B06" w15:done="0"/>
  <w15:commentEx w15:paraId="3743953D" w15:done="0"/>
  <w15:commentEx w15:paraId="36C119C1" w15:done="0"/>
  <w15:commentEx w15:paraId="2905DDBA" w15:done="0"/>
  <w15:commentEx w15:paraId="6117EF87" w15:done="0"/>
  <w15:commentEx w15:paraId="6E4CE867" w15:done="0"/>
  <w15:commentEx w15:paraId="177CB9DF" w15:done="0"/>
  <w15:commentEx w15:paraId="302A2EE2" w15:done="0"/>
  <w15:commentEx w15:paraId="1006F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A58" w16cex:dateUtc="2022-05-24T12:29:00Z"/>
  <w16cex:commentExtensible w16cex:durableId="263F2413" w16cex:dateUtc="2022-05-24T12:31:00Z"/>
  <w16cex:commentExtensible w16cex:durableId="263F2414" w16cex:dateUtc="2022-05-24T12:43:00Z"/>
  <w16cex:commentExtensible w16cex:durableId="263F2419" w16cex:dateUtc="2022-05-24T12:43:00Z"/>
  <w16cex:commentExtensible w16cex:durableId="263F2418" w16cex:dateUtc="2022-05-24T12:43:00Z"/>
  <w16cex:commentExtensible w16cex:durableId="263F2417" w16cex:dateUtc="2022-05-24T12:43:00Z"/>
  <w16cex:commentExtensible w16cex:durableId="263F2416" w16cex:dateUtc="2022-05-24T12:43:00Z"/>
  <w16cex:commentExtensible w16cex:durableId="263F2415" w16cex:dateUtc="2022-05-24T12:43:00Z"/>
  <w16cex:commentExtensible w16cex:durableId="263F241A" w16cex:dateUtc="2022-05-24T12:56:00Z"/>
  <w16cex:commentExtensible w16cex:durableId="26377220" w16cex:dateUtc="2022-05-24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B0A837" w16cid:durableId="26376A58"/>
  <w16cid:commentId w16cid:paraId="62321B06" w16cid:durableId="263F2413"/>
  <w16cid:commentId w16cid:paraId="3743953D" w16cid:durableId="263F2414"/>
  <w16cid:commentId w16cid:paraId="36C119C1" w16cid:durableId="263F2419"/>
  <w16cid:commentId w16cid:paraId="2905DDBA" w16cid:durableId="263F2418"/>
  <w16cid:commentId w16cid:paraId="6117EF87" w16cid:durableId="263F2417"/>
  <w16cid:commentId w16cid:paraId="6E4CE867" w16cid:durableId="263F2416"/>
  <w16cid:commentId w16cid:paraId="177CB9DF" w16cid:durableId="263F2415"/>
  <w16cid:commentId w16cid:paraId="302A2EE2" w16cid:durableId="263F241A"/>
  <w16cid:commentId w16cid:paraId="1006F83B" w16cid:durableId="263772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6DE3" w14:textId="77777777" w:rsidR="00A03552" w:rsidRDefault="00A03552">
      <w:pPr>
        <w:spacing w:line="240" w:lineRule="auto"/>
      </w:pPr>
      <w:r>
        <w:separator/>
      </w:r>
    </w:p>
  </w:endnote>
  <w:endnote w:type="continuationSeparator" w:id="0">
    <w:p w14:paraId="7DA29900" w14:textId="77777777" w:rsidR="00A03552" w:rsidRDefault="00A03552">
      <w:pPr>
        <w:spacing w:line="240" w:lineRule="auto"/>
      </w:pPr>
      <w:r>
        <w:continuationSeparator/>
      </w:r>
    </w:p>
  </w:endnote>
  <w:endnote w:type="continuationNotice" w:id="1">
    <w:p w14:paraId="31F14EB6" w14:textId="77777777" w:rsidR="00A03552" w:rsidRDefault="00A035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charset w:val="00"/>
    <w:family w:val="swiss"/>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FreeSans">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E514" w14:textId="77777777" w:rsidR="00EF7766" w:rsidRDefault="00DC0734" w:rsidP="00EF776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C3B2322" w14:textId="77777777" w:rsidR="00EF7766" w:rsidRDefault="00EF7766" w:rsidP="00EF776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726E" w14:textId="77777777" w:rsidR="00EF7766" w:rsidRPr="007748EE" w:rsidRDefault="00DC0734" w:rsidP="00EF7766">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575193BE" w14:textId="77777777" w:rsidR="00EF7766" w:rsidRPr="0085650F" w:rsidRDefault="00EF7766" w:rsidP="00EF7766">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EF7766" w14:paraId="632343C7" w14:textId="77777777" w:rsidTr="00516AAF">
      <w:tc>
        <w:tcPr>
          <w:tcW w:w="5387" w:type="dxa"/>
        </w:tcPr>
        <w:p w14:paraId="427EFF40" w14:textId="77777777" w:rsidR="00EF7766" w:rsidRDefault="00DC0734" w:rsidP="00EF7766">
          <w:pPr>
            <w:pStyle w:val="CEAFooterauthorinfo"/>
            <w:jc w:val="left"/>
            <w:rPr>
              <w:b w:val="0"/>
              <w:color w:val="002957"/>
              <w:sz w:val="14"/>
              <w:szCs w:val="14"/>
              <w:lang w:val="pt-PT"/>
            </w:rPr>
          </w:pPr>
          <w:r w:rsidRPr="00A4463C">
            <w:rPr>
              <w:b w:val="0"/>
              <w:color w:val="002957"/>
              <w:sz w:val="14"/>
              <w:szCs w:val="14"/>
            </w:rPr>
            <w:t>Insurance Europe aisbl</w:t>
          </w:r>
        </w:p>
        <w:p w14:paraId="1D130EB2" w14:textId="77777777" w:rsidR="00EF7766" w:rsidRPr="00A4463C" w:rsidRDefault="00DC0734" w:rsidP="00EF7766">
          <w:pPr>
            <w:pStyle w:val="CEAFooterauthorinfo"/>
            <w:jc w:val="left"/>
            <w:rPr>
              <w:b w:val="0"/>
              <w:color w:val="002957"/>
              <w:sz w:val="14"/>
              <w:szCs w:val="14"/>
            </w:rPr>
          </w:pPr>
          <w:r w:rsidRPr="00A4463C">
            <w:rPr>
              <w:b w:val="0"/>
              <w:color w:val="002957"/>
              <w:sz w:val="14"/>
              <w:szCs w:val="14"/>
            </w:rPr>
            <w:t xml:space="preserve">Rue </w:t>
          </w:r>
          <w:r>
            <w:rPr>
              <w:b w:val="0"/>
              <w:color w:val="002957"/>
              <w:sz w:val="14"/>
              <w:szCs w:val="14"/>
            </w:rPr>
            <w:t>du Champ de Mars</w:t>
          </w:r>
          <w:r w:rsidRPr="00A4463C">
            <w:rPr>
              <w:b w:val="0"/>
              <w:color w:val="002957"/>
              <w:sz w:val="14"/>
              <w:szCs w:val="14"/>
            </w:rPr>
            <w:t xml:space="preserve"> </w:t>
          </w:r>
          <w:r>
            <w:rPr>
              <w:b w:val="0"/>
              <w:color w:val="002957"/>
              <w:sz w:val="14"/>
              <w:szCs w:val="14"/>
            </w:rPr>
            <w:t>23</w:t>
          </w:r>
          <w:r w:rsidRPr="00A4463C">
            <w:rPr>
              <w:b w:val="0"/>
              <w:color w:val="002957"/>
              <w:sz w:val="14"/>
              <w:szCs w:val="14"/>
            </w:rPr>
            <w:t>, B-10</w:t>
          </w:r>
          <w:r>
            <w:rPr>
              <w:b w:val="0"/>
              <w:color w:val="002957"/>
              <w:sz w:val="14"/>
              <w:szCs w:val="14"/>
            </w:rPr>
            <w:t>5</w:t>
          </w:r>
          <w:r w:rsidRPr="00A4463C">
            <w:rPr>
              <w:b w:val="0"/>
              <w:color w:val="002957"/>
              <w:sz w:val="14"/>
              <w:szCs w:val="14"/>
            </w:rPr>
            <w:t xml:space="preserve">0 Brussels </w:t>
          </w:r>
        </w:p>
        <w:p w14:paraId="7F279156" w14:textId="77777777" w:rsidR="00EF7766" w:rsidRDefault="00DC0734" w:rsidP="00EF7766">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2BFF85CE" w14:textId="77777777" w:rsidR="00EF7766" w:rsidRPr="0012469D" w:rsidRDefault="00DC0734" w:rsidP="00EF7766">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04BD0987" w14:textId="77777777" w:rsidR="00EF7766" w:rsidRPr="00492DBE" w:rsidRDefault="00DC0734" w:rsidP="00EF7766">
          <w:pPr>
            <w:pStyle w:val="CEAFooterauthorinfo"/>
            <w:jc w:val="left"/>
            <w:rPr>
              <w:b w:val="0"/>
              <w:color w:val="002957"/>
              <w:sz w:val="14"/>
              <w:szCs w:val="14"/>
              <w:lang w:val="en-GB"/>
            </w:rPr>
          </w:pPr>
          <w:r w:rsidRPr="00543E78">
            <w:rPr>
              <w:b w:val="0"/>
              <w:color w:val="002957"/>
              <w:sz w:val="14"/>
              <w:szCs w:val="14"/>
              <w:lang w:val="en-GB"/>
            </w:rPr>
            <w:t>© Insurance Europe. Confidential, internal document. Not for distribution, all rights reserved.</w:t>
          </w:r>
        </w:p>
      </w:tc>
    </w:tr>
  </w:tbl>
  <w:p w14:paraId="5AEC0AEC" w14:textId="77777777" w:rsidR="00EF7766" w:rsidRPr="00181025" w:rsidRDefault="00EF7766">
    <w:pPr>
      <w:pStyle w:val="Pta"/>
      <w:rPr>
        <w:color w:val="002957"/>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ECA" w14:textId="77777777" w:rsidR="00A95683" w:rsidRPr="007748EE" w:rsidRDefault="00A95683" w:rsidP="00BE45D1">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6D7FD778" w14:textId="77777777" w:rsidR="007832F0" w:rsidRDefault="007832F0">
    <w:pPr>
      <w:pStyle w:val="Pta"/>
    </w:pPr>
  </w:p>
  <w:p w14:paraId="1B49BB63" w14:textId="77777777" w:rsidR="001328BB" w:rsidRDefault="00132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66F8" w14:textId="77777777" w:rsidR="00A03552" w:rsidRDefault="00A03552">
      <w:pPr>
        <w:spacing w:line="240" w:lineRule="auto"/>
      </w:pPr>
      <w:r>
        <w:separator/>
      </w:r>
    </w:p>
  </w:footnote>
  <w:footnote w:type="continuationSeparator" w:id="0">
    <w:p w14:paraId="1E0EC519" w14:textId="77777777" w:rsidR="00A03552" w:rsidRDefault="00A03552">
      <w:pPr>
        <w:spacing w:line="240" w:lineRule="auto"/>
      </w:pPr>
      <w:r>
        <w:continuationSeparator/>
      </w:r>
    </w:p>
  </w:footnote>
  <w:footnote w:type="continuationNotice" w:id="1">
    <w:p w14:paraId="5CA6FB68" w14:textId="77777777" w:rsidR="00A03552" w:rsidRDefault="00A035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565E" w14:textId="77777777" w:rsidR="00EF7766" w:rsidRPr="00323E1C" w:rsidRDefault="00DC0734" w:rsidP="00EF7766">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446C2133" wp14:editId="0342705B">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55832C57" w14:textId="77777777" w:rsidR="00EF7766" w:rsidRPr="0085650F" w:rsidRDefault="00711F42" w:rsidP="00EF7766">
    <w:pPr>
      <w:pStyle w:val="Noparagraphstyle"/>
      <w:jc w:val="right"/>
      <w:rPr>
        <w:rFonts w:ascii="Verdana" w:hAnsi="Verdana" w:cs="Arial"/>
        <w:i/>
        <w:iCs/>
        <w:color w:val="034EA2"/>
      </w:rPr>
    </w:pPr>
    <w:r>
      <w:rPr>
        <w:rFonts w:ascii="Verdana" w:hAnsi="Verdana"/>
      </w:rPr>
      <w:tab/>
    </w:r>
  </w:p>
  <w:p w14:paraId="2448D76E" w14:textId="77777777" w:rsidR="00EF7766" w:rsidRPr="00491802" w:rsidRDefault="00EF7766" w:rsidP="00EF7766">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4620" w14:textId="074440CD" w:rsidR="00EF7766" w:rsidRDefault="00DC0734" w:rsidP="00EF7766">
    <w:pPr>
      <w:pStyle w:val="Noparagraphstyle"/>
      <w:jc w:val="right"/>
    </w:pPr>
    <w:r w:rsidRPr="006D41E4">
      <w:rPr>
        <w:rFonts w:ascii="Frutiger LT Com 45 Light" w:hAnsi="Frutiger LT Com 45 Light"/>
        <w:noProof/>
        <w:color w:val="FF0000"/>
        <w:sz w:val="18"/>
        <w:szCs w:val="18"/>
        <w:lang w:val="nl-BE" w:eastAsia="nl-BE"/>
      </w:rPr>
      <w:drawing>
        <wp:anchor distT="0" distB="0" distL="114300" distR="114300" simplePos="0" relativeHeight="251658240" behindDoc="0" locked="0" layoutInCell="1" allowOverlap="1" wp14:anchorId="26DD09D5" wp14:editId="08CF01C2">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05FCB78" w14:textId="77777777" w:rsidR="00C04027" w:rsidRDefault="00C04027" w:rsidP="00C04027">
    <w:pPr>
      <w:pStyle w:val="Noparagraphstyle"/>
      <w:jc w:val="right"/>
    </w:pPr>
  </w:p>
  <w:p w14:paraId="7B67242B" w14:textId="77777777" w:rsidR="00C04027" w:rsidRDefault="00C04027" w:rsidP="00C04027">
    <w:pPr>
      <w:pStyle w:val="Noparagraphstyle"/>
      <w:jc w:val="right"/>
    </w:pPr>
  </w:p>
  <w:p w14:paraId="6258341F" w14:textId="77777777" w:rsidR="00EF7766" w:rsidRPr="00D74967" w:rsidRDefault="00EF7766" w:rsidP="00EF7766">
    <w:pPr>
      <w:pStyle w:val="CEADraft"/>
      <w:rPr>
        <w:color w:val="002957"/>
        <w:lang w:val="en-US"/>
      </w:rPr>
    </w:pPr>
  </w:p>
  <w:p w14:paraId="0F9984FF" w14:textId="77777777" w:rsidR="00362896" w:rsidRPr="00362896" w:rsidRDefault="00362896" w:rsidP="00BE45D1">
    <w:pPr>
      <w:pStyle w:val="CEADraft"/>
      <w:rPr>
        <w:color w:val="002957"/>
        <w:sz w:val="24"/>
        <w:szCs w:val="32"/>
        <w:lang w:val="en-US"/>
      </w:rPr>
    </w:pPr>
  </w:p>
  <w:p w14:paraId="6CD4626D" w14:textId="77777777" w:rsidR="00EF7766" w:rsidRPr="00D74967" w:rsidRDefault="00EF7766" w:rsidP="00EF7766">
    <w:pPr>
      <w:rPr>
        <w:color w:val="002957"/>
        <w:lang w:val="en-US"/>
      </w:rPr>
    </w:pPr>
  </w:p>
  <w:bookmarkStart w:id="0" w:name="Document_title_"/>
  <w:p w14:paraId="2AD0CF48" w14:textId="746D1B06" w:rsidR="00EF7766" w:rsidRPr="00D74967" w:rsidRDefault="00A7774F" w:rsidP="00EF7766">
    <w:pPr>
      <w:pStyle w:val="CEAPositionPaperTitle"/>
      <w:ind w:left="0"/>
      <w:rPr>
        <w:b w:val="0"/>
        <w:color w:val="002957"/>
        <w:sz w:val="28"/>
        <w:szCs w:val="28"/>
        <w:lang w:val="en-US"/>
      </w:rPr>
    </w:pPr>
    <w:sdt>
      <w:sdtPr>
        <w:rPr>
          <w:b w:val="0"/>
          <w:color w:val="002957"/>
          <w:sz w:val="28"/>
          <w:szCs w:val="28"/>
          <w:lang w:val="en-US"/>
        </w:rPr>
        <w:id w:val="-1374918777"/>
        <w:dataBinding w:prefixMappings="xmlns:ns0='http://purl.org/dc/elements/1.1/' xmlns:ns1='http://schemas.openxmlformats.org/package/2006/metadata/core-properties' " w:xpath="/ns1:coreProperties[1]/ns0:title[1]" w:storeItemID="{6C3C8BC8-F283-45AE-878A-BAB7291924A1}"/>
        <w:text/>
      </w:sdtPr>
      <w:sdtEndPr/>
      <w:sdtContent>
        <w:r>
          <w:rPr>
            <w:b w:val="0"/>
            <w:color w:val="002957"/>
            <w:sz w:val="28"/>
            <w:szCs w:val="28"/>
            <w:lang w:val="en-US"/>
          </w:rPr>
          <w:t>Insurance Europe’s final draft response to WHT consultation (clean)</w:t>
        </w:r>
      </w:sdtContent>
    </w:sdt>
    <w:bookmarkEnd w:id="0"/>
  </w:p>
  <w:p w14:paraId="27ACD559" w14:textId="2C624CF4" w:rsidR="00EF7766" w:rsidRDefault="00EF7766" w:rsidP="00EF7766">
    <w:pPr>
      <w:rPr>
        <w:lang w:val="en-US"/>
      </w:rPr>
    </w:pPr>
  </w:p>
  <w:p w14:paraId="2C818928" w14:textId="17B695F5" w:rsidR="00EF7766" w:rsidRPr="00D74967" w:rsidRDefault="00DC0734" w:rsidP="00EF7766">
    <w:pPr>
      <w:rPr>
        <w:lang w:val="en-US"/>
      </w:rPr>
    </w:pPr>
    <w:r>
      <w:rPr>
        <w:noProof/>
        <w:lang w:val="nl-BE" w:eastAsia="nl-BE"/>
      </w:rPr>
      <mc:AlternateContent>
        <mc:Choice Requires="wps">
          <w:drawing>
            <wp:anchor distT="0" distB="0" distL="114300" distR="114300" simplePos="0" relativeHeight="251658242" behindDoc="1" locked="1" layoutInCell="1" allowOverlap="1" wp14:anchorId="08831DA3" wp14:editId="2914A57F">
              <wp:simplePos x="0" y="0"/>
              <wp:positionH relativeFrom="margin">
                <wp:align>left</wp:align>
              </wp:positionH>
              <wp:positionV relativeFrom="paragraph">
                <wp:posOffset>88265</wp:posOffset>
              </wp:positionV>
              <wp:extent cx="6124575" cy="2051685"/>
              <wp:effectExtent l="0" t="0" r="28575" b="2476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46D0C4" id="AutoShape 18" o:spid="_x0000_s1026" style="position:absolute;margin-left:0;margin-top:6.95pt;width:482.25pt;height:161.5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" filled="f" strokecolor="#82c55b" strokeweight=".5pt">
              <w10:wrap anchorx="margin"/>
              <w10:anchorlock/>
            </v:roundrect>
          </w:pict>
        </mc:Fallback>
      </mc:AlternateContent>
    </w:r>
  </w:p>
  <w:tbl>
    <w:tblPr>
      <w:tblW w:w="9568" w:type="dxa"/>
      <w:tblBorders>
        <w:insideH w:val="single" w:sz="4" w:space="0" w:color="82C55B"/>
      </w:tblBorders>
      <w:tblLayout w:type="fixed"/>
      <w:tblLook w:val="0000" w:firstRow="0" w:lastRow="0" w:firstColumn="0" w:lastColumn="0" w:noHBand="0" w:noVBand="0"/>
    </w:tblPr>
    <w:tblGrid>
      <w:gridCol w:w="1525"/>
      <w:gridCol w:w="3531"/>
      <w:gridCol w:w="1558"/>
      <w:gridCol w:w="2954"/>
    </w:tblGrid>
    <w:tr w:rsidR="00EF7766" w:rsidRPr="000D41DA" w14:paraId="69DC96E6" w14:textId="77777777" w:rsidTr="00EF7766">
      <w:trPr>
        <w:cantSplit/>
        <w:trHeight w:hRule="exact" w:val="533"/>
      </w:trPr>
      <w:tc>
        <w:tcPr>
          <w:tcW w:w="1525" w:type="dxa"/>
          <w:shd w:val="clear" w:color="auto" w:fill="auto"/>
          <w:vAlign w:val="center"/>
        </w:tcPr>
        <w:p w14:paraId="00778480" w14:textId="77777777" w:rsidR="00EF7766" w:rsidRPr="0085650F" w:rsidRDefault="00DC0734" w:rsidP="00EF7766">
          <w:pPr>
            <w:pStyle w:val="CEALabel"/>
            <w:rPr>
              <w:b w:val="0"/>
              <w:color w:val="002957"/>
              <w:sz w:val="17"/>
              <w:szCs w:val="17"/>
            </w:rPr>
          </w:pPr>
          <w:r w:rsidRPr="0085650F">
            <w:rPr>
              <w:b w:val="0"/>
              <w:color w:val="002957"/>
              <w:sz w:val="17"/>
              <w:szCs w:val="17"/>
            </w:rPr>
            <w:t xml:space="preserve">Our reference: </w:t>
          </w:r>
        </w:p>
      </w:tc>
      <w:tc>
        <w:tcPr>
          <w:tcW w:w="3531" w:type="dxa"/>
          <w:shd w:val="clear" w:color="auto" w:fill="auto"/>
          <w:vAlign w:val="center"/>
        </w:tcPr>
        <w:p w14:paraId="2D8B138C" w14:textId="506D6FF4" w:rsidR="00EF7766" w:rsidRPr="00F16CD0" w:rsidRDefault="00EF7766" w:rsidP="00EF7766">
          <w:pPr>
            <w:jc w:val="left"/>
            <w:rPr>
              <w:color w:val="002957"/>
              <w:sz w:val="17"/>
              <w:szCs w:val="17"/>
              <w:lang w:val="fr-BE"/>
            </w:rPr>
          </w:pPr>
        </w:p>
      </w:tc>
      <w:tc>
        <w:tcPr>
          <w:tcW w:w="1558" w:type="dxa"/>
          <w:shd w:val="clear" w:color="auto" w:fill="auto"/>
          <w:vAlign w:val="center"/>
        </w:tcPr>
        <w:p w14:paraId="4B79BD6C" w14:textId="77777777" w:rsidR="00EF7766" w:rsidRPr="0085650F" w:rsidRDefault="00DC0734" w:rsidP="00EF7766">
          <w:pPr>
            <w:pStyle w:val="CEALabel"/>
            <w:rPr>
              <w:b w:val="0"/>
              <w:color w:val="002957"/>
              <w:sz w:val="17"/>
              <w:szCs w:val="17"/>
            </w:rPr>
          </w:pPr>
          <w:r w:rsidRPr="0085650F">
            <w:rPr>
              <w:b w:val="0"/>
              <w:color w:val="002957"/>
              <w:sz w:val="17"/>
              <w:szCs w:val="17"/>
            </w:rPr>
            <w:t>Date:</w:t>
          </w:r>
        </w:p>
      </w:tc>
      <w:tc>
        <w:tcPr>
          <w:tcW w:w="2954" w:type="dxa"/>
          <w:shd w:val="clear" w:color="auto" w:fill="auto"/>
          <w:vAlign w:val="center"/>
        </w:tcPr>
        <w:p w14:paraId="1864B0BA" w14:textId="7D7F49CA" w:rsidR="00EF7766" w:rsidRPr="00585988" w:rsidRDefault="005D220D" w:rsidP="00EF7766">
          <w:pPr>
            <w:jc w:val="left"/>
            <w:rPr>
              <w:color w:val="002957"/>
              <w:sz w:val="17"/>
              <w:szCs w:val="17"/>
            </w:rPr>
          </w:pPr>
          <w:r>
            <w:rPr>
              <w:color w:val="002957"/>
              <w:sz w:val="17"/>
              <w:szCs w:val="17"/>
            </w:rPr>
            <w:t>20</w:t>
          </w:r>
          <w:r w:rsidR="00B67B2E">
            <w:rPr>
              <w:color w:val="002957"/>
              <w:sz w:val="17"/>
              <w:szCs w:val="17"/>
            </w:rPr>
            <w:t>-0</w:t>
          </w:r>
          <w:r>
            <w:rPr>
              <w:color w:val="002957"/>
              <w:sz w:val="17"/>
              <w:szCs w:val="17"/>
            </w:rPr>
            <w:t>5</w:t>
          </w:r>
          <w:r w:rsidR="00B67B2E">
            <w:rPr>
              <w:color w:val="002957"/>
              <w:sz w:val="17"/>
              <w:szCs w:val="17"/>
            </w:rPr>
            <w:t>-2022</w:t>
          </w:r>
        </w:p>
      </w:tc>
    </w:tr>
    <w:tr w:rsidR="00EF7766" w:rsidRPr="000D41DA" w14:paraId="2AC03092" w14:textId="77777777" w:rsidTr="00EF7766">
      <w:trPr>
        <w:cantSplit/>
        <w:trHeight w:hRule="exact" w:val="899"/>
      </w:trPr>
      <w:tc>
        <w:tcPr>
          <w:tcW w:w="1525" w:type="dxa"/>
          <w:shd w:val="clear" w:color="auto" w:fill="auto"/>
          <w:vAlign w:val="center"/>
        </w:tcPr>
        <w:p w14:paraId="4E95F2C2" w14:textId="77777777" w:rsidR="00EF7766" w:rsidRPr="0085650F" w:rsidRDefault="00DC0734" w:rsidP="00EF7766">
          <w:pPr>
            <w:pStyle w:val="CEALabel"/>
            <w:rPr>
              <w:b w:val="0"/>
              <w:color w:val="002957"/>
              <w:sz w:val="17"/>
              <w:szCs w:val="17"/>
            </w:rPr>
          </w:pPr>
          <w:r w:rsidRPr="0085650F">
            <w:rPr>
              <w:b w:val="0"/>
              <w:color w:val="002957"/>
              <w:sz w:val="17"/>
              <w:szCs w:val="17"/>
            </w:rPr>
            <w:t>Referring to:</w:t>
          </w:r>
        </w:p>
      </w:tc>
      <w:tc>
        <w:tcPr>
          <w:tcW w:w="8043" w:type="dxa"/>
          <w:gridSpan w:val="3"/>
          <w:shd w:val="clear" w:color="auto" w:fill="auto"/>
          <w:vAlign w:val="center"/>
        </w:tcPr>
        <w:p w14:paraId="698EEA52" w14:textId="37828FC3" w:rsidR="00EF7766" w:rsidRPr="00585988" w:rsidRDefault="00A7774F" w:rsidP="00362896">
          <w:pPr>
            <w:rPr>
              <w:color w:val="002957"/>
              <w:sz w:val="17"/>
              <w:szCs w:val="17"/>
            </w:rPr>
          </w:pPr>
          <w:hyperlink r:id="rId2" w:history="1">
            <w:r w:rsidR="005D220D" w:rsidRPr="00E31015">
              <w:rPr>
                <w:rStyle w:val="Hypertextovprepojenie"/>
                <w:sz w:val="17"/>
                <w:szCs w:val="17"/>
              </w:rPr>
              <w:t>EC Consultation on Withholding taxes – new EU system to avoid double taxation</w:t>
            </w:r>
          </w:hyperlink>
        </w:p>
      </w:tc>
    </w:tr>
    <w:tr w:rsidR="00EF7766" w:rsidRPr="000D41DA" w14:paraId="4BA12F65" w14:textId="77777777" w:rsidTr="00EF7766">
      <w:trPr>
        <w:cantSplit/>
        <w:trHeight w:hRule="exact" w:val="533"/>
      </w:trPr>
      <w:tc>
        <w:tcPr>
          <w:tcW w:w="1525" w:type="dxa"/>
          <w:shd w:val="clear" w:color="auto" w:fill="auto"/>
          <w:vAlign w:val="center"/>
        </w:tcPr>
        <w:p w14:paraId="2A141048" w14:textId="77777777" w:rsidR="00EF7766" w:rsidRPr="0085650F" w:rsidRDefault="00DC0734" w:rsidP="00EF7766">
          <w:pPr>
            <w:pStyle w:val="CEALabel"/>
            <w:rPr>
              <w:b w:val="0"/>
              <w:color w:val="002957"/>
              <w:sz w:val="17"/>
              <w:szCs w:val="17"/>
            </w:rPr>
          </w:pPr>
          <w:r w:rsidRPr="0085650F">
            <w:rPr>
              <w:b w:val="0"/>
              <w:color w:val="002957"/>
              <w:sz w:val="17"/>
              <w:szCs w:val="17"/>
            </w:rPr>
            <w:t>Related documents:</w:t>
          </w:r>
        </w:p>
      </w:tc>
      <w:tc>
        <w:tcPr>
          <w:tcW w:w="3531" w:type="dxa"/>
          <w:shd w:val="clear" w:color="auto" w:fill="auto"/>
          <w:vAlign w:val="center"/>
        </w:tcPr>
        <w:p w14:paraId="5EC15952" w14:textId="77777777" w:rsidR="00EF7766" w:rsidRPr="00585988" w:rsidRDefault="00EF7766" w:rsidP="00EF7766">
          <w:pPr>
            <w:jc w:val="left"/>
            <w:rPr>
              <w:color w:val="002957"/>
              <w:sz w:val="17"/>
              <w:szCs w:val="17"/>
            </w:rPr>
          </w:pPr>
        </w:p>
      </w:tc>
      <w:tc>
        <w:tcPr>
          <w:tcW w:w="1558" w:type="dxa"/>
          <w:shd w:val="clear" w:color="auto" w:fill="auto"/>
          <w:vAlign w:val="center"/>
        </w:tcPr>
        <w:p w14:paraId="3A8C7D59" w14:textId="77777777" w:rsidR="00EF7766" w:rsidRPr="00585988" w:rsidRDefault="00EF7766" w:rsidP="00EF7766">
          <w:pPr>
            <w:rPr>
              <w:color w:val="002957"/>
              <w:sz w:val="17"/>
              <w:szCs w:val="17"/>
            </w:rPr>
          </w:pPr>
        </w:p>
      </w:tc>
      <w:tc>
        <w:tcPr>
          <w:tcW w:w="2954" w:type="dxa"/>
          <w:shd w:val="clear" w:color="auto" w:fill="auto"/>
          <w:vAlign w:val="center"/>
        </w:tcPr>
        <w:p w14:paraId="3AB1A203" w14:textId="77777777" w:rsidR="00EF7766" w:rsidRPr="00585988" w:rsidRDefault="00EF7766" w:rsidP="00EF7766">
          <w:pPr>
            <w:jc w:val="left"/>
            <w:rPr>
              <w:b/>
              <w:color w:val="002957"/>
              <w:sz w:val="17"/>
              <w:szCs w:val="17"/>
            </w:rPr>
          </w:pPr>
        </w:p>
      </w:tc>
    </w:tr>
    <w:tr w:rsidR="00EF7766" w:rsidRPr="0065331A" w14:paraId="14C48BE2" w14:textId="77777777" w:rsidTr="00EF7766">
      <w:trPr>
        <w:cantSplit/>
        <w:trHeight w:hRule="exact" w:val="533"/>
      </w:trPr>
      <w:tc>
        <w:tcPr>
          <w:tcW w:w="1525" w:type="dxa"/>
          <w:shd w:val="clear" w:color="auto" w:fill="auto"/>
          <w:vAlign w:val="center"/>
        </w:tcPr>
        <w:p w14:paraId="01A41B86" w14:textId="77777777" w:rsidR="00EF7766" w:rsidRPr="0085650F" w:rsidRDefault="00DC0734" w:rsidP="00EF7766">
          <w:pPr>
            <w:pStyle w:val="CEALabel"/>
            <w:rPr>
              <w:b w:val="0"/>
              <w:color w:val="002957"/>
              <w:sz w:val="17"/>
              <w:szCs w:val="17"/>
            </w:rPr>
          </w:pPr>
          <w:r w:rsidRPr="0085650F">
            <w:rPr>
              <w:b w:val="0"/>
              <w:color w:val="002957"/>
              <w:sz w:val="17"/>
              <w:szCs w:val="17"/>
            </w:rPr>
            <w:t>Contact person:</w:t>
          </w:r>
        </w:p>
      </w:tc>
      <w:tc>
        <w:tcPr>
          <w:tcW w:w="3531" w:type="dxa"/>
          <w:shd w:val="clear" w:color="auto" w:fill="auto"/>
          <w:vAlign w:val="center"/>
        </w:tcPr>
        <w:p w14:paraId="0FC09164" w14:textId="7F3C1CF8" w:rsidR="00EF7766" w:rsidRPr="00585988" w:rsidRDefault="005D220D" w:rsidP="00EF7766">
          <w:pPr>
            <w:jc w:val="left"/>
            <w:rPr>
              <w:color w:val="002957"/>
              <w:sz w:val="17"/>
              <w:szCs w:val="17"/>
            </w:rPr>
          </w:pPr>
          <w:r>
            <w:rPr>
              <w:color w:val="002957"/>
              <w:sz w:val="17"/>
              <w:szCs w:val="17"/>
            </w:rPr>
            <w:t xml:space="preserve">Michele </w:t>
          </w:r>
          <w:proofErr w:type="spellStart"/>
          <w:r>
            <w:rPr>
              <w:color w:val="002957"/>
              <w:sz w:val="17"/>
              <w:szCs w:val="17"/>
            </w:rPr>
            <w:t>Tadi</w:t>
          </w:r>
          <w:proofErr w:type="spellEnd"/>
          <w:r w:rsidR="00DC0734" w:rsidRPr="00DE0A2F">
            <w:rPr>
              <w:color w:val="002957"/>
              <w:sz w:val="17"/>
              <w:szCs w:val="17"/>
            </w:rPr>
            <w:t xml:space="preserve"> </w:t>
          </w:r>
        </w:p>
      </w:tc>
      <w:tc>
        <w:tcPr>
          <w:tcW w:w="4512" w:type="dxa"/>
          <w:gridSpan w:val="2"/>
          <w:shd w:val="clear" w:color="auto" w:fill="auto"/>
          <w:vAlign w:val="center"/>
        </w:tcPr>
        <w:p w14:paraId="474DF533" w14:textId="44E5A9C4" w:rsidR="00EF7766" w:rsidRPr="004D2291" w:rsidRDefault="00AE1AAB" w:rsidP="00B67B2E">
          <w:pPr>
            <w:jc w:val="left"/>
            <w:rPr>
              <w:color w:val="002957"/>
              <w:sz w:val="17"/>
              <w:szCs w:val="17"/>
              <w:lang w:val="it-IT"/>
            </w:rPr>
          </w:pPr>
          <w:r w:rsidRPr="004D2291">
            <w:rPr>
              <w:bCs/>
              <w:color w:val="002957"/>
              <w:sz w:val="17"/>
              <w:szCs w:val="17"/>
              <w:lang w:val="it-IT"/>
            </w:rPr>
            <w:t xml:space="preserve">E-mail: </w:t>
          </w:r>
          <w:hyperlink r:id="rId3" w:history="1">
            <w:r w:rsidR="00B67B2E" w:rsidRPr="004D2291">
              <w:rPr>
                <w:rStyle w:val="Hypertextovprepojenie"/>
                <w:bCs/>
                <w:sz w:val="17"/>
                <w:szCs w:val="17"/>
                <w:lang w:val="it-IT"/>
              </w:rPr>
              <w:t>tadi@insuranceeurope.eu</w:t>
            </w:r>
          </w:hyperlink>
          <w:r w:rsidRPr="004D2291">
            <w:rPr>
              <w:bCs/>
              <w:color w:val="002957"/>
              <w:sz w:val="17"/>
              <w:szCs w:val="17"/>
              <w:lang w:val="it-IT"/>
            </w:rPr>
            <w:t xml:space="preserve"> </w:t>
          </w:r>
        </w:p>
      </w:tc>
    </w:tr>
    <w:tr w:rsidR="00EF7766" w:rsidRPr="000D41DA" w14:paraId="0F68A369" w14:textId="77777777" w:rsidTr="00EF7766">
      <w:trPr>
        <w:cantSplit/>
        <w:trHeight w:hRule="exact" w:val="533"/>
      </w:trPr>
      <w:tc>
        <w:tcPr>
          <w:tcW w:w="1525" w:type="dxa"/>
          <w:shd w:val="clear" w:color="auto" w:fill="auto"/>
          <w:vAlign w:val="center"/>
        </w:tcPr>
        <w:p w14:paraId="53371539" w14:textId="77777777" w:rsidR="00EF7766" w:rsidRPr="0085650F" w:rsidRDefault="00DC0734" w:rsidP="00EF7766">
          <w:pPr>
            <w:pStyle w:val="CEALabel"/>
            <w:rPr>
              <w:b w:val="0"/>
              <w:color w:val="002957"/>
              <w:sz w:val="17"/>
              <w:szCs w:val="17"/>
            </w:rPr>
          </w:pPr>
          <w:r w:rsidRPr="0085650F">
            <w:rPr>
              <w:b w:val="0"/>
              <w:color w:val="002957"/>
              <w:sz w:val="17"/>
              <w:szCs w:val="17"/>
            </w:rPr>
            <w:t xml:space="preserve">Pages: </w:t>
          </w:r>
        </w:p>
      </w:tc>
      <w:tc>
        <w:tcPr>
          <w:tcW w:w="3531" w:type="dxa"/>
          <w:shd w:val="clear" w:color="auto" w:fill="auto"/>
          <w:vAlign w:val="center"/>
        </w:tcPr>
        <w:p w14:paraId="0336076C" w14:textId="77777777" w:rsidR="00EF7766" w:rsidRPr="00585988" w:rsidRDefault="00DC0734" w:rsidP="00EF7766">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Pr>
              <w:rStyle w:val="slostrany"/>
              <w:noProof/>
              <w:color w:val="002957"/>
              <w:sz w:val="17"/>
              <w:szCs w:val="17"/>
            </w:rPr>
            <w:t>2</w:t>
          </w:r>
          <w:r w:rsidRPr="00585988">
            <w:rPr>
              <w:rStyle w:val="slostrany"/>
              <w:color w:val="002957"/>
              <w:sz w:val="17"/>
              <w:szCs w:val="17"/>
            </w:rPr>
            <w:fldChar w:fldCharType="end"/>
          </w:r>
        </w:p>
      </w:tc>
      <w:tc>
        <w:tcPr>
          <w:tcW w:w="1558" w:type="dxa"/>
          <w:shd w:val="clear" w:color="auto" w:fill="auto"/>
          <w:vAlign w:val="center"/>
        </w:tcPr>
        <w:p w14:paraId="4AC77A4C" w14:textId="77777777" w:rsidR="00EF7766" w:rsidRPr="00585988" w:rsidRDefault="00DC0734" w:rsidP="00EF7766">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54" w:type="dxa"/>
          <w:shd w:val="clear" w:color="auto" w:fill="auto"/>
          <w:vAlign w:val="center"/>
        </w:tcPr>
        <w:p w14:paraId="61AB9B10" w14:textId="77777777" w:rsidR="00EF7766" w:rsidRPr="00585988" w:rsidRDefault="00DC0734" w:rsidP="00EF7766">
          <w:pPr>
            <w:rPr>
              <w:color w:val="002957"/>
              <w:sz w:val="17"/>
              <w:szCs w:val="17"/>
            </w:rPr>
          </w:pPr>
          <w:r w:rsidRPr="00585988">
            <w:rPr>
              <w:rFonts w:cs="Tahoma"/>
              <w:color w:val="002957"/>
              <w:sz w:val="17"/>
              <w:szCs w:val="17"/>
            </w:rPr>
            <w:t>33213703459-54</w:t>
          </w:r>
        </w:p>
      </w:tc>
    </w:tr>
  </w:tbl>
  <w:p w14:paraId="3C51AA84" w14:textId="77777777" w:rsidR="00EF7766" w:rsidRPr="000D41DA" w:rsidRDefault="00EF7766" w:rsidP="00EF7766">
    <w:pPr>
      <w:rPr>
        <w:b/>
        <w:sz w:val="22"/>
        <w:szCs w:val="22"/>
      </w:rPr>
    </w:pPr>
  </w:p>
  <w:p w14:paraId="24076CB6" w14:textId="77777777" w:rsidR="00EF7766" w:rsidRPr="000D41DA" w:rsidRDefault="00EF7766" w:rsidP="00EF7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8.35pt;height:8.35pt" o:bullet="t">
        <v:imagedata r:id="rId3" o:title="CEA - Bullets Rounded Squares_BulletLevel3_forMS"/>
      </v:shape>
    </w:pict>
  </w:numPicBullet>
  <w:abstractNum w:abstractNumId="0" w15:restartNumberingAfterBreak="0">
    <w:nsid w:val="04AD184C"/>
    <w:multiLevelType w:val="hybridMultilevel"/>
    <w:tmpl w:val="8FB20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1341D7A"/>
    <w:multiLevelType w:val="hybridMultilevel"/>
    <w:tmpl w:val="60BEC92A"/>
    <w:lvl w:ilvl="0" w:tplc="DE889A56">
      <w:start w:val="6"/>
      <w:numFmt w:val="decimal"/>
      <w:lvlText w:val="[%1]"/>
      <w:lvlJc w:val="left"/>
      <w:pPr>
        <w:ind w:left="115" w:hanging="222"/>
        <w:jc w:val="right"/>
      </w:pPr>
      <w:rPr>
        <w:rFonts w:ascii="Verdana" w:eastAsia="Microsoft Sans Serif" w:hAnsi="Verdana" w:cs="Microsoft Sans Serif" w:hint="default"/>
        <w:color w:val="FF0000"/>
        <w:w w:val="99"/>
        <w:sz w:val="17"/>
        <w:szCs w:val="17"/>
      </w:rPr>
    </w:lvl>
    <w:lvl w:ilvl="1" w:tplc="5900CF74">
      <w:numFmt w:val="bullet"/>
      <w:lvlText w:val="•"/>
      <w:lvlJc w:val="left"/>
      <w:pPr>
        <w:ind w:left="1138" w:hanging="222"/>
      </w:pPr>
      <w:rPr>
        <w:rFonts w:hint="default"/>
      </w:rPr>
    </w:lvl>
    <w:lvl w:ilvl="2" w:tplc="535A2222">
      <w:numFmt w:val="bullet"/>
      <w:lvlText w:val="•"/>
      <w:lvlJc w:val="left"/>
      <w:pPr>
        <w:ind w:left="2157" w:hanging="222"/>
      </w:pPr>
      <w:rPr>
        <w:rFonts w:hint="default"/>
      </w:rPr>
    </w:lvl>
    <w:lvl w:ilvl="3" w:tplc="F0F485E8">
      <w:numFmt w:val="bullet"/>
      <w:lvlText w:val="•"/>
      <w:lvlJc w:val="left"/>
      <w:pPr>
        <w:ind w:left="3175" w:hanging="222"/>
      </w:pPr>
      <w:rPr>
        <w:rFonts w:hint="default"/>
      </w:rPr>
    </w:lvl>
    <w:lvl w:ilvl="4" w:tplc="A40AB396">
      <w:numFmt w:val="bullet"/>
      <w:lvlText w:val="•"/>
      <w:lvlJc w:val="left"/>
      <w:pPr>
        <w:ind w:left="4194" w:hanging="222"/>
      </w:pPr>
      <w:rPr>
        <w:rFonts w:hint="default"/>
      </w:rPr>
    </w:lvl>
    <w:lvl w:ilvl="5" w:tplc="0ECE3F4C">
      <w:numFmt w:val="bullet"/>
      <w:lvlText w:val="•"/>
      <w:lvlJc w:val="left"/>
      <w:pPr>
        <w:ind w:left="5212" w:hanging="222"/>
      </w:pPr>
      <w:rPr>
        <w:rFonts w:hint="default"/>
      </w:rPr>
    </w:lvl>
    <w:lvl w:ilvl="6" w:tplc="D28E436C">
      <w:numFmt w:val="bullet"/>
      <w:lvlText w:val="•"/>
      <w:lvlJc w:val="left"/>
      <w:pPr>
        <w:ind w:left="6231" w:hanging="222"/>
      </w:pPr>
      <w:rPr>
        <w:rFonts w:hint="default"/>
      </w:rPr>
    </w:lvl>
    <w:lvl w:ilvl="7" w:tplc="E9CE4BC8">
      <w:numFmt w:val="bullet"/>
      <w:lvlText w:val="•"/>
      <w:lvlJc w:val="left"/>
      <w:pPr>
        <w:ind w:left="7249" w:hanging="222"/>
      </w:pPr>
      <w:rPr>
        <w:rFonts w:hint="default"/>
      </w:rPr>
    </w:lvl>
    <w:lvl w:ilvl="8" w:tplc="AA4EE19A">
      <w:numFmt w:val="bullet"/>
      <w:lvlText w:val="•"/>
      <w:lvlJc w:val="left"/>
      <w:pPr>
        <w:ind w:left="8268" w:hanging="222"/>
      </w:pPr>
      <w:rPr>
        <w:rFonts w:hint="default"/>
      </w:rPr>
    </w:lvl>
  </w:abstractNum>
  <w:abstractNum w:abstractNumId="3" w15:restartNumberingAfterBreak="0">
    <w:nsid w:val="1B664A70"/>
    <w:multiLevelType w:val="hybridMultilevel"/>
    <w:tmpl w:val="8096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1166F"/>
    <w:multiLevelType w:val="multilevel"/>
    <w:tmpl w:val="A82C2002"/>
    <w:lvl w:ilvl="0">
      <w:start w:val="3"/>
      <w:numFmt w:val="upperRoman"/>
      <w:lvlText w:val="%1"/>
      <w:lvlJc w:val="left"/>
      <w:pPr>
        <w:ind w:left="815" w:hanging="701"/>
      </w:pPr>
      <w:rPr>
        <w:rFonts w:hint="default"/>
      </w:rPr>
    </w:lvl>
    <w:lvl w:ilvl="1">
      <w:start w:val="1"/>
      <w:numFmt w:val="upperLetter"/>
      <w:lvlText w:val="%1.%2."/>
      <w:lvlJc w:val="left"/>
      <w:pPr>
        <w:ind w:left="815" w:hanging="701"/>
      </w:pPr>
      <w:rPr>
        <w:rFonts w:ascii="Microsoft Sans Serif" w:eastAsia="Microsoft Sans Serif" w:hAnsi="Microsoft Sans Serif" w:cs="Microsoft Sans Serif" w:hint="default"/>
        <w:w w:val="100"/>
        <w:sz w:val="30"/>
        <w:szCs w:val="30"/>
      </w:rPr>
    </w:lvl>
    <w:lvl w:ilvl="2">
      <w:numFmt w:val="bullet"/>
      <w:lvlText w:val="•"/>
      <w:lvlJc w:val="left"/>
      <w:pPr>
        <w:ind w:left="2717" w:hanging="701"/>
      </w:pPr>
      <w:rPr>
        <w:rFonts w:hint="default"/>
      </w:rPr>
    </w:lvl>
    <w:lvl w:ilvl="3">
      <w:numFmt w:val="bullet"/>
      <w:lvlText w:val="•"/>
      <w:lvlJc w:val="left"/>
      <w:pPr>
        <w:ind w:left="3665" w:hanging="701"/>
      </w:pPr>
      <w:rPr>
        <w:rFonts w:hint="default"/>
      </w:rPr>
    </w:lvl>
    <w:lvl w:ilvl="4">
      <w:numFmt w:val="bullet"/>
      <w:lvlText w:val="•"/>
      <w:lvlJc w:val="left"/>
      <w:pPr>
        <w:ind w:left="4614" w:hanging="701"/>
      </w:pPr>
      <w:rPr>
        <w:rFonts w:hint="default"/>
      </w:rPr>
    </w:lvl>
    <w:lvl w:ilvl="5">
      <w:numFmt w:val="bullet"/>
      <w:lvlText w:val="•"/>
      <w:lvlJc w:val="left"/>
      <w:pPr>
        <w:ind w:left="5562" w:hanging="701"/>
      </w:pPr>
      <w:rPr>
        <w:rFonts w:hint="default"/>
      </w:rPr>
    </w:lvl>
    <w:lvl w:ilvl="6">
      <w:numFmt w:val="bullet"/>
      <w:lvlText w:val="•"/>
      <w:lvlJc w:val="left"/>
      <w:pPr>
        <w:ind w:left="6511" w:hanging="701"/>
      </w:pPr>
      <w:rPr>
        <w:rFonts w:hint="default"/>
      </w:rPr>
    </w:lvl>
    <w:lvl w:ilvl="7">
      <w:numFmt w:val="bullet"/>
      <w:lvlText w:val="•"/>
      <w:lvlJc w:val="left"/>
      <w:pPr>
        <w:ind w:left="7459" w:hanging="701"/>
      </w:pPr>
      <w:rPr>
        <w:rFonts w:hint="default"/>
      </w:rPr>
    </w:lvl>
    <w:lvl w:ilvl="8">
      <w:numFmt w:val="bullet"/>
      <w:lvlText w:val="•"/>
      <w:lvlJc w:val="left"/>
      <w:pPr>
        <w:ind w:left="8408" w:hanging="701"/>
      </w:pPr>
      <w:rPr>
        <w:rFonts w:hint="default"/>
      </w:rPr>
    </w:lvl>
  </w:abstractNum>
  <w:abstractNum w:abstractNumId="5" w15:restartNumberingAfterBreak="0">
    <w:nsid w:val="22FB3B26"/>
    <w:multiLevelType w:val="hybridMultilevel"/>
    <w:tmpl w:val="1C180C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486B94"/>
    <w:multiLevelType w:val="hybridMultilevel"/>
    <w:tmpl w:val="B798F2C4"/>
    <w:lvl w:ilvl="0" w:tplc="D89EAE48">
      <w:start w:val="1"/>
      <w:numFmt w:val="decimal"/>
      <w:lvlText w:val="[%1]"/>
      <w:lvlJc w:val="left"/>
      <w:pPr>
        <w:ind w:left="235" w:hanging="292"/>
        <w:jc w:val="right"/>
      </w:pPr>
      <w:rPr>
        <w:rFonts w:hint="default"/>
        <w:w w:val="99"/>
      </w:rPr>
    </w:lvl>
    <w:lvl w:ilvl="1" w:tplc="7374B2DE">
      <w:numFmt w:val="bullet"/>
      <w:lvlText w:val="•"/>
      <w:lvlJc w:val="left"/>
      <w:pPr>
        <w:ind w:left="1258" w:hanging="292"/>
      </w:pPr>
      <w:rPr>
        <w:rFonts w:hint="default"/>
      </w:rPr>
    </w:lvl>
    <w:lvl w:ilvl="2" w:tplc="7240A5DC">
      <w:numFmt w:val="bullet"/>
      <w:lvlText w:val="•"/>
      <w:lvlJc w:val="left"/>
      <w:pPr>
        <w:ind w:left="2277" w:hanging="292"/>
      </w:pPr>
      <w:rPr>
        <w:rFonts w:hint="default"/>
      </w:rPr>
    </w:lvl>
    <w:lvl w:ilvl="3" w:tplc="6BFE7620">
      <w:numFmt w:val="bullet"/>
      <w:lvlText w:val="•"/>
      <w:lvlJc w:val="left"/>
      <w:pPr>
        <w:ind w:left="3295" w:hanging="292"/>
      </w:pPr>
      <w:rPr>
        <w:rFonts w:hint="default"/>
      </w:rPr>
    </w:lvl>
    <w:lvl w:ilvl="4" w:tplc="1C5E9D8A">
      <w:numFmt w:val="bullet"/>
      <w:lvlText w:val="•"/>
      <w:lvlJc w:val="left"/>
      <w:pPr>
        <w:ind w:left="4314" w:hanging="292"/>
      </w:pPr>
      <w:rPr>
        <w:rFonts w:hint="default"/>
      </w:rPr>
    </w:lvl>
    <w:lvl w:ilvl="5" w:tplc="2E502A3C">
      <w:numFmt w:val="bullet"/>
      <w:lvlText w:val="•"/>
      <w:lvlJc w:val="left"/>
      <w:pPr>
        <w:ind w:left="5332" w:hanging="292"/>
      </w:pPr>
      <w:rPr>
        <w:rFonts w:hint="default"/>
      </w:rPr>
    </w:lvl>
    <w:lvl w:ilvl="6" w:tplc="A48AE19A">
      <w:numFmt w:val="bullet"/>
      <w:lvlText w:val="•"/>
      <w:lvlJc w:val="left"/>
      <w:pPr>
        <w:ind w:left="6351" w:hanging="292"/>
      </w:pPr>
      <w:rPr>
        <w:rFonts w:hint="default"/>
      </w:rPr>
    </w:lvl>
    <w:lvl w:ilvl="7" w:tplc="912A9860">
      <w:numFmt w:val="bullet"/>
      <w:lvlText w:val="•"/>
      <w:lvlJc w:val="left"/>
      <w:pPr>
        <w:ind w:left="7369" w:hanging="292"/>
      </w:pPr>
      <w:rPr>
        <w:rFonts w:hint="default"/>
      </w:rPr>
    </w:lvl>
    <w:lvl w:ilvl="8" w:tplc="12BABC9C">
      <w:numFmt w:val="bullet"/>
      <w:lvlText w:val="•"/>
      <w:lvlJc w:val="left"/>
      <w:pPr>
        <w:ind w:left="8388" w:hanging="292"/>
      </w:pPr>
      <w:rPr>
        <w:rFonts w:hint="default"/>
      </w:rPr>
    </w:lvl>
  </w:abstractNum>
  <w:abstractNum w:abstractNumId="7" w15:restartNumberingAfterBreak="0">
    <w:nsid w:val="2F300BEC"/>
    <w:multiLevelType w:val="hybridMultilevel"/>
    <w:tmpl w:val="26AC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6DFA"/>
    <w:multiLevelType w:val="hybridMultilevel"/>
    <w:tmpl w:val="5BA6813C"/>
    <w:lvl w:ilvl="0" w:tplc="1AF8E854">
      <w:start w:val="1"/>
      <w:numFmt w:val="upperRoman"/>
      <w:lvlText w:val="%1."/>
      <w:lvlJc w:val="left"/>
      <w:pPr>
        <w:ind w:left="365" w:hanging="251"/>
      </w:pPr>
      <w:rPr>
        <w:rFonts w:ascii="Verdana" w:eastAsia="Microsoft Sans Serif" w:hAnsi="Verdana" w:cs="Microsoft Sans Serif" w:hint="default"/>
        <w:w w:val="100"/>
        <w:sz w:val="17"/>
        <w:szCs w:val="17"/>
      </w:rPr>
    </w:lvl>
    <w:lvl w:ilvl="1" w:tplc="7F903C00">
      <w:start w:val="1"/>
      <w:numFmt w:val="decimal"/>
      <w:lvlText w:val="%2."/>
      <w:lvlJc w:val="left"/>
      <w:pPr>
        <w:ind w:left="115" w:hanging="301"/>
      </w:pPr>
      <w:rPr>
        <w:rFonts w:ascii="Verdana" w:eastAsia="Microsoft Sans Serif" w:hAnsi="Verdana" w:cs="Microsoft Sans Serif" w:hint="default"/>
        <w:w w:val="100"/>
        <w:sz w:val="17"/>
        <w:szCs w:val="17"/>
      </w:rPr>
    </w:lvl>
    <w:lvl w:ilvl="2" w:tplc="80909C0A">
      <w:numFmt w:val="bullet"/>
      <w:lvlText w:val="•"/>
      <w:lvlJc w:val="left"/>
      <w:pPr>
        <w:ind w:left="1465" w:hanging="301"/>
      </w:pPr>
      <w:rPr>
        <w:rFonts w:hint="default"/>
      </w:rPr>
    </w:lvl>
    <w:lvl w:ilvl="3" w:tplc="D5744104">
      <w:numFmt w:val="bullet"/>
      <w:lvlText w:val="•"/>
      <w:lvlJc w:val="left"/>
      <w:pPr>
        <w:ind w:left="2570" w:hanging="301"/>
      </w:pPr>
      <w:rPr>
        <w:rFonts w:hint="default"/>
      </w:rPr>
    </w:lvl>
    <w:lvl w:ilvl="4" w:tplc="AA5ADE8E">
      <w:numFmt w:val="bullet"/>
      <w:lvlText w:val="•"/>
      <w:lvlJc w:val="left"/>
      <w:pPr>
        <w:ind w:left="3675" w:hanging="301"/>
      </w:pPr>
      <w:rPr>
        <w:rFonts w:hint="default"/>
      </w:rPr>
    </w:lvl>
    <w:lvl w:ilvl="5" w:tplc="9F420FAC">
      <w:numFmt w:val="bullet"/>
      <w:lvlText w:val="•"/>
      <w:lvlJc w:val="left"/>
      <w:pPr>
        <w:ind w:left="4780" w:hanging="301"/>
      </w:pPr>
      <w:rPr>
        <w:rFonts w:hint="default"/>
      </w:rPr>
    </w:lvl>
    <w:lvl w:ilvl="6" w:tplc="7BA27C34">
      <w:numFmt w:val="bullet"/>
      <w:lvlText w:val="•"/>
      <w:lvlJc w:val="left"/>
      <w:pPr>
        <w:ind w:left="5885" w:hanging="301"/>
      </w:pPr>
      <w:rPr>
        <w:rFonts w:hint="default"/>
      </w:rPr>
    </w:lvl>
    <w:lvl w:ilvl="7" w:tplc="68E0E58A">
      <w:numFmt w:val="bullet"/>
      <w:lvlText w:val="•"/>
      <w:lvlJc w:val="left"/>
      <w:pPr>
        <w:ind w:left="6990" w:hanging="301"/>
      </w:pPr>
      <w:rPr>
        <w:rFonts w:hint="default"/>
      </w:rPr>
    </w:lvl>
    <w:lvl w:ilvl="8" w:tplc="A4C0084A">
      <w:numFmt w:val="bullet"/>
      <w:lvlText w:val="•"/>
      <w:lvlJc w:val="left"/>
      <w:pPr>
        <w:ind w:left="8095" w:hanging="301"/>
      </w:pPr>
      <w:rPr>
        <w:rFonts w:hint="default"/>
      </w:rPr>
    </w:lvl>
  </w:abstractNum>
  <w:abstractNum w:abstractNumId="9" w15:restartNumberingAfterBreak="0">
    <w:nsid w:val="30CC33B4"/>
    <w:multiLevelType w:val="hybridMultilevel"/>
    <w:tmpl w:val="38BCF788"/>
    <w:lvl w:ilvl="0" w:tplc="F5DA4B18">
      <w:start w:val="1"/>
      <w:numFmt w:val="bullet"/>
      <w:lvlText w:val=""/>
      <w:lvlJc w:val="left"/>
      <w:pPr>
        <w:ind w:left="1800" w:hanging="360"/>
      </w:pPr>
      <w:rPr>
        <w:rFonts w:ascii="Wingdings" w:hAnsi="Wingdings" w:hint="default"/>
        <w:color w:val="1F3864" w:themeColor="accent1" w:themeShade="80"/>
        <w:sz w:val="22"/>
      </w:rPr>
    </w:lvl>
    <w:lvl w:ilvl="1" w:tplc="F5DA4B18">
      <w:start w:val="1"/>
      <w:numFmt w:val="bullet"/>
      <w:lvlText w:val=""/>
      <w:lvlJc w:val="left"/>
      <w:pPr>
        <w:ind w:left="2520" w:hanging="360"/>
      </w:pPr>
      <w:rPr>
        <w:rFonts w:ascii="Wingdings" w:hAnsi="Wingdings" w:hint="default"/>
        <w:color w:val="1F3864" w:themeColor="accent1" w:themeShade="80"/>
        <w:sz w:val="22"/>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C75E10"/>
    <w:multiLevelType w:val="hybridMultilevel"/>
    <w:tmpl w:val="60BEC92A"/>
    <w:lvl w:ilvl="0" w:tplc="DE889A56">
      <w:start w:val="6"/>
      <w:numFmt w:val="decimal"/>
      <w:lvlText w:val="[%1]"/>
      <w:lvlJc w:val="left"/>
      <w:pPr>
        <w:ind w:left="115" w:hanging="222"/>
        <w:jc w:val="right"/>
      </w:pPr>
      <w:rPr>
        <w:rFonts w:ascii="Verdana" w:eastAsia="Microsoft Sans Serif" w:hAnsi="Verdana" w:cs="Microsoft Sans Serif" w:hint="default"/>
        <w:color w:val="FF0000"/>
        <w:w w:val="99"/>
        <w:sz w:val="17"/>
        <w:szCs w:val="17"/>
      </w:rPr>
    </w:lvl>
    <w:lvl w:ilvl="1" w:tplc="5900CF74">
      <w:numFmt w:val="bullet"/>
      <w:lvlText w:val="•"/>
      <w:lvlJc w:val="left"/>
      <w:pPr>
        <w:ind w:left="1138" w:hanging="222"/>
      </w:pPr>
      <w:rPr>
        <w:rFonts w:hint="default"/>
      </w:rPr>
    </w:lvl>
    <w:lvl w:ilvl="2" w:tplc="535A2222">
      <w:numFmt w:val="bullet"/>
      <w:lvlText w:val="•"/>
      <w:lvlJc w:val="left"/>
      <w:pPr>
        <w:ind w:left="2157" w:hanging="222"/>
      </w:pPr>
      <w:rPr>
        <w:rFonts w:hint="default"/>
      </w:rPr>
    </w:lvl>
    <w:lvl w:ilvl="3" w:tplc="F0F485E8">
      <w:numFmt w:val="bullet"/>
      <w:lvlText w:val="•"/>
      <w:lvlJc w:val="left"/>
      <w:pPr>
        <w:ind w:left="3175" w:hanging="222"/>
      </w:pPr>
      <w:rPr>
        <w:rFonts w:hint="default"/>
      </w:rPr>
    </w:lvl>
    <w:lvl w:ilvl="4" w:tplc="A40AB396">
      <w:numFmt w:val="bullet"/>
      <w:lvlText w:val="•"/>
      <w:lvlJc w:val="left"/>
      <w:pPr>
        <w:ind w:left="4194" w:hanging="222"/>
      </w:pPr>
      <w:rPr>
        <w:rFonts w:hint="default"/>
      </w:rPr>
    </w:lvl>
    <w:lvl w:ilvl="5" w:tplc="0ECE3F4C">
      <w:numFmt w:val="bullet"/>
      <w:lvlText w:val="•"/>
      <w:lvlJc w:val="left"/>
      <w:pPr>
        <w:ind w:left="5212" w:hanging="222"/>
      </w:pPr>
      <w:rPr>
        <w:rFonts w:hint="default"/>
      </w:rPr>
    </w:lvl>
    <w:lvl w:ilvl="6" w:tplc="D28E436C">
      <w:numFmt w:val="bullet"/>
      <w:lvlText w:val="•"/>
      <w:lvlJc w:val="left"/>
      <w:pPr>
        <w:ind w:left="6231" w:hanging="222"/>
      </w:pPr>
      <w:rPr>
        <w:rFonts w:hint="default"/>
      </w:rPr>
    </w:lvl>
    <w:lvl w:ilvl="7" w:tplc="E9CE4BC8">
      <w:numFmt w:val="bullet"/>
      <w:lvlText w:val="•"/>
      <w:lvlJc w:val="left"/>
      <w:pPr>
        <w:ind w:left="7249" w:hanging="222"/>
      </w:pPr>
      <w:rPr>
        <w:rFonts w:hint="default"/>
      </w:rPr>
    </w:lvl>
    <w:lvl w:ilvl="8" w:tplc="AA4EE19A">
      <w:numFmt w:val="bullet"/>
      <w:lvlText w:val="•"/>
      <w:lvlJc w:val="left"/>
      <w:pPr>
        <w:ind w:left="8268" w:hanging="222"/>
      </w:pPr>
      <w:rPr>
        <w:rFonts w:hint="default"/>
      </w:rPr>
    </w:lvl>
  </w:abstractNum>
  <w:abstractNum w:abstractNumId="11"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2" w15:restartNumberingAfterBreak="0">
    <w:nsid w:val="4CF803A4"/>
    <w:multiLevelType w:val="hybridMultilevel"/>
    <w:tmpl w:val="A53682F2"/>
    <w:lvl w:ilvl="0" w:tplc="E8E2AD4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F77D0D"/>
    <w:multiLevelType w:val="hybridMultilevel"/>
    <w:tmpl w:val="51CC6EBE"/>
    <w:lvl w:ilvl="0" w:tplc="B606740E">
      <w:start w:val="15"/>
      <w:numFmt w:val="decimal"/>
      <w:lvlText w:val="%1."/>
      <w:lvlJc w:val="left"/>
      <w:pPr>
        <w:ind w:left="47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5C0C2F"/>
    <w:multiLevelType w:val="hybridMultilevel"/>
    <w:tmpl w:val="4678F276"/>
    <w:lvl w:ilvl="0" w:tplc="F5DA4B18">
      <w:start w:val="1"/>
      <w:numFmt w:val="bullet"/>
      <w:lvlText w:val=""/>
      <w:lvlJc w:val="left"/>
      <w:pPr>
        <w:ind w:left="720" w:hanging="360"/>
      </w:pPr>
      <w:rPr>
        <w:rFonts w:ascii="Wingdings" w:hAnsi="Wingdings" w:hint="default"/>
        <w:color w:val="1F3864" w:themeColor="accent1" w:themeShade="80"/>
        <w:sz w:val="22"/>
      </w:rPr>
    </w:lvl>
    <w:lvl w:ilvl="1" w:tplc="F5DA4B18">
      <w:start w:val="1"/>
      <w:numFmt w:val="bullet"/>
      <w:lvlText w:val=""/>
      <w:lvlJc w:val="left"/>
      <w:pPr>
        <w:ind w:left="1440" w:hanging="360"/>
      </w:pPr>
      <w:rPr>
        <w:rFonts w:ascii="Wingdings" w:hAnsi="Wingdings" w:hint="default"/>
        <w:color w:val="1F3864" w:themeColor="accent1" w:themeShade="80"/>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E2B88"/>
    <w:multiLevelType w:val="hybridMultilevel"/>
    <w:tmpl w:val="636CBA02"/>
    <w:lvl w:ilvl="0" w:tplc="65BA289C">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E63700"/>
    <w:multiLevelType w:val="hybridMultilevel"/>
    <w:tmpl w:val="7C843FA6"/>
    <w:lvl w:ilvl="0" w:tplc="0FB01ECE">
      <w:start w:val="1"/>
      <w:numFmt w:val="decimal"/>
      <w:lvlText w:val="%1."/>
      <w:lvlJc w:val="left"/>
      <w:pPr>
        <w:ind w:left="720" w:hanging="360"/>
      </w:pPr>
      <w:rPr>
        <w:rFonts w:ascii="Verdana" w:hAnsi="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4A7EB1"/>
    <w:multiLevelType w:val="hybridMultilevel"/>
    <w:tmpl w:val="2182C74E"/>
    <w:lvl w:ilvl="0" w:tplc="F5DA4B18">
      <w:start w:val="1"/>
      <w:numFmt w:val="bullet"/>
      <w:lvlText w:val=""/>
      <w:lvlJc w:val="left"/>
      <w:pPr>
        <w:ind w:left="720" w:hanging="360"/>
      </w:pPr>
      <w:rPr>
        <w:rFonts w:ascii="Wingdings" w:hAnsi="Wingdings" w:hint="default"/>
        <w:color w:val="1F3864" w:themeColor="accent1" w:themeShade="80"/>
        <w:sz w:val="22"/>
      </w:rPr>
    </w:lvl>
    <w:lvl w:ilvl="1" w:tplc="9B188F48">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909A0"/>
    <w:multiLevelType w:val="hybridMultilevel"/>
    <w:tmpl w:val="BCE4056A"/>
    <w:lvl w:ilvl="0" w:tplc="F5DA4B18">
      <w:start w:val="1"/>
      <w:numFmt w:val="bullet"/>
      <w:lvlText w:val=""/>
      <w:lvlJc w:val="left"/>
      <w:pPr>
        <w:ind w:left="1800" w:hanging="360"/>
      </w:pPr>
      <w:rPr>
        <w:rFonts w:ascii="Wingdings" w:hAnsi="Wingdings" w:hint="default"/>
        <w:color w:val="1F3864" w:themeColor="accent1" w:themeShade="80"/>
        <w:sz w:val="22"/>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16cid:durableId="383792578">
    <w:abstractNumId w:val="18"/>
  </w:num>
  <w:num w:numId="2" w16cid:durableId="1187674699">
    <w:abstractNumId w:val="17"/>
  </w:num>
  <w:num w:numId="3" w16cid:durableId="1790388857">
    <w:abstractNumId w:val="14"/>
  </w:num>
  <w:num w:numId="4" w16cid:durableId="1785729917">
    <w:abstractNumId w:val="9"/>
  </w:num>
  <w:num w:numId="5" w16cid:durableId="1748113047">
    <w:abstractNumId w:val="8"/>
  </w:num>
  <w:num w:numId="6" w16cid:durableId="1802073309">
    <w:abstractNumId w:val="15"/>
  </w:num>
  <w:num w:numId="7" w16cid:durableId="1096436865">
    <w:abstractNumId w:val="1"/>
  </w:num>
  <w:num w:numId="8" w16cid:durableId="985162945">
    <w:abstractNumId w:val="11"/>
  </w:num>
  <w:num w:numId="9" w16cid:durableId="678966663">
    <w:abstractNumId w:val="6"/>
  </w:num>
  <w:num w:numId="10" w16cid:durableId="645282832">
    <w:abstractNumId w:val="10"/>
  </w:num>
  <w:num w:numId="11" w16cid:durableId="1099639294">
    <w:abstractNumId w:val="4"/>
  </w:num>
  <w:num w:numId="12" w16cid:durableId="560487432">
    <w:abstractNumId w:val="7"/>
  </w:num>
  <w:num w:numId="13" w16cid:durableId="424377299">
    <w:abstractNumId w:val="2"/>
  </w:num>
  <w:num w:numId="14" w16cid:durableId="831481357">
    <w:abstractNumId w:val="16"/>
  </w:num>
  <w:num w:numId="15" w16cid:durableId="1075856142">
    <w:abstractNumId w:val="12"/>
  </w:num>
  <w:num w:numId="16" w16cid:durableId="1469666170">
    <w:abstractNumId w:val="3"/>
  </w:num>
  <w:num w:numId="17" w16cid:durableId="2119251467">
    <w:abstractNumId w:val="0"/>
  </w:num>
  <w:num w:numId="18" w16cid:durableId="1954433672">
    <w:abstractNumId w:val="13"/>
  </w:num>
  <w:num w:numId="19" w16cid:durableId="1995452018">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53"/>
    <w:rsid w:val="00000CBE"/>
    <w:rsid w:val="0000274E"/>
    <w:rsid w:val="0000511D"/>
    <w:rsid w:val="00016495"/>
    <w:rsid w:val="000168C9"/>
    <w:rsid w:val="0002225C"/>
    <w:rsid w:val="000311D5"/>
    <w:rsid w:val="00035D9B"/>
    <w:rsid w:val="0003729D"/>
    <w:rsid w:val="000428B3"/>
    <w:rsid w:val="0004730A"/>
    <w:rsid w:val="00051727"/>
    <w:rsid w:val="00052E4D"/>
    <w:rsid w:val="0005766D"/>
    <w:rsid w:val="00057DEA"/>
    <w:rsid w:val="00061492"/>
    <w:rsid w:val="00063030"/>
    <w:rsid w:val="0006366C"/>
    <w:rsid w:val="00064A45"/>
    <w:rsid w:val="000670FA"/>
    <w:rsid w:val="000679B5"/>
    <w:rsid w:val="00067B29"/>
    <w:rsid w:val="0007081B"/>
    <w:rsid w:val="00071A3D"/>
    <w:rsid w:val="00072F57"/>
    <w:rsid w:val="00074D78"/>
    <w:rsid w:val="0007707F"/>
    <w:rsid w:val="0007753E"/>
    <w:rsid w:val="00081A74"/>
    <w:rsid w:val="00084A9A"/>
    <w:rsid w:val="000855C5"/>
    <w:rsid w:val="00085DE7"/>
    <w:rsid w:val="00085F48"/>
    <w:rsid w:val="00086CA4"/>
    <w:rsid w:val="00095853"/>
    <w:rsid w:val="000A003F"/>
    <w:rsid w:val="000A546C"/>
    <w:rsid w:val="000B1BD6"/>
    <w:rsid w:val="000B2F4C"/>
    <w:rsid w:val="000C0800"/>
    <w:rsid w:val="000C11B6"/>
    <w:rsid w:val="000C22FC"/>
    <w:rsid w:val="000C290C"/>
    <w:rsid w:val="000C7F35"/>
    <w:rsid w:val="000D4D80"/>
    <w:rsid w:val="000E56CE"/>
    <w:rsid w:val="000F3EC8"/>
    <w:rsid w:val="000F5DB7"/>
    <w:rsid w:val="000F77B1"/>
    <w:rsid w:val="001103AA"/>
    <w:rsid w:val="00111298"/>
    <w:rsid w:val="001130FE"/>
    <w:rsid w:val="001209DE"/>
    <w:rsid w:val="00122B77"/>
    <w:rsid w:val="00123428"/>
    <w:rsid w:val="00124225"/>
    <w:rsid w:val="001328B5"/>
    <w:rsid w:val="001328BB"/>
    <w:rsid w:val="00136F07"/>
    <w:rsid w:val="00141A26"/>
    <w:rsid w:val="001426F4"/>
    <w:rsid w:val="001428A6"/>
    <w:rsid w:val="0014392E"/>
    <w:rsid w:val="00143ABC"/>
    <w:rsid w:val="00150965"/>
    <w:rsid w:val="00152657"/>
    <w:rsid w:val="001535EB"/>
    <w:rsid w:val="0015429A"/>
    <w:rsid w:val="00156194"/>
    <w:rsid w:val="001607D2"/>
    <w:rsid w:val="00171B05"/>
    <w:rsid w:val="001807B9"/>
    <w:rsid w:val="00182FD9"/>
    <w:rsid w:val="00195661"/>
    <w:rsid w:val="00196D34"/>
    <w:rsid w:val="001A10D2"/>
    <w:rsid w:val="001C6209"/>
    <w:rsid w:val="001D1340"/>
    <w:rsid w:val="001D1F6D"/>
    <w:rsid w:val="001D2E8D"/>
    <w:rsid w:val="001D3024"/>
    <w:rsid w:val="001D712B"/>
    <w:rsid w:val="001E3522"/>
    <w:rsid w:val="001E5719"/>
    <w:rsid w:val="001E571A"/>
    <w:rsid w:val="001E70E0"/>
    <w:rsid w:val="001F00CE"/>
    <w:rsid w:val="001F351D"/>
    <w:rsid w:val="001F7FF7"/>
    <w:rsid w:val="002035D1"/>
    <w:rsid w:val="00210ED4"/>
    <w:rsid w:val="002119AE"/>
    <w:rsid w:val="00213BD2"/>
    <w:rsid w:val="00214950"/>
    <w:rsid w:val="00215C08"/>
    <w:rsid w:val="00222222"/>
    <w:rsid w:val="00226420"/>
    <w:rsid w:val="002330B1"/>
    <w:rsid w:val="0023655E"/>
    <w:rsid w:val="00240CB0"/>
    <w:rsid w:val="00245EEB"/>
    <w:rsid w:val="00254144"/>
    <w:rsid w:val="002544C6"/>
    <w:rsid w:val="0025750F"/>
    <w:rsid w:val="002631BF"/>
    <w:rsid w:val="00264EE0"/>
    <w:rsid w:val="00265575"/>
    <w:rsid w:val="00267159"/>
    <w:rsid w:val="0027456C"/>
    <w:rsid w:val="002806B9"/>
    <w:rsid w:val="00281ECA"/>
    <w:rsid w:val="0028497E"/>
    <w:rsid w:val="0028628C"/>
    <w:rsid w:val="00293253"/>
    <w:rsid w:val="00294050"/>
    <w:rsid w:val="002A23A3"/>
    <w:rsid w:val="002A3852"/>
    <w:rsid w:val="002A5364"/>
    <w:rsid w:val="002B02C1"/>
    <w:rsid w:val="002B051D"/>
    <w:rsid w:val="002C3883"/>
    <w:rsid w:val="002C496A"/>
    <w:rsid w:val="002C683F"/>
    <w:rsid w:val="002C7E45"/>
    <w:rsid w:val="002D12CB"/>
    <w:rsid w:val="002D2977"/>
    <w:rsid w:val="002D3B5E"/>
    <w:rsid w:val="002D505C"/>
    <w:rsid w:val="002E342C"/>
    <w:rsid w:val="002E44E1"/>
    <w:rsid w:val="002F0C29"/>
    <w:rsid w:val="002F0C5B"/>
    <w:rsid w:val="002F39F9"/>
    <w:rsid w:val="002F68B2"/>
    <w:rsid w:val="003053F9"/>
    <w:rsid w:val="00306B41"/>
    <w:rsid w:val="0031666F"/>
    <w:rsid w:val="00316AE8"/>
    <w:rsid w:val="00317942"/>
    <w:rsid w:val="003203AE"/>
    <w:rsid w:val="00321A0D"/>
    <w:rsid w:val="0032569F"/>
    <w:rsid w:val="0033275A"/>
    <w:rsid w:val="0033454F"/>
    <w:rsid w:val="00336058"/>
    <w:rsid w:val="00336A03"/>
    <w:rsid w:val="00337CAC"/>
    <w:rsid w:val="00337D48"/>
    <w:rsid w:val="00343670"/>
    <w:rsid w:val="003438C7"/>
    <w:rsid w:val="0034649F"/>
    <w:rsid w:val="00347DC9"/>
    <w:rsid w:val="00353B30"/>
    <w:rsid w:val="00354EDA"/>
    <w:rsid w:val="00362896"/>
    <w:rsid w:val="003629B3"/>
    <w:rsid w:val="0036440C"/>
    <w:rsid w:val="00366AAE"/>
    <w:rsid w:val="00370D35"/>
    <w:rsid w:val="003868AF"/>
    <w:rsid w:val="00392303"/>
    <w:rsid w:val="00396695"/>
    <w:rsid w:val="00396F52"/>
    <w:rsid w:val="003A1504"/>
    <w:rsid w:val="003A2A23"/>
    <w:rsid w:val="003A3163"/>
    <w:rsid w:val="003B0BC3"/>
    <w:rsid w:val="003B2732"/>
    <w:rsid w:val="003B4B62"/>
    <w:rsid w:val="003B4D68"/>
    <w:rsid w:val="003B6D62"/>
    <w:rsid w:val="003C09E8"/>
    <w:rsid w:val="003C1A64"/>
    <w:rsid w:val="003C28E7"/>
    <w:rsid w:val="003D38C8"/>
    <w:rsid w:val="003D6607"/>
    <w:rsid w:val="003E2391"/>
    <w:rsid w:val="003E379B"/>
    <w:rsid w:val="003E74EF"/>
    <w:rsid w:val="003F2086"/>
    <w:rsid w:val="003F4C52"/>
    <w:rsid w:val="003F4CB7"/>
    <w:rsid w:val="003F7269"/>
    <w:rsid w:val="004118A3"/>
    <w:rsid w:val="00411D09"/>
    <w:rsid w:val="0041351C"/>
    <w:rsid w:val="00414B02"/>
    <w:rsid w:val="004217BE"/>
    <w:rsid w:val="00424AAD"/>
    <w:rsid w:val="00433624"/>
    <w:rsid w:val="00434648"/>
    <w:rsid w:val="00436E72"/>
    <w:rsid w:val="00437F7B"/>
    <w:rsid w:val="00440E04"/>
    <w:rsid w:val="00447225"/>
    <w:rsid w:val="004528BE"/>
    <w:rsid w:val="00456F1D"/>
    <w:rsid w:val="00457577"/>
    <w:rsid w:val="004614D2"/>
    <w:rsid w:val="00464317"/>
    <w:rsid w:val="00466638"/>
    <w:rsid w:val="00467979"/>
    <w:rsid w:val="00467E76"/>
    <w:rsid w:val="00471214"/>
    <w:rsid w:val="004734B5"/>
    <w:rsid w:val="00475085"/>
    <w:rsid w:val="00482379"/>
    <w:rsid w:val="00485AAB"/>
    <w:rsid w:val="004874DB"/>
    <w:rsid w:val="00492DBE"/>
    <w:rsid w:val="004A03B1"/>
    <w:rsid w:val="004A409F"/>
    <w:rsid w:val="004B4C64"/>
    <w:rsid w:val="004C1FD8"/>
    <w:rsid w:val="004C4A24"/>
    <w:rsid w:val="004C6ACC"/>
    <w:rsid w:val="004D2291"/>
    <w:rsid w:val="004D56A6"/>
    <w:rsid w:val="004E1FB9"/>
    <w:rsid w:val="004E20E9"/>
    <w:rsid w:val="004E4DF3"/>
    <w:rsid w:val="004E7512"/>
    <w:rsid w:val="004E7880"/>
    <w:rsid w:val="004F034A"/>
    <w:rsid w:val="004F5191"/>
    <w:rsid w:val="004F6002"/>
    <w:rsid w:val="00500DED"/>
    <w:rsid w:val="00505D8D"/>
    <w:rsid w:val="00506CE2"/>
    <w:rsid w:val="0050775F"/>
    <w:rsid w:val="0051147A"/>
    <w:rsid w:val="005115FB"/>
    <w:rsid w:val="00511C77"/>
    <w:rsid w:val="00513CBF"/>
    <w:rsid w:val="005148AA"/>
    <w:rsid w:val="00516113"/>
    <w:rsid w:val="00516AAF"/>
    <w:rsid w:val="005241DA"/>
    <w:rsid w:val="0052681A"/>
    <w:rsid w:val="0053268B"/>
    <w:rsid w:val="00533AAD"/>
    <w:rsid w:val="005341C3"/>
    <w:rsid w:val="00540646"/>
    <w:rsid w:val="005426D6"/>
    <w:rsid w:val="00543E78"/>
    <w:rsid w:val="005448C2"/>
    <w:rsid w:val="00547031"/>
    <w:rsid w:val="005602AA"/>
    <w:rsid w:val="00560816"/>
    <w:rsid w:val="00563152"/>
    <w:rsid w:val="00566176"/>
    <w:rsid w:val="005661A4"/>
    <w:rsid w:val="00570366"/>
    <w:rsid w:val="00571B02"/>
    <w:rsid w:val="00572022"/>
    <w:rsid w:val="00576134"/>
    <w:rsid w:val="00576C4C"/>
    <w:rsid w:val="00581006"/>
    <w:rsid w:val="00584859"/>
    <w:rsid w:val="0059194E"/>
    <w:rsid w:val="00594EBD"/>
    <w:rsid w:val="005A05B0"/>
    <w:rsid w:val="005A23AF"/>
    <w:rsid w:val="005B00CB"/>
    <w:rsid w:val="005C126B"/>
    <w:rsid w:val="005C1BE2"/>
    <w:rsid w:val="005C2541"/>
    <w:rsid w:val="005C5520"/>
    <w:rsid w:val="005C69EF"/>
    <w:rsid w:val="005D220D"/>
    <w:rsid w:val="005D3C27"/>
    <w:rsid w:val="005D4BE0"/>
    <w:rsid w:val="005D7A1E"/>
    <w:rsid w:val="005E13F8"/>
    <w:rsid w:val="005E5FFD"/>
    <w:rsid w:val="005E701E"/>
    <w:rsid w:val="005E7BC0"/>
    <w:rsid w:val="005F43A5"/>
    <w:rsid w:val="00602E8E"/>
    <w:rsid w:val="00602ECB"/>
    <w:rsid w:val="00604AA0"/>
    <w:rsid w:val="0061031C"/>
    <w:rsid w:val="00613431"/>
    <w:rsid w:val="0061407B"/>
    <w:rsid w:val="006152B3"/>
    <w:rsid w:val="00622503"/>
    <w:rsid w:val="006232D0"/>
    <w:rsid w:val="00624E9D"/>
    <w:rsid w:val="0062507C"/>
    <w:rsid w:val="006268D4"/>
    <w:rsid w:val="006327F8"/>
    <w:rsid w:val="00634539"/>
    <w:rsid w:val="0063568F"/>
    <w:rsid w:val="00637E16"/>
    <w:rsid w:val="00646AA8"/>
    <w:rsid w:val="00651EC9"/>
    <w:rsid w:val="006527E4"/>
    <w:rsid w:val="0065331A"/>
    <w:rsid w:val="0065588C"/>
    <w:rsid w:val="006572A8"/>
    <w:rsid w:val="006664BA"/>
    <w:rsid w:val="0067354A"/>
    <w:rsid w:val="006737A9"/>
    <w:rsid w:val="00674002"/>
    <w:rsid w:val="006762EF"/>
    <w:rsid w:val="00676963"/>
    <w:rsid w:val="00690B81"/>
    <w:rsid w:val="00690F94"/>
    <w:rsid w:val="006A3DCB"/>
    <w:rsid w:val="006A40D6"/>
    <w:rsid w:val="006A7497"/>
    <w:rsid w:val="006B02F9"/>
    <w:rsid w:val="006B14FD"/>
    <w:rsid w:val="006B1DE1"/>
    <w:rsid w:val="006B3DF0"/>
    <w:rsid w:val="006B6062"/>
    <w:rsid w:val="006C0804"/>
    <w:rsid w:val="006C39A2"/>
    <w:rsid w:val="006C39B3"/>
    <w:rsid w:val="006C471D"/>
    <w:rsid w:val="006C707B"/>
    <w:rsid w:val="006D0437"/>
    <w:rsid w:val="006D1926"/>
    <w:rsid w:val="006D313B"/>
    <w:rsid w:val="006D39BA"/>
    <w:rsid w:val="006D6A6B"/>
    <w:rsid w:val="006E00E5"/>
    <w:rsid w:val="006E01B4"/>
    <w:rsid w:val="006E2B2A"/>
    <w:rsid w:val="006E2FDE"/>
    <w:rsid w:val="006E664D"/>
    <w:rsid w:val="006F1092"/>
    <w:rsid w:val="006F53C4"/>
    <w:rsid w:val="00710343"/>
    <w:rsid w:val="0071097B"/>
    <w:rsid w:val="00711F42"/>
    <w:rsid w:val="007143EE"/>
    <w:rsid w:val="00716A3C"/>
    <w:rsid w:val="00725709"/>
    <w:rsid w:val="00732497"/>
    <w:rsid w:val="00734EFD"/>
    <w:rsid w:val="007430C4"/>
    <w:rsid w:val="00754199"/>
    <w:rsid w:val="00754685"/>
    <w:rsid w:val="0075607F"/>
    <w:rsid w:val="0076331D"/>
    <w:rsid w:val="0076578C"/>
    <w:rsid w:val="00767950"/>
    <w:rsid w:val="00770386"/>
    <w:rsid w:val="0077059B"/>
    <w:rsid w:val="007706FA"/>
    <w:rsid w:val="0077455A"/>
    <w:rsid w:val="00780506"/>
    <w:rsid w:val="007813AB"/>
    <w:rsid w:val="007832F0"/>
    <w:rsid w:val="007852A1"/>
    <w:rsid w:val="00785816"/>
    <w:rsid w:val="007912D3"/>
    <w:rsid w:val="007974A1"/>
    <w:rsid w:val="007B1BE6"/>
    <w:rsid w:val="007B344A"/>
    <w:rsid w:val="007C0E44"/>
    <w:rsid w:val="007C7D39"/>
    <w:rsid w:val="007D0CFC"/>
    <w:rsid w:val="007E0505"/>
    <w:rsid w:val="007E5380"/>
    <w:rsid w:val="007E693D"/>
    <w:rsid w:val="007F27F2"/>
    <w:rsid w:val="007F600C"/>
    <w:rsid w:val="008001B6"/>
    <w:rsid w:val="00801DE0"/>
    <w:rsid w:val="00801F42"/>
    <w:rsid w:val="00804C53"/>
    <w:rsid w:val="0080500B"/>
    <w:rsid w:val="00821B17"/>
    <w:rsid w:val="00824E51"/>
    <w:rsid w:val="0082581D"/>
    <w:rsid w:val="008267FE"/>
    <w:rsid w:val="00827BB1"/>
    <w:rsid w:val="00827D08"/>
    <w:rsid w:val="00830F35"/>
    <w:rsid w:val="00834417"/>
    <w:rsid w:val="00837D36"/>
    <w:rsid w:val="008409F9"/>
    <w:rsid w:val="00840A12"/>
    <w:rsid w:val="00844B77"/>
    <w:rsid w:val="00847F77"/>
    <w:rsid w:val="00854618"/>
    <w:rsid w:val="00856F9C"/>
    <w:rsid w:val="00870868"/>
    <w:rsid w:val="008766F4"/>
    <w:rsid w:val="0088014C"/>
    <w:rsid w:val="00885E36"/>
    <w:rsid w:val="00887C92"/>
    <w:rsid w:val="00895FC3"/>
    <w:rsid w:val="008A346C"/>
    <w:rsid w:val="008A5FB2"/>
    <w:rsid w:val="008A7DC6"/>
    <w:rsid w:val="008B0776"/>
    <w:rsid w:val="008C26EE"/>
    <w:rsid w:val="008C3A85"/>
    <w:rsid w:val="008C5D35"/>
    <w:rsid w:val="008D36A3"/>
    <w:rsid w:val="008D41BA"/>
    <w:rsid w:val="008D5663"/>
    <w:rsid w:val="008D586C"/>
    <w:rsid w:val="008E3EE5"/>
    <w:rsid w:val="008E5068"/>
    <w:rsid w:val="008F103E"/>
    <w:rsid w:val="008F1A08"/>
    <w:rsid w:val="008F21AA"/>
    <w:rsid w:val="008F39D1"/>
    <w:rsid w:val="008F3BA6"/>
    <w:rsid w:val="008F6D1B"/>
    <w:rsid w:val="009011CC"/>
    <w:rsid w:val="00911E3E"/>
    <w:rsid w:val="00916D4E"/>
    <w:rsid w:val="00922417"/>
    <w:rsid w:val="009233EE"/>
    <w:rsid w:val="00925BC5"/>
    <w:rsid w:val="00927679"/>
    <w:rsid w:val="009301B6"/>
    <w:rsid w:val="009317A4"/>
    <w:rsid w:val="0093308C"/>
    <w:rsid w:val="00933CCC"/>
    <w:rsid w:val="00934100"/>
    <w:rsid w:val="0093434E"/>
    <w:rsid w:val="00936DCF"/>
    <w:rsid w:val="00941287"/>
    <w:rsid w:val="00943BE1"/>
    <w:rsid w:val="00945579"/>
    <w:rsid w:val="0094786D"/>
    <w:rsid w:val="009534A3"/>
    <w:rsid w:val="00956F70"/>
    <w:rsid w:val="009570CD"/>
    <w:rsid w:val="009578AA"/>
    <w:rsid w:val="00964BBF"/>
    <w:rsid w:val="00965FFB"/>
    <w:rsid w:val="009712E9"/>
    <w:rsid w:val="009718AB"/>
    <w:rsid w:val="00975F39"/>
    <w:rsid w:val="00982B21"/>
    <w:rsid w:val="00982CA4"/>
    <w:rsid w:val="00986FE0"/>
    <w:rsid w:val="0098771B"/>
    <w:rsid w:val="009A04E8"/>
    <w:rsid w:val="009B11AC"/>
    <w:rsid w:val="009B4074"/>
    <w:rsid w:val="009B47F5"/>
    <w:rsid w:val="009B4842"/>
    <w:rsid w:val="009B5486"/>
    <w:rsid w:val="009B6FBA"/>
    <w:rsid w:val="009C464E"/>
    <w:rsid w:val="009D4257"/>
    <w:rsid w:val="009D5D1C"/>
    <w:rsid w:val="009E4431"/>
    <w:rsid w:val="009E4B17"/>
    <w:rsid w:val="009E4FF0"/>
    <w:rsid w:val="009F1764"/>
    <w:rsid w:val="009F2D6E"/>
    <w:rsid w:val="009F4CBA"/>
    <w:rsid w:val="009F4F73"/>
    <w:rsid w:val="00A03552"/>
    <w:rsid w:val="00A05C77"/>
    <w:rsid w:val="00A07E28"/>
    <w:rsid w:val="00A13DCC"/>
    <w:rsid w:val="00A14CE0"/>
    <w:rsid w:val="00A212C3"/>
    <w:rsid w:val="00A32B7D"/>
    <w:rsid w:val="00A3438F"/>
    <w:rsid w:val="00A40B23"/>
    <w:rsid w:val="00A434C6"/>
    <w:rsid w:val="00A45326"/>
    <w:rsid w:val="00A5269E"/>
    <w:rsid w:val="00A536BC"/>
    <w:rsid w:val="00A60A87"/>
    <w:rsid w:val="00A60D67"/>
    <w:rsid w:val="00A646F9"/>
    <w:rsid w:val="00A702BC"/>
    <w:rsid w:val="00A773CC"/>
    <w:rsid w:val="00A7774F"/>
    <w:rsid w:val="00A77F8E"/>
    <w:rsid w:val="00A85BEA"/>
    <w:rsid w:val="00A86405"/>
    <w:rsid w:val="00A8648D"/>
    <w:rsid w:val="00A90A7D"/>
    <w:rsid w:val="00A91EFF"/>
    <w:rsid w:val="00A95683"/>
    <w:rsid w:val="00AA1D4F"/>
    <w:rsid w:val="00AB498B"/>
    <w:rsid w:val="00AB499A"/>
    <w:rsid w:val="00AB7917"/>
    <w:rsid w:val="00AC037D"/>
    <w:rsid w:val="00AC307D"/>
    <w:rsid w:val="00AC5216"/>
    <w:rsid w:val="00AD2745"/>
    <w:rsid w:val="00AD3470"/>
    <w:rsid w:val="00AE1AAB"/>
    <w:rsid w:val="00AE27DC"/>
    <w:rsid w:val="00AE28B7"/>
    <w:rsid w:val="00AE2AF2"/>
    <w:rsid w:val="00AE5416"/>
    <w:rsid w:val="00AF0ECB"/>
    <w:rsid w:val="00AF46AA"/>
    <w:rsid w:val="00B02DE9"/>
    <w:rsid w:val="00B05BDA"/>
    <w:rsid w:val="00B11292"/>
    <w:rsid w:val="00B1338A"/>
    <w:rsid w:val="00B207A3"/>
    <w:rsid w:val="00B21A91"/>
    <w:rsid w:val="00B26DD7"/>
    <w:rsid w:val="00B312C7"/>
    <w:rsid w:val="00B31DE3"/>
    <w:rsid w:val="00B320A8"/>
    <w:rsid w:val="00B3331B"/>
    <w:rsid w:val="00B421FC"/>
    <w:rsid w:val="00B464FA"/>
    <w:rsid w:val="00B505C1"/>
    <w:rsid w:val="00B5142E"/>
    <w:rsid w:val="00B5427E"/>
    <w:rsid w:val="00B57023"/>
    <w:rsid w:val="00B60E6A"/>
    <w:rsid w:val="00B61E53"/>
    <w:rsid w:val="00B63463"/>
    <w:rsid w:val="00B67B2E"/>
    <w:rsid w:val="00B72617"/>
    <w:rsid w:val="00B77B6C"/>
    <w:rsid w:val="00B81B8A"/>
    <w:rsid w:val="00B840C1"/>
    <w:rsid w:val="00B87EFE"/>
    <w:rsid w:val="00B92652"/>
    <w:rsid w:val="00BA239D"/>
    <w:rsid w:val="00BA28D3"/>
    <w:rsid w:val="00BA6227"/>
    <w:rsid w:val="00BB2C07"/>
    <w:rsid w:val="00BB3A1A"/>
    <w:rsid w:val="00BB403C"/>
    <w:rsid w:val="00BB5F32"/>
    <w:rsid w:val="00BC15C3"/>
    <w:rsid w:val="00BC2E0F"/>
    <w:rsid w:val="00BC567D"/>
    <w:rsid w:val="00BD0B71"/>
    <w:rsid w:val="00BD1BDE"/>
    <w:rsid w:val="00BD5AC6"/>
    <w:rsid w:val="00BD66C8"/>
    <w:rsid w:val="00BD6F16"/>
    <w:rsid w:val="00BD7E73"/>
    <w:rsid w:val="00BE05EF"/>
    <w:rsid w:val="00BE0951"/>
    <w:rsid w:val="00BE340D"/>
    <w:rsid w:val="00BE37E1"/>
    <w:rsid w:val="00BE40C6"/>
    <w:rsid w:val="00BE45D1"/>
    <w:rsid w:val="00BE500C"/>
    <w:rsid w:val="00BE53BA"/>
    <w:rsid w:val="00BE55BB"/>
    <w:rsid w:val="00BE6AD2"/>
    <w:rsid w:val="00BF03AE"/>
    <w:rsid w:val="00BF0896"/>
    <w:rsid w:val="00BF604B"/>
    <w:rsid w:val="00BF6702"/>
    <w:rsid w:val="00BF673B"/>
    <w:rsid w:val="00BF710B"/>
    <w:rsid w:val="00C04027"/>
    <w:rsid w:val="00C065DB"/>
    <w:rsid w:val="00C0773D"/>
    <w:rsid w:val="00C07B7C"/>
    <w:rsid w:val="00C1263D"/>
    <w:rsid w:val="00C13F0E"/>
    <w:rsid w:val="00C17A76"/>
    <w:rsid w:val="00C20CB9"/>
    <w:rsid w:val="00C22EF3"/>
    <w:rsid w:val="00C26C0A"/>
    <w:rsid w:val="00C335CE"/>
    <w:rsid w:val="00C360D6"/>
    <w:rsid w:val="00C36940"/>
    <w:rsid w:val="00C42BAD"/>
    <w:rsid w:val="00C44847"/>
    <w:rsid w:val="00C50B34"/>
    <w:rsid w:val="00C51725"/>
    <w:rsid w:val="00C556D6"/>
    <w:rsid w:val="00C57AB5"/>
    <w:rsid w:val="00C6241D"/>
    <w:rsid w:val="00C62912"/>
    <w:rsid w:val="00C6491A"/>
    <w:rsid w:val="00C65D1A"/>
    <w:rsid w:val="00C72895"/>
    <w:rsid w:val="00C77128"/>
    <w:rsid w:val="00C77283"/>
    <w:rsid w:val="00C83151"/>
    <w:rsid w:val="00C8597C"/>
    <w:rsid w:val="00C87A21"/>
    <w:rsid w:val="00C87F7F"/>
    <w:rsid w:val="00C91B9C"/>
    <w:rsid w:val="00C94DF5"/>
    <w:rsid w:val="00C94E3E"/>
    <w:rsid w:val="00CA0A37"/>
    <w:rsid w:val="00CA1843"/>
    <w:rsid w:val="00CA3B94"/>
    <w:rsid w:val="00CA64EE"/>
    <w:rsid w:val="00CB282A"/>
    <w:rsid w:val="00CB7288"/>
    <w:rsid w:val="00CB7DA3"/>
    <w:rsid w:val="00CC7887"/>
    <w:rsid w:val="00CC7EF8"/>
    <w:rsid w:val="00CD4343"/>
    <w:rsid w:val="00CD5FF6"/>
    <w:rsid w:val="00CE3C73"/>
    <w:rsid w:val="00CF18F9"/>
    <w:rsid w:val="00CF1E6B"/>
    <w:rsid w:val="00CF3A33"/>
    <w:rsid w:val="00CF3ED3"/>
    <w:rsid w:val="00CF5F7A"/>
    <w:rsid w:val="00D00A79"/>
    <w:rsid w:val="00D00F28"/>
    <w:rsid w:val="00D01242"/>
    <w:rsid w:val="00D01EE9"/>
    <w:rsid w:val="00D0387F"/>
    <w:rsid w:val="00D04A6B"/>
    <w:rsid w:val="00D04FD1"/>
    <w:rsid w:val="00D0732E"/>
    <w:rsid w:val="00D13140"/>
    <w:rsid w:val="00D26475"/>
    <w:rsid w:val="00D26B52"/>
    <w:rsid w:val="00D31AE2"/>
    <w:rsid w:val="00D31F7A"/>
    <w:rsid w:val="00D41B60"/>
    <w:rsid w:val="00D44168"/>
    <w:rsid w:val="00D44708"/>
    <w:rsid w:val="00D511A7"/>
    <w:rsid w:val="00D55143"/>
    <w:rsid w:val="00D574C6"/>
    <w:rsid w:val="00D63372"/>
    <w:rsid w:val="00D7119D"/>
    <w:rsid w:val="00D71923"/>
    <w:rsid w:val="00D77078"/>
    <w:rsid w:val="00D8005B"/>
    <w:rsid w:val="00D80382"/>
    <w:rsid w:val="00D820AD"/>
    <w:rsid w:val="00D84B08"/>
    <w:rsid w:val="00D872B8"/>
    <w:rsid w:val="00D930E2"/>
    <w:rsid w:val="00DA1CBA"/>
    <w:rsid w:val="00DB28A1"/>
    <w:rsid w:val="00DB577A"/>
    <w:rsid w:val="00DC0734"/>
    <w:rsid w:val="00DC7E37"/>
    <w:rsid w:val="00DD2936"/>
    <w:rsid w:val="00DE02AB"/>
    <w:rsid w:val="00DE1505"/>
    <w:rsid w:val="00DE2007"/>
    <w:rsid w:val="00DE22BA"/>
    <w:rsid w:val="00DE35BE"/>
    <w:rsid w:val="00DE7A27"/>
    <w:rsid w:val="00DF2088"/>
    <w:rsid w:val="00DF653F"/>
    <w:rsid w:val="00DF7652"/>
    <w:rsid w:val="00E04BBB"/>
    <w:rsid w:val="00E05A85"/>
    <w:rsid w:val="00E06074"/>
    <w:rsid w:val="00E07C58"/>
    <w:rsid w:val="00E10E3E"/>
    <w:rsid w:val="00E164F3"/>
    <w:rsid w:val="00E174F7"/>
    <w:rsid w:val="00E264DA"/>
    <w:rsid w:val="00E273E5"/>
    <w:rsid w:val="00E31D19"/>
    <w:rsid w:val="00E34087"/>
    <w:rsid w:val="00E37D26"/>
    <w:rsid w:val="00E43A55"/>
    <w:rsid w:val="00E4452C"/>
    <w:rsid w:val="00E53176"/>
    <w:rsid w:val="00E54BAE"/>
    <w:rsid w:val="00E55B88"/>
    <w:rsid w:val="00E74E65"/>
    <w:rsid w:val="00E76FC1"/>
    <w:rsid w:val="00E857F8"/>
    <w:rsid w:val="00E86D2E"/>
    <w:rsid w:val="00E87EB5"/>
    <w:rsid w:val="00E902E7"/>
    <w:rsid w:val="00E9524D"/>
    <w:rsid w:val="00E97051"/>
    <w:rsid w:val="00EA041A"/>
    <w:rsid w:val="00EA0E02"/>
    <w:rsid w:val="00EA2CAE"/>
    <w:rsid w:val="00EA3FDD"/>
    <w:rsid w:val="00EA54AB"/>
    <w:rsid w:val="00EA6897"/>
    <w:rsid w:val="00EA76B8"/>
    <w:rsid w:val="00EB3BE3"/>
    <w:rsid w:val="00EB6CEB"/>
    <w:rsid w:val="00EC39E6"/>
    <w:rsid w:val="00EC6CD8"/>
    <w:rsid w:val="00EC72F2"/>
    <w:rsid w:val="00ED1F0B"/>
    <w:rsid w:val="00EE0F18"/>
    <w:rsid w:val="00EE2DA4"/>
    <w:rsid w:val="00EE4325"/>
    <w:rsid w:val="00EE53E5"/>
    <w:rsid w:val="00EE5E30"/>
    <w:rsid w:val="00EF0611"/>
    <w:rsid w:val="00EF06AF"/>
    <w:rsid w:val="00EF163C"/>
    <w:rsid w:val="00EF596C"/>
    <w:rsid w:val="00EF6F28"/>
    <w:rsid w:val="00EF7766"/>
    <w:rsid w:val="00F012B7"/>
    <w:rsid w:val="00F023EA"/>
    <w:rsid w:val="00F027CF"/>
    <w:rsid w:val="00F02CEE"/>
    <w:rsid w:val="00F03424"/>
    <w:rsid w:val="00F0460C"/>
    <w:rsid w:val="00F05232"/>
    <w:rsid w:val="00F108E0"/>
    <w:rsid w:val="00F10DA7"/>
    <w:rsid w:val="00F13195"/>
    <w:rsid w:val="00F16CD0"/>
    <w:rsid w:val="00F21B17"/>
    <w:rsid w:val="00F3457C"/>
    <w:rsid w:val="00F35363"/>
    <w:rsid w:val="00F35B03"/>
    <w:rsid w:val="00F4729F"/>
    <w:rsid w:val="00F572FA"/>
    <w:rsid w:val="00F629A6"/>
    <w:rsid w:val="00F62C67"/>
    <w:rsid w:val="00F6790A"/>
    <w:rsid w:val="00F7294A"/>
    <w:rsid w:val="00F72D18"/>
    <w:rsid w:val="00F73269"/>
    <w:rsid w:val="00F73C28"/>
    <w:rsid w:val="00F7502B"/>
    <w:rsid w:val="00F76721"/>
    <w:rsid w:val="00F81997"/>
    <w:rsid w:val="00F91610"/>
    <w:rsid w:val="00F91E01"/>
    <w:rsid w:val="00F92E40"/>
    <w:rsid w:val="00F96726"/>
    <w:rsid w:val="00FA6D8C"/>
    <w:rsid w:val="00FB0878"/>
    <w:rsid w:val="00FB650F"/>
    <w:rsid w:val="00FC2BBA"/>
    <w:rsid w:val="00FC3370"/>
    <w:rsid w:val="00FC3D02"/>
    <w:rsid w:val="00FC52A9"/>
    <w:rsid w:val="00FC647F"/>
    <w:rsid w:val="00FD00C6"/>
    <w:rsid w:val="00FD46B3"/>
    <w:rsid w:val="00FD705C"/>
    <w:rsid w:val="00FE274E"/>
    <w:rsid w:val="00FE628C"/>
    <w:rsid w:val="00FF08AF"/>
    <w:rsid w:val="00FF1565"/>
    <w:rsid w:val="00FF1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7532A"/>
  <w15:chartTrackingRefBased/>
  <w15:docId w15:val="{1D140EC6-2033-43DF-9F36-4CBE2D8B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5BEA"/>
    <w:pPr>
      <w:spacing w:after="0" w:line="288" w:lineRule="auto"/>
      <w:jc w:val="both"/>
    </w:pPr>
    <w:rPr>
      <w:rFonts w:ascii="Verdana" w:eastAsia="Times New Roman" w:hAnsi="Verdana" w:cs="Times New Roman"/>
      <w:sz w:val="18"/>
      <w:szCs w:val="24"/>
    </w:rPr>
  </w:style>
  <w:style w:type="paragraph" w:styleId="Nadpis1">
    <w:name w:val="heading 1"/>
    <w:basedOn w:val="Normlny"/>
    <w:link w:val="Nadpis1Char"/>
    <w:uiPriority w:val="9"/>
    <w:qFormat/>
    <w:rsid w:val="009D4257"/>
    <w:pPr>
      <w:widowControl w:val="0"/>
      <w:autoSpaceDE w:val="0"/>
      <w:autoSpaceDN w:val="0"/>
      <w:spacing w:line="240" w:lineRule="auto"/>
      <w:ind w:left="475"/>
      <w:jc w:val="left"/>
      <w:outlineLvl w:val="0"/>
    </w:pPr>
    <w:rPr>
      <w:rFonts w:ascii="Microsoft Sans Serif" w:eastAsia="Microsoft Sans Serif" w:hAnsi="Microsoft Sans Serif" w:cs="Microsoft Sans Serif"/>
      <w:sz w:val="30"/>
      <w:szCs w:val="3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804C53"/>
    <w:pPr>
      <w:tabs>
        <w:tab w:val="center" w:pos="4320"/>
        <w:tab w:val="right" w:pos="8640"/>
      </w:tabs>
    </w:pPr>
  </w:style>
  <w:style w:type="character" w:customStyle="1" w:styleId="HlavikaChar">
    <w:name w:val="Hlavička Char"/>
    <w:basedOn w:val="Predvolenpsmoodseku"/>
    <w:link w:val="Hlavika"/>
    <w:semiHidden/>
    <w:rsid w:val="00804C53"/>
    <w:rPr>
      <w:rFonts w:ascii="Verdana" w:eastAsia="Times New Roman" w:hAnsi="Verdana" w:cs="Times New Roman"/>
      <w:sz w:val="18"/>
      <w:szCs w:val="24"/>
    </w:rPr>
  </w:style>
  <w:style w:type="paragraph" w:styleId="Pta">
    <w:name w:val="footer"/>
    <w:basedOn w:val="Normlny"/>
    <w:link w:val="PtaChar"/>
    <w:semiHidden/>
    <w:rsid w:val="00804C53"/>
    <w:pPr>
      <w:tabs>
        <w:tab w:val="center" w:pos="4320"/>
        <w:tab w:val="right" w:pos="8640"/>
      </w:tabs>
    </w:pPr>
  </w:style>
  <w:style w:type="character" w:customStyle="1" w:styleId="PtaChar">
    <w:name w:val="Päta Char"/>
    <w:basedOn w:val="Predvolenpsmoodseku"/>
    <w:link w:val="Pta"/>
    <w:semiHidden/>
    <w:rsid w:val="00804C53"/>
    <w:rPr>
      <w:rFonts w:ascii="Verdana" w:eastAsia="Times New Roman" w:hAnsi="Verdana" w:cs="Times New Roman"/>
      <w:sz w:val="18"/>
      <w:szCs w:val="24"/>
    </w:rPr>
  </w:style>
  <w:style w:type="paragraph" w:customStyle="1" w:styleId="Noparagraphstyle">
    <w:name w:val="[No paragraph style]"/>
    <w:semiHidden/>
    <w:rsid w:val="00804C5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slostrany">
    <w:name w:val="page number"/>
    <w:basedOn w:val="Predvolenpsmoodseku"/>
    <w:semiHidden/>
    <w:rsid w:val="00804C53"/>
  </w:style>
  <w:style w:type="paragraph" w:customStyle="1" w:styleId="Heading1CEA">
    <w:name w:val="Heading 1 (CEA)"/>
    <w:basedOn w:val="Normlny"/>
    <w:link w:val="Heading1CEAChar"/>
    <w:semiHidden/>
    <w:rsid w:val="00804C53"/>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804C53"/>
    <w:rPr>
      <w:rFonts w:ascii="Arial" w:eastAsia="Times New Roman" w:hAnsi="Arial" w:cs="Times New Roman"/>
      <w:b/>
      <w:color w:val="034EA2"/>
      <w:sz w:val="32"/>
      <w:szCs w:val="32"/>
    </w:rPr>
  </w:style>
  <w:style w:type="paragraph" w:customStyle="1" w:styleId="CEAPositionPaperTitle">
    <w:name w:val="CEA Position Paper Title"/>
    <w:basedOn w:val="Normlny"/>
    <w:semiHidden/>
    <w:qFormat/>
    <w:rsid w:val="00804C53"/>
    <w:pPr>
      <w:ind w:left="-27"/>
    </w:pPr>
    <w:rPr>
      <w:b/>
      <w:color w:val="034EA2"/>
      <w:sz w:val="32"/>
      <w:szCs w:val="32"/>
    </w:rPr>
  </w:style>
  <w:style w:type="paragraph" w:customStyle="1" w:styleId="CEADraft">
    <w:name w:val="CEA Draft"/>
    <w:basedOn w:val="Normlny"/>
    <w:semiHidden/>
    <w:qFormat/>
    <w:rsid w:val="00804C53"/>
    <w:pPr>
      <w:jc w:val="right"/>
    </w:pPr>
    <w:rPr>
      <w:rFonts w:cs="Arial"/>
      <w:b/>
      <w:i/>
      <w:color w:val="034EA2"/>
      <w:sz w:val="32"/>
      <w:szCs w:val="40"/>
    </w:rPr>
  </w:style>
  <w:style w:type="paragraph" w:customStyle="1" w:styleId="CEAFooterauthorinfo">
    <w:name w:val="CEA Footer (author info)"/>
    <w:basedOn w:val="Normlny"/>
    <w:semiHidden/>
    <w:qFormat/>
    <w:rsid w:val="00804C53"/>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804C53"/>
    <w:rPr>
      <w:rFonts w:cs="Arial"/>
      <w:b/>
      <w:color w:val="034EA2"/>
      <w:szCs w:val="18"/>
    </w:rPr>
  </w:style>
  <w:style w:type="character" w:styleId="Zstupntext">
    <w:name w:val="Placeholder Text"/>
    <w:basedOn w:val="Predvolenpsmoodseku"/>
    <w:uiPriority w:val="99"/>
    <w:semiHidden/>
    <w:rsid w:val="00804C53"/>
    <w:rPr>
      <w:color w:val="808080"/>
    </w:rPr>
  </w:style>
  <w:style w:type="paragraph" w:styleId="Textbubliny">
    <w:name w:val="Balloon Text"/>
    <w:basedOn w:val="Normlny"/>
    <w:link w:val="TextbublinyChar"/>
    <w:uiPriority w:val="99"/>
    <w:semiHidden/>
    <w:unhideWhenUsed/>
    <w:rsid w:val="00804C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04C53"/>
    <w:rPr>
      <w:rFonts w:ascii="Tahoma" w:eastAsia="Times New Roman" w:hAnsi="Tahoma" w:cs="Tahoma"/>
      <w:sz w:val="16"/>
      <w:szCs w:val="16"/>
    </w:rPr>
  </w:style>
  <w:style w:type="paragraph" w:customStyle="1" w:styleId="CEABullet-Level1">
    <w:name w:val="CEA Bullet - Level 1"/>
    <w:basedOn w:val="Normlny"/>
    <w:qFormat/>
    <w:rsid w:val="009D4257"/>
    <w:pPr>
      <w:numPr>
        <w:numId w:val="6"/>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9D4257"/>
    <w:pPr>
      <w:numPr>
        <w:numId w:val="7"/>
      </w:numPr>
    </w:pPr>
  </w:style>
  <w:style w:type="paragraph" w:customStyle="1" w:styleId="CEABullet-Level3">
    <w:name w:val="CEA Bullet - Level 3"/>
    <w:basedOn w:val="Normlny"/>
    <w:qFormat/>
    <w:rsid w:val="009D4257"/>
    <w:pPr>
      <w:numPr>
        <w:numId w:val="8"/>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04C53"/>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04C53"/>
    <w:pPr>
      <w:jc w:val="right"/>
    </w:pPr>
    <w:rPr>
      <w:rFonts w:cs="Frutiger LT Std 55 Roman"/>
      <w:b/>
      <w:color w:val="0032FF"/>
      <w:sz w:val="40"/>
      <w:szCs w:val="40"/>
    </w:rPr>
  </w:style>
  <w:style w:type="paragraph" w:customStyle="1" w:styleId="CEAFootnote">
    <w:name w:val="CEA Footnote"/>
    <w:basedOn w:val="Normlny"/>
    <w:semiHidden/>
    <w:qFormat/>
    <w:rsid w:val="00804C53"/>
    <w:pPr>
      <w:spacing w:line="240" w:lineRule="auto"/>
    </w:pPr>
    <w:rPr>
      <w:sz w:val="16"/>
    </w:rPr>
  </w:style>
  <w:style w:type="character" w:customStyle="1" w:styleId="CEAGraphTitle">
    <w:name w:val="CEA Graph Title"/>
    <w:uiPriority w:val="1"/>
    <w:qFormat/>
    <w:rsid w:val="00804C53"/>
    <w:rPr>
      <w:rFonts w:ascii="Verdana" w:hAnsi="Verdana"/>
      <w:smallCaps w:val="0"/>
      <w:sz w:val="19"/>
      <w:lang w:val="en-GB"/>
    </w:rPr>
  </w:style>
  <w:style w:type="character" w:customStyle="1" w:styleId="CEAGraphX">
    <w:name w:val="CEA Graph X"/>
    <w:uiPriority w:val="1"/>
    <w:qFormat/>
    <w:rsid w:val="00804C53"/>
    <w:rPr>
      <w:rFonts w:ascii="Verdana" w:hAnsi="Verdana"/>
      <w:smallCaps/>
      <w:sz w:val="19"/>
      <w:lang w:val="en-GB"/>
    </w:rPr>
  </w:style>
  <w:style w:type="paragraph" w:customStyle="1" w:styleId="CEAPressReleaseSubtitle">
    <w:name w:val="CEA Press Release Subtitle"/>
    <w:basedOn w:val="Normlny"/>
    <w:semiHidden/>
    <w:qFormat/>
    <w:rsid w:val="00804C53"/>
    <w:rPr>
      <w:sz w:val="22"/>
      <w:szCs w:val="22"/>
    </w:rPr>
  </w:style>
  <w:style w:type="paragraph" w:customStyle="1" w:styleId="CEAPressReleaseTitle">
    <w:name w:val="CEA Press Release Title"/>
    <w:basedOn w:val="Normlny"/>
    <w:semiHidden/>
    <w:qFormat/>
    <w:rsid w:val="00804C53"/>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04C53"/>
    <w:rPr>
      <w:rFonts w:cs="Frutiger LT Std 55 Roman"/>
      <w:b/>
      <w:sz w:val="17"/>
      <w:szCs w:val="20"/>
    </w:rPr>
  </w:style>
  <w:style w:type="table" w:styleId="Mriekatabuky">
    <w:name w:val="Table Grid"/>
    <w:basedOn w:val="Normlnatabuka"/>
    <w:uiPriority w:val="59"/>
    <w:rsid w:val="00804C5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04C53"/>
    <w:rPr>
      <w:color w:val="0563C1" w:themeColor="hyperlink"/>
      <w:u w:val="single"/>
    </w:rPr>
  </w:style>
  <w:style w:type="character" w:styleId="Nevyrieenzmienka">
    <w:name w:val="Unresolved Mention"/>
    <w:basedOn w:val="Predvolenpsmoodseku"/>
    <w:uiPriority w:val="99"/>
    <w:unhideWhenUsed/>
    <w:rsid w:val="00804C53"/>
    <w:rPr>
      <w:color w:val="605E5C"/>
      <w:shd w:val="clear" w:color="auto" w:fill="E1DFDD"/>
    </w:rPr>
  </w:style>
  <w:style w:type="character" w:styleId="PouitHypertextovPrepojenie">
    <w:name w:val="FollowedHyperlink"/>
    <w:basedOn w:val="Predvolenpsmoodseku"/>
    <w:uiPriority w:val="99"/>
    <w:semiHidden/>
    <w:unhideWhenUsed/>
    <w:rsid w:val="00804C53"/>
    <w:rPr>
      <w:color w:val="954F72" w:themeColor="followedHyperlink"/>
      <w:u w:val="single"/>
    </w:rPr>
  </w:style>
  <w:style w:type="character" w:styleId="Odkaznakomentr">
    <w:name w:val="annotation reference"/>
    <w:basedOn w:val="Predvolenpsmoodseku"/>
    <w:uiPriority w:val="99"/>
    <w:semiHidden/>
    <w:unhideWhenUsed/>
    <w:rsid w:val="00804C53"/>
    <w:rPr>
      <w:sz w:val="16"/>
      <w:szCs w:val="16"/>
    </w:rPr>
  </w:style>
  <w:style w:type="paragraph" w:styleId="Textkomentra">
    <w:name w:val="annotation text"/>
    <w:basedOn w:val="Normlny"/>
    <w:link w:val="TextkomentraChar"/>
    <w:uiPriority w:val="99"/>
    <w:unhideWhenUsed/>
    <w:rsid w:val="00804C53"/>
    <w:pPr>
      <w:spacing w:line="240" w:lineRule="auto"/>
    </w:pPr>
    <w:rPr>
      <w:sz w:val="20"/>
      <w:szCs w:val="20"/>
    </w:rPr>
  </w:style>
  <w:style w:type="character" w:customStyle="1" w:styleId="TextkomentraChar">
    <w:name w:val="Text komentára Char"/>
    <w:basedOn w:val="Predvolenpsmoodseku"/>
    <w:link w:val="Textkomentra"/>
    <w:uiPriority w:val="99"/>
    <w:rsid w:val="00804C53"/>
    <w:rPr>
      <w:rFonts w:ascii="Verdana" w:eastAsia="Times New Roman" w:hAnsi="Verdana" w:cs="Times New Roman"/>
      <w:sz w:val="20"/>
      <w:szCs w:val="20"/>
    </w:rPr>
  </w:style>
  <w:style w:type="paragraph" w:styleId="Predmetkomentra">
    <w:name w:val="annotation subject"/>
    <w:basedOn w:val="Textkomentra"/>
    <w:next w:val="Textkomentra"/>
    <w:link w:val="PredmetkomentraChar"/>
    <w:uiPriority w:val="99"/>
    <w:semiHidden/>
    <w:unhideWhenUsed/>
    <w:rsid w:val="00804C53"/>
    <w:rPr>
      <w:b/>
      <w:bCs/>
    </w:rPr>
  </w:style>
  <w:style w:type="character" w:customStyle="1" w:styleId="PredmetkomentraChar">
    <w:name w:val="Predmet komentára Char"/>
    <w:basedOn w:val="TextkomentraChar"/>
    <w:link w:val="Predmetkomentra"/>
    <w:uiPriority w:val="99"/>
    <w:semiHidden/>
    <w:rsid w:val="00804C53"/>
    <w:rPr>
      <w:rFonts w:ascii="Verdana" w:eastAsia="Times New Roman" w:hAnsi="Verdana" w:cs="Times New Roman"/>
      <w:b/>
      <w:bCs/>
      <w:sz w:val="20"/>
      <w:szCs w:val="20"/>
    </w:rPr>
  </w:style>
  <w:style w:type="paragraph" w:styleId="Odsekzoznamu">
    <w:name w:val="List Paragraph"/>
    <w:basedOn w:val="Normlny"/>
    <w:uiPriority w:val="1"/>
    <w:qFormat/>
    <w:rsid w:val="00804C53"/>
    <w:pPr>
      <w:ind w:left="720"/>
      <w:contextualSpacing/>
    </w:pPr>
  </w:style>
  <w:style w:type="paragraph" w:customStyle="1" w:styleId="pf1">
    <w:name w:val="pf1"/>
    <w:basedOn w:val="Normlny"/>
    <w:rsid w:val="00804C53"/>
    <w:pPr>
      <w:spacing w:before="100" w:beforeAutospacing="1" w:after="100" w:afterAutospacing="1" w:line="240" w:lineRule="auto"/>
      <w:jc w:val="left"/>
    </w:pPr>
    <w:rPr>
      <w:rFonts w:ascii="Times New Roman" w:hAnsi="Times New Roman"/>
      <w:sz w:val="24"/>
      <w:lang w:eastAsia="en-GB"/>
    </w:rPr>
  </w:style>
  <w:style w:type="paragraph" w:customStyle="1" w:styleId="pf0">
    <w:name w:val="pf0"/>
    <w:basedOn w:val="Normlny"/>
    <w:rsid w:val="00804C53"/>
    <w:pPr>
      <w:spacing w:before="100" w:beforeAutospacing="1" w:after="100" w:afterAutospacing="1" w:line="240" w:lineRule="auto"/>
      <w:jc w:val="left"/>
    </w:pPr>
    <w:rPr>
      <w:rFonts w:ascii="Times New Roman" w:hAnsi="Times New Roman"/>
      <w:sz w:val="24"/>
      <w:lang w:eastAsia="en-GB"/>
    </w:rPr>
  </w:style>
  <w:style w:type="character" w:customStyle="1" w:styleId="cf01">
    <w:name w:val="cf01"/>
    <w:basedOn w:val="Predvolenpsmoodseku"/>
    <w:rsid w:val="00804C53"/>
    <w:rPr>
      <w:rFonts w:ascii="Segoe UI" w:hAnsi="Segoe UI" w:cs="Segoe UI" w:hint="default"/>
      <w:sz w:val="18"/>
      <w:szCs w:val="18"/>
    </w:rPr>
  </w:style>
  <w:style w:type="character" w:customStyle="1" w:styleId="cf11">
    <w:name w:val="cf11"/>
    <w:basedOn w:val="Predvolenpsmoodseku"/>
    <w:rsid w:val="00804C53"/>
    <w:rPr>
      <w:rFonts w:ascii="Segoe UI" w:hAnsi="Segoe UI" w:cs="Segoe UI" w:hint="default"/>
      <w:sz w:val="18"/>
      <w:szCs w:val="18"/>
    </w:rPr>
  </w:style>
  <w:style w:type="paragraph" w:styleId="Revzia">
    <w:name w:val="Revision"/>
    <w:hidden/>
    <w:uiPriority w:val="99"/>
    <w:semiHidden/>
    <w:rsid w:val="00804C53"/>
    <w:pPr>
      <w:spacing w:after="0" w:line="240" w:lineRule="auto"/>
    </w:pPr>
    <w:rPr>
      <w:rFonts w:ascii="Verdana" w:eastAsia="Times New Roman" w:hAnsi="Verdana" w:cs="Times New Roman"/>
      <w:sz w:val="18"/>
      <w:szCs w:val="24"/>
    </w:rPr>
  </w:style>
  <w:style w:type="character" w:styleId="Zmienka">
    <w:name w:val="Mention"/>
    <w:basedOn w:val="Predvolenpsmoodseku"/>
    <w:uiPriority w:val="99"/>
    <w:unhideWhenUsed/>
    <w:rsid w:val="00804C53"/>
    <w:rPr>
      <w:color w:val="2B579A"/>
      <w:shd w:val="clear" w:color="auto" w:fill="E1DFDD"/>
    </w:rPr>
  </w:style>
  <w:style w:type="character" w:customStyle="1" w:styleId="Nadpis1Char">
    <w:name w:val="Nadpis 1 Char"/>
    <w:basedOn w:val="Predvolenpsmoodseku"/>
    <w:link w:val="Nadpis1"/>
    <w:uiPriority w:val="9"/>
    <w:rsid w:val="009D4257"/>
    <w:rPr>
      <w:rFonts w:ascii="Microsoft Sans Serif" w:eastAsia="Microsoft Sans Serif" w:hAnsi="Microsoft Sans Serif" w:cs="Microsoft Sans Serif"/>
      <w:sz w:val="30"/>
      <w:szCs w:val="30"/>
      <w:lang w:val="en-US"/>
    </w:rPr>
  </w:style>
  <w:style w:type="paragraph" w:styleId="Zkladntext">
    <w:name w:val="Body Text"/>
    <w:basedOn w:val="Normlny"/>
    <w:link w:val="ZkladntextChar"/>
    <w:uiPriority w:val="1"/>
    <w:qFormat/>
    <w:rsid w:val="009D4257"/>
    <w:pPr>
      <w:widowControl w:val="0"/>
      <w:autoSpaceDE w:val="0"/>
      <w:autoSpaceDN w:val="0"/>
      <w:spacing w:line="240" w:lineRule="auto"/>
      <w:jc w:val="left"/>
    </w:pPr>
    <w:rPr>
      <w:rFonts w:ascii="Microsoft Sans Serif" w:eastAsia="Microsoft Sans Serif" w:hAnsi="Microsoft Sans Serif" w:cs="Microsoft Sans Serif"/>
      <w:sz w:val="27"/>
      <w:szCs w:val="27"/>
      <w:lang w:val="en-US"/>
    </w:rPr>
  </w:style>
  <w:style w:type="character" w:customStyle="1" w:styleId="ZkladntextChar">
    <w:name w:val="Základný text Char"/>
    <w:basedOn w:val="Predvolenpsmoodseku"/>
    <w:link w:val="Zkladntext"/>
    <w:uiPriority w:val="1"/>
    <w:rsid w:val="009D4257"/>
    <w:rPr>
      <w:rFonts w:ascii="Microsoft Sans Serif" w:eastAsia="Microsoft Sans Serif" w:hAnsi="Microsoft Sans Serif" w:cs="Microsoft Sans Serif"/>
      <w:sz w:val="27"/>
      <w:szCs w:val="27"/>
      <w:lang w:val="en-US"/>
    </w:rPr>
  </w:style>
  <w:style w:type="paragraph" w:customStyle="1" w:styleId="TableParagraph">
    <w:name w:val="Table Paragraph"/>
    <w:basedOn w:val="Normlny"/>
    <w:uiPriority w:val="1"/>
    <w:qFormat/>
    <w:rsid w:val="00DB577A"/>
    <w:pPr>
      <w:widowControl w:val="0"/>
      <w:autoSpaceDE w:val="0"/>
      <w:autoSpaceDN w:val="0"/>
      <w:spacing w:line="240" w:lineRule="auto"/>
      <w:jc w:val="left"/>
    </w:pPr>
    <w:rPr>
      <w:rFonts w:ascii="Microsoft Sans Serif" w:eastAsia="Microsoft Sans Serif" w:hAnsi="Microsoft Sans Serif" w:cs="Microsoft Sans Seri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7636">
      <w:bodyDiv w:val="1"/>
      <w:marLeft w:val="0"/>
      <w:marRight w:val="0"/>
      <w:marTop w:val="0"/>
      <w:marBottom w:val="0"/>
      <w:divBdr>
        <w:top w:val="none" w:sz="0" w:space="0" w:color="auto"/>
        <w:left w:val="none" w:sz="0" w:space="0" w:color="auto"/>
        <w:bottom w:val="none" w:sz="0" w:space="0" w:color="auto"/>
        <w:right w:val="none" w:sz="0" w:space="0" w:color="auto"/>
      </w:divBdr>
    </w:div>
    <w:div w:id="204952878">
      <w:bodyDiv w:val="1"/>
      <w:marLeft w:val="0"/>
      <w:marRight w:val="0"/>
      <w:marTop w:val="0"/>
      <w:marBottom w:val="0"/>
      <w:divBdr>
        <w:top w:val="none" w:sz="0" w:space="0" w:color="auto"/>
        <w:left w:val="none" w:sz="0" w:space="0" w:color="auto"/>
        <w:bottom w:val="none" w:sz="0" w:space="0" w:color="auto"/>
        <w:right w:val="none" w:sz="0" w:space="0" w:color="auto"/>
      </w:divBdr>
    </w:div>
    <w:div w:id="222909971">
      <w:bodyDiv w:val="1"/>
      <w:marLeft w:val="0"/>
      <w:marRight w:val="0"/>
      <w:marTop w:val="0"/>
      <w:marBottom w:val="0"/>
      <w:divBdr>
        <w:top w:val="none" w:sz="0" w:space="0" w:color="auto"/>
        <w:left w:val="none" w:sz="0" w:space="0" w:color="auto"/>
        <w:bottom w:val="none" w:sz="0" w:space="0" w:color="auto"/>
        <w:right w:val="none" w:sz="0" w:space="0" w:color="auto"/>
      </w:divBdr>
    </w:div>
    <w:div w:id="1020396031">
      <w:bodyDiv w:val="1"/>
      <w:marLeft w:val="0"/>
      <w:marRight w:val="0"/>
      <w:marTop w:val="0"/>
      <w:marBottom w:val="0"/>
      <w:divBdr>
        <w:top w:val="none" w:sz="0" w:space="0" w:color="auto"/>
        <w:left w:val="none" w:sz="0" w:space="0" w:color="auto"/>
        <w:bottom w:val="none" w:sz="0" w:space="0" w:color="auto"/>
        <w:right w:val="none" w:sz="0" w:space="0" w:color="auto"/>
      </w:divBdr>
    </w:div>
    <w:div w:id="1274483841">
      <w:bodyDiv w:val="1"/>
      <w:marLeft w:val="0"/>
      <w:marRight w:val="0"/>
      <w:marTop w:val="0"/>
      <w:marBottom w:val="0"/>
      <w:divBdr>
        <w:top w:val="none" w:sz="0" w:space="0" w:color="auto"/>
        <w:left w:val="none" w:sz="0" w:space="0" w:color="auto"/>
        <w:bottom w:val="none" w:sz="0" w:space="0" w:color="auto"/>
        <w:right w:val="none" w:sz="0" w:space="0" w:color="auto"/>
      </w:divBdr>
    </w:div>
    <w:div w:id="1342657991">
      <w:bodyDiv w:val="1"/>
      <w:marLeft w:val="0"/>
      <w:marRight w:val="0"/>
      <w:marTop w:val="0"/>
      <w:marBottom w:val="0"/>
      <w:divBdr>
        <w:top w:val="none" w:sz="0" w:space="0" w:color="auto"/>
        <w:left w:val="none" w:sz="0" w:space="0" w:color="auto"/>
        <w:bottom w:val="none" w:sz="0" w:space="0" w:color="auto"/>
        <w:right w:val="none" w:sz="0" w:space="0" w:color="auto"/>
      </w:divBdr>
    </w:div>
    <w:div w:id="1647398609">
      <w:bodyDiv w:val="1"/>
      <w:marLeft w:val="0"/>
      <w:marRight w:val="0"/>
      <w:marTop w:val="0"/>
      <w:marBottom w:val="0"/>
      <w:divBdr>
        <w:top w:val="none" w:sz="0" w:space="0" w:color="auto"/>
        <w:left w:val="none" w:sz="0" w:space="0" w:color="auto"/>
        <w:bottom w:val="none" w:sz="0" w:space="0" w:color="auto"/>
        <w:right w:val="none" w:sz="0" w:space="0" w:color="auto"/>
      </w:divBdr>
    </w:div>
    <w:div w:id="1709068859">
      <w:bodyDiv w:val="1"/>
      <w:marLeft w:val="0"/>
      <w:marRight w:val="0"/>
      <w:marTop w:val="0"/>
      <w:marBottom w:val="0"/>
      <w:divBdr>
        <w:top w:val="none" w:sz="0" w:space="0" w:color="auto"/>
        <w:left w:val="none" w:sz="0" w:space="0" w:color="auto"/>
        <w:bottom w:val="none" w:sz="0" w:space="0" w:color="auto"/>
        <w:right w:val="none" w:sz="0" w:space="0" w:color="auto"/>
      </w:divBdr>
    </w:div>
    <w:div w:id="18618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oecd.org/ctp/exchange-of-tax-information/aboutthetracegroup.htm"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hyperlink" Target="https://ec.europa.eu/info/publications/reports-fiscal-compliance-experts-group-fisco_en" TargetMode="External"/><Relationship Id="rId2" Type="http://schemas.openxmlformats.org/officeDocument/2006/relationships/customXml" Target="../customXml/item2.xml"/><Relationship Id="rId16" Type="http://schemas.openxmlformats.org/officeDocument/2006/relationships/hyperlink" Target="https://ec.europa.eu/info/sites/default/files/170227-report-capital-barriers_en.pdf"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oecd.org/ctp/exchange-of-tax-information/treatyreliefandcomplianceenhancementtrace.htm" TargetMode="External"/><Relationship Id="rId5" Type="http://schemas.openxmlformats.org/officeDocument/2006/relationships/styles" Target="styles.xml"/><Relationship Id="rId15" Type="http://schemas.openxmlformats.org/officeDocument/2006/relationships/hyperlink" Target="https://insuranceeurope.sharepoint.com/sites/extranet/Taxation%20WG/2021%2FECO-TAX-21-085.pdf" TargetMode="External"/><Relationship Id="rId23" Type="http://schemas.openxmlformats.org/officeDocument/2006/relationships/image" Target="media/image5.png"/><Relationship Id="rId28" Type="http://schemas.microsoft.com/office/2011/relationships/people" Target="peop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oecd.org/ctp/exchange-of-tax-information/aboutthetracegroup.htm"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tadi@insuranceeurope.eu" TargetMode="External"/><Relationship Id="rId2" Type="http://schemas.openxmlformats.org/officeDocument/2006/relationships/hyperlink" Target="https://ec.europa.eu/info/law/better-regulation/have-your-say/initiatives/13031-Withholding-taxes-new-EU-system-to-avoid-double-taxation_en"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memo xmlns="85aa765a-1fd1-4bd0-ae2e-6866ee3065fb" xsi:nil="true"/>
    <Type_x0020_of_x0020_document xmlns="85aa765a-1fd1-4bd0-ae2e-6866ee3065fb">Position Paper</Type_x0020_of_x0020_document>
    <Deadline xmlns="85aa765a-1fd1-4bd0-ae2e-6866ee3065fb" xsi:nil="true"/>
    <Leading_x0020_document xmlns="85aa765a-1fd1-4bd0-ae2e-6866ee3065fb" xsi:nil="true"/>
    <ValidationComment xmlns="85aa765a-1fd1-4bd0-ae2e-6866ee3065fb" xsi:nil="true"/>
    <AllowComments xmlns="85aa765a-1fd1-4bd0-ae2e-6866ee3065fb">true</AllowComments>
    <Uploads xmlns="85aa765a-1fd1-4bd0-ae2e-6866ee3065fb" xsi:nil="true"/>
    <isAnnex xmlns="85aa765a-1fd1-4bd0-ae2e-6866ee3065fb" xsi:nil="true"/>
    <Validated xmlns="85aa765a-1fd1-4bd0-ae2e-6866ee3065fb">false</Validated>
    <Can_x0020_be_x0020_edited xmlns="85aa765a-1fd1-4bd0-ae2e-6866ee3065fb">false</Can_x0020_be_x0020_edited>
    <Allow_x0020_uploads xmlns="85aa765a-1fd1-4bd0-ae2e-6866ee3065fb" xsi:nil="true"/>
    <Feedback_x0020_type xmlns="85aa765a-1fd1-4bd0-ae2e-6866ee3065fb" xsi:nil="true"/>
    <Display_x0020_validated_x0020_documents_x0020_library_x0020_button xmlns="85aa765a-1fd1-4bd0-ae2e-6866ee3065fb">false</Display_x0020_validated_x0020_documents_x0020_library_x0020_button>
    <Allow_x0020_comments xmlns="85aa765a-1fd1-4bd0-ae2e-6866ee3065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E756CBAF10E21A4CAD31D20A5B3F0406" ma:contentTypeVersion="22" ma:contentTypeDescription="Published Documents Content types for Insurance Europe" ma:contentTypeScope="" ma:versionID="386eabea3e30b3cc4b7aed42e1253a30">
  <xsd:schema xmlns:xsd="http://www.w3.org/2001/XMLSchema" xmlns:xs="http://www.w3.org/2001/XMLSchema" xmlns:p="http://schemas.microsoft.com/office/2006/metadata/properties" xmlns:ns2="85aa765a-1fd1-4bd0-ae2e-6866ee3065fb" targetNamespace="http://schemas.microsoft.com/office/2006/metadata/properties" ma:root="true" ma:fieldsID="e057c3029542c6e27314baae246fbe24" ns2:_="">
    <xsd:import namespace="85aa765a-1fd1-4bd0-ae2e-6866ee3065fb"/>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a765a-1fd1-4bd0-ae2e-6866ee3065fb"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CD15-2E52-421F-B0A5-2934372C7BC1}">
  <ds:schemaRefs>
    <ds:schemaRef ds:uri="http://schemas.microsoft.com/office/2006/metadata/properti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85aa765a-1fd1-4bd0-ae2e-6866ee3065fb"/>
  </ds:schemaRefs>
</ds:datastoreItem>
</file>

<file path=customXml/itemProps2.xml><?xml version="1.0" encoding="utf-8"?>
<ds:datastoreItem xmlns:ds="http://schemas.openxmlformats.org/officeDocument/2006/customXml" ds:itemID="{68D75E5A-C1ED-4B0F-80D0-4A13AEBFD47E}">
  <ds:schemaRefs>
    <ds:schemaRef ds:uri="http://schemas.microsoft.com/sharepoint/v3/contenttype/forms"/>
  </ds:schemaRefs>
</ds:datastoreItem>
</file>

<file path=customXml/itemProps3.xml><?xml version="1.0" encoding="utf-8"?>
<ds:datastoreItem xmlns:ds="http://schemas.openxmlformats.org/officeDocument/2006/customXml" ds:itemID="{1354C000-264A-4CAD-9619-42D7191E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a765a-1fd1-4bd0-ae2e-6866ee306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3525</Words>
  <Characters>20099</Characters>
  <Application>Microsoft Office Word</Application>
  <DocSecurity>4</DocSecurity>
  <Lines>167</Lines>
  <Paragraphs>47</Paragraphs>
  <ScaleCrop>false</ScaleCrop>
  <Company/>
  <LinksUpToDate>false</LinksUpToDate>
  <CharactersWithSpaces>23577</CharactersWithSpaces>
  <SharedDoc>false</SharedDoc>
  <HLinks>
    <vt:vector size="24" baseType="variant">
      <vt:variant>
        <vt:i4>524338</vt:i4>
      </vt:variant>
      <vt:variant>
        <vt:i4>17</vt:i4>
      </vt:variant>
      <vt:variant>
        <vt:i4>0</vt:i4>
      </vt:variant>
      <vt:variant>
        <vt:i4>5</vt:i4>
      </vt:variant>
      <vt:variant>
        <vt:lpwstr>mailto:info@insuranceeurope.eu</vt:lpwstr>
      </vt:variant>
      <vt:variant>
        <vt:lpwstr/>
      </vt:variant>
      <vt:variant>
        <vt:i4>6750288</vt:i4>
      </vt:variant>
      <vt:variant>
        <vt:i4>11</vt:i4>
      </vt:variant>
      <vt:variant>
        <vt:i4>0</vt:i4>
      </vt:variant>
      <vt:variant>
        <vt:i4>5</vt:i4>
      </vt:variant>
      <vt:variant>
        <vt:lpwstr>mailto:coles@insuranceeurope.eu</vt:lpwstr>
      </vt:variant>
      <vt:variant>
        <vt:lpwstr/>
      </vt:variant>
      <vt:variant>
        <vt:i4>720935</vt:i4>
      </vt:variant>
      <vt:variant>
        <vt:i4>8</vt:i4>
      </vt:variant>
      <vt:variant>
        <vt:i4>0</vt:i4>
      </vt:variant>
      <vt:variant>
        <vt:i4>5</vt:i4>
      </vt:variant>
      <vt:variant>
        <vt:lpwstr>mailto:bertolo@insuranceeurope.eu</vt:lpwstr>
      </vt:variant>
      <vt:variant>
        <vt:lpwstr/>
      </vt:variant>
      <vt:variant>
        <vt:i4>8061011</vt:i4>
      </vt:variant>
      <vt:variant>
        <vt:i4>5</vt:i4>
      </vt:variant>
      <vt:variant>
        <vt:i4>0</vt:i4>
      </vt:variant>
      <vt:variant>
        <vt:i4>5</vt:i4>
      </vt:variant>
      <vt:variant>
        <vt:lpwstr>https://ec.europa.eu/info/consultations/finance-2022-suitability-appropriateness-assessments_en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Europe’s final draft response to WHT consultation (clean)</dc:title>
  <dc:subject/>
  <dc:creator>Emma Coles</dc:creator>
  <cp:keywords/>
  <dc:description/>
  <cp:lastModifiedBy>jozef.bachnicek</cp:lastModifiedBy>
  <cp:revision>2</cp:revision>
  <dcterms:created xsi:type="dcterms:W3CDTF">2022-06-22T07:17:00Z</dcterms:created>
  <dcterms:modified xsi:type="dcterms:W3CDTF">2022-06-22T07:17:00Z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0x010100E756CBAF10E21A4CAD31D20A5B3F0406</vt:lpwstr>
  </property>
</Properties>
</file>